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23, 2023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NAUTILUS BIOTECHNOLOGY,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6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center"/>
              <w:ind w:right="1535"/>
              <w:spacing w:after="0"/>
              <w:rPr>
                <w:sz w:val="20"/>
                <w:szCs w:val="20"/>
                <w:color w:val="auto"/>
              </w:rPr>
            </w:pPr>
            <w:r>
              <w:rPr>
                <w:rFonts w:ascii="Arial" w:cs="Arial" w:eastAsia="Arial" w:hAnsi="Arial"/>
                <w:sz w:val="18"/>
                <w:szCs w:val="18"/>
                <w:b w:val="1"/>
                <w:bCs w:val="1"/>
                <w:color w:val="auto"/>
                <w:w w:val="89"/>
              </w:rPr>
              <w:t>98-1541723</w:t>
            </w:r>
          </w:p>
        </w:tc>
      </w:tr>
      <w:tr>
        <w:trPr>
          <w:trHeight w:val="224"/>
        </w:trPr>
        <w:tc>
          <w:tcPr>
            <w:tcW w:w="20" w:type="dxa"/>
            <w:vAlign w:val="bottom"/>
          </w:tcPr>
          <w:p>
            <w:pPr>
              <w:spacing w:after="0"/>
              <w:rPr>
                <w:sz w:val="19"/>
                <w:szCs w:val="19"/>
                <w:color w:val="auto"/>
              </w:rPr>
            </w:pPr>
          </w:p>
        </w:tc>
        <w:tc>
          <w:tcPr>
            <w:tcW w:w="7360" w:type="dxa"/>
            <w:vAlign w:val="bottom"/>
            <w:gridSpan w:val="3"/>
          </w:tcPr>
          <w:p>
            <w:pPr>
              <w:jc w:val="center"/>
              <w:ind w:right="1880"/>
              <w:spacing w:after="0"/>
              <w:rPr>
                <w:sz w:val="20"/>
                <w:szCs w:val="20"/>
                <w:color w:val="auto"/>
              </w:rPr>
            </w:pPr>
            <w:r>
              <w:rPr>
                <w:rFonts w:ascii="Arial" w:cs="Arial" w:eastAsia="Arial" w:hAnsi="Arial"/>
                <w:sz w:val="14"/>
                <w:szCs w:val="14"/>
                <w:color w:val="auto"/>
                <w:w w:val="95"/>
              </w:rPr>
              <w:t>(State or other jurisdiction of</w:t>
            </w:r>
          </w:p>
        </w:tc>
        <w:tc>
          <w:tcPr>
            <w:tcW w:w="3840" w:type="dxa"/>
            <w:vAlign w:val="bottom"/>
          </w:tcPr>
          <w:p>
            <w:pPr>
              <w:jc w:val="center"/>
              <w:ind w:right="1535"/>
              <w:spacing w:after="0"/>
              <w:rPr>
                <w:sz w:val="20"/>
                <w:szCs w:val="20"/>
                <w:color w:val="auto"/>
              </w:rPr>
            </w:pPr>
            <w:r>
              <w:rPr>
                <w:rFonts w:ascii="Arial" w:cs="Arial" w:eastAsia="Arial" w:hAnsi="Arial"/>
                <w:sz w:val="14"/>
                <w:szCs w:val="14"/>
                <w:color w:val="auto"/>
                <w:w w:val="95"/>
              </w:rPr>
              <w:t>(I.R.S. Employer</w:t>
            </w:r>
          </w:p>
        </w:tc>
      </w:tr>
      <w:tr>
        <w:trPr>
          <w:trHeight w:val="203"/>
        </w:trPr>
        <w:tc>
          <w:tcPr>
            <w:tcW w:w="20" w:type="dxa"/>
            <w:vAlign w:val="bottom"/>
          </w:tcPr>
          <w:p>
            <w:pPr>
              <w:spacing w:after="0"/>
              <w:rPr>
                <w:sz w:val="17"/>
                <w:szCs w:val="17"/>
                <w:color w:val="auto"/>
              </w:rPr>
            </w:pPr>
          </w:p>
        </w:tc>
        <w:tc>
          <w:tcPr>
            <w:tcW w:w="7360" w:type="dxa"/>
            <w:vAlign w:val="bottom"/>
            <w:gridSpan w:val="3"/>
          </w:tcPr>
          <w:p>
            <w:pPr>
              <w:jc w:val="center"/>
              <w:ind w:right="1900"/>
              <w:spacing w:after="0"/>
              <w:rPr>
                <w:sz w:val="20"/>
                <w:szCs w:val="20"/>
                <w:color w:val="auto"/>
              </w:rPr>
            </w:pPr>
            <w:r>
              <w:rPr>
                <w:rFonts w:ascii="Arial" w:cs="Arial" w:eastAsia="Arial" w:hAnsi="Arial"/>
                <w:sz w:val="14"/>
                <w:szCs w:val="14"/>
                <w:color w:val="auto"/>
                <w:w w:val="95"/>
              </w:rPr>
              <w:t>incorporation or organization)</w:t>
            </w:r>
          </w:p>
        </w:tc>
        <w:tc>
          <w:tcPr>
            <w:tcW w:w="3840" w:type="dxa"/>
            <w:vAlign w:val="bottom"/>
          </w:tcPr>
          <w:p>
            <w:pPr>
              <w:jc w:val="center"/>
              <w:ind w:right="1535"/>
              <w:spacing w:after="0"/>
              <w:rPr>
                <w:sz w:val="20"/>
                <w:szCs w:val="20"/>
                <w:color w:val="auto"/>
              </w:rPr>
            </w:pPr>
            <w:r>
              <w:rPr>
                <w:rFonts w:ascii="Arial" w:cs="Arial" w:eastAsia="Arial" w:hAnsi="Arial"/>
                <w:sz w:val="14"/>
                <w:szCs w:val="14"/>
                <w:color w:val="auto"/>
                <w:w w:val="97"/>
              </w:rPr>
              <w:t>Identification Number)</w:t>
            </w:r>
          </w:p>
        </w:tc>
      </w:tr>
      <w:tr>
        <w:trPr>
          <w:trHeight w:val="372"/>
        </w:trPr>
        <w:tc>
          <w:tcPr>
            <w:tcW w:w="20" w:type="dxa"/>
            <w:vAlign w:val="bottom"/>
          </w:tcPr>
          <w:p>
            <w:pPr>
              <w:spacing w:after="0"/>
              <w:rPr>
                <w:sz w:val="24"/>
                <w:szCs w:val="24"/>
                <w:color w:val="auto"/>
              </w:rPr>
            </w:pPr>
          </w:p>
        </w:tc>
        <w:tc>
          <w:tcPr>
            <w:tcW w:w="7360" w:type="dxa"/>
            <w:vAlign w:val="bottom"/>
            <w:gridSpan w:val="3"/>
          </w:tcPr>
          <w:p>
            <w:pPr>
              <w:jc w:val="center"/>
              <w:ind w:left="3775"/>
              <w:spacing w:after="0"/>
              <w:rPr>
                <w:sz w:val="20"/>
                <w:szCs w:val="20"/>
                <w:color w:val="auto"/>
              </w:rPr>
            </w:pPr>
            <w:r>
              <w:rPr>
                <w:rFonts w:ascii="Arial" w:cs="Arial" w:eastAsia="Arial" w:hAnsi="Arial"/>
                <w:sz w:val="18"/>
                <w:szCs w:val="18"/>
                <w:b w:val="1"/>
                <w:bCs w:val="1"/>
                <w:color w:val="auto"/>
                <w:w w:val="89"/>
              </w:rPr>
              <w:t>2701 Eastlake Avenue East</w:t>
            </w:r>
          </w:p>
        </w:tc>
        <w:tc>
          <w:tcPr>
            <w:tcW w:w="38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7360" w:type="dxa"/>
            <w:vAlign w:val="bottom"/>
            <w:gridSpan w:val="3"/>
          </w:tcPr>
          <w:p>
            <w:pPr>
              <w:jc w:val="center"/>
              <w:ind w:left="3775"/>
              <w:spacing w:after="0"/>
              <w:rPr>
                <w:sz w:val="20"/>
                <w:szCs w:val="20"/>
                <w:color w:val="auto"/>
              </w:rPr>
            </w:pPr>
            <w:r>
              <w:rPr>
                <w:rFonts w:ascii="Arial" w:cs="Arial" w:eastAsia="Arial" w:hAnsi="Arial"/>
                <w:sz w:val="18"/>
                <w:szCs w:val="18"/>
                <w:b w:val="1"/>
                <w:bCs w:val="1"/>
                <w:color w:val="auto"/>
                <w:w w:val="88"/>
              </w:rPr>
              <w:t>Seattle, Washington 98102</w:t>
            </w:r>
          </w:p>
        </w:tc>
        <w:tc>
          <w:tcPr>
            <w:tcW w:w="3840" w:type="dxa"/>
            <w:vAlign w:val="bottom"/>
          </w:tcPr>
          <w:p>
            <w:pPr>
              <w:spacing w:after="0"/>
              <w:rPr>
                <w:sz w:val="20"/>
                <w:szCs w:val="20"/>
                <w:color w:val="auto"/>
              </w:rPr>
            </w:pPr>
          </w:p>
        </w:tc>
      </w:tr>
      <w:tr>
        <w:trPr>
          <w:trHeight w:val="312"/>
        </w:trPr>
        <w:tc>
          <w:tcPr>
            <w:tcW w:w="20" w:type="dxa"/>
            <w:vAlign w:val="bottom"/>
          </w:tcPr>
          <w:p>
            <w:pPr>
              <w:spacing w:after="0"/>
              <w:rPr>
                <w:sz w:val="24"/>
                <w:szCs w:val="24"/>
                <w:color w:val="auto"/>
              </w:rPr>
            </w:pPr>
          </w:p>
        </w:tc>
        <w:tc>
          <w:tcPr>
            <w:tcW w:w="7360" w:type="dxa"/>
            <w:vAlign w:val="bottom"/>
            <w:gridSpan w:val="3"/>
          </w:tcPr>
          <w:p>
            <w:pPr>
              <w:jc w:val="center"/>
              <w:ind w:left="3755"/>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840" w:type="dxa"/>
            <w:vAlign w:val="bottom"/>
          </w:tcPr>
          <w:p>
            <w:pPr>
              <w:spacing w:after="0"/>
              <w:rPr>
                <w:sz w:val="24"/>
                <w:szCs w:val="24"/>
                <w:color w:val="auto"/>
              </w:rPr>
            </w:pPr>
          </w:p>
        </w:tc>
      </w:tr>
      <w:tr>
        <w:trPr>
          <w:trHeight w:val="363"/>
        </w:trPr>
        <w:tc>
          <w:tcPr>
            <w:tcW w:w="20" w:type="dxa"/>
            <w:vAlign w:val="bottom"/>
          </w:tcPr>
          <w:p>
            <w:pPr>
              <w:spacing w:after="0"/>
              <w:rPr>
                <w:sz w:val="24"/>
                <w:szCs w:val="24"/>
                <w:color w:val="auto"/>
              </w:rPr>
            </w:pPr>
          </w:p>
        </w:tc>
        <w:tc>
          <w:tcPr>
            <w:tcW w:w="7360" w:type="dxa"/>
            <w:vAlign w:val="bottom"/>
            <w:gridSpan w:val="3"/>
          </w:tcPr>
          <w:p>
            <w:pPr>
              <w:jc w:val="center"/>
              <w:ind w:left="3755"/>
              <w:spacing w:after="0"/>
              <w:rPr>
                <w:sz w:val="20"/>
                <w:szCs w:val="20"/>
                <w:color w:val="auto"/>
              </w:rPr>
            </w:pPr>
            <w:r>
              <w:rPr>
                <w:rFonts w:ascii="Arial" w:cs="Arial" w:eastAsia="Arial" w:hAnsi="Arial"/>
                <w:sz w:val="18"/>
                <w:szCs w:val="18"/>
                <w:b w:val="1"/>
                <w:bCs w:val="1"/>
                <w:color w:val="auto"/>
                <w:w w:val="91"/>
              </w:rPr>
              <w:t>2021 Equity Incentive Plan</w:t>
            </w:r>
          </w:p>
        </w:tc>
        <w:tc>
          <w:tcPr>
            <w:tcW w:w="384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360" w:type="dxa"/>
            <w:vAlign w:val="bottom"/>
            <w:gridSpan w:val="3"/>
          </w:tcPr>
          <w:p>
            <w:pPr>
              <w:jc w:val="center"/>
              <w:ind w:left="3775"/>
              <w:spacing w:after="0"/>
              <w:rPr>
                <w:sz w:val="20"/>
                <w:szCs w:val="20"/>
                <w:color w:val="auto"/>
              </w:rPr>
            </w:pPr>
            <w:r>
              <w:rPr>
                <w:rFonts w:ascii="Arial" w:cs="Arial" w:eastAsia="Arial" w:hAnsi="Arial"/>
                <w:sz w:val="18"/>
                <w:szCs w:val="18"/>
                <w:b w:val="1"/>
                <w:bCs w:val="1"/>
                <w:color w:val="auto"/>
                <w:w w:val="88"/>
              </w:rPr>
              <w:t>2021 Employee Stock Purchase Plan</w:t>
            </w:r>
          </w:p>
        </w:tc>
        <w:tc>
          <w:tcPr>
            <w:tcW w:w="3840" w:type="dxa"/>
            <w:vAlign w:val="bottom"/>
          </w:tcPr>
          <w:p>
            <w:pPr>
              <w:spacing w:after="0"/>
              <w:rPr>
                <w:sz w:val="21"/>
                <w:szCs w:val="21"/>
                <w:color w:val="auto"/>
              </w:rPr>
            </w:pPr>
          </w:p>
        </w:tc>
      </w:tr>
      <w:tr>
        <w:trPr>
          <w:trHeight w:val="204"/>
        </w:trPr>
        <w:tc>
          <w:tcPr>
            <w:tcW w:w="20" w:type="dxa"/>
            <w:vAlign w:val="bottom"/>
          </w:tcPr>
          <w:p>
            <w:pPr>
              <w:spacing w:after="0"/>
              <w:rPr>
                <w:sz w:val="17"/>
                <w:szCs w:val="17"/>
                <w:color w:val="auto"/>
              </w:rPr>
            </w:pPr>
          </w:p>
        </w:tc>
        <w:tc>
          <w:tcPr>
            <w:tcW w:w="7360" w:type="dxa"/>
            <w:vAlign w:val="bottom"/>
            <w:gridSpan w:val="3"/>
          </w:tcPr>
          <w:p>
            <w:pPr>
              <w:jc w:val="center"/>
              <w:ind w:left="3755"/>
              <w:spacing w:after="0"/>
              <w:rPr>
                <w:sz w:val="20"/>
                <w:szCs w:val="20"/>
                <w:color w:val="auto"/>
              </w:rPr>
            </w:pPr>
            <w:r>
              <w:rPr>
                <w:rFonts w:ascii="Arial" w:cs="Arial" w:eastAsia="Arial" w:hAnsi="Arial"/>
                <w:sz w:val="14"/>
                <w:szCs w:val="14"/>
                <w:color w:val="auto"/>
                <w:w w:val="97"/>
              </w:rPr>
              <w:t>(Full title of the plan)</w:t>
            </w:r>
          </w:p>
        </w:tc>
        <w:tc>
          <w:tcPr>
            <w:tcW w:w="3840" w:type="dxa"/>
            <w:vAlign w:val="bottom"/>
          </w:tcPr>
          <w:p>
            <w:pPr>
              <w:spacing w:after="0"/>
              <w:rPr>
                <w:sz w:val="17"/>
                <w:szCs w:val="17"/>
                <w:color w:val="auto"/>
              </w:rPr>
            </w:pPr>
          </w:p>
        </w:tc>
      </w:tr>
      <w:tr>
        <w:trPr>
          <w:trHeight w:val="309"/>
        </w:trPr>
        <w:tc>
          <w:tcPr>
            <w:tcW w:w="20" w:type="dxa"/>
            <w:vAlign w:val="bottom"/>
          </w:tcPr>
          <w:p>
            <w:pPr>
              <w:spacing w:after="0"/>
              <w:rPr>
                <w:sz w:val="24"/>
                <w:szCs w:val="24"/>
                <w:color w:val="auto"/>
              </w:rPr>
            </w:pPr>
          </w:p>
        </w:tc>
        <w:tc>
          <w:tcPr>
            <w:tcW w:w="7360" w:type="dxa"/>
            <w:vAlign w:val="bottom"/>
            <w:gridSpan w:val="3"/>
          </w:tcPr>
          <w:p>
            <w:pPr>
              <w:jc w:val="center"/>
              <w:ind w:left="3755"/>
              <w:spacing w:after="0"/>
              <w:rPr>
                <w:sz w:val="20"/>
                <w:szCs w:val="20"/>
                <w:color w:val="auto"/>
              </w:rPr>
            </w:pPr>
            <w:r>
              <w:rPr>
                <w:rFonts w:ascii="Arial" w:cs="Arial" w:eastAsia="Arial" w:hAnsi="Arial"/>
                <w:sz w:val="18"/>
                <w:szCs w:val="18"/>
                <w:b w:val="1"/>
                <w:bCs w:val="1"/>
                <w:color w:val="auto"/>
                <w:w w:val="92"/>
              </w:rPr>
              <w:t>Sujal Patel</w:t>
            </w:r>
          </w:p>
        </w:tc>
        <w:tc>
          <w:tcPr>
            <w:tcW w:w="384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360" w:type="dxa"/>
            <w:vAlign w:val="bottom"/>
            <w:gridSpan w:val="3"/>
          </w:tcPr>
          <w:p>
            <w:pPr>
              <w:jc w:val="center"/>
              <w:ind w:left="3755"/>
              <w:spacing w:after="0"/>
              <w:rPr>
                <w:sz w:val="20"/>
                <w:szCs w:val="20"/>
                <w:color w:val="auto"/>
              </w:rPr>
            </w:pPr>
            <w:r>
              <w:rPr>
                <w:rFonts w:ascii="Arial" w:cs="Arial" w:eastAsia="Arial" w:hAnsi="Arial"/>
                <w:sz w:val="18"/>
                <w:szCs w:val="18"/>
                <w:b w:val="1"/>
                <w:bCs w:val="1"/>
                <w:color w:val="auto"/>
                <w:w w:val="91"/>
              </w:rPr>
              <w:t>Chief Executive Officer</w:t>
            </w:r>
          </w:p>
        </w:tc>
        <w:tc>
          <w:tcPr>
            <w:tcW w:w="384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7360" w:type="dxa"/>
            <w:vAlign w:val="bottom"/>
            <w:gridSpan w:val="3"/>
          </w:tcPr>
          <w:p>
            <w:pPr>
              <w:jc w:val="center"/>
              <w:ind w:left="3775"/>
              <w:spacing w:after="0"/>
              <w:rPr>
                <w:sz w:val="20"/>
                <w:szCs w:val="20"/>
                <w:color w:val="auto"/>
              </w:rPr>
            </w:pPr>
            <w:r>
              <w:rPr>
                <w:rFonts w:ascii="Arial" w:cs="Arial" w:eastAsia="Arial" w:hAnsi="Arial"/>
                <w:sz w:val="18"/>
                <w:szCs w:val="18"/>
                <w:b w:val="1"/>
                <w:bCs w:val="1"/>
                <w:color w:val="auto"/>
                <w:w w:val="89"/>
              </w:rPr>
              <w:t>2701 Eastlake Avenue East</w:t>
            </w:r>
          </w:p>
        </w:tc>
        <w:tc>
          <w:tcPr>
            <w:tcW w:w="384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360" w:type="dxa"/>
            <w:vAlign w:val="bottom"/>
            <w:gridSpan w:val="3"/>
          </w:tcPr>
          <w:p>
            <w:pPr>
              <w:jc w:val="center"/>
              <w:ind w:left="3775"/>
              <w:spacing w:after="0"/>
              <w:rPr>
                <w:sz w:val="20"/>
                <w:szCs w:val="20"/>
                <w:color w:val="auto"/>
              </w:rPr>
            </w:pPr>
            <w:r>
              <w:rPr>
                <w:rFonts w:ascii="Arial" w:cs="Arial" w:eastAsia="Arial" w:hAnsi="Arial"/>
                <w:sz w:val="18"/>
                <w:szCs w:val="18"/>
                <w:b w:val="1"/>
                <w:bCs w:val="1"/>
                <w:color w:val="auto"/>
                <w:w w:val="88"/>
              </w:rPr>
              <w:t>Seattle, Washington 98102</w:t>
            </w:r>
          </w:p>
        </w:tc>
        <w:tc>
          <w:tcPr>
            <w:tcW w:w="3840" w:type="dxa"/>
            <w:vAlign w:val="bottom"/>
          </w:tcPr>
          <w:p>
            <w:pPr>
              <w:spacing w:after="0"/>
              <w:rPr>
                <w:sz w:val="21"/>
                <w:szCs w:val="21"/>
                <w:color w:val="auto"/>
              </w:rPr>
            </w:pPr>
          </w:p>
        </w:tc>
      </w:tr>
      <w:tr>
        <w:trPr>
          <w:trHeight w:val="257"/>
        </w:trPr>
        <w:tc>
          <w:tcPr>
            <w:tcW w:w="7380" w:type="dxa"/>
            <w:vAlign w:val="bottom"/>
            <w:gridSpan w:val="4"/>
          </w:tcPr>
          <w:p>
            <w:pPr>
              <w:jc w:val="center"/>
              <w:ind w:left="3770"/>
              <w:spacing w:after="0"/>
              <w:rPr>
                <w:sz w:val="20"/>
                <w:szCs w:val="20"/>
                <w:color w:val="auto"/>
              </w:rPr>
            </w:pPr>
            <w:r>
              <w:rPr>
                <w:rFonts w:ascii="Arial" w:cs="Arial" w:eastAsia="Arial" w:hAnsi="Arial"/>
                <w:sz w:val="18"/>
                <w:szCs w:val="18"/>
                <w:b w:val="1"/>
                <w:bCs w:val="1"/>
                <w:color w:val="auto"/>
                <w:w w:val="90"/>
              </w:rPr>
              <w:t>(206) 333-2001</w:t>
            </w:r>
          </w:p>
        </w:tc>
        <w:tc>
          <w:tcPr>
            <w:tcW w:w="3840" w:type="dxa"/>
            <w:vAlign w:val="bottom"/>
          </w:tcPr>
          <w:p>
            <w:pPr>
              <w:spacing w:after="0"/>
              <w:rPr>
                <w:sz w:val="22"/>
                <w:szCs w:val="22"/>
                <w:color w:val="auto"/>
              </w:rPr>
            </w:pPr>
          </w:p>
        </w:tc>
      </w:tr>
      <w:tr>
        <w:trPr>
          <w:trHeight w:val="190"/>
        </w:trPr>
        <w:tc>
          <w:tcPr>
            <w:tcW w:w="20" w:type="dxa"/>
            <w:vAlign w:val="bottom"/>
          </w:tcPr>
          <w:p>
            <w:pPr>
              <w:spacing w:after="0"/>
              <w:rPr>
                <w:sz w:val="16"/>
                <w:szCs w:val="16"/>
                <w:color w:val="auto"/>
              </w:rPr>
            </w:pPr>
          </w:p>
        </w:tc>
        <w:tc>
          <w:tcPr>
            <w:tcW w:w="11200" w:type="dxa"/>
            <w:vAlign w:val="bottom"/>
            <w:gridSpan w:val="4"/>
          </w:tcPr>
          <w:p>
            <w:pPr>
              <w:jc w:val="center"/>
              <w:spacing w:after="0"/>
              <w:rPr>
                <w:sz w:val="20"/>
                <w:szCs w:val="20"/>
                <w:color w:val="auto"/>
              </w:rPr>
            </w:pPr>
            <w:r>
              <w:rPr>
                <w:rFonts w:ascii="Arial" w:cs="Arial" w:eastAsia="Arial" w:hAnsi="Arial"/>
                <w:sz w:val="14"/>
                <w:szCs w:val="14"/>
                <w:color w:val="auto"/>
                <w:w w:val="92"/>
              </w:rPr>
              <w:t>(Name, address and telephone number, including area code, of agent for service)</w:t>
            </w:r>
          </w:p>
        </w:tc>
      </w:tr>
      <w:tr>
        <w:trPr>
          <w:trHeight w:val="295"/>
        </w:trPr>
        <w:tc>
          <w:tcPr>
            <w:tcW w:w="7380" w:type="dxa"/>
            <w:vAlign w:val="bottom"/>
            <w:gridSpan w:val="4"/>
          </w:tcPr>
          <w:p>
            <w:pPr>
              <w:spacing w:after="0"/>
              <w:rPr>
                <w:sz w:val="20"/>
                <w:szCs w:val="20"/>
                <w:color w:val="auto"/>
              </w:rPr>
            </w:pPr>
            <w:r>
              <w:rPr>
                <w:rFonts w:ascii="Arial" w:cs="Arial" w:eastAsia="Arial" w:hAnsi="Arial"/>
                <w:sz w:val="18"/>
                <w:szCs w:val="18"/>
                <w:i w:val="1"/>
                <w:iCs w:val="1"/>
                <w:color w:val="auto"/>
              </w:rPr>
              <w:t>Copies to:</w:t>
            </w:r>
          </w:p>
        </w:tc>
        <w:tc>
          <w:tcPr>
            <w:tcW w:w="38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7360" w:type="dxa"/>
            <w:vAlign w:val="bottom"/>
            <w:gridSpan w:val="3"/>
          </w:tcPr>
          <w:p>
            <w:pPr>
              <w:jc w:val="center"/>
              <w:ind w:right="1760"/>
              <w:spacing w:after="0"/>
              <w:rPr>
                <w:sz w:val="20"/>
                <w:szCs w:val="20"/>
                <w:color w:val="auto"/>
              </w:rPr>
            </w:pPr>
            <w:r>
              <w:rPr>
                <w:rFonts w:ascii="Arial" w:cs="Arial" w:eastAsia="Arial" w:hAnsi="Arial"/>
                <w:sz w:val="18"/>
                <w:szCs w:val="18"/>
                <w:b w:val="1"/>
                <w:bCs w:val="1"/>
                <w:color w:val="auto"/>
                <w:w w:val="90"/>
              </w:rPr>
              <w:t>Robert F. Kornegay</w:t>
            </w:r>
          </w:p>
        </w:tc>
        <w:tc>
          <w:tcPr>
            <w:tcW w:w="3840" w:type="dxa"/>
            <w:vAlign w:val="bottom"/>
          </w:tcPr>
          <w:p>
            <w:pPr>
              <w:jc w:val="center"/>
              <w:ind w:right="1655"/>
              <w:spacing w:after="0"/>
              <w:rPr>
                <w:sz w:val="20"/>
                <w:szCs w:val="20"/>
                <w:color w:val="auto"/>
              </w:rPr>
            </w:pPr>
            <w:r>
              <w:rPr>
                <w:rFonts w:ascii="Arial" w:cs="Arial" w:eastAsia="Arial" w:hAnsi="Arial"/>
                <w:sz w:val="18"/>
                <w:szCs w:val="18"/>
                <w:b w:val="1"/>
                <w:bCs w:val="1"/>
                <w:color w:val="auto"/>
                <w:w w:val="97"/>
              </w:rPr>
              <w:t>Matthew Murphy</w:t>
            </w:r>
          </w:p>
        </w:tc>
      </w:tr>
      <w:tr>
        <w:trPr>
          <w:trHeight w:val="243"/>
        </w:trPr>
        <w:tc>
          <w:tcPr>
            <w:tcW w:w="20" w:type="dxa"/>
            <w:vAlign w:val="bottom"/>
          </w:tcPr>
          <w:p>
            <w:pPr>
              <w:spacing w:after="0"/>
              <w:rPr>
                <w:sz w:val="21"/>
                <w:szCs w:val="21"/>
                <w:color w:val="auto"/>
              </w:rPr>
            </w:pPr>
          </w:p>
        </w:tc>
        <w:tc>
          <w:tcPr>
            <w:tcW w:w="7360" w:type="dxa"/>
            <w:vAlign w:val="bottom"/>
            <w:gridSpan w:val="3"/>
          </w:tcPr>
          <w:p>
            <w:pPr>
              <w:jc w:val="center"/>
              <w:ind w:right="1760"/>
              <w:spacing w:after="0"/>
              <w:rPr>
                <w:sz w:val="20"/>
                <w:szCs w:val="20"/>
                <w:color w:val="auto"/>
              </w:rPr>
            </w:pPr>
            <w:r>
              <w:rPr>
                <w:rFonts w:ascii="Arial" w:cs="Arial" w:eastAsia="Arial" w:hAnsi="Arial"/>
                <w:sz w:val="18"/>
                <w:szCs w:val="18"/>
                <w:b w:val="1"/>
                <w:bCs w:val="1"/>
                <w:color w:val="auto"/>
                <w:w w:val="93"/>
              </w:rPr>
              <w:t>Zachary B. Myers</w:t>
            </w:r>
          </w:p>
        </w:tc>
        <w:tc>
          <w:tcPr>
            <w:tcW w:w="3840" w:type="dxa"/>
            <w:vAlign w:val="bottom"/>
          </w:tcPr>
          <w:p>
            <w:pPr>
              <w:jc w:val="center"/>
              <w:ind w:right="1655"/>
              <w:spacing w:after="0"/>
              <w:rPr>
                <w:sz w:val="20"/>
                <w:szCs w:val="20"/>
                <w:color w:val="auto"/>
              </w:rPr>
            </w:pPr>
            <w:r>
              <w:rPr>
                <w:rFonts w:ascii="Arial" w:cs="Arial" w:eastAsia="Arial" w:hAnsi="Arial"/>
                <w:sz w:val="18"/>
                <w:szCs w:val="18"/>
                <w:b w:val="1"/>
                <w:bCs w:val="1"/>
                <w:color w:val="auto"/>
                <w:w w:val="90"/>
              </w:rPr>
              <w:t>General Counsel</w:t>
            </w:r>
          </w:p>
        </w:tc>
      </w:tr>
      <w:tr>
        <w:trPr>
          <w:trHeight w:val="256"/>
        </w:trPr>
        <w:tc>
          <w:tcPr>
            <w:tcW w:w="20" w:type="dxa"/>
            <w:vAlign w:val="bottom"/>
          </w:tcPr>
          <w:p>
            <w:pPr>
              <w:spacing w:after="0"/>
              <w:rPr>
                <w:sz w:val="22"/>
                <w:szCs w:val="22"/>
                <w:color w:val="auto"/>
              </w:rPr>
            </w:pPr>
          </w:p>
        </w:tc>
        <w:tc>
          <w:tcPr>
            <w:tcW w:w="7360" w:type="dxa"/>
            <w:vAlign w:val="bottom"/>
            <w:gridSpan w:val="3"/>
          </w:tcPr>
          <w:p>
            <w:pPr>
              <w:jc w:val="center"/>
              <w:ind w:right="176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3840" w:type="dxa"/>
            <w:vAlign w:val="bottom"/>
          </w:tcPr>
          <w:p>
            <w:pPr>
              <w:jc w:val="center"/>
              <w:ind w:right="1655"/>
              <w:spacing w:after="0"/>
              <w:rPr>
                <w:sz w:val="20"/>
                <w:szCs w:val="20"/>
                <w:color w:val="auto"/>
              </w:rPr>
            </w:pPr>
            <w:r>
              <w:rPr>
                <w:rFonts w:ascii="Arial" w:cs="Arial" w:eastAsia="Arial" w:hAnsi="Arial"/>
                <w:sz w:val="18"/>
                <w:szCs w:val="18"/>
                <w:b w:val="1"/>
                <w:bCs w:val="1"/>
                <w:color w:val="auto"/>
                <w:w w:val="89"/>
              </w:rPr>
              <w:t>2701 Eastlake Avenue East</w:t>
            </w:r>
          </w:p>
        </w:tc>
      </w:tr>
      <w:tr>
        <w:trPr>
          <w:trHeight w:val="243"/>
        </w:trPr>
        <w:tc>
          <w:tcPr>
            <w:tcW w:w="20" w:type="dxa"/>
            <w:vAlign w:val="bottom"/>
          </w:tcPr>
          <w:p>
            <w:pPr>
              <w:spacing w:after="0"/>
              <w:rPr>
                <w:sz w:val="21"/>
                <w:szCs w:val="21"/>
                <w:color w:val="auto"/>
              </w:rPr>
            </w:pPr>
          </w:p>
        </w:tc>
        <w:tc>
          <w:tcPr>
            <w:tcW w:w="7360" w:type="dxa"/>
            <w:vAlign w:val="bottom"/>
            <w:gridSpan w:val="3"/>
          </w:tcPr>
          <w:p>
            <w:pPr>
              <w:jc w:val="center"/>
              <w:ind w:right="1780"/>
              <w:spacing w:after="0"/>
              <w:rPr>
                <w:sz w:val="20"/>
                <w:szCs w:val="20"/>
                <w:color w:val="auto"/>
              </w:rPr>
            </w:pPr>
            <w:r>
              <w:rPr>
                <w:rFonts w:ascii="Arial" w:cs="Arial" w:eastAsia="Arial" w:hAnsi="Arial"/>
                <w:sz w:val="18"/>
                <w:szCs w:val="18"/>
                <w:b w:val="1"/>
                <w:bCs w:val="1"/>
                <w:color w:val="auto"/>
                <w:w w:val="91"/>
              </w:rPr>
              <w:t>650 Page Mill Road</w:t>
            </w:r>
          </w:p>
        </w:tc>
        <w:tc>
          <w:tcPr>
            <w:tcW w:w="3840" w:type="dxa"/>
            <w:vAlign w:val="bottom"/>
          </w:tcPr>
          <w:p>
            <w:pPr>
              <w:jc w:val="center"/>
              <w:ind w:right="1655"/>
              <w:spacing w:after="0"/>
              <w:rPr>
                <w:sz w:val="20"/>
                <w:szCs w:val="20"/>
                <w:color w:val="auto"/>
              </w:rPr>
            </w:pPr>
            <w:r>
              <w:rPr>
                <w:rFonts w:ascii="Arial" w:cs="Arial" w:eastAsia="Arial" w:hAnsi="Arial"/>
                <w:sz w:val="18"/>
                <w:szCs w:val="18"/>
                <w:b w:val="1"/>
                <w:bCs w:val="1"/>
                <w:color w:val="auto"/>
                <w:w w:val="88"/>
              </w:rPr>
              <w:t>Seattle, Washington 98102</w:t>
            </w:r>
          </w:p>
        </w:tc>
      </w:tr>
      <w:tr>
        <w:trPr>
          <w:trHeight w:val="257"/>
        </w:trPr>
        <w:tc>
          <w:tcPr>
            <w:tcW w:w="20" w:type="dxa"/>
            <w:vAlign w:val="bottom"/>
          </w:tcPr>
          <w:p>
            <w:pPr>
              <w:spacing w:after="0"/>
              <w:rPr>
                <w:sz w:val="22"/>
                <w:szCs w:val="22"/>
                <w:color w:val="auto"/>
              </w:rPr>
            </w:pPr>
          </w:p>
        </w:tc>
        <w:tc>
          <w:tcPr>
            <w:tcW w:w="7360" w:type="dxa"/>
            <w:vAlign w:val="bottom"/>
            <w:gridSpan w:val="3"/>
          </w:tcPr>
          <w:p>
            <w:pPr>
              <w:jc w:val="center"/>
              <w:ind w:right="1760"/>
              <w:spacing w:after="0"/>
              <w:rPr>
                <w:sz w:val="20"/>
                <w:szCs w:val="20"/>
                <w:color w:val="auto"/>
              </w:rPr>
            </w:pPr>
            <w:r>
              <w:rPr>
                <w:rFonts w:ascii="Arial" w:cs="Arial" w:eastAsia="Arial" w:hAnsi="Arial"/>
                <w:sz w:val="18"/>
                <w:szCs w:val="18"/>
                <w:b w:val="1"/>
                <w:bCs w:val="1"/>
                <w:color w:val="auto"/>
                <w:w w:val="91"/>
              </w:rPr>
              <w:t>Palo Alto, California 94304</w:t>
            </w:r>
          </w:p>
        </w:tc>
        <w:tc>
          <w:tcPr>
            <w:tcW w:w="3840" w:type="dxa"/>
            <w:vAlign w:val="bottom"/>
          </w:tcPr>
          <w:p>
            <w:pPr>
              <w:jc w:val="center"/>
              <w:ind w:right="1655"/>
              <w:spacing w:after="0"/>
              <w:rPr>
                <w:sz w:val="20"/>
                <w:szCs w:val="20"/>
                <w:color w:val="auto"/>
              </w:rPr>
            </w:pPr>
            <w:r>
              <w:rPr>
                <w:rFonts w:ascii="Arial" w:cs="Arial" w:eastAsia="Arial" w:hAnsi="Arial"/>
                <w:sz w:val="18"/>
                <w:szCs w:val="18"/>
                <w:b w:val="1"/>
                <w:bCs w:val="1"/>
                <w:color w:val="auto"/>
                <w:w w:val="92"/>
              </w:rPr>
              <w:t>(206) 333-2001</w:t>
            </w:r>
          </w:p>
        </w:tc>
      </w:tr>
      <w:tr>
        <w:trPr>
          <w:trHeight w:val="243"/>
        </w:trPr>
        <w:tc>
          <w:tcPr>
            <w:tcW w:w="54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(650) 493-9300</w:t>
            </w: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40" w:type="dxa"/>
            <w:vAlign w:val="bottom"/>
          </w:tcPr>
          <w:p>
            <w:pPr>
              <w:spacing w:after="0"/>
              <w:rPr>
                <w:sz w:val="21"/>
                <w:szCs w:val="21"/>
                <w:color w:val="auto"/>
              </w:rPr>
            </w:pPr>
          </w:p>
        </w:tc>
      </w:tr>
    </w:tbl>
    <w:p>
      <w:pPr>
        <w:spacing w:after="0" w:line="175" w:lineRule="exact"/>
        <w:rPr>
          <w:sz w:val="24"/>
          <w:szCs w:val="24"/>
          <w:color w:val="auto"/>
        </w:rPr>
      </w:pPr>
    </w:p>
    <w:p>
      <w:pPr>
        <w:ind w:right="340"/>
        <w:spacing w:after="0" w:line="30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4"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6480" w:space="720"/>
            <w:col w:w="4040"/>
          </w:cols>
          <w:pgMar w:left="320" w:top="1440" w:right="339" w:bottom="1440" w:gutter="0" w:footer="0" w:header="0"/>
          <w:type w:val="continuous"/>
        </w:sect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6480" w:space="720"/>
            <w:col w:w="4040"/>
          </w:cols>
          <w:pgMar w:left="320" w:top="1440" w:right="339" w:bottom="1440" w:gutter="0" w:footer="0" w:header="0"/>
          <w:type w:val="continuous"/>
        </w:sectPr>
      </w:pPr>
    </w:p>
    <w:p>
      <w:pPr>
        <w:ind w:left="7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p>
      <w:pPr>
        <w:spacing w:after="0" w:line="240" w:lineRule="exact"/>
        <w:rPr>
          <w:sz w:val="24"/>
          <w:szCs w:val="24"/>
          <w:color w:val="auto"/>
        </w:rPr>
      </w:pPr>
    </w:p>
    <w:p>
      <w:pPr>
        <w:ind w:right="160"/>
        <w:spacing w:after="0" w:line="25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OF ADDITIONAL SECURITIES PURSUANT TO GENERAL INSTRUCTION E</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This Registration Statement on Form S-8 (the “Registration Statement”) is being filed to register an additional 6,243,274 shares of common stock of Nautilus Biotechnology, Inc. (the “Registrant”) reserved for issuance pursuant to future awards under the Registrant’s 2021 Equity Incentive Plan (the “2021 Plan”) as a result of the annual evergreen increase under the 2021 Plan and 1,248,654 shares of Common Stock of the Registrant reserved for issuance pursuant to future awards under the 2021 Employee Stock Purchase Plan (the “2021 ESPP”) as a result of the annual evergreen increase under the 2021 ESPP.</w:t>
      </w:r>
    </w:p>
    <w:p>
      <w:pPr>
        <w:spacing w:after="0" w:line="195" w:lineRule="exact"/>
        <w:rPr>
          <w:sz w:val="20"/>
          <w:szCs w:val="20"/>
          <w:color w:val="auto"/>
        </w:rPr>
      </w:pPr>
    </w:p>
    <w:p>
      <w:pPr>
        <w:jc w:val="both"/>
        <w:ind w:firstLine="648"/>
        <w:spacing w:after="0" w:line="296" w:lineRule="auto"/>
        <w:rPr>
          <w:rFonts w:ascii="Arial" w:cs="Arial" w:eastAsia="Arial" w:hAnsi="Arial"/>
          <w:sz w:val="18"/>
          <w:szCs w:val="18"/>
          <w:color w:val="0000FF"/>
        </w:rPr>
      </w:pPr>
      <w:r>
        <w:rPr>
          <w:rFonts w:ascii="Arial" w:cs="Arial" w:eastAsia="Arial" w:hAnsi="Arial"/>
          <w:sz w:val="18"/>
          <w:szCs w:val="18"/>
          <w:color w:val="auto"/>
        </w:rPr>
        <w:t xml:space="preserve">These additional shares of common stock are securities of the same class as other securities for which previous Registration Statements on Form </w:t>
      </w:r>
      <w:hyperlink r:id="rId8">
        <w:r>
          <w:rPr>
            <w:rFonts w:ascii="Arial" w:cs="Arial" w:eastAsia="Arial" w:hAnsi="Arial"/>
            <w:sz w:val="18"/>
            <w:szCs w:val="18"/>
            <w:color w:val="auto"/>
          </w:rPr>
          <w:t xml:space="preserve">S-8 were filed by the Registrant with the Securities and Exchange Commission (the “SEC”) on </w:t>
        </w:r>
        <w:r>
          <w:rPr>
            <w:rFonts w:ascii="Arial" w:cs="Arial" w:eastAsia="Arial" w:hAnsi="Arial"/>
            <w:sz w:val="18"/>
            <w:szCs w:val="18"/>
            <w:u w:val="single" w:color="auto"/>
            <w:color w:val="0000FF"/>
          </w:rPr>
          <w:t>August 10, 2021</w:t>
        </w:r>
        <w:r>
          <w:rPr>
            <w:rFonts w:ascii="Arial" w:cs="Arial" w:eastAsia="Arial" w:hAnsi="Arial"/>
            <w:sz w:val="18"/>
            <w:szCs w:val="18"/>
            <w:color w:val="auto"/>
          </w:rPr>
          <w:t xml:space="preserve"> (File No. 333-258684) and </w:t>
        </w:r>
        <w:r>
          <w:rPr>
            <w:rFonts w:ascii="Arial" w:cs="Arial" w:eastAsia="Arial" w:hAnsi="Arial"/>
            <w:sz w:val="18"/>
            <w:szCs w:val="18"/>
            <w:u w:val="single" w:color="auto"/>
            <w:color w:val="0000FF"/>
          </w:rPr>
          <w:t>February 24,</w:t>
        </w:r>
      </w:hyperlink>
      <w:r>
        <w:rPr>
          <w:rFonts w:ascii="Arial" w:cs="Arial" w:eastAsia="Arial" w:hAnsi="Arial"/>
          <w:sz w:val="18"/>
          <w:szCs w:val="18"/>
          <w:color w:val="auto"/>
        </w:rPr>
        <w:t xml:space="preserve"> </w:t>
      </w:r>
      <w:hyperlink r:id="rId8">
        <w:r>
          <w:rPr>
            <w:rFonts w:ascii="Arial" w:cs="Arial" w:eastAsia="Arial" w:hAnsi="Arial"/>
            <w:sz w:val="18"/>
            <w:szCs w:val="18"/>
            <w:u w:val="single" w:color="auto"/>
            <w:color w:val="0000FF"/>
          </w:rPr>
          <w:t>2022</w:t>
        </w:r>
        <w:r>
          <w:rPr>
            <w:rFonts w:ascii="Arial" w:cs="Arial" w:eastAsia="Arial" w:hAnsi="Arial"/>
            <w:sz w:val="18"/>
            <w:szCs w:val="18"/>
            <w:color w:val="0000FF"/>
          </w:rPr>
          <w:t xml:space="preserve"> </w:t>
        </w:r>
        <w:r>
          <w:rPr>
            <w:rFonts w:ascii="Arial" w:cs="Arial" w:eastAsia="Arial" w:hAnsi="Arial"/>
            <w:sz w:val="18"/>
            <w:szCs w:val="18"/>
            <w:color w:val="000000"/>
          </w:rPr>
          <w:t>(File No. 333-262992) (the “Previous Registration Statements”). In accordance with General Instruction E of Form S-8, the contents of the Previous</w:t>
        </w:r>
      </w:hyperlink>
      <w:r>
        <w:rPr>
          <w:rFonts w:ascii="Arial" w:cs="Arial" w:eastAsia="Arial" w:hAnsi="Arial"/>
          <w:sz w:val="18"/>
          <w:szCs w:val="18"/>
          <w:color w:val="0000FF"/>
        </w:rPr>
        <w:t xml:space="preserve"> </w:t>
      </w:r>
      <w:r>
        <w:rPr>
          <w:rFonts w:ascii="Arial" w:cs="Arial" w:eastAsia="Arial" w:hAnsi="Arial"/>
          <w:sz w:val="18"/>
          <w:szCs w:val="18"/>
          <w:color w:val="000000"/>
        </w:rPr>
        <w:t>Registration Statements, including periodic reports filed after the Previous Registration Statements to maintain current information about the Registrant, are incorporated by reference into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-646430</wp:posOffset>
            </wp:positionV>
            <wp:extent cx="191135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1911350" cy="12890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II</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8"/>
          <w:szCs w:val="18"/>
          <w:color w:val="auto"/>
        </w:rPr>
        <w:t>The Registrant hereby incorporates by reference into this registration statement (the “Registration Statement”) the following documents previously filed with the SEC:</w:t>
      </w:r>
    </w:p>
    <w:p>
      <w:pPr>
        <w:spacing w:after="0" w:line="184" w:lineRule="exact"/>
        <w:rPr>
          <w:sz w:val="20"/>
          <w:szCs w:val="20"/>
          <w:color w:val="auto"/>
        </w:rPr>
      </w:pPr>
    </w:p>
    <w:p>
      <w:pPr>
        <w:ind w:left="1300" w:hanging="644"/>
        <w:spacing w:after="0" w:line="308" w:lineRule="auto"/>
        <w:tabs>
          <w:tab w:leader="none" w:pos="129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0">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001-39434) for the fiscal year ended December 31, 2022 filed with the SEC on February 23, 2023;</w:t>
      </w:r>
    </w:p>
    <w:p>
      <w:pPr>
        <w:spacing w:after="0" w:line="184" w:lineRule="exact"/>
        <w:rPr>
          <w:rFonts w:ascii="Arial" w:cs="Arial" w:eastAsia="Arial" w:hAnsi="Arial"/>
          <w:sz w:val="18"/>
          <w:szCs w:val="18"/>
          <w:color w:val="auto"/>
        </w:rPr>
      </w:pPr>
    </w:p>
    <w:p>
      <w:pPr>
        <w:jc w:val="both"/>
        <w:ind w:left="1300" w:hanging="644"/>
        <w:spacing w:after="0" w:line="303" w:lineRule="auto"/>
        <w:tabs>
          <w:tab w:leader="none" w:pos="1294"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with the Commission pursuant to Sections 13(a) or 15(d) of the Securities Exchange Act of 1934, as amended (the “Exchange Act”) since the end of the fiscal year covered by the Registrant’s Annual Report referred to in (1) above (other than the portions of these documents not deemed to be filed); and</w:t>
      </w:r>
    </w:p>
    <w:p>
      <w:pPr>
        <w:spacing w:after="0" w:line="201" w:lineRule="exact"/>
        <w:rPr>
          <w:rFonts w:ascii="Arial" w:cs="Arial" w:eastAsia="Arial" w:hAnsi="Arial"/>
          <w:sz w:val="18"/>
          <w:szCs w:val="18"/>
          <w:color w:val="auto"/>
        </w:rPr>
      </w:pPr>
    </w:p>
    <w:p>
      <w:pPr>
        <w:jc w:val="both"/>
        <w:ind w:left="1300" w:hanging="644"/>
        <w:spacing w:after="0" w:line="310" w:lineRule="auto"/>
        <w:tabs>
          <w:tab w:leader="none" w:pos="129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Registrant’s Registration Statement on </w:t>
      </w:r>
      <w:hyperlink r:id="rId11">
        <w:r>
          <w:rPr>
            <w:rFonts w:ascii="Arial" w:cs="Arial" w:eastAsia="Arial" w:hAnsi="Arial"/>
            <w:sz w:val="18"/>
            <w:szCs w:val="18"/>
            <w:u w:val="single" w:color="auto"/>
            <w:color w:val="0000FF"/>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August 6, 2020 pursuant to Section 12(b) of the Securities and Exchange Act of 1934, as amended (the “Exchange Act”), including any amendment or report filed for the purpose of updating such description.</w:t>
      </w:r>
    </w:p>
    <w:p>
      <w:pPr>
        <w:spacing w:after="0" w:line="197" w:lineRule="exact"/>
        <w:rPr>
          <w:rFonts w:ascii="Arial" w:cs="Arial" w:eastAsia="Arial" w:hAnsi="Arial"/>
          <w:sz w:val="18"/>
          <w:szCs w:val="18"/>
          <w:color w:val="auto"/>
        </w:rPr>
      </w:pPr>
    </w:p>
    <w:p>
      <w:pPr>
        <w:jc w:val="both"/>
        <w:ind w:firstLine="648"/>
        <w:spacing w:after="0" w:line="311"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70" w:lineRule="exact"/>
        <w:rPr>
          <w:rFonts w:ascii="Arial" w:cs="Arial" w:eastAsia="Arial" w:hAnsi="Arial"/>
          <w:sz w:val="18"/>
          <w:szCs w:val="18"/>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validity of the issuance of the shares of the Registrant’s common stock offered hereby has been passed upon by Wilson Sonsini Goodrich &amp; Rosati, Professional Corporation ("WSGR"). Certain members of, and investment partnerships comprised of members of, and persons associated with, WSGR, directly or indirectly, own less than 0.3% of the outstanding shares of the Registrant's Common Stock.</w:t>
      </w:r>
    </w:p>
    <w:p>
      <w:pPr>
        <w:spacing w:after="0" w:line="18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56"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The Registrant has filed the exhibits listed on the accompanying Exhibit Index of this Registration Statement.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31"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31" w:lineRule="exact"/>
        <w:rPr>
          <w:sz w:val="20"/>
          <w:szCs w:val="20"/>
          <w:color w:val="auto"/>
        </w:rPr>
      </w:pPr>
    </w:p>
    <w:p>
      <w:pPr>
        <w:jc w:val="right"/>
        <w:ind w:right="160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17145</wp:posOffset>
            </wp:positionV>
            <wp:extent cx="33686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4160" w:space="720"/>
            <w:col w:w="6300"/>
          </w:cols>
          <w:pgMar w:left="360" w:top="1440" w:right="359" w:bottom="1440" w:gutter="0" w:footer="0" w:header="0"/>
        </w:sectPr>
      </w:pPr>
    </w:p>
    <w:p>
      <w:pPr>
        <w:jc w:val="right"/>
        <w:spacing w:after="0" w:line="453" w:lineRule="auto"/>
        <w:rPr>
          <w:sz w:val="20"/>
          <w:szCs w:val="20"/>
          <w:color w:val="auto"/>
        </w:rPr>
      </w:pPr>
      <w:r>
        <w:rPr>
          <w:rFonts w:ascii="Arial" w:cs="Arial" w:eastAsia="Arial" w:hAnsi="Arial"/>
          <w:sz w:val="16"/>
          <w:szCs w:val="16"/>
          <w:b w:val="1"/>
          <w:bCs w:val="1"/>
          <w:color w:val="auto"/>
        </w:rPr>
        <w:t xml:space="preserve">Number </w:t>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-257175</wp:posOffset>
            </wp:positionV>
            <wp:extent cx="634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ind w:left="1600"/>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51435</wp:posOffset>
            </wp:positionV>
            <wp:extent cx="30003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8" w:lineRule="exact"/>
        <w:rPr>
          <w:sz w:val="20"/>
          <w:szCs w:val="20"/>
          <w:color w:val="auto"/>
        </w:rPr>
      </w:pPr>
    </w:p>
    <w:p>
      <w:pPr>
        <w:spacing w:after="0"/>
        <w:rPr>
          <w:rFonts w:ascii="Arial" w:cs="Arial" w:eastAsia="Arial" w:hAnsi="Arial"/>
          <w:sz w:val="17"/>
          <w:szCs w:val="17"/>
          <w:u w:val="single" w:color="auto"/>
          <w:color w:val="0000FF"/>
        </w:rPr>
      </w:pPr>
      <w:hyperlink r:id="rId15">
        <w:r>
          <w:rPr>
            <w:rFonts w:ascii="Arial" w:cs="Arial" w:eastAsia="Arial" w:hAnsi="Arial"/>
            <w:sz w:val="17"/>
            <w:szCs w:val="17"/>
            <w:u w:val="single" w:color="auto"/>
            <w:color w:val="0000FF"/>
          </w:rPr>
          <w:t>Certificate of Incorporation of Nautilus Biotechnology, Inc.</w:t>
        </w:r>
      </w:hyperlink>
    </w:p>
    <w:p>
      <w:pPr>
        <w:spacing w:after="0" w:line="250" w:lineRule="exact"/>
        <w:rPr>
          <w:sz w:val="20"/>
          <w:szCs w:val="20"/>
          <w:color w:val="auto"/>
        </w:rPr>
      </w:pPr>
    </w:p>
    <w:p>
      <w:pPr>
        <w:spacing w:after="0"/>
        <w:rPr>
          <w:rFonts w:ascii="Arial" w:cs="Arial" w:eastAsia="Arial" w:hAnsi="Arial"/>
          <w:sz w:val="16"/>
          <w:szCs w:val="16"/>
          <w:u w:val="single" w:color="auto"/>
          <w:color w:val="0000FF"/>
        </w:rPr>
      </w:pPr>
      <w:hyperlink r:id="rId16">
        <w:r>
          <w:rPr>
            <w:rFonts w:ascii="Arial" w:cs="Arial" w:eastAsia="Arial" w:hAnsi="Arial"/>
            <w:sz w:val="16"/>
            <w:szCs w:val="16"/>
            <w:u w:val="single" w:color="auto"/>
            <w:color w:val="0000FF"/>
          </w:rPr>
          <w:t>Amended and Restated Bylaws of Nautilus Biotechnology, Inc.</w:t>
        </w:r>
      </w:hyperlink>
    </w:p>
    <w:p>
      <w:pPr>
        <w:spacing w:after="0" w:line="248" w:lineRule="exact"/>
        <w:rPr>
          <w:sz w:val="20"/>
          <w:szCs w:val="20"/>
          <w:color w:val="auto"/>
        </w:rPr>
      </w:pPr>
    </w:p>
    <w:p>
      <w:pPr>
        <w:spacing w:after="0"/>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Specimen Common Stock Certificate.</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Nautilus Biotechnology, Inc. 2021 Equity Incentive Plan.</w:t>
        </w:r>
      </w:hyperlink>
    </w:p>
    <w:p>
      <w:pPr>
        <w:spacing w:after="0" w:line="225" w:lineRule="exact"/>
        <w:rPr>
          <w:sz w:val="20"/>
          <w:szCs w:val="20"/>
          <w:color w:val="auto"/>
        </w:rPr>
      </w:pPr>
    </w:p>
    <w:p>
      <w:pPr>
        <w:ind w:right="760"/>
        <w:spacing w:after="0" w:line="377" w:lineRule="auto"/>
        <w:rPr>
          <w:rFonts w:ascii="Arial" w:cs="Arial" w:eastAsia="Arial" w:hAnsi="Arial"/>
          <w:sz w:val="16"/>
          <w:szCs w:val="16"/>
          <w:u w:val="single" w:color="auto"/>
          <w:color w:val="0000FF"/>
        </w:rPr>
      </w:pPr>
      <w:hyperlink r:id="rId19">
        <w:r>
          <w:rPr>
            <w:rFonts w:ascii="Arial" w:cs="Arial" w:eastAsia="Arial" w:hAnsi="Arial"/>
            <w:sz w:val="16"/>
            <w:szCs w:val="16"/>
            <w:u w:val="single" w:color="auto"/>
            <w:color w:val="0000FF"/>
          </w:rPr>
          <w:t>Form of Stock Option Agreement under the Nautilus</w:t>
        </w:r>
      </w:hyperlink>
      <w:r>
        <w:rPr>
          <w:rFonts w:ascii="Arial" w:cs="Arial" w:eastAsia="Arial" w:hAnsi="Arial"/>
          <w:sz w:val="16"/>
          <w:szCs w:val="16"/>
          <w:u w:val="single" w:color="auto"/>
          <w:color w:val="0000FF"/>
        </w:rPr>
        <w:t xml:space="preserve"> </w:t>
      </w:r>
      <w:hyperlink r:id="rId19">
        <w:r>
          <w:rPr>
            <w:rFonts w:ascii="Arial" w:cs="Arial" w:eastAsia="Arial" w:hAnsi="Arial"/>
            <w:sz w:val="16"/>
            <w:szCs w:val="16"/>
            <w:u w:val="single" w:color="auto"/>
            <w:color w:val="0000FF"/>
          </w:rPr>
          <w:t>Biotechnology, Inc. 2021 Equity Incentive Plan.</w:t>
        </w:r>
      </w:hyperlink>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Form</w:t>
            </w: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File No.</w:t>
            </w: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224"/>
        </w:trPr>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20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001-39434</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June 10, 2021</w:t>
            </w:r>
          </w:p>
        </w:tc>
      </w:tr>
      <w:tr>
        <w:trPr>
          <w:trHeight w:val="418"/>
        </w:trPr>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001-39434</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November 1, 2022</w:t>
            </w:r>
          </w:p>
        </w:tc>
      </w:tr>
      <w:tr>
        <w:trPr>
          <w:trHeight w:val="432"/>
        </w:trPr>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001-39434</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10, 2021</w:t>
            </w:r>
          </w:p>
        </w:tc>
      </w:tr>
      <w:tr>
        <w:trPr>
          <w:trHeight w:val="432"/>
        </w:trPr>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001-39434</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10, 2021</w:t>
            </w:r>
          </w:p>
        </w:tc>
      </w:tr>
      <w:tr>
        <w:trPr>
          <w:trHeight w:val="432"/>
        </w:trPr>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S-4</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333-254796</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March 26, 2021</w:t>
            </w:r>
          </w:p>
        </w:tc>
      </w:tr>
    </w:tbl>
    <w:p>
      <w:pPr>
        <w:spacing w:after="0" w:line="457" w:lineRule="exact"/>
        <w:rPr>
          <w:sz w:val="20"/>
          <w:szCs w:val="20"/>
          <w:color w:val="auto"/>
        </w:rPr>
      </w:pPr>
    </w:p>
    <w:p>
      <w:pPr>
        <w:sectPr>
          <w:pgSz w:w="11900" w:h="16838" w:orient="portrait"/>
          <w:cols w:equalWidth="0" w:num="3">
            <w:col w:w="640" w:space="440"/>
            <w:col w:w="4560" w:space="240"/>
            <w:col w:w="5300"/>
          </w:cols>
          <w:pgMar w:left="360" w:top="1440" w:right="359" w:bottom="1440" w:gutter="0" w:footer="0" w:header="0"/>
          <w:type w:val="continuous"/>
        </w:sectPr>
      </w:pPr>
    </w:p>
    <w:p>
      <w:pPr>
        <w:ind w:left="360"/>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341" w:lineRule="auto"/>
        <w:rPr>
          <w:rFonts w:ascii="Arial" w:cs="Arial" w:eastAsia="Arial" w:hAnsi="Arial"/>
          <w:sz w:val="17"/>
          <w:szCs w:val="17"/>
          <w:u w:val="single" w:color="auto"/>
          <w:color w:val="0000FF"/>
        </w:rPr>
      </w:pPr>
      <w:hyperlink r:id="rId20">
        <w:r>
          <w:rPr>
            <w:rFonts w:ascii="Arial" w:cs="Arial" w:eastAsia="Arial" w:hAnsi="Arial"/>
            <w:sz w:val="17"/>
            <w:szCs w:val="17"/>
            <w:u w:val="single" w:color="auto"/>
            <w:color w:val="0000FF"/>
          </w:rPr>
          <w:t>Form of Restricted Stock Unit Agreement under the Nautilus</w:t>
        </w:r>
      </w:hyperlink>
      <w:r>
        <w:rPr>
          <w:rFonts w:ascii="Arial" w:cs="Arial" w:eastAsia="Arial" w:hAnsi="Arial"/>
          <w:sz w:val="17"/>
          <w:szCs w:val="17"/>
          <w:u w:val="single" w:color="auto"/>
          <w:color w:val="0000FF"/>
        </w:rPr>
        <w:t xml:space="preserve"> </w:t>
      </w:r>
      <w:hyperlink r:id="rId20">
        <w:r>
          <w:rPr>
            <w:rFonts w:ascii="Arial" w:cs="Arial" w:eastAsia="Arial" w:hAnsi="Arial"/>
            <w:sz w:val="17"/>
            <w:szCs w:val="17"/>
            <w:u w:val="single" w:color="auto"/>
            <w:color w:val="0000FF"/>
          </w:rPr>
          <w:t>Biotechnology, Inc. 2021 Equity Incentive Plan.</w:t>
        </w:r>
      </w:hyperlink>
    </w:p>
    <w:p>
      <w:pPr>
        <w:spacing w:after="0" w:line="20" w:lineRule="exact"/>
        <w:rPr>
          <w:sz w:val="20"/>
          <w:szCs w:val="20"/>
          <w:color w:val="auto"/>
        </w:rPr>
      </w:pPr>
      <w:r>
        <w:rPr>
          <w:sz w:val="20"/>
          <w:szCs w:val="20"/>
          <w:color w:val="auto"/>
        </w:rPr>
        <w:br w:type="column"/>
      </w:r>
    </w:p>
    <w:p>
      <w:pPr>
        <w:spacing w:after="0"/>
        <w:tabs>
          <w:tab w:leader="none" w:pos="900" w:val="left"/>
          <w:tab w:leader="none" w:pos="2520" w:val="left"/>
          <w:tab w:leader="none" w:pos="3620" w:val="left"/>
        </w:tabs>
        <w:rPr>
          <w:sz w:val="20"/>
          <w:szCs w:val="20"/>
          <w:color w:val="auto"/>
        </w:rPr>
      </w:pPr>
      <w:r>
        <w:rPr>
          <w:rFonts w:ascii="Arial" w:cs="Arial" w:eastAsia="Arial" w:hAnsi="Arial"/>
          <w:sz w:val="18"/>
          <w:szCs w:val="18"/>
          <w:color w:val="auto"/>
        </w:rPr>
        <w:t>S-4</w:t>
      </w:r>
      <w:r>
        <w:rPr>
          <w:sz w:val="20"/>
          <w:szCs w:val="20"/>
          <w:color w:val="auto"/>
        </w:rPr>
        <w:tab/>
      </w:r>
      <w:r>
        <w:rPr>
          <w:rFonts w:ascii="Arial" w:cs="Arial" w:eastAsia="Arial" w:hAnsi="Arial"/>
          <w:sz w:val="18"/>
          <w:szCs w:val="18"/>
          <w:color w:val="auto"/>
        </w:rPr>
        <w:t>333-254796</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March 26, 2021</w:t>
      </w:r>
    </w:p>
    <w:p>
      <w:pPr>
        <w:spacing w:after="0" w:line="481" w:lineRule="exact"/>
        <w:rPr>
          <w:sz w:val="20"/>
          <w:szCs w:val="20"/>
          <w:color w:val="auto"/>
        </w:rPr>
      </w:pPr>
    </w:p>
    <w:p>
      <w:pPr>
        <w:sectPr>
          <w:pgSz w:w="11900" w:h="16838" w:orient="portrait"/>
          <w:cols w:equalWidth="0" w:num="3">
            <w:col w:w="580" w:space="500"/>
            <w:col w:w="4400" w:space="640"/>
            <w:col w:w="5060"/>
          </w:cols>
          <w:pgMar w:left="360" w:top="1440" w:right="359" w:bottom="1440" w:gutter="0" w:footer="0" w:header="0"/>
          <w:type w:val="continuous"/>
        </w:sectPr>
      </w:pPr>
    </w:p>
    <w:p>
      <w:pPr>
        <w:ind w:left="360"/>
        <w:spacing w:after="0"/>
        <w:rPr>
          <w:sz w:val="20"/>
          <w:szCs w:val="20"/>
          <w:color w:val="auto"/>
        </w:rPr>
      </w:pPr>
      <w:r>
        <w:rPr>
          <w:rFonts w:ascii="Arial" w:cs="Arial" w:eastAsia="Arial" w:hAnsi="Arial"/>
          <w:sz w:val="15"/>
          <w:szCs w:val="15"/>
          <w:color w:val="auto"/>
        </w:rPr>
        <w:t>4.7</w:t>
      </w: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308" w:lineRule="auto"/>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Form of Restricted Stock Award Agreement under the Nautilus</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Biotechnology, Inc. 2021 Equity Incentive Plan.</w:t>
        </w:r>
      </w:hyperlink>
    </w:p>
    <w:p>
      <w:pPr>
        <w:spacing w:after="0" w:line="157" w:lineRule="exact"/>
        <w:rPr>
          <w:sz w:val="20"/>
          <w:szCs w:val="20"/>
          <w:color w:val="auto"/>
        </w:rPr>
      </w:pPr>
    </w:p>
    <w:p>
      <w:pPr>
        <w:ind w:right="160"/>
        <w:spacing w:after="0" w:line="308" w:lineRule="auto"/>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Nautilus Biotechnology, Inc. 2021 Employee Stock Purchase</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Plan.</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rPr>
              <w:t>S-4</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333-254796</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10.9</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1"/>
              </w:rPr>
              <w:t>March 26, 2021</w:t>
            </w:r>
          </w:p>
        </w:tc>
      </w:tr>
      <w:tr>
        <w:trPr>
          <w:trHeight w:val="688"/>
        </w:trPr>
        <w:tc>
          <w:tcPr>
            <w:tcW w:w="600" w:type="dxa"/>
            <w:vAlign w:val="bottom"/>
          </w:tcPr>
          <w:p>
            <w:pPr>
              <w:spacing w:after="0"/>
              <w:rPr>
                <w:sz w:val="20"/>
                <w:szCs w:val="20"/>
                <w:color w:val="auto"/>
              </w:rPr>
            </w:pPr>
            <w:r>
              <w:rPr>
                <w:rFonts w:ascii="Arial" w:cs="Arial" w:eastAsia="Arial" w:hAnsi="Arial"/>
                <w:sz w:val="18"/>
                <w:szCs w:val="18"/>
                <w:color w:val="auto"/>
              </w:rPr>
              <w:t>8-K</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001-39434</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10.5</w:t>
            </w:r>
          </w:p>
        </w:tc>
        <w:tc>
          <w:tcPr>
            <w:tcW w:w="1540" w:type="dxa"/>
            <w:vAlign w:val="bottom"/>
          </w:tcPr>
          <w:p>
            <w:pPr>
              <w:jc w:val="center"/>
              <w:ind w:left="330"/>
              <w:spacing w:after="0"/>
              <w:rPr>
                <w:sz w:val="20"/>
                <w:szCs w:val="20"/>
                <w:color w:val="auto"/>
              </w:rPr>
            </w:pPr>
            <w:r>
              <w:rPr>
                <w:rFonts w:ascii="Arial" w:cs="Arial" w:eastAsia="Arial" w:hAnsi="Arial"/>
                <w:sz w:val="18"/>
                <w:szCs w:val="18"/>
                <w:color w:val="auto"/>
                <w:w w:val="87"/>
              </w:rPr>
              <w:t>June 10, 2021</w:t>
            </w:r>
          </w:p>
        </w:tc>
      </w:tr>
    </w:tbl>
    <w:p>
      <w:pPr>
        <w:spacing w:after="0" w:line="457" w:lineRule="exact"/>
        <w:rPr>
          <w:sz w:val="20"/>
          <w:szCs w:val="20"/>
          <w:color w:val="auto"/>
        </w:rPr>
      </w:pPr>
    </w:p>
    <w:p>
      <w:pPr>
        <w:sectPr>
          <w:pgSz w:w="11900" w:h="16838" w:orient="portrait"/>
          <w:cols w:equalWidth="0" w:num="3">
            <w:col w:w="580" w:space="500"/>
            <w:col w:w="4560" w:space="460"/>
            <w:col w:w="5080"/>
          </w:cols>
          <w:pgMar w:left="360" w:top="1440" w:right="359" w:bottom="1440" w:gutter="0" w:footer="0" w:header="0"/>
          <w:type w:val="continuous"/>
        </w:sectPr>
      </w:pPr>
    </w:p>
    <w:tbl>
      <w:tblPr>
        <w:tblLayout w:type="fixed"/>
        <w:tblInd w:w="320" w:type="dxa"/>
        <w:tblCellMar>
          <w:top w:w="0" w:type="dxa"/>
          <w:left w:w="0" w:type="dxa"/>
          <w:bottom w:w="0" w:type="dxa"/>
          <w:right w:w="0" w:type="dxa"/>
        </w:tblCellMar>
      </w:tblPr>
      <w:tr>
        <w:trPr>
          <w:trHeight w:val="230"/>
        </w:trPr>
        <w:tc>
          <w:tcPr>
            <w:tcW w:w="760" w:type="dxa"/>
            <w:vAlign w:val="bottom"/>
          </w:tcPr>
          <w:p>
            <w:pPr>
              <w:jc w:val="center"/>
              <w:ind w:right="370"/>
              <w:spacing w:after="0"/>
              <w:rPr>
                <w:sz w:val="20"/>
                <w:szCs w:val="20"/>
                <w:color w:val="auto"/>
              </w:rPr>
            </w:pPr>
            <w:r>
              <w:rPr>
                <w:rFonts w:ascii="Arial" w:cs="Arial" w:eastAsia="Arial" w:hAnsi="Arial"/>
                <w:sz w:val="18"/>
                <w:szCs w:val="18"/>
                <w:color w:val="auto"/>
                <w:w w:val="87"/>
              </w:rPr>
              <w:t>5.1</w:t>
            </w:r>
          </w:p>
        </w:tc>
        <w:tc>
          <w:tcPr>
            <w:tcW w:w="4660" w:type="dxa"/>
            <w:vAlign w:val="bottom"/>
            <w:gridSpan w:val="6"/>
            <w:vMerge w:val="restart"/>
          </w:tcPr>
          <w:p>
            <w:pPr>
              <w:spacing w:after="0"/>
              <w:rPr>
                <w:sz w:val="20"/>
                <w:szCs w:val="20"/>
                <w:color w:val="auto"/>
              </w:rPr>
            </w:pPr>
            <w:r>
              <w:rPr>
                <w:rFonts w:ascii="Arial" w:cs="Arial" w:eastAsia="Arial" w:hAnsi="Arial"/>
                <w:sz w:val="18"/>
                <w:szCs w:val="18"/>
                <w:color w:val="0000FF"/>
              </w:rPr>
              <w:t>Opinion of Wilson Sonsini Goodrich &amp; Rosati, P.C.</w:t>
            </w: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46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center"/>
              <w:ind w:right="370"/>
              <w:spacing w:after="0"/>
              <w:rPr>
                <w:sz w:val="20"/>
                <w:szCs w:val="20"/>
                <w:color w:val="auto"/>
              </w:rPr>
            </w:pPr>
            <w:r>
              <w:rPr>
                <w:rFonts w:ascii="Arial" w:cs="Arial" w:eastAsia="Arial" w:hAnsi="Arial"/>
                <w:sz w:val="18"/>
                <w:szCs w:val="18"/>
                <w:color w:val="auto"/>
                <w:w w:val="85"/>
              </w:rPr>
              <w:t>23.1</w:t>
            </w:r>
          </w:p>
        </w:tc>
        <w:tc>
          <w:tcPr>
            <w:tcW w:w="1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vMerge w:val="continue"/>
          </w:tcPr>
          <w:p>
            <w:pPr>
              <w:spacing w:after="0"/>
              <w:rPr>
                <w:sz w:val="24"/>
                <w:szCs w:val="24"/>
                <w:color w:val="auto"/>
              </w:rPr>
            </w:pPr>
          </w:p>
        </w:tc>
        <w:tc>
          <w:tcPr>
            <w:tcW w:w="4660" w:type="dxa"/>
            <w:vAlign w:val="bottom"/>
            <w:gridSpan w:val="6"/>
            <w:vMerge w:val="restart"/>
          </w:tcPr>
          <w:p>
            <w:pPr>
              <w:spacing w:after="0"/>
              <w:rPr>
                <w:sz w:val="20"/>
                <w:szCs w:val="20"/>
                <w:color w:val="auto"/>
              </w:rPr>
            </w:pPr>
            <w:r>
              <w:rPr>
                <w:rFonts w:ascii="Arial" w:cs="Arial" w:eastAsia="Arial" w:hAnsi="Arial"/>
                <w:sz w:val="18"/>
                <w:szCs w:val="18"/>
                <w:color w:val="0000FF"/>
                <w:w w:val="97"/>
              </w:rPr>
              <w:t>Consent of Independent Registered Public Accounting Firm,</w:t>
            </w: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46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3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PricewaterhouseCoopers LLP.</w:t>
            </w:r>
          </w:p>
        </w:tc>
        <w:tc>
          <w:tcPr>
            <w:tcW w:w="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center"/>
              <w:ind w:right="370"/>
              <w:spacing w:after="0"/>
              <w:rPr>
                <w:sz w:val="20"/>
                <w:szCs w:val="20"/>
                <w:color w:val="auto"/>
              </w:rPr>
            </w:pPr>
            <w:r>
              <w:rPr>
                <w:rFonts w:ascii="Arial" w:cs="Arial" w:eastAsia="Arial" w:hAnsi="Arial"/>
                <w:sz w:val="18"/>
                <w:szCs w:val="18"/>
                <w:color w:val="auto"/>
                <w:w w:val="85"/>
              </w:rPr>
              <w:t>23.2</w:t>
            </w:r>
          </w:p>
        </w:tc>
        <w:tc>
          <w:tcPr>
            <w:tcW w:w="1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60" w:type="dxa"/>
            <w:vAlign w:val="bottom"/>
            <w:vMerge w:val="continue"/>
          </w:tcPr>
          <w:p>
            <w:pPr>
              <w:spacing w:after="0"/>
              <w:rPr>
                <w:sz w:val="24"/>
                <w:szCs w:val="24"/>
                <w:color w:val="auto"/>
              </w:rPr>
            </w:pPr>
          </w:p>
        </w:tc>
        <w:tc>
          <w:tcPr>
            <w:tcW w:w="4660" w:type="dxa"/>
            <w:vAlign w:val="bottom"/>
            <w:gridSpan w:val="6"/>
          </w:tcPr>
          <w:p>
            <w:pPr>
              <w:spacing w:after="0"/>
              <w:rPr>
                <w:sz w:val="20"/>
                <w:szCs w:val="20"/>
                <w:color w:val="auto"/>
              </w:rPr>
            </w:pPr>
            <w:r>
              <w:rPr>
                <w:rFonts w:ascii="Arial" w:cs="Arial" w:eastAsia="Arial" w:hAnsi="Arial"/>
                <w:sz w:val="18"/>
                <w:szCs w:val="18"/>
                <w:color w:val="0000FF"/>
                <w:w w:val="92"/>
              </w:rPr>
              <w:t>Consent of Wilson Sonsini Goodrich &amp; Rosati, P.C. (included in</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64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Exhibit 5.1 hereto).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540" w:type="dxa"/>
            <w:vAlign w:val="bottom"/>
          </w:tcPr>
          <w:p>
            <w:pPr>
              <w:jc w:val="right"/>
              <w:ind w:right="150"/>
              <w:spacing w:after="0"/>
              <w:rPr>
                <w:sz w:val="20"/>
                <w:szCs w:val="20"/>
                <w:color w:val="auto"/>
              </w:rPr>
            </w:pPr>
            <w:r>
              <w:rPr>
                <w:rFonts w:ascii="Arial" w:cs="Arial" w:eastAsia="Arial" w:hAnsi="Arial"/>
                <w:sz w:val="18"/>
                <w:szCs w:val="18"/>
                <w:color w:val="auto"/>
                <w:w w:val="79"/>
              </w:rPr>
              <w:t>24.1</w:t>
            </w:r>
          </w:p>
        </w:tc>
        <w:tc>
          <w:tcPr>
            <w:tcW w:w="4460" w:type="dxa"/>
            <w:vAlign w:val="bottom"/>
            <w:vMerge w:val="restart"/>
          </w:tcPr>
          <w:p>
            <w:pPr>
              <w:ind w:left="220"/>
              <w:spacing w:after="0"/>
              <w:rPr>
                <w:sz w:val="20"/>
                <w:szCs w:val="20"/>
                <w:color w:val="auto"/>
              </w:rPr>
            </w:pPr>
            <w:r>
              <w:rPr>
                <w:rFonts w:ascii="Arial" w:cs="Arial" w:eastAsia="Arial" w:hAnsi="Arial"/>
                <w:sz w:val="18"/>
                <w:szCs w:val="18"/>
                <w:u w:val="single" w:color="auto"/>
                <w:color w:val="0000FF"/>
                <w:w w:val="90"/>
              </w:rPr>
              <w:t>Power of Attorney (included on the signature page hereto).</w:t>
            </w: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4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80" w:hanging="74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Filing Fee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360" w:top="1440" w:right="35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this 23rd day of February, 2023.</w:t>
      </w:r>
    </w:p>
    <w:p>
      <w:pPr>
        <w:spacing w:after="0" w:line="220"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NAUTILUS BIOTECHNOLOGY, INC.</w:t>
      </w:r>
    </w:p>
    <w:p>
      <w:pPr>
        <w:spacing w:after="0" w:line="27" w:lineRule="exact"/>
        <w:rPr>
          <w:sz w:val="20"/>
          <w:szCs w:val="20"/>
          <w:color w:val="auto"/>
        </w:rPr>
      </w:pPr>
    </w:p>
    <w:p>
      <w:pPr>
        <w:ind w:left="6720"/>
        <w:spacing w:after="0"/>
        <w:tabs>
          <w:tab w:leader="none" w:pos="7180" w:val="left"/>
        </w:tabs>
        <w:rPr>
          <w:sz w:val="20"/>
          <w:szCs w:val="20"/>
          <w:color w:val="auto"/>
        </w:rPr>
      </w:pPr>
      <w:r>
        <w:rPr>
          <w:rFonts w:ascii="Arial" w:cs="Arial" w:eastAsia="Arial" w:hAnsi="Arial"/>
          <w:sz w:val="18"/>
          <w:szCs w:val="18"/>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71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Sujal Patel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Sujal Patel and Anna Mowry, and each of them, as his or her true and lawful attorney-in-fact and agent with full power of substitution and resubstitution, for such person in any and all capacities, to sign any and all amendments to this Registration Statement (including post-effective amendments) on Form S-8,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such person might or could do in person, hereby ratifying and confirming all that any said attorney-in-fact, proxy and agent, or any substitute of any of them, may lawfully do or cause to be done by virtue hereof.</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17" w:right="339" w:bottom="1440" w:gutter="0" w:footer="0" w:header="0"/>
        </w:sectPr>
      </w:pPr>
    </w:p>
    <w:bookmarkStart w:id="5" w:name="page6"/>
    <w:bookmarkEnd w:id="5"/>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2280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3840" w:val="left"/>
        </w:tabs>
        <w:rPr>
          <w:sz w:val="20"/>
          <w:szCs w:val="20"/>
          <w:color w:val="auto"/>
        </w:rPr>
      </w:pP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31750</wp:posOffset>
            </wp:positionV>
            <wp:extent cx="4791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5260" w:space="720"/>
            <w:col w:w="4220"/>
          </w:cols>
          <w:pgMar w:left="340" w:top="1440" w:right="135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280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Sujal Patel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Anna Mowry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280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Anna Mowry</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 </w:t>
      </w:r>
      <w:r>
        <w:rPr>
          <w:rFonts w:ascii="Arial" w:cs="Arial" w:eastAsia="Arial" w:hAnsi="Arial"/>
          <w:sz w:val="16"/>
          <w:szCs w:val="16"/>
          <w:color w:val="auto"/>
        </w:rPr>
        <w:t>Matthew L. Posard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22802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Matthew L. Posard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Karen Akinsanya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2802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Karen Akinsanya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2802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Michael Altman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Melissa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28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Melissa Epperly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Parag Mallick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2802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Parag Mallick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 Matthew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228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Matthew McIlwain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Farzad Nazem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2802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Farzad Nazem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Vijay Pande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28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Vijay Pande</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6"/>
          <w:szCs w:val="16"/>
          <w:color w:val="auto"/>
        </w:rPr>
        <w:t>Chief Executive Officer, President and Director</w:t>
      </w:r>
    </w:p>
    <w:p>
      <w:pPr>
        <w:spacing w:after="0" w:line="7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(Principal Executive Officer)</w:t>
      </w:r>
    </w:p>
    <w:p>
      <w:pPr>
        <w:spacing w:after="0" w:line="14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(Principal Financial and Accounting Officer)</w:t>
      </w:r>
    </w:p>
    <w:p>
      <w:pPr>
        <w:spacing w:after="0" w:line="3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Chair of the Board of Directors</w:t>
      </w:r>
    </w:p>
    <w:p>
      <w:pPr>
        <w:spacing w:after="0" w:line="200" w:lineRule="exact"/>
        <w:rPr>
          <w:sz w:val="20"/>
          <w:szCs w:val="20"/>
          <w:color w:val="auto"/>
        </w:rPr>
      </w:pPr>
    </w:p>
    <w:p>
      <w:pPr>
        <w:spacing w:after="0" w:line="29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00" w:lineRule="exact"/>
        <w:rPr>
          <w:sz w:val="20"/>
          <w:szCs w:val="20"/>
          <w:color w:val="auto"/>
        </w:rPr>
      </w:pPr>
    </w:p>
    <w:p>
      <w:pPr>
        <w:spacing w:after="0" w:line="237" w:lineRule="exact"/>
        <w:rPr>
          <w:sz w:val="20"/>
          <w:szCs w:val="20"/>
          <w:color w:val="auto"/>
        </w:rPr>
      </w:pPr>
    </w:p>
    <w:p>
      <w:pPr>
        <w:ind w:right="60"/>
        <w:spacing w:after="0" w:line="782" w:lineRule="auto"/>
        <w:rPr>
          <w:sz w:val="20"/>
          <w:szCs w:val="20"/>
          <w:color w:val="auto"/>
        </w:rPr>
      </w:pPr>
      <w:r>
        <w:rPr>
          <w:rFonts w:ascii="Arial" w:cs="Arial" w:eastAsia="Arial" w:hAnsi="Arial"/>
          <w:sz w:val="16"/>
          <w:szCs w:val="16"/>
          <w:color w:val="auto"/>
        </w:rPr>
        <w:t>February 23, 2023 February 23, 2023</w:t>
      </w:r>
    </w:p>
    <w:p>
      <w:pPr>
        <w:sectPr>
          <w:pgSz w:w="11900" w:h="16838" w:orient="portrait"/>
          <w:cols w:equalWidth="0" w:num="3">
            <w:col w:w="3720" w:space="720"/>
            <w:col w:w="3660" w:space="720"/>
            <w:col w:w="1380"/>
          </w:cols>
          <w:pgMar w:left="340" w:top="1440" w:right="1359" w:bottom="1440" w:gutter="0" w:footer="0" w:header="0"/>
          <w:type w:val="continuous"/>
        </w:sectPr>
      </w:pPr>
    </w:p>
    <w:bookmarkStart w:id="6" w:name="page7"/>
    <w:bookmarkEnd w:id="6"/>
    <w:p>
      <w:pPr>
        <w:ind w:left="10360"/>
        <w:spacing w:after="0"/>
        <w:rPr>
          <w:sz w:val="20"/>
          <w:szCs w:val="20"/>
          <w:color w:val="auto"/>
        </w:rPr>
      </w:pPr>
      <w:r>
        <w:rPr>
          <w:rFonts w:ascii="Arial" w:cs="Arial" w:eastAsia="Arial" w:hAnsi="Arial"/>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Calculation of Filing Fee Tables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S-8</w:t>
      </w:r>
    </w:p>
    <w:p>
      <w:pPr>
        <w:jc w:val="center"/>
        <w:ind w:right="20"/>
        <w:spacing w:after="0"/>
        <w:rPr>
          <w:sz w:val="20"/>
          <w:szCs w:val="20"/>
          <w:color w:val="auto"/>
        </w:rPr>
      </w:pPr>
      <w:r>
        <w:rPr>
          <w:rFonts w:ascii="Arial" w:cs="Arial" w:eastAsia="Arial" w:hAnsi="Arial"/>
          <w:sz w:val="18"/>
          <w:szCs w:val="18"/>
          <w:color w:val="auto"/>
        </w:rPr>
        <w:t>(Form Type)</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Nautilus Biotechnology,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1 – Newly Registered Securities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1000" w:type="dxa"/>
            <w:vAlign w:val="bottom"/>
            <w:tcBorders>
              <w:top w:val="single" w:sz="8" w:color="auto"/>
              <w:left w:val="single" w:sz="8" w:color="auto"/>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0"/>
              </w:rPr>
              <w:t>Security</w:t>
            </w:r>
          </w:p>
        </w:tc>
        <w:tc>
          <w:tcPr>
            <w:tcW w:w="40" w:type="dxa"/>
            <w:vAlign w:val="bottom"/>
            <w:tcBorders>
              <w:top w:val="single" w:sz="8" w:color="auto"/>
            </w:tcBorders>
          </w:tcPr>
          <w:p>
            <w:pPr>
              <w:spacing w:after="0"/>
              <w:rPr>
                <w:sz w:val="15"/>
                <w:szCs w:val="15"/>
                <w:color w:val="auto"/>
              </w:rPr>
            </w:pPr>
          </w:p>
        </w:tc>
        <w:tc>
          <w:tcPr>
            <w:tcW w:w="2060" w:type="dxa"/>
            <w:vAlign w:val="bottom"/>
            <w:tcBorders>
              <w:top w:val="single" w:sz="8" w:color="auto"/>
              <w:right w:val="single" w:sz="8" w:color="auto"/>
            </w:tcBorders>
          </w:tcPr>
          <w:p>
            <w:pPr>
              <w:ind w:left="260"/>
              <w:spacing w:after="0" w:line="175" w:lineRule="exact"/>
              <w:rPr>
                <w:sz w:val="20"/>
                <w:szCs w:val="20"/>
                <w:color w:val="auto"/>
              </w:rPr>
            </w:pPr>
            <w:r>
              <w:rPr>
                <w:rFonts w:ascii="Arial" w:cs="Arial" w:eastAsia="Arial" w:hAnsi="Arial"/>
                <w:sz w:val="18"/>
                <w:szCs w:val="18"/>
                <w:b w:val="1"/>
                <w:bCs w:val="1"/>
                <w:color w:val="auto"/>
              </w:rPr>
              <w:t>Security Class Title</w:t>
            </w:r>
          </w:p>
        </w:tc>
        <w:tc>
          <w:tcPr>
            <w:tcW w:w="128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0"/>
              </w:rPr>
              <w:t>Fee Calculation</w:t>
            </w:r>
          </w:p>
        </w:tc>
        <w:tc>
          <w:tcPr>
            <w:tcW w:w="142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1"/>
              </w:rPr>
              <w:t>Amount</w:t>
            </w:r>
          </w:p>
        </w:tc>
        <w:tc>
          <w:tcPr>
            <w:tcW w:w="116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86"/>
              </w:rPr>
              <w:t>Proposed</w:t>
            </w:r>
          </w:p>
        </w:tc>
        <w:tc>
          <w:tcPr>
            <w:tcW w:w="178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2"/>
              </w:rPr>
              <w:t>Maximum Aggregate</w:t>
            </w:r>
          </w:p>
        </w:tc>
        <w:tc>
          <w:tcPr>
            <w:tcW w:w="118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0"/>
              </w:rPr>
              <w:t>Fee Rate</w:t>
            </w:r>
          </w:p>
        </w:tc>
        <w:tc>
          <w:tcPr>
            <w:tcW w:w="134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3"/>
              </w:rPr>
              <w:t>Amount of</w:t>
            </w:r>
          </w:p>
        </w:tc>
      </w:tr>
      <w:tr>
        <w:trPr>
          <w:trHeight w:val="184"/>
        </w:trPr>
        <w:tc>
          <w:tcPr>
            <w:tcW w:w="100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85"/>
              </w:rPr>
              <w:t>Type</w:t>
            </w:r>
          </w:p>
        </w:tc>
        <w:tc>
          <w:tcPr>
            <w:tcW w:w="4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2"/>
              </w:rPr>
              <w:t>Rule</w:t>
            </w:r>
          </w:p>
        </w:tc>
        <w:tc>
          <w:tcPr>
            <w:tcW w:w="142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7"/>
                <w:szCs w:val="17"/>
                <w:b w:val="1"/>
                <w:bCs w:val="1"/>
                <w:color w:val="auto"/>
                <w:w w:val="89"/>
              </w:rPr>
              <w:t>Registered</w:t>
            </w:r>
            <w:r>
              <w:rPr>
                <w:rFonts w:ascii="Arial" w:cs="Arial" w:eastAsia="Arial" w:hAnsi="Arial"/>
                <w:sz w:val="21"/>
                <w:szCs w:val="21"/>
                <w:b w:val="1"/>
                <w:bCs w:val="1"/>
                <w:color w:val="auto"/>
                <w:w w:val="89"/>
                <w:vertAlign w:val="superscript"/>
              </w:rPr>
              <w:t>(1)</w:t>
            </w:r>
          </w:p>
        </w:tc>
        <w:tc>
          <w:tcPr>
            <w:tcW w:w="11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6"/>
              </w:rPr>
              <w:t>Maximum</w:t>
            </w:r>
          </w:p>
        </w:tc>
        <w:tc>
          <w:tcPr>
            <w:tcW w:w="1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4"/>
              </w:rPr>
              <w:t>Offering Price</w:t>
            </w: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0"/>
              </w:rPr>
              <w:t>Registration Fee</w:t>
            </w: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4"/>
              </w:rPr>
              <w:t>Offering Price</w:t>
            </w: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229"/>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 Unit</w:t>
            </w: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183"/>
        </w:trPr>
        <w:tc>
          <w:tcPr>
            <w:tcW w:w="10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Equity</w:t>
            </w: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6"/>
              </w:rPr>
              <w:t>Common Stock, par value</w:t>
            </w:r>
          </w:p>
        </w:tc>
        <w:tc>
          <w:tcPr>
            <w:tcW w:w="1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Rule 457(c) and</w:t>
            </w:r>
          </w:p>
        </w:tc>
        <w:tc>
          <w:tcPr>
            <w:tcW w:w="14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6,243,274</w:t>
            </w:r>
            <w:r>
              <w:rPr>
                <w:rFonts w:ascii="Arial" w:cs="Arial" w:eastAsia="Arial" w:hAnsi="Arial"/>
                <w:sz w:val="21"/>
                <w:szCs w:val="21"/>
                <w:color w:val="auto"/>
                <w:w w:val="92"/>
                <w:vertAlign w:val="superscript"/>
              </w:rPr>
              <w:t>(2)</w:t>
            </w:r>
          </w:p>
        </w:tc>
        <w:tc>
          <w:tcPr>
            <w:tcW w:w="11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7"/>
              </w:rPr>
              <w:t>$2.11</w:t>
            </w:r>
            <w:r>
              <w:rPr>
                <w:rFonts w:ascii="Arial" w:cs="Arial" w:eastAsia="Arial" w:hAnsi="Arial"/>
                <w:sz w:val="21"/>
                <w:szCs w:val="21"/>
                <w:color w:val="auto"/>
                <w:w w:val="87"/>
                <w:vertAlign w:val="superscript"/>
              </w:rPr>
              <w:t>(4)</w:t>
            </w:r>
          </w:p>
        </w:tc>
        <w:tc>
          <w:tcPr>
            <w:tcW w:w="17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$13,173,309</w:t>
            </w:r>
          </w:p>
        </w:tc>
        <w:tc>
          <w:tcPr>
            <w:tcW w:w="11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$110.20 per</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$1,452.00</w:t>
            </w: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88"/>
              </w:rPr>
              <w:t>$0.0001 per share, reserved</w:t>
            </w:r>
          </w:p>
        </w:tc>
        <w:tc>
          <w:tcPr>
            <w:tcW w:w="1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Rule 457(h)</w:t>
            </w: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$1,000,000</w:t>
            </w:r>
          </w:p>
        </w:tc>
        <w:tc>
          <w:tcPr>
            <w:tcW w:w="1340" w:type="dxa"/>
            <w:vAlign w:val="bottom"/>
            <w:tcBorders>
              <w:right w:val="single" w:sz="8" w:color="auto"/>
            </w:tcBorders>
          </w:tcPr>
          <w:p>
            <w:pPr>
              <w:spacing w:after="0"/>
              <w:rPr>
                <w:sz w:val="15"/>
                <w:szCs w:val="15"/>
                <w:color w:val="auto"/>
              </w:rPr>
            </w:pPr>
          </w:p>
        </w:tc>
      </w:tr>
      <w:tr>
        <w:trPr>
          <w:trHeight w:val="175"/>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for issuance under the</w:t>
            </w: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Registrant's 2021 Equity</w:t>
            </w:r>
          </w:p>
        </w:tc>
        <w:tc>
          <w:tcPr>
            <w:tcW w:w="128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r>
      <w:tr>
        <w:trPr>
          <w:trHeight w:val="230"/>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Incentive Plan</w:t>
            </w:r>
          </w:p>
        </w:tc>
        <w:tc>
          <w:tcPr>
            <w:tcW w:w="12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83"/>
        </w:trPr>
        <w:tc>
          <w:tcPr>
            <w:tcW w:w="10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Equity</w:t>
            </w: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6"/>
              </w:rPr>
              <w:t>Common Stock, par value</w:t>
            </w:r>
          </w:p>
        </w:tc>
        <w:tc>
          <w:tcPr>
            <w:tcW w:w="1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Rule 457(c) and</w:t>
            </w:r>
          </w:p>
        </w:tc>
        <w:tc>
          <w:tcPr>
            <w:tcW w:w="14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1,248,654</w:t>
            </w:r>
            <w:r>
              <w:rPr>
                <w:rFonts w:ascii="Arial" w:cs="Arial" w:eastAsia="Arial" w:hAnsi="Arial"/>
                <w:sz w:val="21"/>
                <w:szCs w:val="21"/>
                <w:color w:val="auto"/>
                <w:w w:val="92"/>
                <w:vertAlign w:val="superscript"/>
              </w:rPr>
              <w:t>(3)</w:t>
            </w:r>
          </w:p>
        </w:tc>
        <w:tc>
          <w:tcPr>
            <w:tcW w:w="11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$1.80</w:t>
            </w:r>
            <w:r>
              <w:rPr>
                <w:rFonts w:ascii="Arial" w:cs="Arial" w:eastAsia="Arial" w:hAnsi="Arial"/>
                <w:sz w:val="21"/>
                <w:szCs w:val="21"/>
                <w:color w:val="auto"/>
                <w:w w:val="93"/>
                <w:vertAlign w:val="superscript"/>
              </w:rPr>
              <w:t>(5)</w:t>
            </w:r>
          </w:p>
        </w:tc>
        <w:tc>
          <w:tcPr>
            <w:tcW w:w="17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$2,247,578</w:t>
            </w:r>
          </w:p>
        </w:tc>
        <w:tc>
          <w:tcPr>
            <w:tcW w:w="11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$110.20 per</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$248.00</w:t>
            </w: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88"/>
              </w:rPr>
              <w:t>$0.0001 per share, reserved</w:t>
            </w:r>
          </w:p>
        </w:tc>
        <w:tc>
          <w:tcPr>
            <w:tcW w:w="1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Rule 457(h)</w:t>
            </w: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$1,000,000</w:t>
            </w:r>
          </w:p>
        </w:tc>
        <w:tc>
          <w:tcPr>
            <w:tcW w:w="134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for issuance under the</w:t>
            </w: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Registrant's 2021</w:t>
            </w:r>
          </w:p>
        </w:tc>
        <w:tc>
          <w:tcPr>
            <w:tcW w:w="128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Employee Stock Purchase</w:t>
            </w: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229"/>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w:t>
            </w:r>
          </w:p>
        </w:tc>
        <w:tc>
          <w:tcPr>
            <w:tcW w:w="128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310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Total Offering Amounts</w:t>
            </w: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$15,420,887</w:t>
            </w: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$1,700.00</w:t>
            </w:r>
          </w:p>
        </w:tc>
      </w:tr>
      <w:tr>
        <w:trPr>
          <w:trHeight w:val="223"/>
        </w:trPr>
        <w:tc>
          <w:tcPr>
            <w:tcW w:w="3100" w:type="dxa"/>
            <w:vAlign w:val="bottom"/>
            <w:tcBorders>
              <w:left w:val="single" w:sz="8" w:color="auto"/>
              <w:bottom w:val="single" w:sz="8" w:color="auto"/>
            </w:tcBorders>
            <w:gridSpan w:val="3"/>
          </w:tcPr>
          <w:p>
            <w:pPr>
              <w:ind w:left="80"/>
              <w:spacing w:after="0" w:line="223" w:lineRule="exact"/>
              <w:rPr>
                <w:sz w:val="20"/>
                <w:szCs w:val="20"/>
                <w:color w:val="auto"/>
              </w:rPr>
            </w:pPr>
            <w:r>
              <w:rPr>
                <w:rFonts w:ascii="Arial" w:cs="Arial" w:eastAsia="Arial" w:hAnsi="Arial"/>
                <w:sz w:val="18"/>
                <w:szCs w:val="18"/>
                <w:b w:val="1"/>
                <w:bCs w:val="1"/>
                <w:color w:val="auto"/>
              </w:rPr>
              <w:t>Total Fee Offsets</w:t>
            </w:r>
            <w:r>
              <w:rPr>
                <w:rFonts w:ascii="Arial" w:cs="Arial" w:eastAsia="Arial" w:hAnsi="Arial"/>
                <w:sz w:val="23"/>
                <w:szCs w:val="23"/>
                <w:b w:val="1"/>
                <w:bCs w:val="1"/>
                <w:color w:val="auto"/>
                <w:vertAlign w:val="superscript"/>
              </w:rPr>
              <w:t>(6)</w:t>
            </w: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r>
      <w:tr>
        <w:trPr>
          <w:trHeight w:val="22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0"/>
              </w:rPr>
              <w:t>Net Fee Due</w:t>
            </w:r>
          </w:p>
        </w:tc>
        <w:tc>
          <w:tcPr>
            <w:tcW w:w="20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$1,700.00</w:t>
            </w:r>
          </w:p>
        </w:tc>
      </w:tr>
    </w:tbl>
    <w:p>
      <w:pPr>
        <w:spacing w:after="0" w:line="310" w:lineRule="exact"/>
        <w:rPr>
          <w:sz w:val="20"/>
          <w:szCs w:val="20"/>
          <w:color w:val="auto"/>
        </w:rPr>
      </w:pPr>
    </w:p>
    <w:p>
      <w:pPr>
        <w:jc w:val="both"/>
        <w:ind w:left="660" w:right="20" w:hanging="328"/>
        <w:spacing w:after="0" w:line="213"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“Securities Act”), this registration statement (the “Registration Statement”) shall also cover any additional shares of the Registrant’s Common Stock that become issuable under the Registrant's 2021 Equity Incentive Plan (the “2021 Plan”) or the Registrant's 2021 Employee Stock Purchase Plan (the “2021 ESPP”) by reason of any stock dividend, stock split, recapitalization or other similar transaction effected without receipt of consideration or conversion of the Registrant’s Common Stock that increases the number of outstanding shares of Common Stock.</w:t>
      </w:r>
    </w:p>
    <w:p>
      <w:pPr>
        <w:spacing w:after="0" w:line="2" w:lineRule="exact"/>
        <w:rPr>
          <w:rFonts w:ascii="Arial" w:cs="Arial" w:eastAsia="Arial" w:hAnsi="Arial"/>
          <w:sz w:val="18"/>
          <w:szCs w:val="18"/>
          <w:color w:val="auto"/>
        </w:rPr>
      </w:pPr>
    </w:p>
    <w:p>
      <w:pPr>
        <w:ind w:left="660" w:right="20" w:hanging="328"/>
        <w:spacing w:after="0" w:line="203"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automatic increase in the number of shares of Common Stock reserved for issuance pursuant to future awards under the 2021 Plan as a result of the annual evergreen increase under the 2021 Plan.</w:t>
      </w:r>
    </w:p>
    <w:p>
      <w:pPr>
        <w:ind w:left="660" w:right="20" w:hanging="328"/>
        <w:spacing w:after="0" w:line="211"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automatic increase in the number of shares of Common Stock reserved for issuance pursuant to future awards under the 2021 ESPP as a result of the annual evergreen increase under the 2021 ESPP.</w:t>
      </w:r>
    </w:p>
    <w:p>
      <w:pPr>
        <w:jc w:val="both"/>
        <w:ind w:left="660" w:right="20" w:hanging="328"/>
        <w:spacing w:after="0" w:line="218"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457(c) and 457(h) under the Securities Act, and solely for the purpose of calculating the registration fee, the proposed maximum offering price per share is $2.11, which is the average of the high and low prices of shares of Common Stock on The Nasdaq Global Select Market (“Nasdaq”) on February 21, 2023 (such date being within five business days of the date that this Registration Statement was filed with the U.S. Securities and Exchange Commission (the “SEC”)).</w:t>
      </w:r>
    </w:p>
    <w:p>
      <w:pPr>
        <w:sectPr>
          <w:pgSz w:w="11900" w:h="16838" w:orient="portrait"/>
          <w:cols w:equalWidth="0" w:num="1">
            <w:col w:w="11260"/>
          </w:cols>
          <w:pgMar w:left="320" w:top="108" w:right="319" w:bottom="1440" w:gutter="0" w:footer="0" w:header="0"/>
        </w:sectPr>
      </w:pPr>
    </w:p>
    <w:bookmarkStart w:id="7" w:name="page8"/>
    <w:bookmarkEnd w:id="7"/>
    <w:p>
      <w:pPr>
        <w:spacing w:after="0" w:line="400" w:lineRule="exact"/>
        <w:rPr>
          <w:sz w:val="20"/>
          <w:szCs w:val="20"/>
          <w:color w:val="auto"/>
        </w:rPr>
      </w:pPr>
    </w:p>
    <w:p>
      <w:pPr>
        <w:jc w:val="both"/>
        <w:ind w:left="328" w:hanging="328"/>
        <w:spacing w:after="0" w:line="222" w:lineRule="auto"/>
        <w:tabs>
          <w:tab w:leader="none" w:pos="322" w:val="left"/>
        </w:tabs>
        <w:numPr>
          <w:ilvl w:val="0"/>
          <w:numId w:val="4"/>
        </w:numPr>
        <w:rPr>
          <w:rFonts w:ascii="Arial" w:cs="Arial" w:eastAsia="Arial" w:hAnsi="Arial"/>
          <w:sz w:val="17"/>
          <w:szCs w:val="17"/>
          <w:color w:val="auto"/>
        </w:rPr>
      </w:pPr>
      <w:r>
        <w:rPr>
          <w:rFonts w:ascii="Arial" w:cs="Arial" w:eastAsia="Arial" w:hAnsi="Arial"/>
          <w:sz w:val="17"/>
          <w:szCs w:val="17"/>
          <w:color w:val="auto"/>
        </w:rPr>
        <w:t>Pursuant to Rule 457(c) and 457(h) under the Securities Act, and solely for the purpose of calculating the registration fee, the proposed maximum offering price per share is $1.80, which is 85% of the average of the high and low prices of shares of Common Stock on Nasdaq on February 21, 2023 (such date being within five business days of the date that this Registration Statement was filed with the SEC). Pursuant to the 2021 ESPP, the purchase price of the shares of common stock reserved for issuance thereunder will be 85% of the lower of the fair market value of the common stock on (i) the first trading day of the offering period or (ii) the exercise date.</w:t>
      </w:r>
    </w:p>
    <w:p>
      <w:pPr>
        <w:spacing w:after="0" w:line="2" w:lineRule="exact"/>
        <w:rPr>
          <w:rFonts w:ascii="Arial" w:cs="Arial" w:eastAsia="Arial" w:hAnsi="Arial"/>
          <w:sz w:val="17"/>
          <w:szCs w:val="17"/>
          <w:color w:val="auto"/>
        </w:rPr>
      </w:pPr>
    </w:p>
    <w:p>
      <w:pPr>
        <w:ind w:left="308" w:hanging="308"/>
        <w:spacing w:after="0"/>
        <w:tabs>
          <w:tab w:leader="none" w:pos="30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p>
      <w:pPr>
        <w:sectPr>
          <w:pgSz w:w="11900" w:h="16838" w:orient="portrait"/>
          <w:cols w:equalWidth="0" w:num="1">
            <w:col w:w="10908"/>
          </w:cols>
          <w:pgMar w:left="652" w:top="144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5.1</w:t>
      </w:r>
    </w:p>
    <w:p>
      <w:pPr>
        <w:spacing w:after="0" w:line="380" w:lineRule="exact"/>
        <w:rPr>
          <w:sz w:val="20"/>
          <w:szCs w:val="20"/>
          <w:color w:val="auto"/>
        </w:rPr>
      </w:pPr>
    </w:p>
    <w:p>
      <w:pPr>
        <w:ind w:left="7980"/>
        <w:spacing w:after="0"/>
        <w:rPr>
          <w:sz w:val="20"/>
          <w:szCs w:val="20"/>
          <w:color w:val="auto"/>
        </w:rPr>
      </w:pPr>
      <w:r>
        <w:rPr>
          <w:rFonts w:ascii="Arial" w:cs="Arial" w:eastAsia="Arial" w:hAnsi="Arial"/>
          <w:sz w:val="14"/>
          <w:szCs w:val="14"/>
          <w:color w:val="003D4C"/>
        </w:rPr>
        <w:t>Wilson Sonsini Goodrich &amp; Rosati</w:t>
      </w:r>
    </w:p>
    <w:p>
      <w:pPr>
        <w:ind w:left="7980"/>
        <w:spacing w:after="0"/>
        <w:rPr>
          <w:sz w:val="20"/>
          <w:szCs w:val="20"/>
          <w:color w:val="auto"/>
        </w:rPr>
      </w:pPr>
      <w:r>
        <w:rPr>
          <w:rFonts w:ascii="Arial" w:cs="Arial" w:eastAsia="Arial" w:hAnsi="Arial"/>
          <w:sz w:val="14"/>
          <w:szCs w:val="14"/>
          <w:color w:val="003D4C"/>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-97155</wp:posOffset>
            </wp:positionV>
            <wp:extent cx="1088390" cy="402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88390" cy="402590"/>
                    </a:xfrm>
                    <a:prstGeom prst="rect">
                      <a:avLst/>
                    </a:prstGeom>
                    <a:noFill/>
                  </pic:spPr>
                </pic:pic>
              </a:graphicData>
            </a:graphic>
          </wp:anchor>
        </w:drawing>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4"/>
          <w:szCs w:val="14"/>
          <w:color w:val="003D4C"/>
        </w:rPr>
        <w:t>650 Page Mill Road</w:t>
      </w:r>
    </w:p>
    <w:p>
      <w:pPr>
        <w:ind w:left="7980"/>
        <w:spacing w:after="0"/>
        <w:rPr>
          <w:sz w:val="20"/>
          <w:szCs w:val="20"/>
          <w:color w:val="auto"/>
        </w:rPr>
      </w:pPr>
      <w:r>
        <w:rPr>
          <w:rFonts w:ascii="Arial" w:cs="Arial" w:eastAsia="Arial" w:hAnsi="Arial"/>
          <w:sz w:val="14"/>
          <w:szCs w:val="14"/>
          <w:color w:val="003D4C"/>
        </w:rPr>
        <w:t>Palo Alto, California 94304-1050</w:t>
      </w:r>
    </w:p>
    <w:p>
      <w:pPr>
        <w:spacing w:after="0" w:line="29" w:lineRule="exact"/>
        <w:rPr>
          <w:sz w:val="20"/>
          <w:szCs w:val="20"/>
          <w:color w:val="auto"/>
        </w:rPr>
      </w:pPr>
    </w:p>
    <w:p>
      <w:pPr>
        <w:ind w:left="7980"/>
        <w:spacing w:after="0"/>
        <w:rPr>
          <w:sz w:val="20"/>
          <w:szCs w:val="20"/>
          <w:color w:val="auto"/>
        </w:rPr>
      </w:pPr>
      <w:r>
        <w:rPr>
          <w:rFonts w:ascii="Arial" w:cs="Arial" w:eastAsia="Arial" w:hAnsi="Arial"/>
          <w:sz w:val="14"/>
          <w:szCs w:val="14"/>
          <w:color w:val="003D4C"/>
        </w:rPr>
        <w:t>o: 650.493.9300</w:t>
      </w:r>
    </w:p>
    <w:p>
      <w:pPr>
        <w:ind w:left="7980"/>
        <w:spacing w:after="0"/>
        <w:rPr>
          <w:sz w:val="20"/>
          <w:szCs w:val="20"/>
          <w:color w:val="auto"/>
        </w:rPr>
      </w:pPr>
      <w:r>
        <w:rPr>
          <w:rFonts w:ascii="Arial" w:cs="Arial" w:eastAsia="Arial" w:hAnsi="Arial"/>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23, 2023</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Nautilus Biotechnology, Inc.</w:t>
      </w:r>
    </w:p>
    <w:p>
      <w:pPr>
        <w:spacing w:after="0" w:line="211" w:lineRule="auto"/>
        <w:rPr>
          <w:sz w:val="20"/>
          <w:szCs w:val="20"/>
          <w:color w:val="auto"/>
        </w:rPr>
      </w:pPr>
      <w:r>
        <w:rPr>
          <w:rFonts w:ascii="Arial" w:cs="Arial" w:eastAsia="Arial" w:hAnsi="Arial"/>
          <w:sz w:val="20"/>
          <w:szCs w:val="20"/>
          <w:color w:val="auto"/>
        </w:rPr>
        <w:t>2701 Eastlake Avenue East</w:t>
      </w:r>
    </w:p>
    <w:p>
      <w:pPr>
        <w:spacing w:after="0"/>
        <w:rPr>
          <w:sz w:val="20"/>
          <w:szCs w:val="20"/>
          <w:color w:val="auto"/>
        </w:rPr>
      </w:pPr>
      <w:r>
        <w:rPr>
          <w:rFonts w:ascii="Arial" w:cs="Arial" w:eastAsia="Arial" w:hAnsi="Arial"/>
          <w:sz w:val="20"/>
          <w:szCs w:val="20"/>
          <w:color w:val="auto"/>
        </w:rPr>
        <w:t>Seattle, Washington 98102</w:t>
      </w:r>
    </w:p>
    <w:p>
      <w:pPr>
        <w:spacing w:after="0" w:line="194"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6"/>
          <w:szCs w:val="16"/>
          <w:b w:val="1"/>
          <w:bCs w:val="1"/>
          <w:u w:val="single" w:color="auto"/>
          <w:color w:val="auto"/>
        </w:rPr>
        <w:t>Registration Statement on Form S-8</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examined the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to be filed by Nautilus Biotechnology,</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with the Securities and Exchange Commission on or about the date hereof, in connection with the registration under the Securities Act of 1933, as amended, of an aggregate of 7,491,928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stock,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consisting of (i) 6,243,274 shares of Common Stock reserved for future issuance under the Company’s 2021 Equity Incentive Plan and (ii) 1,248,654 shares of Common Stock reserved for issuance under the Company’s</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2021 Employee Stock Purchase Plan. As the Company’s legal counsel, we have reviewed the actions proposed to be taken by the Company in connection with the issuance and sale of the Shares to be issued under such plans (which plans are referred to herein as the “</w:t>
      </w:r>
      <w:r>
        <w:rPr>
          <w:rFonts w:ascii="Arial" w:cs="Arial" w:eastAsia="Arial" w:hAnsi="Arial"/>
          <w:sz w:val="18"/>
          <w:szCs w:val="18"/>
          <w:u w:val="single" w:color="auto"/>
          <w:color w:val="auto"/>
        </w:rPr>
        <w:t>Plans</w:t>
      </w:r>
      <w:r>
        <w:rPr>
          <w:rFonts w:ascii="Arial" w:cs="Arial" w:eastAsia="Arial" w:hAnsi="Arial"/>
          <w:sz w:val="18"/>
          <w:szCs w:val="18"/>
          <w:color w:val="auto"/>
        </w:rPr>
        <w:t>”).</w:t>
      </w:r>
    </w:p>
    <w:p>
      <w:pPr>
        <w:spacing w:after="0" w:line="1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It is our opinion that the Shares, when issued and sold in the manner referred to in the Plans and pursuant to the agreements that accompany the Plans, will be legally and validly issued, fully paid and nonassessable.</w:t>
      </w:r>
    </w:p>
    <w:p>
      <w:pPr>
        <w:spacing w:after="0" w:line="34"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266"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355"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WILSON SONSINI</w:t>
      </w:r>
    </w:p>
    <w:p>
      <w:pPr>
        <w:ind w:left="5080"/>
        <w:spacing w:after="0"/>
        <w:rPr>
          <w:sz w:val="20"/>
          <w:szCs w:val="20"/>
          <w:color w:val="auto"/>
        </w:rPr>
      </w:pPr>
      <w:r>
        <w:rPr>
          <w:rFonts w:ascii="Arial" w:cs="Arial" w:eastAsia="Arial" w:hAnsi="Arial"/>
          <w:sz w:val="20"/>
          <w:szCs w:val="20"/>
          <w:color w:val="auto"/>
        </w:rPr>
        <w:t>GOODRICH &amp; ROSATI,</w:t>
      </w:r>
    </w:p>
    <w:p>
      <w:pPr>
        <w:spacing w:after="0" w:line="20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Professional Corporation</w:t>
      </w:r>
    </w:p>
    <w:p>
      <w:pPr>
        <w:spacing w:after="0" w:line="42"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/s/ Wilson Sonsini Goodrich &amp;</w:t>
      </w:r>
    </w:p>
    <w:p>
      <w:pPr>
        <w:ind w:left="5080"/>
        <w:spacing w:after="0"/>
        <w:rPr>
          <w:sz w:val="20"/>
          <w:szCs w:val="20"/>
          <w:color w:val="auto"/>
        </w:rPr>
      </w:pPr>
      <w:r>
        <w:rPr>
          <w:rFonts w:ascii="Arial" w:cs="Arial" w:eastAsia="Arial" w:hAnsi="Arial"/>
          <w:sz w:val="20"/>
          <w:szCs w:val="20"/>
          <w:color w:val="auto"/>
        </w:rPr>
        <w:t>Rosati,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003D4C"/>
        </w:rPr>
        <w:t>AUSTIN BEIJING BOSTON BRUSSELS HONG KONG LONDON LOS ANGELES NEW YORK PALO ALTO</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003D4C"/>
        </w:rPr>
        <w:t>SAN DIEGO SAN FRANCISCO SEATTLE SHANGHAI WASHINGTON, DC WILMINGTON, DE</w:t>
      </w:r>
    </w:p>
    <w:p>
      <w:pPr>
        <w:sectPr>
          <w:pgSz w:w="11900" w:h="16838" w:orient="portrait"/>
          <w:cols w:equalWidth="0" w:num="1">
            <w:col w:w="11240"/>
          </w:cols>
          <w:pgMar w:left="320" w:top="11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We hereby consent to the incorporation by reference in this Registration Statement on Form S-8 of Nautilus Biotechnology, Inc. of our report dated February 23, 2023 relating to the financial statements, which appears in Nautilus Biotechnology, Inc.'s Annual Report on Form 10-K for the year ended December 31,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7"/>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jpeg"/><Relationship Id="rId8" Type="http://schemas.openxmlformats.org/officeDocument/2006/relationships/hyperlink" Target="https://www.sec.gov/Archives/edgar/data/1808805/000180880522000012/forms-82022evergreen.htm" TargetMode="External"/><Relationship Id="rId10" Type="http://schemas.openxmlformats.org/officeDocument/2006/relationships/hyperlink" Target="https://www.sec.gov/ix?doc=/Archives/edgar/data/0001808805/000180880523000011/naut-20221231.htm" TargetMode="External"/><Relationship Id="rId11" Type="http://schemas.openxmlformats.org/officeDocument/2006/relationships/hyperlink" Target="https://www.sec.gov/Archives/edgar/data/0001808805/000114036120017640/nt10013610x6_8a12b.htm" TargetMode="External"/><Relationship Id="rId15" Type="http://schemas.openxmlformats.org/officeDocument/2006/relationships/hyperlink" Target="https://www.sec.gov/Archives/edgar/data/1808805/000162828021011892/exhibit31-form8xkclosing.htm" TargetMode="External"/><Relationship Id="rId16" Type="http://schemas.openxmlformats.org/officeDocument/2006/relationships/hyperlink" Target="https://www.sec.gov/Archives/edgar/data/1808805/000180880522000107/exhibit31-nautilusbiotechn.htm" TargetMode="External"/><Relationship Id="rId17" Type="http://schemas.openxmlformats.org/officeDocument/2006/relationships/hyperlink" Target="https://www.sec.gov/Archives/edgar/data/1808805/000162828021011892/exhibit41-super8xkclosing.htm" TargetMode="External"/><Relationship Id="rId18" Type="http://schemas.openxmlformats.org/officeDocument/2006/relationships/hyperlink" Target="https://www.sec.gov/Archives/edgar/data/1808805/000162828021011892/exhibit104-form8xkclosing.htm" TargetMode="External"/><Relationship Id="rId19" Type="http://schemas.openxmlformats.org/officeDocument/2006/relationships/hyperlink" Target="https://www.sec.gov/Archives/edgar/data/1808805/000162828021005786/exhibit107-sx4.htm" TargetMode="External"/><Relationship Id="rId20" Type="http://schemas.openxmlformats.org/officeDocument/2006/relationships/hyperlink" Target="https://www.sec.gov/Archives/edgar/data/1808805/000162828021005786/exhibit108-sx4.htm" TargetMode="External"/><Relationship Id="rId21" Type="http://schemas.openxmlformats.org/officeDocument/2006/relationships/hyperlink" Target="https://www.sec.gov/Archives/edgar/data/1808805/000162828021005786/exhibit109-sx4.htm" TargetMode="External"/><Relationship Id="rId22" Type="http://schemas.openxmlformats.org/officeDocument/2006/relationships/hyperlink" Target="https://www.sec.gov/Archives/edgar/data/1808805/000162828021011892/exhibit105-form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2023-02-23T18:53:20Z</dcterms:created>
  <dcterms:modified xsi:type="dcterms:W3CDTF">2023-02-23T18:53:20Z</dcterms:modified>
</cp:coreProperties>
</file>