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803910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ind w:left="3340"/>
        <w:spacing w:after="0"/>
        <w:rPr>
          <w:sz w:val="20"/>
          <w:szCs w:val="20"/>
          <w:color w:val="auto"/>
        </w:rPr>
      </w:pPr>
      <w:r>
        <w:rPr>
          <w:rFonts w:ascii="Arial" w:cs="Arial" w:eastAsia="Arial" w:hAnsi="Arial"/>
          <w:sz w:val="12"/>
          <w:szCs w:val="12"/>
          <w:color w:val="auto"/>
        </w:rPr>
        <w:t>__________________________________________________________________________</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10-K</w:t>
      </w:r>
    </w:p>
    <w:p>
      <w:pPr>
        <w:spacing w:after="0" w:line="392"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8" w:lineRule="exact"/>
        <w:rPr>
          <w:sz w:val="24"/>
          <w:szCs w:val="24"/>
          <w:color w:val="auto"/>
        </w:rPr>
      </w:pPr>
    </w:p>
    <w:p>
      <w:pPr>
        <w:ind w:left="560" w:hanging="53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001-39434</w:t>
      </w: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NAUTILUS BIOTECHNOLOGY,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50"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Delaware</w:t>
      </w:r>
    </w:p>
    <w:p>
      <w:pPr>
        <w:spacing w:after="0" w:line="14" w:lineRule="exact"/>
        <w:rPr>
          <w:sz w:val="24"/>
          <w:szCs w:val="24"/>
          <w:color w:val="auto"/>
        </w:rPr>
      </w:pPr>
    </w:p>
    <w:tbl>
      <w:tblPr>
        <w:tblLayout w:type="fixed"/>
        <w:tblInd w:w="48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800" w:type="dxa"/>
            <w:vAlign w:val="bottom"/>
          </w:tcPr>
          <w:p>
            <w:pPr>
              <w:jc w:val="right"/>
              <w:ind w:right="629"/>
              <w:spacing w:after="0"/>
              <w:rPr>
                <w:sz w:val="20"/>
                <w:szCs w:val="20"/>
                <w:color w:val="auto"/>
              </w:rPr>
            </w:pPr>
            <w:r>
              <w:rPr>
                <w:rFonts w:ascii="Arial" w:cs="Arial" w:eastAsia="Arial" w:hAnsi="Arial"/>
                <w:sz w:val="14"/>
                <w:szCs w:val="14"/>
                <w:b w:val="1"/>
                <w:bCs w:val="1"/>
                <w:color w:val="auto"/>
              </w:rPr>
              <w:t>98-1541723</w:t>
            </w:r>
          </w:p>
        </w:tc>
      </w:tr>
      <w:tr>
        <w:trPr>
          <w:trHeight w:val="209"/>
        </w:trPr>
        <w:tc>
          <w:tcPr>
            <w:tcW w:w="5100" w:type="dxa"/>
            <w:vAlign w:val="bottom"/>
          </w:tcPr>
          <w:p>
            <w:pPr>
              <w:jc w:val="center"/>
              <w:ind w:right="1669"/>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3800" w:type="dxa"/>
            <w:vAlign w:val="bottom"/>
          </w:tcPr>
          <w:p>
            <w:pPr>
              <w:jc w:val="center"/>
              <w:ind w:left="1669"/>
              <w:spacing w:after="0"/>
              <w:rPr>
                <w:sz w:val="20"/>
                <w:szCs w:val="20"/>
                <w:color w:val="auto"/>
              </w:rPr>
            </w:pPr>
            <w:r>
              <w:rPr>
                <w:rFonts w:ascii="Arial" w:cs="Arial" w:eastAsia="Arial" w:hAnsi="Arial"/>
                <w:sz w:val="14"/>
                <w:szCs w:val="14"/>
                <w:color w:val="auto"/>
                <w:w w:val="95"/>
              </w:rPr>
              <w:t>(I.R.S. Employer Identification No.)</w:t>
            </w:r>
          </w:p>
        </w:tc>
      </w:tr>
      <w:tr>
        <w:trPr>
          <w:trHeight w:val="451"/>
        </w:trPr>
        <w:tc>
          <w:tcPr>
            <w:tcW w:w="5100" w:type="dxa"/>
            <w:vAlign w:val="bottom"/>
          </w:tcPr>
          <w:p>
            <w:pPr>
              <w:jc w:val="center"/>
              <w:ind w:right="1669"/>
              <w:spacing w:after="0"/>
              <w:rPr>
                <w:sz w:val="20"/>
                <w:szCs w:val="20"/>
                <w:color w:val="auto"/>
              </w:rPr>
            </w:pPr>
            <w:r>
              <w:rPr>
                <w:rFonts w:ascii="Arial" w:cs="Arial" w:eastAsia="Arial" w:hAnsi="Arial"/>
                <w:sz w:val="14"/>
                <w:szCs w:val="14"/>
                <w:b w:val="1"/>
                <w:bCs w:val="1"/>
                <w:color w:val="auto"/>
                <w:w w:val="89"/>
              </w:rPr>
              <w:t>2701 Eastlake Avenue East Seattle, Washington</w:t>
            </w:r>
          </w:p>
        </w:tc>
        <w:tc>
          <w:tcPr>
            <w:tcW w:w="3800" w:type="dxa"/>
            <w:vAlign w:val="bottom"/>
          </w:tcPr>
          <w:p>
            <w:pPr>
              <w:jc w:val="right"/>
              <w:ind w:right="789"/>
              <w:spacing w:after="0"/>
              <w:rPr>
                <w:sz w:val="20"/>
                <w:szCs w:val="20"/>
                <w:color w:val="auto"/>
              </w:rPr>
            </w:pPr>
            <w:r>
              <w:rPr>
                <w:rFonts w:ascii="Arial" w:cs="Arial" w:eastAsia="Arial" w:hAnsi="Arial"/>
                <w:sz w:val="14"/>
                <w:szCs w:val="14"/>
                <w:b w:val="1"/>
                <w:bCs w:val="1"/>
                <w:color w:val="auto"/>
              </w:rPr>
              <w:t>98102</w:t>
            </w:r>
          </w:p>
        </w:tc>
      </w:tr>
      <w:tr>
        <w:trPr>
          <w:trHeight w:val="384"/>
        </w:trPr>
        <w:tc>
          <w:tcPr>
            <w:tcW w:w="5100" w:type="dxa"/>
            <w:vAlign w:val="bottom"/>
          </w:tcPr>
          <w:p>
            <w:pPr>
              <w:jc w:val="center"/>
              <w:ind w:right="1669"/>
              <w:spacing w:after="0"/>
              <w:rPr>
                <w:sz w:val="20"/>
                <w:szCs w:val="20"/>
                <w:color w:val="auto"/>
              </w:rPr>
            </w:pPr>
            <w:r>
              <w:rPr>
                <w:rFonts w:ascii="Arial" w:cs="Arial" w:eastAsia="Arial" w:hAnsi="Arial"/>
                <w:sz w:val="14"/>
                <w:szCs w:val="14"/>
                <w:color w:val="auto"/>
                <w:w w:val="94"/>
              </w:rPr>
              <w:t>(Address of Principal Executive Offices)</w:t>
            </w:r>
          </w:p>
        </w:tc>
        <w:tc>
          <w:tcPr>
            <w:tcW w:w="3800" w:type="dxa"/>
            <w:vAlign w:val="bottom"/>
          </w:tcPr>
          <w:p>
            <w:pPr>
              <w:jc w:val="center"/>
              <w:ind w:left="1669"/>
              <w:spacing w:after="0"/>
              <w:rPr>
                <w:sz w:val="20"/>
                <w:szCs w:val="20"/>
                <w:color w:val="auto"/>
              </w:rPr>
            </w:pPr>
            <w:r>
              <w:rPr>
                <w:rFonts w:ascii="Arial" w:cs="Arial" w:eastAsia="Arial" w:hAnsi="Arial"/>
                <w:sz w:val="14"/>
                <w:szCs w:val="14"/>
                <w:color w:val="auto"/>
                <w:w w:val="93"/>
              </w:rPr>
              <w:t>(Zip Code)</w:t>
            </w:r>
          </w:p>
        </w:tc>
      </w:tr>
    </w:tbl>
    <w:p>
      <w:pPr>
        <w:spacing w:after="0" w:line="373"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Registrant's telephone number, including area code: (206) 333-2001</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180"/>
        </w:trPr>
        <w:tc>
          <w:tcPr>
            <w:tcW w:w="3300" w:type="dxa"/>
            <w:vAlign w:val="bottom"/>
          </w:tcPr>
          <w:p>
            <w:pPr>
              <w:jc w:val="center"/>
              <w:ind w:right="549"/>
              <w:spacing w:after="0"/>
              <w:rPr>
                <w:sz w:val="20"/>
                <w:szCs w:val="20"/>
                <w:color w:val="auto"/>
              </w:rPr>
            </w:pPr>
            <w:r>
              <w:rPr>
                <w:rFonts w:ascii="Arial" w:cs="Arial" w:eastAsia="Arial" w:hAnsi="Arial"/>
                <w:sz w:val="14"/>
                <w:szCs w:val="14"/>
                <w:color w:val="auto"/>
                <w:w w:val="89"/>
              </w:rPr>
              <w:t>Title of each class</w:t>
            </w:r>
          </w:p>
        </w:tc>
        <w:tc>
          <w:tcPr>
            <w:tcW w:w="2600" w:type="dxa"/>
            <w:vAlign w:val="bottom"/>
          </w:tcPr>
          <w:p>
            <w:pPr>
              <w:jc w:val="center"/>
              <w:ind w:right="189"/>
              <w:spacing w:after="0"/>
              <w:rPr>
                <w:sz w:val="20"/>
                <w:szCs w:val="20"/>
                <w:color w:val="auto"/>
              </w:rPr>
            </w:pPr>
            <w:r>
              <w:rPr>
                <w:rFonts w:ascii="Arial" w:cs="Arial" w:eastAsia="Arial" w:hAnsi="Arial"/>
                <w:sz w:val="14"/>
                <w:szCs w:val="14"/>
                <w:color w:val="auto"/>
                <w:w w:val="92"/>
              </w:rPr>
              <w:t>Trading Symbol(s)</w:t>
            </w:r>
          </w:p>
        </w:tc>
        <w:tc>
          <w:tcPr>
            <w:tcW w:w="3400" w:type="dxa"/>
            <w:vAlign w:val="bottom"/>
          </w:tcPr>
          <w:p>
            <w:pPr>
              <w:jc w:val="center"/>
              <w:ind w:left="829"/>
              <w:spacing w:after="0"/>
              <w:rPr>
                <w:sz w:val="20"/>
                <w:szCs w:val="20"/>
                <w:color w:val="auto"/>
              </w:rPr>
            </w:pPr>
            <w:r>
              <w:rPr>
                <w:rFonts w:ascii="Arial" w:cs="Arial" w:eastAsia="Arial" w:hAnsi="Arial"/>
                <w:sz w:val="14"/>
                <w:szCs w:val="14"/>
                <w:color w:val="auto"/>
                <w:w w:val="90"/>
              </w:rPr>
              <w:t>Name of each exchange on which registered</w:t>
            </w:r>
          </w:p>
        </w:tc>
        <w:tc>
          <w:tcPr>
            <w:tcW w:w="0" w:type="dxa"/>
            <w:vAlign w:val="bottom"/>
          </w:tcPr>
          <w:p>
            <w:pPr>
              <w:spacing w:after="0"/>
              <w:rPr>
                <w:sz w:val="1"/>
                <w:szCs w:val="1"/>
                <w:color w:val="auto"/>
              </w:rPr>
            </w:pPr>
          </w:p>
        </w:tc>
      </w:tr>
      <w:tr>
        <w:trPr>
          <w:trHeight w:val="225"/>
        </w:trPr>
        <w:tc>
          <w:tcPr>
            <w:tcW w:w="3300" w:type="dxa"/>
            <w:vAlign w:val="bottom"/>
            <w:vMerge w:val="restart"/>
          </w:tcPr>
          <w:p>
            <w:pPr>
              <w:jc w:val="center"/>
              <w:ind w:right="549"/>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600" w:type="dxa"/>
            <w:vAlign w:val="bottom"/>
            <w:vMerge w:val="restart"/>
          </w:tcPr>
          <w:p>
            <w:pPr>
              <w:jc w:val="center"/>
              <w:ind w:right="169"/>
              <w:spacing w:after="0"/>
              <w:rPr>
                <w:sz w:val="20"/>
                <w:szCs w:val="20"/>
                <w:color w:val="auto"/>
              </w:rPr>
            </w:pPr>
            <w:r>
              <w:rPr>
                <w:rFonts w:ascii="Arial" w:cs="Arial" w:eastAsia="Arial" w:hAnsi="Arial"/>
                <w:sz w:val="14"/>
                <w:szCs w:val="14"/>
                <w:b w:val="1"/>
                <w:bCs w:val="1"/>
                <w:color w:val="auto"/>
              </w:rPr>
              <w:t>NAUT</w:t>
            </w:r>
          </w:p>
        </w:tc>
        <w:tc>
          <w:tcPr>
            <w:tcW w:w="3400" w:type="dxa"/>
            <w:vAlign w:val="bottom"/>
          </w:tcPr>
          <w:p>
            <w:pPr>
              <w:jc w:val="center"/>
              <w:ind w:left="849"/>
              <w:spacing w:after="0"/>
              <w:rPr>
                <w:sz w:val="20"/>
                <w:szCs w:val="20"/>
                <w:color w:val="auto"/>
              </w:rPr>
            </w:pPr>
            <w:r>
              <w:rPr>
                <w:rFonts w:ascii="Arial" w:cs="Arial" w:eastAsia="Arial" w:hAnsi="Arial"/>
                <w:sz w:val="14"/>
                <w:szCs w:val="14"/>
                <w:b w:val="1"/>
                <w:bCs w:val="1"/>
                <w:color w:val="auto"/>
                <w:w w:val="95"/>
              </w:rPr>
              <w:t>The Nasdaq Stock Market LLC</w:t>
            </w:r>
          </w:p>
        </w:tc>
        <w:tc>
          <w:tcPr>
            <w:tcW w:w="0" w:type="dxa"/>
            <w:vAlign w:val="bottom"/>
          </w:tcPr>
          <w:p>
            <w:pPr>
              <w:spacing w:after="0"/>
              <w:rPr>
                <w:sz w:val="1"/>
                <w:szCs w:val="1"/>
                <w:color w:val="auto"/>
              </w:rPr>
            </w:pPr>
          </w:p>
        </w:tc>
      </w:tr>
      <w:tr>
        <w:trPr>
          <w:trHeight w:val="79"/>
        </w:trPr>
        <w:tc>
          <w:tcPr>
            <w:tcW w:w="3300" w:type="dxa"/>
            <w:vAlign w:val="bottom"/>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5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35"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4"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ind w:right="200" w:firstLine="31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6" w:lineRule="exact"/>
        <w:rPr>
          <w:sz w:val="24"/>
          <w:szCs w:val="24"/>
          <w:color w:val="auto"/>
        </w:rPr>
      </w:pPr>
    </w:p>
    <w:p>
      <w:pPr>
        <w:ind w:right="280" w:firstLine="318"/>
        <w:spacing w:after="0" w:line="21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5" w:lineRule="exact"/>
        <w:rPr>
          <w:sz w:val="24"/>
          <w:szCs w:val="24"/>
          <w:color w:val="auto"/>
        </w:rPr>
      </w:pPr>
    </w:p>
    <w:p>
      <w:pPr>
        <w:ind w:firstLine="318"/>
        <w:spacing w:after="0" w:line="3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160" w:type="dxa"/>
        <w:tblCellMar>
          <w:top w:w="0" w:type="dxa"/>
          <w:left w:w="0" w:type="dxa"/>
          <w:bottom w:w="0" w:type="dxa"/>
          <w:right w:w="0" w:type="dxa"/>
        </w:tblCellMar>
      </w:tblPr>
      <w:tr>
        <w:trPr>
          <w:trHeight w:val="221"/>
        </w:trPr>
        <w:tc>
          <w:tcPr>
            <w:tcW w:w="210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16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210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6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84"/>
        </w:trPr>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Arial" w:cs="Arial" w:eastAsia="Arial" w:hAnsi="Arial"/>
                <w:sz w:val="14"/>
                <w:szCs w:val="14"/>
                <w:color w:val="auto"/>
              </w:rPr>
              <w:t>Emerging growth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20"/>
          </w:cols>
          <w:pgMar w:left="320" w:top="1440" w:right="359" w:bottom="1440" w:gutter="0" w:footer="0" w:header="0"/>
        </w:sectPr>
      </w:pPr>
    </w:p>
    <w:p>
      <w:pPr>
        <w:spacing w:after="0" w:line="156" w:lineRule="exact"/>
        <w:rPr>
          <w:sz w:val="24"/>
          <w:szCs w:val="24"/>
          <w:color w:val="auto"/>
        </w:rPr>
      </w:pPr>
    </w:p>
    <w:p>
      <w:pPr>
        <w:ind w:right="440" w:firstLine="318"/>
        <w:spacing w:after="0" w:line="28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608965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ind w:firstLine="318"/>
        <w:spacing w:after="0" w:line="301"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11" w:lineRule="exact"/>
        <w:rPr>
          <w:sz w:val="20"/>
          <w:szCs w:val="20"/>
          <w:color w:val="auto"/>
        </w:rPr>
      </w:pPr>
    </w:p>
    <w:p>
      <w:pPr>
        <w:ind w:right="100" w:firstLine="318"/>
        <w:spacing w:after="0" w:line="20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38" w:lineRule="exact"/>
        <w:rPr>
          <w:sz w:val="20"/>
          <w:szCs w:val="20"/>
          <w:color w:val="auto"/>
        </w:rPr>
      </w:pPr>
    </w:p>
    <w:p>
      <w:pPr>
        <w:ind w:right="100" w:firstLine="318"/>
        <w:spacing w:after="0" w:line="20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5" w:lineRule="exact"/>
        <w:rPr>
          <w:sz w:val="20"/>
          <w:szCs w:val="20"/>
          <w:color w:val="auto"/>
        </w:rPr>
      </w:pPr>
    </w:p>
    <w:p>
      <w:pPr>
        <w:ind w:left="320"/>
        <w:spacing w:after="0" w:line="184" w:lineRule="exact"/>
        <w:tabs>
          <w:tab w:leader="none" w:pos="70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4" w:lineRule="exact"/>
        <w:rPr>
          <w:sz w:val="20"/>
          <w:szCs w:val="20"/>
          <w:color w:val="auto"/>
        </w:rPr>
      </w:pPr>
    </w:p>
    <w:p>
      <w:pPr>
        <w:ind w:right="160" w:firstLine="318"/>
        <w:spacing w:after="0" w:line="318" w:lineRule="auto"/>
        <w:rPr>
          <w:sz w:val="20"/>
          <w:szCs w:val="20"/>
          <w:color w:val="auto"/>
        </w:rPr>
      </w:pPr>
      <w:r>
        <w:rPr>
          <w:rFonts w:ascii="Arial" w:cs="Arial" w:eastAsia="Arial" w:hAnsi="Arial"/>
          <w:sz w:val="14"/>
          <w:szCs w:val="14"/>
          <w:color w:val="auto"/>
        </w:rPr>
        <w:t>The aggregate market value of the registrant’s common stock held by non-affiliates, based upon the closing price of the common stock on June 30, 2022, as reported by The Nasdaq Stock Market LLC, was $152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registrant had outstanding 124,866,392 shares of common stock as of January 31, 2023.</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DOCUMENTS INCORPORATED BY REFERENCE</w:t>
      </w:r>
    </w:p>
    <w:p>
      <w:pPr>
        <w:spacing w:after="0" w:line="94"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in connection with the registrant’s 2023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 Except with respect to information specifically incorporated by reference,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753745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044" w:right="439" w:bottom="1440" w:gutter="0" w:footer="0" w:header="0"/>
        </w:sectPr>
      </w:pPr>
    </w:p>
    <w:bookmarkStart w:id="2" w:name="page3"/>
    <w:bookmarkEnd w:id="2"/>
    <w:p>
      <w:pPr>
        <w:jc w:val="center"/>
        <w:ind w:left="740"/>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 Business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1A. Risk Factors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1B. Unresolved Staff Comments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2. Properties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3. Legal Proceedings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4. 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5"/>
          <w:szCs w:val="15"/>
          <w:color w:val="0000FF"/>
        </w:rPr>
        <w:t>Item 5. Market for Registrant's Common Equity, Related Stockholder Matters and Issuer Purchases of Equity Securities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6. [ Reserved ]</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7A. Quantitative and Qualitative Disclosures About Market Risk</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8. Financial Statements and Supplementary Data</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9A. Controls and Procedures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9B. Other Information</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9C. Disclosure Regarding Foreign Jurisdictions that Prevent Inspections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10. Directors, Executive Officers and Corporate Governance</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11. Executive Compensation</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7"/>
          <w:szCs w:val="17"/>
          <w:color w:val="0000FF"/>
        </w:rPr>
        <w:t>Item 12. Security Ownership of Certain Beneficial Owners and Management and Related Stockholder Matters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13. Certain Relationships and Related Transactions, and Director Independence</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14. Principal Accounting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15. Exhibit and Financial Statement Schedules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0000FF"/>
        </w:rPr>
        <w:t>Item 16. Form 10-K Summary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41</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76</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76</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77</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78</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78</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79</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90</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90</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117</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117</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117</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118</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118</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118</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118</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119</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123</w:t>
      </w:r>
    </w:p>
    <w:p>
      <w:pPr>
        <w:spacing w:after="0" w:line="538" w:lineRule="exact"/>
        <w:rPr>
          <w:sz w:val="20"/>
          <w:szCs w:val="20"/>
          <w:color w:val="auto"/>
        </w:rPr>
      </w:pPr>
    </w:p>
    <w:p>
      <w:pPr>
        <w:sectPr>
          <w:pgSz w:w="11900" w:h="16838" w:orient="portrait"/>
          <w:cols w:equalWidth="0" w:num="2">
            <w:col w:w="9820" w:space="720"/>
            <w:col w:w="360"/>
          </w:cols>
          <w:pgMar w:left="660" w:top="1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177165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660" w:top="1119" w:right="339" w:bottom="1440" w:gutter="0" w:footer="0" w:header="0"/>
          <w:type w:val="continuous"/>
        </w:sectPr>
      </w:pPr>
    </w:p>
    <w:bookmarkStart w:id="3" w:name="page4"/>
    <w:bookmarkEnd w:id="3"/>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41" w:lineRule="exact"/>
        <w:rPr>
          <w:sz w:val="20"/>
          <w:szCs w:val="20"/>
          <w:color w:val="auto"/>
        </w:rPr>
      </w:pPr>
    </w:p>
    <w:p>
      <w:pPr>
        <w:ind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functionality of the Nautilus platform;</w:t>
      </w:r>
    </w:p>
    <w:p>
      <w:pPr>
        <w:spacing w:after="0" w:line="164" w:lineRule="exact"/>
        <w:rPr>
          <w:rFonts w:ascii="Arial" w:cs="Arial" w:eastAsia="Arial" w:hAnsi="Arial"/>
          <w:sz w:val="18"/>
          <w:szCs w:val="18"/>
          <w:color w:val="auto"/>
        </w:rPr>
      </w:pPr>
    </w:p>
    <w:p>
      <w:pPr>
        <w:ind w:right="3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ind w:right="440" w:firstLine="324"/>
        <w:spacing w:after="0" w:line="255"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(as defined in Part I, Item 1, in this Annual Report on Form 10-K), which may be affected by, among other things, competition, our ability to grow and manage future growth effectively, and our ability to retain our key employees;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partners,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9"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01"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Part 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BUSINESS COMBINATION</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consummated the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8"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98"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and (ii) all vested and unvested options to purchase shares of Legacy Nautilus were exchanged for comparable options to purchase shares of Common Stock of New Nautilus.</w:t>
      </w:r>
    </w:p>
    <w:p>
      <w:pPr>
        <w:spacing w:after="0" w:line="98"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Legacy Nautilus, which obligated the Company to register the resale of certain shares of our Common Stock issued in connection with the Domestication and the Business Combination.</w:t>
      </w:r>
    </w:p>
    <w:p>
      <w:pPr>
        <w:spacing w:after="0" w:line="14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began trading on the Nasdaq Global Select Market (“Nasdaq”) under the symbol “NAUT.”</w:t>
      </w:r>
    </w:p>
    <w:p>
      <w:pPr>
        <w:spacing w:after="0" w:line="12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22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p>
      <w:pPr>
        <w:ind w:right="120"/>
        <w:spacing w:after="0" w:line="252" w:lineRule="auto"/>
        <w:rPr>
          <w:sz w:val="20"/>
          <w:szCs w:val="20"/>
          <w:color w:val="auto"/>
        </w:rPr>
      </w:pPr>
      <w:r>
        <w:rPr>
          <w:rFonts w:ascii="Arial" w:cs="Arial" w:eastAsia="Arial" w:hAnsi="Arial"/>
          <w:sz w:val="18"/>
          <w:szCs w:val="18"/>
          <w:color w:val="auto"/>
        </w:rPr>
        <w:t>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8"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93"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12"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specific patterns of protein modifications are present in disease, and why?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According to BCC Research, the existing proteomics research market is currently estimated to be approximately $27 billion annual spend as of 2022, made up primarily of mass spectrometry and affinity-based quantification methods. Over the longer-term, the proteomics market is expected to reach approximately $55 billion by 2027, representing a compound annual growth rate, or CAGR, of 15% over the five-year period. Further, we believe there are substantial adjacent opportunities across translational research in drug target discovery, precision medicine development, clinical diagnostics, and other disciplines such as food and environmental science.</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partnerships with Genentech, Amgen, The University of Texas MD Anderson Cancer Research Center, and the Translational Genomics Research Institute, among others.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 w:name="page8"/>
    <w:bookmarkEnd w:id="7"/>
    <w:p>
      <w:pPr>
        <w:ind w:right="60"/>
        <w:spacing w:after="0" w:line="250" w:lineRule="auto"/>
        <w:rPr>
          <w:sz w:val="20"/>
          <w:szCs w:val="20"/>
          <w:color w:val="auto"/>
        </w:rPr>
      </w:pPr>
      <w:r>
        <w:rPr>
          <w:rFonts w:ascii="Arial" w:cs="Arial" w:eastAsia="Arial" w:hAnsi="Arial"/>
          <w:sz w:val="18"/>
          <w:szCs w:val="18"/>
          <w:color w:val="auto"/>
        </w:rPr>
        <w:t>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41"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2022 we were comprised of approximately 134 employees, with 51 of such employees holding a Ph.D. Our organization is driven by the pursuit of deep, hard science, and our Scientific Advisory Board is comprised of world-renowned scientific leaders that support our vision.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0" w:lineRule="exact"/>
        <w:rPr>
          <w:sz w:val="20"/>
          <w:szCs w:val="20"/>
          <w:color w:val="auto"/>
        </w:rPr>
      </w:pPr>
    </w:p>
    <w:p>
      <w:pPr>
        <w:ind w:left="640" w:right="40" w:hanging="316"/>
        <w:spacing w:after="0" w:line="30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disruptive proteomics technology. </w:t>
      </w:r>
      <w:r>
        <w:rPr>
          <w:rFonts w:ascii="Arial" w:cs="Arial" w:eastAsia="Arial" w:hAnsi="Arial"/>
          <w:sz w:val="15"/>
          <w:szCs w:val="15"/>
          <w:color w:val="auto"/>
        </w:rPr>
        <w:t>Our Nautilus proteome analysis platform is designed to be a disruptive, single protein molecule analysis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01" w:lineRule="exact"/>
        <w:rPr>
          <w:rFonts w:ascii="Arial" w:cs="Arial" w:eastAsia="Arial" w:hAnsi="Arial"/>
          <w:sz w:val="15"/>
          <w:szCs w:val="15"/>
          <w:color w:val="auto"/>
        </w:rPr>
      </w:pPr>
    </w:p>
    <w:p>
      <w:pPr>
        <w:jc w:val="both"/>
        <w:ind w:left="640" w:right="20" w:hanging="316"/>
        <w:spacing w:after="0" w:line="26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end-to-end solution to decode and quantify virtually the entire proteome, including the variations and modifications of proteins. Our Nautilus platform consists of instruments, reagent consumables and software that we believe has the potential to deliver broad proteomic profiling to the market and potentially unlock the vast, dynamic, and valuable biological information contained in the proteome. With each instrument sale, there is expected to be accompanying recurring revenue comprised of reagent consumable sales, instrumentation service, support, and software that creates a comprehensive proteomics solution.</w:t>
      </w:r>
    </w:p>
    <w:p>
      <w:pPr>
        <w:spacing w:after="0" w:line="126" w:lineRule="exact"/>
        <w:rPr>
          <w:rFonts w:ascii="Arial" w:cs="Arial" w:eastAsia="Arial" w:hAnsi="Arial"/>
          <w:sz w:val="17"/>
          <w:szCs w:val="17"/>
          <w:color w:val="auto"/>
        </w:rPr>
      </w:pPr>
    </w:p>
    <w:p>
      <w:pPr>
        <w:ind w:left="640" w:hanging="316"/>
        <w:spacing w:after="0" w:line="30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Open, flexible and customizable technology platform. </w:t>
      </w:r>
      <w:r>
        <w:rPr>
          <w:rFonts w:ascii="Arial" w:cs="Arial" w:eastAsia="Arial" w:hAnsi="Arial"/>
          <w:sz w:val="15"/>
          <w:szCs w:val="15"/>
          <w:color w:val="auto"/>
        </w:rPr>
        <w:t>Our Nautilus platform is designed to allow our customers to analyze their samples in a variety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run configurations by utilizing flow cells which each contain 4 discrete and independent lanes, analyzed on an instrument that can be loaded with up to 3 flow cells per run. At launch, our platform is designed to either maximize analysis depth by running all 12 lanes on 1 sample, or maximize analysis throughput by running a single sample per lane. This design is also highly compatible with molecular barcoding, which may be introduced in the future to multiplex increasingly larger sample numbers per run. Further, with the introduction of an affinity binding reagent labeling kit, our platform is also designed to be able to incorporate off-the-shelf affinity binding reagents that have already been created by biopharma, academia, or commercial affinity reagent manufacturers. We believe that the ability to customize the type of analysis performed by adding or combining these affinity binding reagents with our Nautilus provided reagent kits could provide a very powerful and desirable analysis for our customers.</w:t>
      </w:r>
    </w:p>
    <w:p>
      <w:pPr>
        <w:spacing w:after="0" w:line="101" w:lineRule="exact"/>
        <w:rPr>
          <w:rFonts w:ascii="Arial" w:cs="Arial" w:eastAsia="Arial" w:hAnsi="Arial"/>
          <w:sz w:val="15"/>
          <w:szCs w:val="15"/>
          <w:color w:val="auto"/>
        </w:rPr>
      </w:pPr>
    </w:p>
    <w:p>
      <w:pPr>
        <w:ind w:left="640" w:right="60" w:hanging="316"/>
        <w:spacing w:after="0" w:line="306"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Immense data production capacity coupled with machine learning can unlock new proteomic insights. </w:t>
      </w:r>
      <w:r>
        <w:rPr>
          <w:rFonts w:ascii="Arial" w:cs="Arial" w:eastAsia="Arial" w:hAnsi="Arial"/>
          <w:sz w:val="15"/>
          <w:szCs w:val="15"/>
          <w:color w:val="auto"/>
        </w:rPr>
        <w:t>We have designed the Nautilus platform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03" w:lineRule="exact"/>
        <w:rPr>
          <w:rFonts w:ascii="Arial" w:cs="Arial" w:eastAsia="Arial" w:hAnsi="Arial"/>
          <w:sz w:val="15"/>
          <w:szCs w:val="15"/>
          <w:color w:val="auto"/>
        </w:rPr>
      </w:pPr>
    </w:p>
    <w:p>
      <w:pPr>
        <w:ind w:left="640" w:right="10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 model with clear market entry point, designed to support a wide variety of customers and applications. </w:t>
      </w:r>
      <w:r>
        <w:rPr>
          <w:rFonts w:ascii="Arial" w:cs="Arial" w:eastAsia="Arial" w:hAnsi="Arial"/>
          <w:sz w:val="18"/>
          <w:szCs w:val="18"/>
          <w:color w:val="auto"/>
        </w:rPr>
        <w:t>Many successful life sciences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tools companies with disruptive technology have employed a business model</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8" w:name="page9"/>
    <w:bookmarkEnd w:id="8"/>
    <w:p>
      <w:pPr>
        <w:ind w:left="640"/>
        <w:spacing w:after="0" w:line="249" w:lineRule="auto"/>
        <w:rPr>
          <w:sz w:val="20"/>
          <w:szCs w:val="20"/>
          <w:color w:val="auto"/>
        </w:rPr>
      </w:pPr>
      <w:r>
        <w:rPr>
          <w:rFonts w:ascii="Arial" w:cs="Arial" w:eastAsia="Arial" w:hAnsi="Arial"/>
          <w:sz w:val="18"/>
          <w:szCs w:val="18"/>
          <w:color w:val="auto"/>
        </w:rPr>
        <w:t>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w:t>
      </w:r>
    </w:p>
    <w:p>
      <w:pPr>
        <w:spacing w:after="0" w:line="143" w:lineRule="exact"/>
        <w:rPr>
          <w:sz w:val="20"/>
          <w:szCs w:val="20"/>
          <w:color w:val="auto"/>
        </w:rPr>
      </w:pPr>
    </w:p>
    <w:p>
      <w:pPr>
        <w:ind w:left="640" w:right="120" w:hanging="316"/>
        <w:spacing w:after="0" w:line="26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7"/>
          <w:szCs w:val="17"/>
          <w:color w:val="auto"/>
        </w:rPr>
        <w:t>The global proteomics market is estimated to be approximately $27 billion annually as of 2022 and is expected to grow at an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 CAGR from 2022 to 2027 according to BCC Research. Furthermore, we believe our Nautilus platform has the potential to facilitate a broader transformation across life sciences and healthcare, and therefore significantly augment our total addressable market over time. We believe there are multiple high-value research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28" w:lineRule="exact"/>
        <w:rPr>
          <w:rFonts w:ascii="Arial" w:cs="Arial" w:eastAsia="Arial" w:hAnsi="Arial"/>
          <w:sz w:val="17"/>
          <w:szCs w:val="17"/>
          <w:color w:val="auto"/>
        </w:rPr>
      </w:pPr>
    </w:p>
    <w:p>
      <w:pPr>
        <w:ind w:left="640" w:right="20" w:hanging="316"/>
        <w:spacing w:after="0" w:line="30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5"/>
          <w:szCs w:val="15"/>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0" w:lineRule="exact"/>
        <w:rPr>
          <w:sz w:val="20"/>
          <w:szCs w:val="20"/>
          <w:color w:val="auto"/>
        </w:rPr>
      </w:pPr>
    </w:p>
    <w:p>
      <w:pPr>
        <w:ind w:left="640" w:right="40" w:hanging="316"/>
        <w:spacing w:after="0" w:line="30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adoption of our Nautilus platform by providing the life sciences industry with access to the proteome. </w:t>
      </w:r>
      <w:r>
        <w:rPr>
          <w:rFonts w:ascii="Arial" w:cs="Arial" w:eastAsia="Arial" w:hAnsi="Arial"/>
          <w:sz w:val="15"/>
          <w:szCs w:val="15"/>
          <w:color w:val="auto"/>
        </w:rPr>
        <w:t>We believe our Nautilus platform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ultimately enable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the Translational Genomics Research Institute and others) and research organizations where we aim to jointly publish data and validate our Nautilus platform, followed by a pre-sales or early access program to drive awareness and demand, and finally culminating in a full commercial launch.</w:t>
      </w:r>
    </w:p>
    <w:p>
      <w:pPr>
        <w:spacing w:after="0" w:line="101" w:lineRule="exact"/>
        <w:rPr>
          <w:rFonts w:ascii="Arial" w:cs="Arial" w:eastAsia="Arial" w:hAnsi="Arial"/>
          <w:sz w:val="15"/>
          <w:szCs w:val="15"/>
          <w:color w:val="auto"/>
        </w:rPr>
      </w:pPr>
    </w:p>
    <w:p>
      <w:pPr>
        <w:ind w:left="640" w:hanging="316"/>
        <w:spacing w:after="0" w:line="24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42" w:lineRule="exact"/>
        <w:rPr>
          <w:rFonts w:ascii="Arial" w:cs="Arial" w:eastAsia="Arial" w:hAnsi="Arial"/>
          <w:sz w:val="18"/>
          <w:szCs w:val="18"/>
          <w:color w:val="auto"/>
        </w:rPr>
      </w:pPr>
    </w:p>
    <w:p>
      <w:pPr>
        <w:ind w:left="640" w:right="40" w:hanging="316"/>
        <w:spacing w:after="0" w:line="309"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Multiple pathways to build and expand our manufacturing capacity to support our commercial launch and the sustained growth of our business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technology is comprised of many off the shelf component parts that help to 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9" w:name="page10"/>
    <w:bookmarkEnd w:id="9"/>
    <w:p>
      <w:pPr>
        <w:ind w:left="640" w:right="60" w:hanging="316"/>
        <w:spacing w:after="0" w:line="309"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5"/>
          <w:szCs w:val="15"/>
          <w:color w:val="auto"/>
        </w:rPr>
        <w:t>Our Nautilus platform is compatible with a wide variety of protein affinity binding reagents, which we believe will allow us to create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98" w:lineRule="exact"/>
        <w:rPr>
          <w:rFonts w:ascii="Arial" w:cs="Arial" w:eastAsia="Arial" w:hAnsi="Arial"/>
          <w:sz w:val="15"/>
          <w:szCs w:val="15"/>
          <w:color w:val="auto"/>
        </w:rPr>
      </w:pPr>
    </w:p>
    <w:p>
      <w:pPr>
        <w:ind w:left="640" w:hanging="316"/>
        <w:spacing w:after="0" w:line="265"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8"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8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in research are highlighted below.</w:t>
      </w:r>
    </w:p>
    <w:p>
      <w:pPr>
        <w:spacing w:after="0" w:line="128" w:lineRule="exact"/>
        <w:rPr>
          <w:sz w:val="20"/>
          <w:szCs w:val="20"/>
          <w:color w:val="auto"/>
        </w:rPr>
      </w:pPr>
    </w:p>
    <w:p>
      <w:pPr>
        <w:ind w:left="640" w:right="38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Better understanding of biology</w:t>
      </w:r>
      <w:r>
        <w:rPr>
          <w:rFonts w:ascii="Arial" w:cs="Arial" w:eastAsia="Arial" w:hAnsi="Arial"/>
          <w:sz w:val="18"/>
          <w:szCs w:val="18"/>
          <w:color w:val="auto"/>
        </w:rPr>
        <w:t>. 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2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rarest proteins involved in disease may increase the likelihood of identifying new drug targets.</w:t>
      </w:r>
    </w:p>
    <w:p>
      <w:pPr>
        <w:spacing w:after="0" w:line="127" w:lineRule="exact"/>
        <w:rPr>
          <w:rFonts w:ascii="Arial" w:cs="Arial" w:eastAsia="Arial" w:hAnsi="Arial"/>
          <w:sz w:val="18"/>
          <w:szCs w:val="18"/>
          <w:color w:val="auto"/>
        </w:rPr>
      </w:pPr>
    </w:p>
    <w:p>
      <w:pPr>
        <w:ind w:left="640" w:right="8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Patient stratification</w:t>
      </w:r>
      <w:r>
        <w:rPr>
          <w:rFonts w:ascii="Arial" w:cs="Arial" w:eastAsia="Arial" w:hAnsi="Arial"/>
          <w:sz w:val="18"/>
          <w:szCs w:val="18"/>
          <w:color w:val="auto"/>
        </w:rPr>
        <w:t>. 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27"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 the efficacy and safety of ongoing treatments.</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before they develop.</w:t>
      </w:r>
    </w:p>
    <w:p>
      <w:pPr>
        <w:spacing w:after="0" w:line="128" w:lineRule="exact"/>
        <w:rPr>
          <w:sz w:val="20"/>
          <w:szCs w:val="20"/>
          <w:color w:val="auto"/>
        </w:rPr>
      </w:pPr>
    </w:p>
    <w:p>
      <w:pPr>
        <w:ind w:right="360" w:firstLine="318"/>
        <w:spacing w:after="0" w:line="294"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MARKET OPPORTUNITY</w:t>
      </w:r>
    </w:p>
    <w:p>
      <w:pPr>
        <w:spacing w:after="0" w:line="17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research applications in precision and personalized medicine, with a natural growth path into clinical diagnostics, as well as in machine-learning powered drug discovery. However, we believe that the opportunity could extend far beyond this.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164"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Since 2002, global R&amp;D expenditure has increased close to three-fold and is expected to reach approximately $230 billion by 2026 according to EvaluatePharma’s 2020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9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28" w:lineRule="exact"/>
        <w:rPr>
          <w:sz w:val="20"/>
          <w:szCs w:val="20"/>
          <w:color w:val="auto"/>
        </w:rPr>
      </w:pPr>
    </w:p>
    <w:p>
      <w:pPr>
        <w:ind w:right="140" w:firstLine="318"/>
        <w:spacing w:after="0" w:line="303" w:lineRule="auto"/>
        <w:rPr>
          <w:sz w:val="20"/>
          <w:szCs w:val="20"/>
          <w:color w:val="auto"/>
        </w:rPr>
      </w:pPr>
      <w:r>
        <w:rPr>
          <w:rFonts w:ascii="Arial" w:cs="Arial" w:eastAsia="Arial" w:hAnsi="Arial"/>
          <w:sz w:val="15"/>
          <w:szCs w:val="15"/>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currently only approximately 140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spacing w:after="0" w:line="319" w:lineRule="exact"/>
        <w:rPr>
          <w:sz w:val="20"/>
          <w:szCs w:val="20"/>
          <w:color w:val="auto"/>
        </w:rPr>
      </w:pPr>
    </w:p>
    <w:p>
      <w:pPr>
        <w:ind w:right="520" w:firstLine="318"/>
        <w:spacing w:after="0" w:line="252"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 w:name="page12"/>
    <w:bookmarkEnd w:id="11"/>
    <w:p>
      <w:pPr>
        <w:ind w:right="20" w:firstLine="318"/>
        <w:spacing w:after="0" w:line="305" w:lineRule="auto"/>
        <w:rPr>
          <w:sz w:val="20"/>
          <w:szCs w:val="20"/>
          <w:color w:val="auto"/>
        </w:rPr>
      </w:pPr>
      <w:r>
        <w:rPr>
          <w:rFonts w:ascii="Arial" w:cs="Arial" w:eastAsia="Arial" w:hAnsi="Arial"/>
          <w:sz w:val="15"/>
          <w:szCs w:val="15"/>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01"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793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5018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111760</wp:posOffset>
            </wp:positionV>
            <wp:extent cx="5553075" cy="266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30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Due to the extensive applications and broad potential, we believe that the proteomics market represents one of the largest untapped opportunities in the biological sciences today. According to BCC Research, the global proteomics market was valued at approximately $27 billion as of 2022. This encompasses only the fraction of the proteomics market that is currently available to us via mass spectrometry and other quantification methods and does not include diagnostics. The overall proteomics market is projected to reach approximately $55 billion in 2027, representing a CAGR of 15% for the five-year period.</w:t>
      </w:r>
    </w:p>
    <w:p>
      <w:pPr>
        <w:spacing w:after="0" w:line="9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97155</wp:posOffset>
            </wp:positionV>
            <wp:extent cx="4963795" cy="2886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63795" cy="2886075"/>
                    </a:xfrm>
                    <a:prstGeom prst="rect">
                      <a:avLst/>
                    </a:prstGeom>
                    <a:noFill/>
                  </pic:spPr>
                </pic:pic>
              </a:graphicData>
            </a:graphic>
          </wp:anchor>
        </w:drawing>
      </w:r>
    </w:p>
    <w:p>
      <w:pPr>
        <w:sectPr>
          <w:pgSz w:w="11900" w:h="16838" w:orient="portrait"/>
          <w:cols w:equalWidth="0" w:num="1">
            <w:col w:w="11100"/>
          </w:cols>
          <w:pgMar w:left="320" w:top="104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041" w:right="479" w:bottom="1440" w:gutter="0" w:footer="0" w:header="0"/>
          <w:type w:val="continuous"/>
        </w:sectPr>
      </w:pPr>
    </w:p>
    <w:bookmarkStart w:id="13" w:name="page14"/>
    <w:bookmarkEnd w:id="13"/>
    <w:p>
      <w:pPr>
        <w:ind w:left="32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6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Mass Spectrometry-based Approaches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6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95" w:lineRule="exact"/>
        <w:rPr>
          <w:sz w:val="20"/>
          <w:szCs w:val="20"/>
          <w:color w:val="auto"/>
        </w:rPr>
      </w:pPr>
    </w:p>
    <w:p>
      <w:pPr>
        <w:jc w:val="center"/>
        <w:ind w:right="8860"/>
        <w:spacing w:after="0"/>
        <w:rPr>
          <w:sz w:val="20"/>
          <w:szCs w:val="20"/>
          <w:color w:val="auto"/>
        </w:rPr>
      </w:pPr>
      <w:r>
        <w:rPr>
          <w:rFonts w:ascii="Arial" w:cs="Arial" w:eastAsia="Arial" w:hAnsi="Arial"/>
          <w:sz w:val="17"/>
          <w:szCs w:val="17"/>
          <w:b w:val="1"/>
          <w:bCs w:val="1"/>
          <w:color w:val="auto"/>
        </w:rPr>
        <w:t>THE NAUTILUS APPROACH</w:t>
      </w:r>
    </w:p>
    <w:p>
      <w:pPr>
        <w:spacing w:after="0" w:line="182" w:lineRule="exact"/>
        <w:rPr>
          <w:sz w:val="20"/>
          <w:szCs w:val="20"/>
          <w:color w:val="auto"/>
        </w:rPr>
      </w:pPr>
    </w:p>
    <w:p>
      <w:pPr>
        <w:jc w:val="center"/>
        <w:ind w:right="888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64"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8"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4" w:name="page15"/>
    <w:bookmarkEnd w:id="14"/>
    <w:p>
      <w:pPr>
        <w:ind w:right="320"/>
        <w:spacing w:after="0" w:line="264" w:lineRule="auto"/>
        <w:rPr>
          <w:sz w:val="20"/>
          <w:szCs w:val="20"/>
          <w:color w:val="auto"/>
        </w:rPr>
      </w:pPr>
      <w:r>
        <w:rPr>
          <w:rFonts w:ascii="Arial" w:cs="Arial" w:eastAsia="Arial" w:hAnsi="Arial"/>
          <w:sz w:val="18"/>
          <w:szCs w:val="18"/>
          <w:color w:val="auto"/>
        </w:rPr>
        <w:t>a unique architecture and advanced machine learning software, we believe our Nautilus platform has the potential to identify substantially all proteins in a sample from almost any organism.</w:t>
      </w:r>
    </w:p>
    <w:p>
      <w:pPr>
        <w:spacing w:after="0" w:line="128"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60960</wp:posOffset>
            </wp:positionV>
            <wp:extent cx="4206875" cy="2482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06875" cy="248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A core design criterion was that the Nautilus platform needed to be comprehensive. One of the largest challenges with existing “shotgun” proteomics technologies is that replicate analyses are likely to sample different subsets of the proteome.</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Nautilus platform was designed to cover a very large dynamic range in a simple workflow in order to scale to the full proteome.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It also needed to be sufficiently easy-to-use so that virtually any lab could benefit from using it, not just labs that are explicitly focused on proteomics or analytical chemistry.</w:t>
      </w:r>
    </w:p>
    <w:p>
      <w:pPr>
        <w:spacing w:after="0" w:line="128" w:lineRule="exact"/>
        <w:rPr>
          <w:sz w:val="20"/>
          <w:szCs w:val="20"/>
          <w:color w:val="auto"/>
        </w:rPr>
      </w:pPr>
    </w:p>
    <w:p>
      <w:pPr>
        <w:ind w:right="800" w:firstLine="318"/>
        <w:spacing w:after="0" w:line="264" w:lineRule="auto"/>
        <w:rPr>
          <w:sz w:val="20"/>
          <w:szCs w:val="20"/>
          <w:color w:val="auto"/>
        </w:rPr>
      </w:pPr>
      <w:r>
        <w:rPr>
          <w:rFonts w:ascii="Arial" w:cs="Arial" w:eastAsia="Arial" w:hAnsi="Arial"/>
          <w:sz w:val="18"/>
          <w:szCs w:val="18"/>
          <w:color w:val="auto"/>
        </w:rPr>
        <w:t>In order to fully support the wide-ranging needs of our future customers, the platform can also support multiple run configurations. Our design accommodates both low throughput and high throughput run configurations, and will also employ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in-lane sample multiplexing to enable our customers to meet the high-volume data production needs of large-scale studies or core facilities.</w:t>
      </w:r>
    </w:p>
    <w:p>
      <w:pPr>
        <w:spacing w:after="0" w:line="164" w:lineRule="exact"/>
        <w:rPr>
          <w:sz w:val="20"/>
          <w:szCs w:val="20"/>
          <w:color w:val="auto"/>
        </w:rPr>
      </w:pPr>
    </w:p>
    <w:p>
      <w:pPr>
        <w:ind w:right="420" w:firstLine="318"/>
        <w:spacing w:after="0" w:line="271" w:lineRule="auto"/>
        <w:rPr>
          <w:sz w:val="20"/>
          <w:szCs w:val="20"/>
          <w:color w:val="auto"/>
        </w:rPr>
      </w:pPr>
      <w:r>
        <w:rPr>
          <w:rFonts w:ascii="Arial" w:cs="Arial" w:eastAsia="Arial" w:hAnsi="Arial"/>
          <w:sz w:val="17"/>
          <w:szCs w:val="17"/>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Single Protein Molecule Flow Cell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Proteome Analysis System: An Integrated Multi-cycle Optical and Fluidics Instrument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6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 Protein Molecule Flow Cell</w:t>
      </w:r>
    </w:p>
    <w:p>
      <w:pPr>
        <w:spacing w:after="0" w:line="16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01"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32"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896620</wp:posOffset>
            </wp:positionH>
            <wp:positionV relativeFrom="page">
              <wp:posOffset>669290</wp:posOffset>
            </wp:positionV>
            <wp:extent cx="5755005" cy="2498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755005"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93055" cy="2557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93055"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firstLine="318"/>
        <w:spacing w:after="0" w:line="264" w:lineRule="auto"/>
        <w:rPr>
          <w:sz w:val="20"/>
          <w:szCs w:val="20"/>
          <w:color w:val="auto"/>
        </w:rPr>
      </w:pPr>
      <w:r>
        <w:rPr>
          <w:rFonts w:ascii="Arial" w:cs="Arial" w:eastAsia="Arial" w:hAnsi="Arial"/>
          <w:sz w:val="18"/>
          <w:szCs w:val="18"/>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88900</wp:posOffset>
            </wp:positionV>
            <wp:extent cx="3786505" cy="295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8650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Proteome Analysis System: An Integrated Multi-cycle Optical and Fluidics Instrument</w:t>
      </w:r>
    </w:p>
    <w:p>
      <w:pPr>
        <w:spacing w:after="0" w:line="16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Multi-Cycle Affinity Probe Reagent Binding, Imaging, Washing, and Re-Binding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111760</wp:posOffset>
            </wp:positionV>
            <wp:extent cx="5174615" cy="3003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4615" cy="300355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type w:val="continuous"/>
        </w:sectPr>
      </w:pPr>
    </w:p>
    <w:bookmarkStart w:id="18" w:name="page19"/>
    <w:bookmarkEnd w:id="18"/>
    <w:p>
      <w:pPr>
        <w:ind w:firstLine="318"/>
        <w:spacing w:after="0" w:line="249" w:lineRule="auto"/>
        <w:rPr>
          <w:sz w:val="20"/>
          <w:szCs w:val="20"/>
          <w:color w:val="auto"/>
        </w:rPr>
      </w:pPr>
      <w:r>
        <w:rPr>
          <w:rFonts w:ascii="Arial" w:cs="Arial" w:eastAsia="Arial" w:hAnsi="Arial"/>
          <w:sz w:val="18"/>
          <w:szCs w:val="18"/>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4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3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Multi-Affinity Probe Reagents for Efficient Whole Proteome Analysis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41"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4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reagent probes and binds to many different proteins that contain the short linear epitope target, each we describe as a “multi-affinity probe”. While the binding of a single multi-affinity probe is not sufficient to identify a given protein, sequential binding events using a series of multi-affinity probes can create enough information that it is sufficiently powerful to accurately identify an exceptionally broad number of proteins present in a sample. In this approach, each new multi-affinity probe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probes.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color w:val="auto"/>
        </w:rPr>
        <w:t>Nautilus Platform Technology Protein Identification with Increasing Multi-Affinity Probe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111760</wp:posOffset>
            </wp:positionV>
            <wp:extent cx="5553075" cy="2684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307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Source: A theoretical framework for proteome-scale single-molecule protein identification using multi-affinity protein binding reagents. Jarrett 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Egertson, Dan DiPasquo, Alana Killeen, Vadim Lobanov, Sujal Patel, Parag Mallick bioRxiv 2021.10.11.463967.</w:t>
      </w:r>
    </w:p>
    <w:p>
      <w:pPr>
        <w:spacing w:after="0" w:line="153"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therefore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6"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Our proprietary algorithm is thereby trained using experimental data from our multi-affinity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0" w:name="page21"/>
    <w:bookmarkEnd w:id="20"/>
    <w:p>
      <w:pPr>
        <w:ind w:right="620" w:firstLine="318"/>
        <w:spacing w:after="0" w:line="264" w:lineRule="auto"/>
        <w:rPr>
          <w:sz w:val="20"/>
          <w:szCs w:val="20"/>
          <w:color w:val="auto"/>
        </w:rPr>
      </w:pPr>
      <w:r>
        <w:rPr>
          <w:rFonts w:ascii="Arial" w:cs="Arial" w:eastAsia="Arial" w:hAnsi="Arial"/>
          <w:sz w:val="18"/>
          <w:szCs w:val="18"/>
          <w:color w:val="auto"/>
        </w:rPr>
        <w:t>Nautilus Platform Technology Can Identify a Protein by Analyzing Data from Multiple Cycles of Multi-Affinity Probe Binding Event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88900</wp:posOffset>
            </wp:positionV>
            <wp:extent cx="5553075" cy="295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307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 Internal Data</w:t>
      </w:r>
    </w:p>
    <w:p>
      <w:pPr>
        <w:spacing w:after="0" w:line="16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6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041" w:right="419" w:bottom="1440" w:gutter="0" w:footer="0" w:header="0"/>
        </w:sectPr>
      </w:pPr>
    </w:p>
    <w:bookmarkStart w:id="21" w:name="page22"/>
    <w:bookmarkEnd w:id="21"/>
    <w:p>
      <w:pPr>
        <w:ind w:right="120" w:firstLine="318"/>
        <w:spacing w:after="0" w:line="264"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88900</wp:posOffset>
            </wp:positionV>
            <wp:extent cx="5755005" cy="175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5005" cy="175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1 – Sample Preparation</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during the library preparation process, which requires approximately 2-3 hours of hands-on time over a 2-day protocol.</w:t>
      </w:r>
    </w:p>
    <w:p>
      <w:pPr>
        <w:spacing w:after="0" w:line="138"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2 – Sample Deposition onto the Flow Cell</w:t>
      </w:r>
    </w:p>
    <w:p>
      <w:pPr>
        <w:spacing w:after="0" w:line="164"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8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3 – Integrated Imaging and Fluidics System Processing Multiple Cycles of Affinity Reagents</w:t>
      </w:r>
    </w:p>
    <w:p>
      <w:pPr>
        <w:spacing w:after="0" w:line="164"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Following protein library deposition, the proteome analysis system then initiates the multi-cycle interrogation of each single-molecule bound to the surface of the flow cell. This process entails introducing fluorescent dye labeled multi-affinity probes into the flow cell, rinsing out the unbound fraction, imaging the surface area, and then stripping and washing the multi-affinity probe away. This entire process is then repeated sequentially to collect data on the desired number of cycles in the system run, where each cycle is a unique batch of multi-affinity probes intended to identify a set of target epitopes.</w:t>
      </w:r>
    </w:p>
    <w:p>
      <w:pPr>
        <w:spacing w:after="0" w:line="93"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4 – Processing of Digitalized Proteomic Data</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multi-affinity probe binding events, effectively digitizing up to approximately 20 terabytes of raw image analyzed proteomic data.</w:t>
      </w:r>
    </w:p>
    <w:p>
      <w:pPr>
        <w:spacing w:after="0" w:line="135"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multi-affinity probe binding event at each location to determine protein identity and quantity.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Simple and Robust Sample Handling</w:t>
      </w:r>
    </w:p>
    <w:p>
      <w:pPr>
        <w:spacing w:after="0" w:line="164"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the protocol is highly compatible with standard lab automation equipment and workflows, which is expected to further minimize the effort required while increasing laboratory processing throughput. Also, unlike existing shotgun proteomics methods, no sample protein digestion is required in our method which in turn makes the workflow very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2" w:name="page23"/>
    <w:bookmarkEnd w:id="22"/>
    <w:p>
      <w:pPr>
        <w:ind w:right="300"/>
        <w:spacing w:after="0" w:line="264" w:lineRule="auto"/>
        <w:rPr>
          <w:sz w:val="20"/>
          <w:szCs w:val="20"/>
          <w:color w:val="auto"/>
        </w:rPr>
      </w:pPr>
      <w:r>
        <w:rPr>
          <w:rFonts w:ascii="Arial" w:cs="Arial" w:eastAsia="Arial" w:hAnsi="Arial"/>
          <w:sz w:val="18"/>
          <w:szCs w:val="18"/>
          <w:color w:val="auto"/>
        </w:rPr>
        <w:t>simple. The result is a process that is expected to effectively prepare a sample into a library ready to load on the flow cell with approximately 2-3 hours of hands-on time completed over a 2 day period.</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111760</wp:posOffset>
            </wp:positionV>
            <wp:extent cx="4559935" cy="2868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59935"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23" w:name="page24"/>
    <w:bookmarkEnd w:id="23"/>
    <w:p>
      <w:pPr>
        <w:ind w:left="32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84800" cy="2280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8480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64" w:lineRule="exact"/>
        <w:rPr>
          <w:sz w:val="20"/>
          <w:szCs w:val="20"/>
          <w:color w:val="auto"/>
        </w:rPr>
      </w:pPr>
    </w:p>
    <w:p>
      <w:pPr>
        <w:ind w:firstLine="318"/>
        <w:spacing w:after="0" w:line="273" w:lineRule="auto"/>
        <w:rPr>
          <w:sz w:val="20"/>
          <w:szCs w:val="20"/>
          <w:color w:val="auto"/>
        </w:rPr>
      </w:pPr>
      <w:r>
        <w:rPr>
          <w:rFonts w:ascii="Arial" w:cs="Arial" w:eastAsia="Arial" w:hAnsi="Arial"/>
          <w:sz w:val="16"/>
          <w:szCs w:val="16"/>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2"/>
          <w:szCs w:val="22"/>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87630</wp:posOffset>
            </wp:positionV>
            <wp:extent cx="2692400" cy="2439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2400" cy="243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Development and Characterization of Multi-Affinity Probes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Multi-affinity probe discovery and development pipelines have been built that generate multi-affinity probe candidates that target short peptides, typically three amino acids in length. These pipelines employ multiple candidate discovery methods to identify and select antibody, antibody fragment, or nucleic acid based candidate multi-affinity probes. Promising candidates are</w:t>
      </w:r>
    </w:p>
    <w:p>
      <w:pPr>
        <w:sectPr>
          <w:pgSz w:w="11900" w:h="16838" w:orient="portrait"/>
          <w:cols w:equalWidth="0" w:num="1">
            <w:col w:w="11200"/>
          </w:cols>
          <w:pgMar w:left="320" w:top="1041" w:right="3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type w:val="continuous"/>
        </w:sectPr>
      </w:pPr>
    </w:p>
    <w:bookmarkStart w:id="24" w:name="page25"/>
    <w:bookmarkEnd w:id="24"/>
    <w:p>
      <w:pPr>
        <w:ind w:right="140"/>
        <w:spacing w:after="0" w:line="264" w:lineRule="auto"/>
        <w:rPr>
          <w:sz w:val="20"/>
          <w:szCs w:val="20"/>
          <w:color w:val="auto"/>
        </w:rPr>
      </w:pPr>
      <w:r>
        <w:rPr>
          <w:rFonts w:ascii="Arial" w:cs="Arial" w:eastAsia="Arial" w:hAnsi="Arial"/>
          <w:sz w:val="18"/>
          <w:szCs w:val="18"/>
          <w:color w:val="auto"/>
        </w:rPr>
        <w:t>further screened in assays to determine EC50 values off-platform (example results for two candidate probes shown below), and then leads are evaluated in detail for their performance on the Nautilus proteome analysis platform.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Multi-Affinity Probe Discovery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111760</wp:posOffset>
            </wp:positionV>
            <wp:extent cx="5553075" cy="4434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3075" cy="443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Model Protein Decoding</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Bringing multiple aspects of the platform together, we created a control sample library using model synthetic proteins that were designed to be multi-epitope controls to demonstrate the PrISM decoding method in action on the Nautilus platform. A multi-cycle run was completed using 24 unique multi-affinity probes. Shown below is the detection of Model Protein 1 (MP1) across two replicate datasets. The relative count of MP1 identifications within the library was generated by decoding the pattern of binding events at each location present on the flow cell over the course of the multi-cycle run. In the figure below, the observed binding events (yellow) for each cycle of multi-affinity probes matched the expected binding events unique to the MP1 epitopes present (top orange) vs the MP2 epitopes (bottom orange).</w:t>
      </w: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041" w:right="519" w:bottom="1440" w:gutter="0" w:footer="0" w:header="0"/>
        </w:sectPr>
      </w:pPr>
    </w:p>
    <w:bookmarkStart w:id="25" w:name="page26"/>
    <w:bookmarkEnd w:id="25"/>
    <w:p>
      <w:pPr>
        <w:ind w:left="320"/>
        <w:spacing w:after="0"/>
        <w:rPr>
          <w:sz w:val="20"/>
          <w:szCs w:val="20"/>
          <w:color w:val="auto"/>
        </w:rPr>
      </w:pPr>
      <w:r>
        <w:rPr>
          <w:rFonts w:ascii="Arial" w:cs="Arial" w:eastAsia="Arial" w:hAnsi="Arial"/>
          <w:sz w:val="18"/>
          <w:szCs w:val="18"/>
          <w:color w:val="auto"/>
        </w:rPr>
        <w:t>Model Protein 1 Decoded by PrISM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111760</wp:posOffset>
            </wp:positionV>
            <wp:extent cx="5553075" cy="1910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53075" cy="191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111760</wp:posOffset>
            </wp:positionV>
            <wp:extent cx="5755005" cy="2364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5005"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Illustrating this concept in the diagram below, during the first cycle we use an anti Tau affinity reagent to identify all of the Tau proteins present on the flow cell. Then over the next 4 cycles we detect each Tau molecule again, only now with a slightly different affinity reagent that targets a different isoform or phosphorylation modification on the Tau protein. Looking at this data together over 5 cycles, our technology is potentially able to distinguish up to 16 different proteoforms (in this case, different isoform and phosphorylated patterns) of the same Tau protein.</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26" w:name="page27"/>
    <w:bookmarkEnd w:id="26"/>
    <w:p>
      <w:pPr>
        <w:ind w:left="320"/>
        <w:spacing w:after="0"/>
        <w:rPr>
          <w:sz w:val="20"/>
          <w:szCs w:val="20"/>
          <w:color w:val="auto"/>
        </w:rPr>
      </w:pPr>
      <w:r>
        <w:rPr>
          <w:rFonts w:ascii="Arial" w:cs="Arial" w:eastAsia="Arial" w:hAnsi="Arial"/>
          <w:sz w:val="18"/>
          <w:szCs w:val="18"/>
          <w:color w:val="auto"/>
        </w:rPr>
        <w:t>Workflow for the Detection of Tau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111760</wp:posOffset>
            </wp:positionV>
            <wp:extent cx="5553075" cy="3138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3075" cy="313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protein counts in the image above are for illustration purposes only.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Demonstrating this workflow in action, on a single chip we deposited positive control Tau proteins, a negative control (ubiquitin), and a mixture of four Tau proteoforms. After correcting for non-specific binding and antibody false negative rates, we detected all four proteoforms in the complex mixture. Over 500k molecules were analyzed.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Proteoform Pattern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111760</wp:posOffset>
            </wp:positionV>
            <wp:extent cx="2389505" cy="258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89505" cy="258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Further demonstrating the ability of this workflow to identify increasingly lower levels of Tau protein in complex mixtures, below recombinant 0N4R Tau (exogenously phosphorylated by the ERK2 kinase) was spiked in to a K562 cell lysate. Tau was added at 0 (no spike control), 5%, 10%, or 20% of total protein. Tau protein was then enriched by immunoprecipitation and detected with the Tau anti-0N antibody.</w:t>
      </w:r>
    </w:p>
    <w:p>
      <w:pPr>
        <w:sectPr>
          <w:pgSz w:w="11900" w:h="16838" w:orient="portrait"/>
          <w:cols w:equalWidth="0" w:num="1">
            <w:col w:w="11040"/>
          </w:cols>
          <w:pgMar w:left="320" w:top="1041" w:right="5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041" w:right="539" w:bottom="1440" w:gutter="0" w:footer="0" w:header="0"/>
          <w:type w:val="continuous"/>
        </w:sectPr>
      </w:pPr>
    </w:p>
    <w:bookmarkStart w:id="27" w:name="page28"/>
    <w:bookmarkEnd w:id="27"/>
    <w:p>
      <w:pPr>
        <w:ind w:left="320"/>
        <w:spacing w:after="0"/>
        <w:rPr>
          <w:sz w:val="20"/>
          <w:szCs w:val="20"/>
          <w:color w:val="auto"/>
        </w:rPr>
      </w:pPr>
      <w:r>
        <w:rPr>
          <w:rFonts w:ascii="Arial" w:cs="Arial" w:eastAsia="Arial" w:hAnsi="Arial"/>
          <w:sz w:val="18"/>
          <w:szCs w:val="18"/>
          <w:color w:val="auto"/>
        </w:rPr>
        <w:t>Detection of Low Tau Levels in a Cell Lysate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2082165</wp:posOffset>
            </wp:positionH>
            <wp:positionV relativeFrom="paragraph">
              <wp:posOffset>111760</wp:posOffset>
            </wp:positionV>
            <wp:extent cx="2987040" cy="2347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87040" cy="234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0" w:lineRule="exact"/>
        <w:rPr>
          <w:sz w:val="20"/>
          <w:szCs w:val="20"/>
          <w:color w:val="auto"/>
        </w:rPr>
      </w:pPr>
    </w:p>
    <w:p>
      <w:pPr>
        <w:ind w:right="680" w:firstLine="318"/>
        <w:spacing w:after="0" w:line="271" w:lineRule="auto"/>
        <w:rPr>
          <w:sz w:val="20"/>
          <w:szCs w:val="20"/>
          <w:color w:val="auto"/>
        </w:rPr>
      </w:pPr>
      <w:r>
        <w:rPr>
          <w:rFonts w:ascii="Arial" w:cs="Arial" w:eastAsia="Arial" w:hAnsi="Arial"/>
          <w:sz w:val="17"/>
          <w:szCs w:val="17"/>
          <w:color w:val="auto"/>
        </w:rPr>
        <w:t>In order to achieve our goal of broad commercialization by mid-2024,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124"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0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Assuming the completion of our development across these focal areas on our currently anticipated timeline, as well as additional related development activities, we believe we will be in position to achieve our goal of broad commercialization by mid-2024.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0"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2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color w:val="auto"/>
        </w:rPr>
        <w:t>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88900</wp:posOffset>
            </wp:positionV>
            <wp:extent cx="5468620" cy="2355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6862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32"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open nature of the Nautilus platform creates the opportunity to partner with third-parties on the development and supply of affinity reagents for use on our instrument.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93"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44"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29" w:name="page30"/>
    <w:bookmarkEnd w:id="29"/>
    <w:p>
      <w:pPr>
        <w:ind w:right="620"/>
        <w:spacing w:after="0" w:line="264" w:lineRule="auto"/>
        <w:rPr>
          <w:sz w:val="20"/>
          <w:szCs w:val="20"/>
          <w:color w:val="auto"/>
        </w:rPr>
      </w:pPr>
      <w:r>
        <w:rPr>
          <w:rFonts w:ascii="Arial" w:cs="Arial" w:eastAsia="Arial" w:hAnsi="Arial"/>
          <w:sz w:val="18"/>
          <w:szCs w:val="18"/>
          <w:color w:val="auto"/>
        </w:rPr>
        <w:t>one analysis workflow. We believe discovery focused proteoform specific reagents could be used in combination with our multi-affinity broad protein detection method to enhance the output of our analyses.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9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Biomarker Discovery</w:t>
      </w:r>
    </w:p>
    <w:p>
      <w:pPr>
        <w:spacing w:after="0" w:line="16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It has been published that approximately 95% of FDA-approved drug targets are proteins. The Human Protein Atlas collaborative research project identified that FDA-approved drugs are targeting up to 812 separate human proteins and that there are 4,514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64"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0" w:name="page31"/>
    <w:bookmarkEnd w:id="30"/>
    <w:p>
      <w:pPr>
        <w:ind w:right="40"/>
        <w:spacing w:after="0" w:line="312" w:lineRule="auto"/>
        <w:rPr>
          <w:sz w:val="20"/>
          <w:szCs w:val="20"/>
          <w:color w:val="auto"/>
        </w:rPr>
      </w:pPr>
      <w:r>
        <w:rPr>
          <w:rFonts w:ascii="Arial" w:cs="Arial" w:eastAsia="Arial" w:hAnsi="Arial"/>
          <w:sz w:val="15"/>
          <w:szCs w:val="15"/>
          <w:color w:val="auto"/>
        </w:rPr>
        <w:t>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6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0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6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29"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OUR PRODUCTS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Our primary business model is anticipated to be focused on the commercialization of our Nautilus platform through the sale of instrumentation, reagent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and reporting of our data in the cloud.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Proteome Analysis System</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Our proteome analysis system is a high-resolution optical imaging system coupled with integrated fluidics and liquid handling sub-systems. The system is designed to deposit protein libraries onto a flow cell and to process labeled multi-affinity probe binding and imaging cycles rapidly in order to decode and quantify the vast majority of proteins present in biological samples. After the reagent kits, samples (protein libraries), and flow cells are loaded onto the system, the remainder of the workflow is automated.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Reagent Kits</w:t>
      </w:r>
    </w:p>
    <w:p>
      <w:pPr>
        <w:spacing w:after="0" w:line="16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System run reagent kits are comprised of four main components: sample preparation, flow cell(s), multi-affinity probe reagents, and instrument buffers used to perform multi-cycle analysis runs.</w:t>
      </w:r>
    </w:p>
    <w:p>
      <w:pPr>
        <w:spacing w:after="0" w:line="12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Our proprietary sample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however we do intend to be compatible with such pre-treated samples.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an effort to provide maximum flexibility, our initial flow cell design includes four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in the future.</w:t>
      </w:r>
    </w:p>
    <w:p>
      <w:pPr>
        <w:spacing w:after="0" w:line="141"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Affinity binding reagents will also be included as a reagent kit. Kits will be offered in configurations that cover a catalog of proteomic content. We intend to supply a standardized set of multi-affinity probe reagents for the broadscale detection of proteins, or “proteome kits,” as well as protein-specific or proteoform-specific kits, or “targeted proteoform kits,” focused on high interest protein targets in key disease areas. Additionally, custom affinity reagent labeling kits are expected to be supplied in the future to enable customers to label their own in-house developed or purchased affinity reagents to be compatible with Nautilus workflows for use on the system.</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64" w:lineRule="exact"/>
        <w:rPr>
          <w:sz w:val="20"/>
          <w:szCs w:val="20"/>
          <w:color w:val="auto"/>
        </w:rPr>
      </w:pPr>
    </w:p>
    <w:p>
      <w:pPr>
        <w:ind w:right="280" w:firstLine="318"/>
        <w:spacing w:after="0" w:line="249" w:lineRule="auto"/>
        <w:rPr>
          <w:sz w:val="20"/>
          <w:szCs w:val="20"/>
          <w:color w:val="auto"/>
        </w:rPr>
      </w:pPr>
      <w:r>
        <w:rPr>
          <w:rFonts w:ascii="Arial" w:cs="Arial" w:eastAsia="Arial" w:hAnsi="Arial"/>
          <w:sz w:val="18"/>
          <w:szCs w:val="18"/>
          <w:color w:val="auto"/>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probe binding profiles are refined and trained across a growing database. We expect our software enhancements in performance will also be accessible to customers who wish to re-analyze prior run data with later versions to deliver new insight and discovery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SALES &amp; MARKETING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64"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2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We believe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28"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46"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post-proteome analysis system launch.</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6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Early Access Program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Proteome Analysis System Launch &amp; Commercial Scale Up</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of the milestones on our development plan are potentially new and unprecedented advancements we can leverage to build commercial momentum.</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Aligning Go-to-Market Strategy with Research and Development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111760</wp:posOffset>
            </wp:positionV>
            <wp:extent cx="5553075" cy="2877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53075" cy="287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Collaborations &amp; Partnerships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Early Access Program</w:t>
      </w:r>
    </w:p>
    <w:p>
      <w:pPr>
        <w:spacing w:after="0" w:line="164"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99" w:lineRule="exact"/>
        <w:rPr>
          <w:sz w:val="20"/>
          <w:szCs w:val="20"/>
          <w:color w:val="auto"/>
        </w:rPr>
      </w:pPr>
    </w:p>
    <w:p>
      <w:pPr>
        <w:jc w:val="both"/>
        <w:ind w:right="160" w:firstLine="318"/>
        <w:spacing w:after="0" w:line="318" w:lineRule="auto"/>
        <w:rPr>
          <w:sz w:val="20"/>
          <w:szCs w:val="20"/>
          <w:color w:val="auto"/>
        </w:rPr>
      </w:pPr>
      <w:r>
        <w:rPr>
          <w:rFonts w:ascii="Arial" w:cs="Arial" w:eastAsia="Arial" w:hAnsi="Arial"/>
          <w:sz w:val="15"/>
          <w:szCs w:val="15"/>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4" w:name="page35"/>
    <w:bookmarkEnd w:id="34"/>
    <w:p>
      <w:pPr>
        <w:ind w:left="320"/>
        <w:spacing w:after="0"/>
        <w:rPr>
          <w:sz w:val="20"/>
          <w:szCs w:val="20"/>
          <w:color w:val="auto"/>
        </w:rPr>
      </w:pPr>
      <w:r>
        <w:rPr>
          <w:rFonts w:ascii="Arial" w:cs="Arial" w:eastAsia="Arial" w:hAnsi="Arial"/>
          <w:sz w:val="18"/>
          <w:szCs w:val="18"/>
          <w:i w:val="1"/>
          <w:iCs w:val="1"/>
          <w:color w:val="auto"/>
        </w:rPr>
        <w:t>Proteome Analysis System Launch and Commercial Scale Up</w:t>
      </w:r>
    </w:p>
    <w:p>
      <w:pPr>
        <w:spacing w:after="0" w:line="16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At full commercial proteome analysis system launch, we expect to continue offering our Proteomic Data Early Access Program, and to maintain the laboratory services to continue supporting proof of concept and pilot projects for an extended 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01"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04"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Demonstrating the ability to unlock new sources of primary biological information with proteoform mapping and rare protein detection;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Providing immense data production capacity, driving discovery by enabling large scale studies and building our database to become a strategic asset;</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impact in translational research for clinical applications, precision medicine and diagnostics.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Partnerships</w:t>
      </w:r>
    </w:p>
    <w:p>
      <w:pPr>
        <w:spacing w:after="0" w:line="16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In December of 2020, we signed a research collaboration agreement with Genentech to engage in a pilot study using our technology. We are collaborating with Genentech using our proteome analysis system to analyze and map the proteoform landscape of a Genentech protein target of interest. In October 2021, we entered into a research collaboration agreement with Amgen in which the Nautilus platform will be used across a number of projects to investigate proteins and proteoforms of interest to the both organizations. In October 2021, we signed a research agreement with The University of Texas MD Anderson Cancer Center. In this research collaboration the Nautilus platform will be applied in measuring the quantity and patterns of post-translational modifications on specific oncology protein targets of interest across different settings, such as pre- and post treatment. And, in January of 2023, we entered into a research collaboration with the Translational Genomics Research Institute, which is a Phoenix, Arizona-based nonprofit organization dedicated to conducting groundbreaking research with life-changing results. Translational Genomics Research Institute is part of City of Hope, a world-renowned independent research and treatment center for cancer, diabetes and other life-threatening diseases. All of the above research collaborations are consistent with our objectives in Phase I of our commercial go-to-market strategy to establish external collaborations and relationships that produce data and publications exploring the utility and strengths of our Nautilus platform technology.</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64"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5" w:name="page36"/>
    <w:bookmarkEnd w:id="35"/>
    <w:p>
      <w:pPr>
        <w:ind w:right="60"/>
        <w:spacing w:after="0" w:line="300" w:lineRule="auto"/>
        <w:rPr>
          <w:sz w:val="20"/>
          <w:szCs w:val="20"/>
          <w:color w:val="auto"/>
        </w:rPr>
      </w:pPr>
      <w:r>
        <w:rPr>
          <w:rFonts w:ascii="Arial" w:cs="Arial" w:eastAsia="Arial" w:hAnsi="Arial"/>
          <w:sz w:val="15"/>
          <w:szCs w:val="15"/>
          <w:color w:val="auto"/>
        </w:rPr>
        <w:t>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5"/>
          <w:szCs w:val="15"/>
          <w:i w:val="1"/>
          <w:iCs w:val="1"/>
          <w:color w:val="auto"/>
        </w:rPr>
        <w:t>Risk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Risks Related to our Business.</w:t>
      </w:r>
      <w:r>
        <w:rPr>
          <w:rFonts w:ascii="Arial" w:cs="Arial" w:eastAsia="Arial" w:hAnsi="Arial"/>
          <w:sz w:val="18"/>
          <w:szCs w:val="18"/>
          <w:color w:val="auto"/>
        </w:rPr>
        <w:t>”</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07"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9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6" w:name="page37"/>
    <w:bookmarkEnd w:id="36"/>
    <w:p>
      <w:pPr>
        <w:ind w:right="120"/>
        <w:spacing w:after="0" w:line="309" w:lineRule="auto"/>
        <w:rPr>
          <w:sz w:val="20"/>
          <w:szCs w:val="20"/>
          <w:color w:val="auto"/>
        </w:rPr>
      </w:pPr>
      <w:r>
        <w:rPr>
          <w:rFonts w:ascii="Arial" w:cs="Arial" w:eastAsia="Arial" w:hAnsi="Arial"/>
          <w:sz w:val="15"/>
          <w:szCs w:val="15"/>
          <w:color w:val="auto"/>
        </w:rPr>
        <w:t>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99" w:lineRule="exact"/>
        <w:rPr>
          <w:sz w:val="20"/>
          <w:szCs w:val="20"/>
          <w:color w:val="auto"/>
        </w:rPr>
      </w:pPr>
    </w:p>
    <w:p>
      <w:pPr>
        <w:ind w:right="280" w:firstLine="318"/>
        <w:spacing w:after="0" w:line="265"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5" w:lineRule="exact"/>
        <w:rPr>
          <w:sz w:val="20"/>
          <w:szCs w:val="20"/>
          <w:color w:val="auto"/>
        </w:rPr>
      </w:pPr>
    </w:p>
    <w:p>
      <w:pPr>
        <w:ind w:right="220" w:firstLine="318"/>
        <w:spacing w:after="0" w:line="264"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2"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7" w:name="page38"/>
    <w:bookmarkEnd w:id="37"/>
    <w:p>
      <w:pPr>
        <w:ind w:firstLine="318"/>
        <w:spacing w:after="0" w:line="262"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04" w:lineRule="exact"/>
        <w:rPr>
          <w:sz w:val="20"/>
          <w:szCs w:val="20"/>
          <w:color w:val="auto"/>
        </w:rPr>
      </w:pPr>
    </w:p>
    <w:p>
      <w:pPr>
        <w:ind w:right="280" w:firstLine="318"/>
        <w:spacing w:after="0" w:line="318" w:lineRule="auto"/>
        <w:rPr>
          <w:sz w:val="20"/>
          <w:szCs w:val="20"/>
          <w:color w:val="auto"/>
        </w:rPr>
      </w:pPr>
      <w:r>
        <w:rPr>
          <w:rFonts w:ascii="Arial" w:cs="Arial" w:eastAsia="Arial" w:hAnsi="Arial"/>
          <w:sz w:val="15"/>
          <w:szCs w:val="15"/>
          <w:color w:val="auto"/>
        </w:rPr>
        <w:t>In August 2020, the Department of Health and Human Services, or HHS, announced rescission of guidance and other informal issuances of the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the FDA’s longstanding approach.</w:t>
      </w:r>
    </w:p>
    <w:p>
      <w:pPr>
        <w:spacing w:after="0" w:line="93"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Legislative and administrative proposals to amend the FDA's oversight of LDTs have been introduced in recent years,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It is unclear how future legislation by federal and state governments and FDA regulation will impact the industry, including our business and that of our customers.</w:t>
      </w:r>
    </w:p>
    <w:p>
      <w:pPr>
        <w:spacing w:after="0" w:line="9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0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8"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8" w:name="page39"/>
    <w:bookmarkEnd w:id="38"/>
    <w:p>
      <w:pPr>
        <w:ind w:right="120"/>
        <w:spacing w:after="0" w:line="255" w:lineRule="auto"/>
        <w:rPr>
          <w:sz w:val="20"/>
          <w:szCs w:val="20"/>
          <w:color w:val="auto"/>
        </w:rPr>
      </w:pPr>
      <w:r>
        <w:rPr>
          <w:rFonts w:ascii="Arial" w:cs="Arial" w:eastAsia="Arial" w:hAnsi="Arial"/>
          <w:sz w:val="18"/>
          <w:szCs w:val="18"/>
          <w:color w:val="auto"/>
        </w:rPr>
        <w:t>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5"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0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324"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4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Patents</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28"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As of December 31, 2022, we owned eight issued U.S. patents, approximately twenty-nine pending U.S. non-provisional patent applications, approximately twenty-two pending U.S. provisional patent applications, and approximately fifty-five pending foreign patent applications, including twelve international patent applications filed under the Patent Cooperation Treaty (PCT application). Our owned patents and patent applications, if issued, are expected to expire between 2037 and 2043, in each</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auto"/>
        </w:rPr>
        <w:t>case absent any patent term adjustments or extensions and assuming payment of all appropriate maintenance, renewal, annuity, or other governmental fees.</w:t>
      </w:r>
    </w:p>
    <w:p>
      <w:pPr>
        <w:spacing w:after="0" w:line="199"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 Secrets</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Trademarks</w:t>
      </w:r>
    </w:p>
    <w:p>
      <w:pPr>
        <w:spacing w:after="0" w:line="164"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As of December 31, 2022, we owned approximately six registered trademarks in China, the United Kingdom, and Europe. In addition, we have seven pending trademark applications in the U.S., Australia, Brazil, Canada, China, the European Union, India, Israel, Japan, Korea, Mexico, Singapore, Switzerland, and the United Kingdom.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0"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We have entered into research collaboration agreements with Genentech in December 2020, with Amgen in October 2021, with The University of Texas MD Anderson Cancer Center in October 2021, and with Translational Genomics Research Institute in January 2023.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Ruedi Aebersold, Ph.D.</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Lee Hartwell, Ph.D.</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Joshua LaBaer, MD, Ph.D.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Emma Lundberg, Ph.D.</w:t>
      </w:r>
    </w:p>
    <w:p>
      <w:pPr>
        <w:spacing w:after="0" w:line="164" w:lineRule="exact"/>
        <w:rPr>
          <w:sz w:val="20"/>
          <w:szCs w:val="20"/>
          <w:color w:val="auto"/>
        </w:rPr>
      </w:pPr>
    </w:p>
    <w:p>
      <w:pPr>
        <w:jc w:val="both"/>
        <w:ind w:right="500" w:firstLine="318"/>
        <w:spacing w:after="0" w:line="255" w:lineRule="auto"/>
        <w:rPr>
          <w:sz w:val="20"/>
          <w:szCs w:val="20"/>
          <w:color w:val="auto"/>
        </w:rPr>
      </w:pPr>
      <w:r>
        <w:rPr>
          <w:rFonts w:ascii="Arial" w:cs="Arial" w:eastAsia="Arial" w:hAnsi="Arial"/>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As of December 31, 2022, we had 134 employees, all based in the United States, 51 of whom hold doctorate degrees. Of these employees, 95 were engaged in research and development activities, and 39 were engaged in general and administrative activities. None of our employees are represented by a labor union or covered under a collective bargaining agreement.</w:t>
      </w:r>
    </w:p>
    <w:p>
      <w:pPr>
        <w:spacing w:after="0" w:line="135" w:lineRule="exact"/>
        <w:rPr>
          <w:sz w:val="20"/>
          <w:szCs w:val="20"/>
          <w:color w:val="auto"/>
        </w:rPr>
      </w:pPr>
    </w:p>
    <w:p>
      <w:pPr>
        <w:ind w:right="400" w:firstLine="318"/>
        <w:spacing w:after="0" w:line="27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41"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principal executive offices are located at 2701 Eastlake Avenue East Seattle, Washington, 98102, and our telephone number is (206) 333-2001. Our investor relations website is located at http://www.nautilus.bio/investors/. Information contained on the website is not incorporated by reference into this Form 10-K or any other filings we make with the SEC.</w:t>
      </w:r>
    </w:p>
    <w:p>
      <w:pPr>
        <w:spacing w:after="0" w:line="135"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280" w:firstLine="324"/>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ind w:left="-320" w:firstLine="324"/>
        <w:spacing w:after="0" w:line="264" w:lineRule="auto"/>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7" w:lineRule="exact"/>
        <w:rPr>
          <w:rFonts w:ascii="Arial" w:cs="Arial" w:eastAsia="Arial" w:hAnsi="Arial"/>
          <w:sz w:val="18"/>
          <w:szCs w:val="18"/>
          <w:color w:val="auto"/>
        </w:rPr>
      </w:pPr>
    </w:p>
    <w:p>
      <w:pPr>
        <w:ind w:left="-320" w:right="1100" w:firstLine="324"/>
        <w:spacing w:after="0" w:line="264" w:lineRule="auto"/>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27" w:lineRule="exact"/>
        <w:rPr>
          <w:rFonts w:ascii="Arial" w:cs="Arial" w:eastAsia="Arial" w:hAnsi="Arial"/>
          <w:sz w:val="18"/>
          <w:szCs w:val="18"/>
          <w:color w:val="auto"/>
        </w:rPr>
      </w:pPr>
    </w:p>
    <w:p>
      <w:pPr>
        <w:ind w:left="-320" w:right="520" w:firstLine="324"/>
        <w:spacing w:after="0" w:line="264" w:lineRule="auto"/>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27" w:lineRule="exact"/>
        <w:rPr>
          <w:rFonts w:ascii="Arial" w:cs="Arial" w:eastAsia="Arial" w:hAnsi="Arial"/>
          <w:sz w:val="18"/>
          <w:szCs w:val="18"/>
          <w:color w:val="auto"/>
        </w:rPr>
      </w:pPr>
    </w:p>
    <w:p>
      <w:pPr>
        <w:ind w:left="320" w:hanging="316"/>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left="-320" w:right="40" w:firstLine="324"/>
        <w:spacing w:after="0" w:line="294" w:lineRule="auto"/>
        <w:tabs>
          <w:tab w:leader="none" w:pos="3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04" w:lineRule="exact"/>
        <w:rPr>
          <w:rFonts w:ascii="Arial" w:cs="Arial" w:eastAsia="Arial" w:hAnsi="Arial"/>
          <w:sz w:val="17"/>
          <w:szCs w:val="17"/>
          <w:color w:val="auto"/>
        </w:rPr>
      </w:pPr>
    </w:p>
    <w:p>
      <w:pPr>
        <w:ind w:left="320" w:hanging="316"/>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170" w:lineRule="exact"/>
        <w:rPr>
          <w:sz w:val="20"/>
          <w:szCs w:val="20"/>
          <w:color w:val="auto"/>
        </w:rPr>
      </w:pPr>
    </w:p>
    <w:p>
      <w:pPr>
        <w:ind w:left="-320" w:right="260" w:firstLine="324"/>
        <w:spacing w:after="0" w:line="264" w:lineRule="auto"/>
        <w:tabs>
          <w:tab w:leader="none" w:pos="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27" w:lineRule="exact"/>
        <w:rPr>
          <w:rFonts w:ascii="Arial" w:cs="Arial" w:eastAsia="Arial" w:hAnsi="Arial"/>
          <w:sz w:val="18"/>
          <w:szCs w:val="18"/>
          <w:color w:val="auto"/>
        </w:rPr>
      </w:pPr>
    </w:p>
    <w:p>
      <w:pPr>
        <w:ind w:left="320" w:hanging="316"/>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0" w:lineRule="exact"/>
        <w:rPr>
          <w:sz w:val="20"/>
          <w:szCs w:val="20"/>
          <w:color w:val="auto"/>
        </w:rPr>
      </w:pPr>
    </w:p>
    <w:p>
      <w:pPr>
        <w:ind w:left="320" w:hanging="316"/>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64" w:lineRule="exact"/>
        <w:rPr>
          <w:rFonts w:ascii="Arial" w:cs="Arial" w:eastAsia="Arial" w:hAnsi="Arial"/>
          <w:sz w:val="18"/>
          <w:szCs w:val="18"/>
          <w:color w:val="auto"/>
        </w:rPr>
      </w:pPr>
    </w:p>
    <w:p>
      <w:pPr>
        <w:ind w:left="-320" w:right="240" w:firstLine="324"/>
        <w:spacing w:after="0" w:line="264" w:lineRule="auto"/>
        <w:tabs>
          <w:tab w:leader="none" w:pos="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27" w:lineRule="exact"/>
        <w:rPr>
          <w:rFonts w:ascii="Arial" w:cs="Arial" w:eastAsia="Arial" w:hAnsi="Arial"/>
          <w:sz w:val="18"/>
          <w:szCs w:val="18"/>
          <w:color w:val="auto"/>
        </w:rPr>
      </w:pPr>
    </w:p>
    <w:p>
      <w:pPr>
        <w:ind w:left="-320" w:right="880" w:firstLine="324"/>
        <w:spacing w:after="0" w:line="294" w:lineRule="auto"/>
        <w:tabs>
          <w:tab w:leader="none" w:pos="3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4" w:lineRule="exact"/>
        <w:rPr>
          <w:rFonts w:ascii="Arial" w:cs="Arial" w:eastAsia="Arial" w:hAnsi="Arial"/>
          <w:sz w:val="17"/>
          <w:szCs w:val="17"/>
          <w:color w:val="auto"/>
        </w:rPr>
      </w:pPr>
    </w:p>
    <w:p>
      <w:pPr>
        <w:ind w:left="-320" w:right="480" w:firstLine="324"/>
        <w:spacing w:after="0" w:line="264" w:lineRule="auto"/>
        <w:tabs>
          <w:tab w:leader="none" w:pos="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27" w:lineRule="exact"/>
        <w:rPr>
          <w:rFonts w:ascii="Arial" w:cs="Arial" w:eastAsia="Arial" w:hAnsi="Arial"/>
          <w:sz w:val="18"/>
          <w:szCs w:val="18"/>
          <w:color w:val="auto"/>
        </w:rPr>
      </w:pPr>
    </w:p>
    <w:p>
      <w:pPr>
        <w:ind w:left="-320" w:right="320" w:firstLine="324"/>
        <w:spacing w:after="0" w:line="264" w:lineRule="auto"/>
        <w:tabs>
          <w:tab w:leader="none" w:pos="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320" w:hanging="316"/>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64" w:lineRule="exact"/>
        <w:rPr>
          <w:rFonts w:ascii="Arial" w:cs="Arial" w:eastAsia="Arial" w:hAnsi="Arial"/>
          <w:sz w:val="18"/>
          <w:szCs w:val="18"/>
          <w:color w:val="auto"/>
        </w:rPr>
      </w:pPr>
    </w:p>
    <w:p>
      <w:pPr>
        <w:ind w:left="-320" w:right="60" w:firstLine="324"/>
        <w:spacing w:after="0" w:line="264" w:lineRule="auto"/>
        <w:tabs>
          <w:tab w:leader="none" w:pos="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27" w:lineRule="exact"/>
        <w:rPr>
          <w:rFonts w:ascii="Arial" w:cs="Arial" w:eastAsia="Arial" w:hAnsi="Arial"/>
          <w:sz w:val="18"/>
          <w:szCs w:val="18"/>
          <w:color w:val="auto"/>
        </w:rPr>
      </w:pPr>
    </w:p>
    <w:p>
      <w:pPr>
        <w:ind w:left="-320" w:right="20" w:firstLine="324"/>
        <w:spacing w:after="0" w:line="264" w:lineRule="auto"/>
        <w:tabs>
          <w:tab w:leader="none" w:pos="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global and national events, such as the COVID-19 pandemic, conflicts in Eastern Europe, and general economic downturns.</w:t>
      </w:r>
    </w:p>
    <w:p>
      <w:pPr>
        <w:spacing w:after="0" w:line="127" w:lineRule="exact"/>
        <w:rPr>
          <w:rFonts w:ascii="Arial" w:cs="Arial" w:eastAsia="Arial" w:hAnsi="Arial"/>
          <w:sz w:val="18"/>
          <w:szCs w:val="18"/>
          <w:color w:val="auto"/>
        </w:rPr>
      </w:pPr>
    </w:p>
    <w:p>
      <w:pPr>
        <w:ind w:left="320" w:hanging="316"/>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320" w:right="260" w:firstLine="324"/>
        <w:spacing w:after="0" w:line="264" w:lineRule="auto"/>
        <w:tabs>
          <w:tab w:leader="none" w:pos="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continue to incur significant increased costs and management resources as a result of operating as a public company.</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162560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041" w:right="339" w:bottom="1440" w:gutter="0" w:footer="0" w:header="0"/>
        </w:sectPr>
      </w:pPr>
    </w:p>
    <w:bookmarkStart w:id="42" w:name="page43"/>
    <w:bookmarkEnd w:id="42"/>
    <w:p>
      <w:pPr>
        <w:ind w:right="220" w:firstLine="324"/>
        <w:spacing w:after="0" w:line="264" w:lineRule="auto"/>
        <w:tabs>
          <w:tab w:leader="none" w:pos="6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27" w:lineRule="exact"/>
        <w:rPr>
          <w:rFonts w:ascii="Arial" w:cs="Arial" w:eastAsia="Arial" w:hAnsi="Arial"/>
          <w:sz w:val="18"/>
          <w:szCs w:val="18"/>
          <w:color w:val="auto"/>
        </w:rPr>
      </w:pPr>
    </w:p>
    <w:p>
      <w:pPr>
        <w:ind w:right="380" w:firstLine="324"/>
        <w:spacing w:after="0" w:line="264" w:lineRule="auto"/>
        <w:tabs>
          <w:tab w:leader="none" w:pos="6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2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$57.9 million and $50.3 million during the years ended December 31, 2022 and December 31, 2021, respectively. As of December 31, 2022, we had an accumulated deficit of $138.6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109"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0"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3" w:name="page44"/>
    <w:bookmarkEnd w:id="43"/>
    <w:p>
      <w:pPr>
        <w:ind w:right="100"/>
        <w:spacing w:after="0" w:line="318" w:lineRule="auto"/>
        <w:rPr>
          <w:sz w:val="20"/>
          <w:szCs w:val="20"/>
          <w:color w:val="auto"/>
        </w:rPr>
      </w:pPr>
      <w:r>
        <w:rPr>
          <w:rFonts w:ascii="Arial" w:cs="Arial" w:eastAsia="Arial" w:hAnsi="Arial"/>
          <w:sz w:val="15"/>
          <w:szCs w:val="15"/>
          <w:color w:val="auto"/>
        </w:rPr>
        <w:t>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93"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2"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16" w:lineRule="exact"/>
        <w:rPr>
          <w:rFonts w:ascii="Arial" w:cs="Arial" w:eastAsia="Arial" w:hAnsi="Arial"/>
          <w:sz w:val="18"/>
          <w:szCs w:val="18"/>
          <w:color w:val="auto"/>
        </w:rPr>
      </w:pPr>
    </w:p>
    <w:p>
      <w:pPr>
        <w:ind w:right="580"/>
        <w:spacing w:after="0" w:line="280" w:lineRule="auto"/>
        <w:rPr>
          <w:rFonts w:ascii="Arial" w:cs="Arial" w:eastAsia="Arial" w:hAnsi="Arial"/>
          <w:sz w:val="18"/>
          <w:szCs w:val="18"/>
          <w:color w:val="auto"/>
        </w:rPr>
      </w:pPr>
      <w:r>
        <w:rPr>
          <w:rFonts w:ascii="Arial" w:cs="Arial" w:eastAsia="Arial" w:hAnsi="Arial"/>
          <w:sz w:val="17"/>
          <w:szCs w:val="17"/>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5"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right="80" w:firstLine="324"/>
        <w:spacing w:after="0" w:line="264" w:lineRule="auto"/>
        <w:tabs>
          <w:tab w:leader="none" w:pos="6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4" w:name="page45"/>
    <w:bookmarkEnd w:id="44"/>
    <w:p>
      <w:pPr>
        <w:ind w:right="80" w:firstLine="324"/>
        <w:spacing w:after="0" w:line="255" w:lineRule="auto"/>
        <w:tabs>
          <w:tab w:leader="none" w:pos="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right="360" w:firstLine="324"/>
        <w:spacing w:after="0" w:line="264" w:lineRule="auto"/>
        <w:tabs>
          <w:tab w:leader="none" w:pos="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80" w:firstLine="318"/>
        <w:spacing w:after="0" w:line="318"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19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right="440" w:firstLine="324"/>
        <w:spacing w:after="0" w:line="264" w:lineRule="auto"/>
        <w:tabs>
          <w:tab w:leader="none" w:pos="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right="240" w:firstLine="324"/>
        <w:spacing w:after="0" w:line="264" w:lineRule="auto"/>
        <w:tabs>
          <w:tab w:leader="none" w:pos="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5" w:name="page46"/>
    <w:bookmarkEnd w:id="45"/>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 instruments and consumables;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right="42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7"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right="260" w:firstLine="324"/>
        <w:spacing w:after="0" w:line="255"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6" w:name="page47"/>
    <w:bookmarkEnd w:id="46"/>
    <w:p>
      <w:pPr>
        <w:ind w:right="40"/>
        <w:spacing w:after="0" w:line="318" w:lineRule="auto"/>
        <w:rPr>
          <w:sz w:val="20"/>
          <w:szCs w:val="20"/>
          <w:color w:val="auto"/>
        </w:rPr>
      </w:pPr>
      <w:r>
        <w:rPr>
          <w:rFonts w:ascii="Arial" w:cs="Arial" w:eastAsia="Arial" w:hAnsi="Arial"/>
          <w:sz w:val="15"/>
          <w:szCs w:val="15"/>
          <w:color w:val="auto"/>
        </w:rPr>
        <w:t>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93"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319"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93"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2"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7" w:name="page48"/>
    <w:bookmarkEnd w:id="47"/>
    <w:p>
      <w:pPr>
        <w:ind w:right="340"/>
        <w:spacing w:after="0" w:line="294" w:lineRule="auto"/>
        <w:rPr>
          <w:sz w:val="20"/>
          <w:szCs w:val="20"/>
          <w:color w:val="auto"/>
        </w:rPr>
      </w:pPr>
      <w:r>
        <w:rPr>
          <w:rFonts w:ascii="Arial" w:cs="Arial" w:eastAsia="Arial" w:hAnsi="Arial"/>
          <w:sz w:val="17"/>
          <w:szCs w:val="17"/>
          <w:color w:val="auto"/>
        </w:rPr>
        <w:t>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24"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9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8" w:name="page49"/>
    <w:bookmarkEnd w:id="48"/>
    <w:p>
      <w:pPr>
        <w:ind w:right="180" w:firstLine="318"/>
        <w:spacing w:after="0" w:line="365" w:lineRule="auto"/>
        <w:rPr>
          <w:sz w:val="20"/>
          <w:szCs w:val="20"/>
          <w:color w:val="auto"/>
        </w:rPr>
      </w:pPr>
      <w:r>
        <w:rPr>
          <w:rFonts w:ascii="Arial" w:cs="Arial" w:eastAsia="Arial" w:hAnsi="Arial"/>
          <w:sz w:val="15"/>
          <w:szCs w:val="15"/>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5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2"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09"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economic conditions, including recessionary effects and inflationary pressures;</w:t>
      </w:r>
    </w:p>
    <w:p>
      <w:pPr>
        <w:spacing w:after="0" w:line="164" w:lineRule="exact"/>
        <w:rPr>
          <w:rFonts w:ascii="Arial" w:cs="Arial" w:eastAsia="Arial" w:hAnsi="Arial"/>
          <w:sz w:val="18"/>
          <w:szCs w:val="18"/>
          <w:color w:val="auto"/>
        </w:rPr>
      </w:pPr>
    </w:p>
    <w:p>
      <w:pPr>
        <w:ind w:right="160" w:firstLine="324"/>
        <w:spacing w:after="0" w:line="26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right="80" w:firstLine="318"/>
        <w:spacing w:after="0" w:line="294"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9" w:name="page50"/>
    <w:bookmarkEnd w:id="49"/>
    <w:p>
      <w:pPr>
        <w:ind w:left="640" w:hanging="31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8"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level of demand for any products we are able to commercialize, particularly our Nautilus platform, which may vary significantly from period to</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period;</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right="56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right="40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right="440" w:firstLine="324"/>
        <w:spacing w:after="0" w:line="365" w:lineRule="auto"/>
        <w:tabs>
          <w:tab w:leader="none" w:pos="631"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impact of the COVID-19 pandemic, the conflicts in Eastern Europe, and other national and global events on the economy, investment in life sciences and research industries, our business operations, and resources and operations of our customers, suppliers, and distributors; and</w:t>
      </w:r>
    </w:p>
    <w:p>
      <w:pPr>
        <w:spacing w:after="0" w:line="58" w:lineRule="exact"/>
        <w:rPr>
          <w:rFonts w:ascii="Arial" w:cs="Arial" w:eastAsia="Arial" w:hAnsi="Arial"/>
          <w:sz w:val="15"/>
          <w:szCs w:val="15"/>
          <w:color w:val="auto"/>
        </w:rPr>
      </w:pPr>
    </w:p>
    <w:p>
      <w:pPr>
        <w:ind w:right="60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2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0" w:name="page51"/>
    <w:bookmarkEnd w:id="50"/>
    <w:p>
      <w:pPr>
        <w:ind w:right="80"/>
        <w:spacing w:after="0" w:line="264" w:lineRule="auto"/>
        <w:rPr>
          <w:sz w:val="20"/>
          <w:szCs w:val="20"/>
          <w:color w:val="auto"/>
        </w:rPr>
      </w:pPr>
      <w:r>
        <w:rPr>
          <w:rFonts w:ascii="Arial" w:cs="Arial" w:eastAsia="Arial" w:hAnsi="Arial"/>
          <w:sz w:val="18"/>
          <w:szCs w:val="18"/>
          <w:color w:val="auto"/>
        </w:rPr>
        <w:t>success or viability are highly uncertain and may not be as accurate as they could be if we had a longer operating history or a company history of successfully developing and commercializing products.</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9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51" w:name="page52"/>
    <w:bookmarkEnd w:id="51"/>
    <w:p>
      <w:pPr>
        <w:ind w:right="140"/>
        <w:spacing w:after="0" w:line="365" w:lineRule="auto"/>
        <w:rPr>
          <w:sz w:val="20"/>
          <w:szCs w:val="20"/>
          <w:color w:val="auto"/>
        </w:rPr>
      </w:pPr>
      <w:r>
        <w:rPr>
          <w:rFonts w:ascii="Arial" w:cs="Arial" w:eastAsia="Arial" w:hAnsi="Arial"/>
          <w:sz w:val="15"/>
          <w:szCs w:val="15"/>
          <w:color w:val="auto"/>
        </w:rPr>
        <w:t>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58" w:lineRule="exact"/>
        <w:rPr>
          <w:sz w:val="20"/>
          <w:szCs w:val="20"/>
          <w:color w:val="auto"/>
        </w:rPr>
      </w:pPr>
    </w:p>
    <w:p>
      <w:pPr>
        <w:ind w:firstLine="318"/>
        <w:spacing w:after="0" w:line="214" w:lineRule="exact"/>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4"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5"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2" w:name="page53"/>
    <w:bookmarkEnd w:id="52"/>
    <w:p>
      <w:pPr>
        <w:ind w:right="140"/>
        <w:spacing w:after="0" w:line="252" w:lineRule="auto"/>
        <w:rPr>
          <w:sz w:val="20"/>
          <w:szCs w:val="20"/>
          <w:color w:val="auto"/>
        </w:rPr>
      </w:pPr>
      <w:r>
        <w:rPr>
          <w:rFonts w:ascii="Arial" w:cs="Arial" w:eastAsia="Arial" w:hAnsi="Arial"/>
          <w:sz w:val="18"/>
          <w:szCs w:val="18"/>
          <w:color w:val="auto"/>
        </w:rPr>
        <w:t>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4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43"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4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3" w:name="page54"/>
    <w:bookmarkEnd w:id="53"/>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2"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2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4" w:name="page55"/>
    <w:bookmarkEnd w:id="54"/>
    <w:p>
      <w:pPr>
        <w:ind w:right="20"/>
        <w:spacing w:after="0" w:line="299" w:lineRule="auto"/>
        <w:rPr>
          <w:sz w:val="20"/>
          <w:szCs w:val="20"/>
          <w:color w:val="auto"/>
        </w:rPr>
      </w:pPr>
      <w:r>
        <w:rPr>
          <w:rFonts w:ascii="Arial" w:cs="Arial" w:eastAsia="Arial" w:hAnsi="Arial"/>
          <w:sz w:val="15"/>
          <w:szCs w:val="15"/>
          <w:color w:val="auto"/>
        </w:rPr>
        <w:t xml:space="preserve">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22"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5" w:name="page56"/>
    <w:bookmarkEnd w:id="55"/>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6" w:name="page57"/>
    <w:bookmarkEnd w:id="56"/>
    <w:p>
      <w:pPr>
        <w:ind w:right="140"/>
        <w:spacing w:after="0" w:line="250" w:lineRule="auto"/>
        <w:rPr>
          <w:sz w:val="20"/>
          <w:szCs w:val="20"/>
          <w:color w:val="auto"/>
        </w:rPr>
      </w:pPr>
      <w:r>
        <w:rPr>
          <w:rFonts w:ascii="Arial" w:cs="Arial" w:eastAsia="Arial" w:hAnsi="Arial"/>
          <w:sz w:val="18"/>
          <w:szCs w:val="18"/>
          <w:color w:val="auto"/>
        </w:rPr>
        <w:t>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41"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4"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3"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7" w:name="page58"/>
    <w:bookmarkEnd w:id="57"/>
    <w:p>
      <w:pPr>
        <w:ind w:right="100"/>
        <w:spacing w:after="0" w:line="252" w:lineRule="auto"/>
        <w:rPr>
          <w:sz w:val="20"/>
          <w:szCs w:val="20"/>
          <w:color w:val="auto"/>
        </w:rPr>
      </w:pPr>
      <w:r>
        <w:rPr>
          <w:rFonts w:ascii="Arial" w:cs="Arial" w:eastAsia="Arial" w:hAnsi="Arial"/>
          <w:sz w:val="18"/>
          <w:szCs w:val="18"/>
          <w:color w:val="auto"/>
        </w:rPr>
        <w:t>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6"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8" w:name="page59"/>
    <w:bookmarkEnd w:id="58"/>
    <w:p>
      <w:pPr>
        <w:ind w:left="3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right="10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right="40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left="320" w:right="920"/>
        <w:spacing w:after="0" w:line="430"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ind w:right="260" w:firstLine="318"/>
        <w:spacing w:after="0" w:line="33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8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9" w:name="page60"/>
    <w:bookmarkEnd w:id="59"/>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480" w:firstLine="318"/>
        <w:spacing w:after="0" w:line="277"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300" w:firstLine="4"/>
        <w:spacing w:after="0" w:line="516" w:lineRule="auto"/>
        <w:tabs>
          <w:tab w:leader="none" w:pos="633" w:val="left"/>
        </w:tabs>
        <w:numPr>
          <w:ilvl w:val="0"/>
          <w:numId w:val="43"/>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32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0"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60" w:name="page61"/>
    <w:bookmarkEnd w:id="60"/>
    <w:p>
      <w:pPr>
        <w:ind w:right="480"/>
        <w:spacing w:after="0" w:line="264" w:lineRule="auto"/>
        <w:rPr>
          <w:sz w:val="20"/>
          <w:szCs w:val="20"/>
          <w:color w:val="auto"/>
        </w:rPr>
      </w:pPr>
      <w:r>
        <w:rPr>
          <w:rFonts w:ascii="Arial" w:cs="Arial" w:eastAsia="Arial" w:hAnsi="Arial"/>
          <w:sz w:val="18"/>
          <w:szCs w:val="18"/>
          <w:color w:val="auto"/>
        </w:rPr>
        <w:t>performance of, clinical diagnostics in the United States, thereby subjecting them to FDA regulation as medical devices, we would be required to obtain premarket 510(k) clearance or premarket approval from the FDA, unless an exception applies.</w:t>
      </w:r>
    </w:p>
    <w:p>
      <w:pPr>
        <w:spacing w:after="0" w:line="128"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3" w:lineRule="exact"/>
        <w:rPr>
          <w:sz w:val="20"/>
          <w:szCs w:val="20"/>
          <w:color w:val="auto"/>
        </w:rPr>
      </w:pPr>
    </w:p>
    <w:p>
      <w:pPr>
        <w:ind w:right="100" w:firstLine="318"/>
        <w:spacing w:after="0" w:line="300" w:lineRule="auto"/>
        <w:rPr>
          <w:sz w:val="20"/>
          <w:szCs w:val="20"/>
          <w:color w:val="auto"/>
        </w:rPr>
      </w:pPr>
      <w:r>
        <w:rPr>
          <w:rFonts w:ascii="Arial" w:cs="Arial" w:eastAsia="Arial" w:hAnsi="Arial"/>
          <w:sz w:val="15"/>
          <w:szCs w:val="15"/>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321"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07"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1" w:name="page62"/>
    <w:bookmarkEnd w:id="61"/>
    <w:p>
      <w:pPr>
        <w:ind w:right="80"/>
        <w:spacing w:after="0" w:line="263" w:lineRule="auto"/>
        <w:rPr>
          <w:sz w:val="20"/>
          <w:szCs w:val="20"/>
          <w:color w:val="auto"/>
        </w:rPr>
      </w:pPr>
      <w:r>
        <w:rPr>
          <w:rFonts w:ascii="Arial" w:cs="Arial" w:eastAsia="Arial" w:hAnsi="Arial"/>
          <w:sz w:val="17"/>
          <w:szCs w:val="17"/>
          <w:color w:val="auto"/>
        </w:rPr>
        <w:t>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the substantive FDA policy riders, including the VALID Act, but Congress may revisit the policy riders and enact other FDA programmatic reforms in the future.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24"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2" w:name="page63"/>
    <w:bookmarkEnd w:id="62"/>
    <w:p>
      <w:pPr>
        <w:ind w:right="40"/>
        <w:spacing w:after="0" w:line="264" w:lineRule="auto"/>
        <w:rPr>
          <w:sz w:val="20"/>
          <w:szCs w:val="20"/>
          <w:color w:val="auto"/>
        </w:rPr>
      </w:pPr>
      <w:r>
        <w:rPr>
          <w:rFonts w:ascii="Arial" w:cs="Arial" w:eastAsia="Arial" w:hAnsi="Arial"/>
          <w:sz w:val="18"/>
          <w:szCs w:val="18"/>
          <w:color w:val="auto"/>
        </w:rPr>
        <w:t>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28"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8" w:lineRule="exact"/>
        <w:rPr>
          <w:sz w:val="20"/>
          <w:szCs w:val="20"/>
          <w:color w:val="auto"/>
        </w:rPr>
      </w:pPr>
    </w:p>
    <w:p>
      <w:pPr>
        <w:ind w:right="40" w:firstLine="318"/>
        <w:spacing w:after="0" w:line="299"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Most substantive provisions in CPRA are effective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Utah, Connecticut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325"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3" w:name="page64"/>
    <w:bookmarkEnd w:id="63"/>
    <w:p>
      <w:pPr>
        <w:ind w:right="40" w:firstLine="318"/>
        <w:spacing w:after="0" w:line="263"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3" w:lineRule="exact"/>
        <w:rPr>
          <w:sz w:val="20"/>
          <w:szCs w:val="20"/>
          <w:color w:val="auto"/>
        </w:rPr>
      </w:pPr>
    </w:p>
    <w:p>
      <w:pPr>
        <w:ind w:right="480" w:firstLine="318"/>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4"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systems;</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right="160" w:firstLine="324"/>
        <w:spacing w:after="0" w:line="277" w:lineRule="auto"/>
        <w:tabs>
          <w:tab w:leader="none" w:pos="631"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right="480" w:firstLine="324"/>
        <w:spacing w:after="0" w:line="264"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compliance with diverse and complex local employment laws and practices;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41" w:right="399" w:bottom="1440" w:gutter="0" w:footer="0" w:header="0"/>
        </w:sectPr>
      </w:pPr>
    </w:p>
    <w:bookmarkStart w:id="64" w:name="page65"/>
    <w:bookmarkEnd w:id="64"/>
    <w:p>
      <w:pPr>
        <w:ind w:right="60" w:firstLine="318"/>
        <w:spacing w:after="0" w:line="252" w:lineRule="auto"/>
        <w:rPr>
          <w:sz w:val="20"/>
          <w:szCs w:val="20"/>
          <w:color w:val="auto"/>
        </w:rPr>
      </w:pPr>
      <w:r>
        <w:rPr>
          <w:rFonts w:ascii="Arial" w:cs="Arial" w:eastAsia="Arial" w:hAnsi="Arial"/>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38"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9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4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41"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99"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5" w:name="page66"/>
    <w:bookmarkEnd w:id="65"/>
    <w:p>
      <w:pPr>
        <w:ind w:right="260"/>
        <w:spacing w:after="0" w:line="264" w:lineRule="auto"/>
        <w:rPr>
          <w:sz w:val="20"/>
          <w:szCs w:val="20"/>
          <w:color w:val="auto"/>
        </w:rPr>
      </w:pPr>
      <w:r>
        <w:rPr>
          <w:rFonts w:ascii="Arial" w:cs="Arial" w:eastAsia="Arial" w:hAnsi="Arial"/>
          <w:sz w:val="18"/>
          <w:szCs w:val="18"/>
          <w:color w:val="auto"/>
        </w:rPr>
        <w:t>equipment failure or other causes. The expense associated with environmental regulation and remediation could harm our financial condition and operating results.</w:t>
      </w:r>
    </w:p>
    <w:p>
      <w:pPr>
        <w:spacing w:after="0" w:line="128"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ransomware or other malicious software,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6" w:name="page67"/>
    <w:bookmarkEnd w:id="66"/>
    <w:p>
      <w:pPr>
        <w:ind w:right="20" w:firstLine="318"/>
        <w:spacing w:after="0" w:line="301" w:lineRule="auto"/>
        <w:rPr>
          <w:sz w:val="20"/>
          <w:szCs w:val="20"/>
          <w:color w:val="auto"/>
        </w:rPr>
      </w:pPr>
      <w:r>
        <w:rPr>
          <w:rFonts w:ascii="Arial" w:cs="Arial" w:eastAsia="Arial" w:hAnsi="Arial"/>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3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2022, we had 134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7" w:name="page68"/>
    <w:bookmarkEnd w:id="67"/>
    <w:p>
      <w:pPr>
        <w:ind w:right="18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This competition has become exacerbated by the increase in employee resignations in 2022 reported by employers nationwide and continued high rates of employee turnover in 2023.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5"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While we have largely resumed normal operations, any resurgence or worsening of the COVID-19 pandemic may cause us to reinstitute certain measures to protect employee safety which may further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07"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68" w:name="page69"/>
    <w:bookmarkEnd w:id="68"/>
    <w:p>
      <w:pPr>
        <w:spacing w:after="0"/>
        <w:rPr>
          <w:sz w:val="20"/>
          <w:szCs w:val="20"/>
          <w:color w:val="auto"/>
        </w:rPr>
      </w:pPr>
      <w:r>
        <w:rPr>
          <w:rFonts w:ascii="Arial" w:cs="Arial" w:eastAsia="Arial" w:hAnsi="Arial"/>
          <w:sz w:val="15"/>
          <w:szCs w:val="15"/>
          <w:color w:val="auto"/>
        </w:rPr>
        <w:t>may be delayed, and we may incur further costs in bringing our business and operations into compliance with changing or new laws, regulations, and policies.</w:t>
      </w:r>
    </w:p>
    <w:p>
      <w:pPr>
        <w:spacing w:after="0" w:line="199"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43"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ind w:right="100" w:firstLine="324"/>
        <w:spacing w:after="0" w:line="277" w:lineRule="auto"/>
        <w:tabs>
          <w:tab w:leader="none" w:pos="631"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right="60" w:firstLine="324"/>
        <w:spacing w:after="0" w:line="255" w:lineRule="auto"/>
        <w:tabs>
          <w:tab w:leader="none" w:pos="6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the emergence or further spread of additional variants, and the risk of waning immunity among persons already vaccinated among others. While we do not yet know the full extent of potential impacts on our business, any of these occurrences could significantly harm our business, results of operations and financial condition.</w:t>
      </w:r>
    </w:p>
    <w:p>
      <w:pPr>
        <w:spacing w:after="0" w:line="99"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multiple global events, including the COVID-19 pandemic, the conflict in Eastern Europe, increasing interest rates and general economic downturns, could adversely affect our ability to raise capital and our business, results of operations and financial condition.</w:t>
      </w:r>
    </w:p>
    <w:p>
      <w:pPr>
        <w:spacing w:after="0" w:line="135"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While the potential economic impact brought by multiple adverse global circumstances, such as the COVID-19 pandemic, conflicts in Eastern Europe, potential uncertainty related to Taiwan and its relationship with China, increasing interest rates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10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2022, we had cash, cash equivalents and long-term investments of $313.6 million, consisting of U.S. treasury securities, mutual funds, commercial paper, corporate debt securities, and agency bonds. Any default by the U.S. government or credit downgrade of the securities we hold could impact the liquidity or valuation of our investments.</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41" w:right="399" w:bottom="1440" w:gutter="0" w:footer="0" w:header="0"/>
        </w:sectPr>
      </w:pPr>
    </w:p>
    <w:bookmarkStart w:id="69" w:name="page70"/>
    <w:bookmarkEnd w:id="69"/>
    <w:p>
      <w:pPr>
        <w:ind w:right="80" w:firstLine="318"/>
        <w:spacing w:after="0" w:line="365" w:lineRule="auto"/>
        <w:rPr>
          <w:sz w:val="20"/>
          <w:szCs w:val="20"/>
          <w:color w:val="auto"/>
        </w:rPr>
      </w:pPr>
      <w:r>
        <w:rPr>
          <w:rFonts w:ascii="Arial" w:cs="Arial" w:eastAsia="Arial" w:hAnsi="Arial"/>
          <w:sz w:val="15"/>
          <w:szCs w:val="15"/>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may be subject to supply chain interruptions. Current or future supply chain interruptions that could be exacerbated by global political tensions, such as the situation in Eastern Europe and uncertainty related to Taiwan and its relationship with China, could negatively impact our ability to further develop our products or to manufacture and deliver our products or services, which could negatively impact our timelines and business results. For example, as discussed in the risk factor above entitled “</w:t>
      </w:r>
      <w:r>
        <w:rPr>
          <w:rFonts w:ascii="Arial" w:cs="Arial" w:eastAsia="Arial" w:hAnsi="Arial"/>
          <w:sz w:val="17"/>
          <w:szCs w:val="17"/>
          <w:i w:val="1"/>
          <w:iCs w:val="1"/>
          <w:color w:val="auto"/>
        </w:rPr>
        <w:t>The COVID-19 pandemic and efforts to reduce its spread have adversely impacted and are expected to continue to materially</w:t>
      </w:r>
      <w:r>
        <w:rPr>
          <w:rFonts w:ascii="Arial" w:cs="Arial" w:eastAsia="Arial" w:hAnsi="Arial"/>
          <w:sz w:val="17"/>
          <w:szCs w:val="17"/>
          <w:color w:val="auto"/>
        </w:rPr>
        <w:t xml:space="preserve"> </w:t>
      </w:r>
      <w:r>
        <w:rPr>
          <w:rFonts w:ascii="Arial" w:cs="Arial" w:eastAsia="Arial" w:hAnsi="Arial"/>
          <w:sz w:val="17"/>
          <w:szCs w:val="17"/>
          <w:i w:val="1"/>
          <w:iCs w:val="1"/>
          <w:color w:val="auto"/>
        </w:rPr>
        <w:t>and adversely impact, our business and operations</w:t>
      </w:r>
      <w:r>
        <w:rPr>
          <w:rFonts w:ascii="Arial" w:cs="Arial" w:eastAsia="Arial" w:hAnsi="Arial"/>
          <w:sz w:val="17"/>
          <w:szCs w:val="17"/>
          <w:color w:val="auto"/>
        </w:rPr>
        <w:t>,” we have experienced some supply disruptions due to the COVID-19 pandemic, including closures at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 in Eastern Europe.</w:t>
      </w:r>
    </w:p>
    <w:p>
      <w:pPr>
        <w:spacing w:after="0" w:line="12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other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98"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0" w:name="page71"/>
    <w:bookmarkEnd w:id="70"/>
    <w:p>
      <w:pPr>
        <w:ind w:right="80"/>
        <w:spacing w:after="0" w:line="277" w:lineRule="auto"/>
        <w:rPr>
          <w:sz w:val="20"/>
          <w:szCs w:val="20"/>
          <w:color w:val="auto"/>
        </w:rPr>
      </w:pPr>
      <w:r>
        <w:rPr>
          <w:rFonts w:ascii="Arial" w:cs="Arial" w:eastAsia="Arial" w:hAnsi="Arial"/>
          <w:sz w:val="17"/>
          <w:szCs w:val="17"/>
          <w:color w:val="auto"/>
        </w:rPr>
        <w:t>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market price of our Common Stock has been and may continue to be volatile, which could result in substantial losses for investors.</w:t>
      </w:r>
    </w:p>
    <w:p>
      <w:pPr>
        <w:spacing w:after="0" w:line="19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right="240" w:firstLine="324"/>
        <w:spacing w:after="0" w:line="264"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64" w:lineRule="exact"/>
        <w:rPr>
          <w:rFonts w:ascii="Arial" w:cs="Arial" w:eastAsia="Arial" w:hAnsi="Arial"/>
          <w:sz w:val="18"/>
          <w:szCs w:val="18"/>
          <w:color w:val="auto"/>
        </w:rPr>
      </w:pPr>
    </w:p>
    <w:p>
      <w:pPr>
        <w:ind w:right="220" w:firstLine="324"/>
        <w:spacing w:after="0" w:line="255"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71" w:name="page72"/>
    <w:bookmarkEnd w:id="71"/>
    <w:p>
      <w:pPr>
        <w:ind w:right="260"/>
        <w:spacing w:after="0" w:line="264" w:lineRule="auto"/>
        <w:rPr>
          <w:sz w:val="20"/>
          <w:szCs w:val="20"/>
          <w:color w:val="auto"/>
        </w:rPr>
      </w:pPr>
      <w:r>
        <w:rPr>
          <w:rFonts w:ascii="Arial" w:cs="Arial" w:eastAsia="Arial" w:hAnsi="Arial"/>
          <w:sz w:val="18"/>
          <w:szCs w:val="18"/>
          <w:color w:val="auto"/>
        </w:rPr>
        <w:t>become the target of securities litigation in the future. Securities litigation could result in substantial costs and divert management’s attention and resources from our business.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240" w:firstLine="318"/>
        <w:spacing w:after="0" w:line="267" w:lineRule="auto"/>
        <w:rPr>
          <w:sz w:val="20"/>
          <w:szCs w:val="20"/>
          <w:color w:val="auto"/>
        </w:rPr>
      </w:pPr>
      <w:r>
        <w:rPr>
          <w:rFonts w:ascii="Arial" w:cs="Arial" w:eastAsia="Arial" w:hAnsi="Arial"/>
          <w:sz w:val="17"/>
          <w:szCs w:val="17"/>
          <w:color w:val="auto"/>
        </w:rPr>
        <w:t>As of December 31, 2022, our directors, executive officers, holders of more than 5% of our outstanding shares of Common Stock and their respective affiliates beneficially owned, collectively, approximately 68.7%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28"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2" w:name="page73"/>
    <w:bookmarkEnd w:id="72"/>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firstLine="6"/>
        <w:spacing w:after="0" w:line="305" w:lineRule="auto"/>
        <w:tabs>
          <w:tab w:leader="none" w:pos="309"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0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1"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firstLine="324"/>
        <w:spacing w:after="0" w:line="294" w:lineRule="auto"/>
        <w:tabs>
          <w:tab w:leader="none" w:pos="631"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right="580" w:firstLine="324"/>
        <w:spacing w:after="0" w:line="264" w:lineRule="auto"/>
        <w:tabs>
          <w:tab w:leader="none" w:pos="6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64"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3" w:name="page74"/>
    <w:bookmarkEnd w:id="73"/>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will continue to incur significant increased costs and management resources as a result of operating as a public company.</w:t>
      </w:r>
    </w:p>
    <w:p>
      <w:pPr>
        <w:spacing w:after="0" w:line="16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As of December 31, 2022, we had U.S. federal and state net operating loss carryforwards, or NOLs, of $0.5 million for federal purposes and $21.1 million for state purposes, which if not utilized will expire in 2037. Federal NOLs of $51.5 million that arose after the 2017 tax year will carry forward indefinitely and will be subject to the 80% of taxable income limitation.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4" w:name="page75"/>
    <w:bookmarkEnd w:id="74"/>
    <w:p>
      <w:pPr>
        <w:ind w:right="80"/>
        <w:spacing w:after="0" w:line="250" w:lineRule="auto"/>
        <w:rPr>
          <w:sz w:val="20"/>
          <w:szCs w:val="20"/>
          <w:color w:val="auto"/>
        </w:rPr>
      </w:pPr>
      <w:r>
        <w:rPr>
          <w:rFonts w:ascii="Arial" w:cs="Arial" w:eastAsia="Arial" w:hAnsi="Arial"/>
          <w:sz w:val="18"/>
          <w:szCs w:val="18"/>
          <w:color w:val="auto"/>
        </w:rPr>
        <w:t>accelerating our liability for income taxes, and also potentially causing those tax attributes to expire unused. States may impose other limitations on the use of our NOLs.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Changes in tax laws could have a material adverse effect on our future business, cash flows, results of operations or financial condition.</w:t>
      </w:r>
    </w:p>
    <w:p>
      <w:pPr>
        <w:spacing w:after="0" w:line="199"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excise tax on certain stock buybacks effective January 1, 2023. Further, on January 1, 2022, a provision of the Tax Cuts and Jobs Act of 2017 went into effect that eliminates the option to deduct domestic research and development costs in the year incurred and instead requires taxpayers to amortize such costs over five years. Such changes, among others, may adversely affect our future effective tax rate, business, cash flows, results of operations and financial condition.</w:t>
      </w:r>
    </w:p>
    <w:p>
      <w:pPr>
        <w:spacing w:after="0" w:line="319"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8"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9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18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5" w:name="page76"/>
    <w:bookmarkEnd w:id="75"/>
    <w:p>
      <w:pPr>
        <w:ind w:right="8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1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Our current corporate headquarter is located at 2701 Eastlake Avenue East, Seattle, Washington and our current research and development facilities, and manufacturing centers are located at 835 Industrial Rd, San Carlos, California. The Seattle facility is approximately 14,800 square feet. Our lease on this facility runs through June 2028. The 835 Industrial Rd, San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6" w:name="page77"/>
    <w:bookmarkEnd w:id="76"/>
    <w:p>
      <w:pPr>
        <w:ind w:right="80"/>
        <w:spacing w:after="0" w:line="267" w:lineRule="auto"/>
        <w:rPr>
          <w:sz w:val="20"/>
          <w:szCs w:val="20"/>
          <w:color w:val="auto"/>
        </w:rPr>
      </w:pPr>
      <w:r>
        <w:rPr>
          <w:rFonts w:ascii="Arial" w:cs="Arial" w:eastAsia="Arial" w:hAnsi="Arial"/>
          <w:sz w:val="17"/>
          <w:szCs w:val="17"/>
          <w:color w:val="auto"/>
        </w:rPr>
        <w:t>Carlos, California lease is for approximately 45,338 square feet of office and research space. In addition, we signed a lease in December 2021 for approximately 19,957 square feet of additional office and research space at 1561 Industrial Rd, San Carlos, California. This space is currently under construction and has a target commencement date in the first quarter of 2023. In addition, we commenced a lease of office and research space located at 4475 Executive Drive, San Diego, California in December 2022. The San Diego facility is approximately 7,064 square feet. Our lease on this facility runs through March 2026. We do not own real property and believe that our current facilities are sufficient to meet our ongoing needs and that, if we require additional space, we will be able to obtain additional facilities on commercially reasonable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21"/>
          <w:szCs w:val="21"/>
          <w:b w:val="1"/>
          <w:bCs w:val="1"/>
          <w:color w:val="auto"/>
        </w:rPr>
        <w:t>Part II</w:t>
      </w:r>
    </w:p>
    <w:p>
      <w:pPr>
        <w:spacing w:after="0" w:line="99" w:lineRule="exact"/>
        <w:rPr>
          <w:sz w:val="20"/>
          <w:szCs w:val="20"/>
          <w:color w:val="auto"/>
        </w:rPr>
      </w:pPr>
    </w:p>
    <w:p>
      <w:pPr>
        <w:ind w:right="2120"/>
        <w:spacing w:after="0" w:line="43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common stock has traded on the Nasdaq Global Select Market under the symbol “NAUT” since June 10, 2021. Prior to June 10, 2021 and before completion of the Business Combination, the Class A ordinary shares of ARYA Sciences Acquisition Corp III traded on The Nasdaq Capital Market under the symbol “ARYA” and there was no public trading market for Legacy Nautilus’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0"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As of January 31, 2023, there were 36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equity plan information required by this Item is incorporated by reference to the information in Part III, Item 12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Reserved ]</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19" w:right="359" w:bottom="1440" w:gutter="0" w:footer="0" w:header="0"/>
        </w:sectPr>
      </w:pPr>
    </w:p>
    <w:bookmarkStart w:id="78" w:name="page79"/>
    <w:bookmarkEnd w:id="7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46"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18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19"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321"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2022, we had cash, cash equivalents and short-term investments of $184.5 million.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$57.9 million during the year ended December 31, 2022, and we expect to continue to incur significant losses for the foreseeable future as we continue our research and development activities and planned commercialization of our proteomics platform. As of December 31, 2022, we had an accumulated deficit of $138.6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19"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64" w:lineRule="exact"/>
        <w:rPr>
          <w:sz w:val="20"/>
          <w:szCs w:val="20"/>
          <w:color w:val="auto"/>
        </w:rPr>
      </w:pPr>
    </w:p>
    <w:p>
      <w:pPr>
        <w:ind w:firstLine="318"/>
        <w:spacing w:after="0" w:line="213" w:lineRule="exact"/>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Negative Global or National Events</w:t>
      </w:r>
    </w:p>
    <w:p>
      <w:pPr>
        <w:spacing w:after="0" w:line="170"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Businesses have been and will continue to be impacted by a number of challenging global and national events and circumstances that continue to evolve, including the COVID-19 pandemic, extreme weather conditions, increased economic uncertainty, inflation, rising interest rates, and conflicts in Eastern Europe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largely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323"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We have been and continue to actively monitor our supply chain in light of these challenging global and national events and circumstances, including our third-party materials suppliers. To date,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4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ultimate impact of the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19"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0"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On June 9, 2021 (the “Closing Date”), Nautilus Biotechnology, Inc., a Delaware corporation (f/k/a ARYA Sciences Acquisition Corp III, a Cayman Islands exempted company and our predecessor company (“ARYA”)) (the “Company”), consummated the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9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9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research and development activities, and allocated expenses for technology and facilities. We expense research and development expenses in the periods in which they are incurred.</w:t>
      </w:r>
    </w:p>
    <w:p>
      <w:pPr>
        <w:spacing w:after="0" w:line="128"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Fiscal Years Ended December 31, 2022 to December 31,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5"/>
                <w:szCs w:val="15"/>
                <w:color w:val="auto"/>
              </w:rPr>
            </w:pPr>
          </w:p>
        </w:tc>
        <w:tc>
          <w:tcPr>
            <w:tcW w:w="23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2022 to 2021</w:t>
            </w:r>
          </w:p>
        </w:tc>
        <w:tc>
          <w:tcPr>
            <w:tcW w:w="110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5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193"/>
        </w:trPr>
        <w:tc>
          <w:tcPr>
            <w:tcW w:w="5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w:t>
            </w: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37,672</w:t>
            </w:r>
          </w:p>
        </w:tc>
        <w:tc>
          <w:tcPr>
            <w:tcW w:w="10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29,352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25,946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18"/>
        </w:trPr>
        <w:tc>
          <w:tcPr>
            <w:tcW w:w="51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63,618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50,498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5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1668 %</w:t>
            </w:r>
          </w:p>
        </w:tc>
      </w:tr>
      <w:tr>
        <w:trPr>
          <w:trHeight w:val="22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8"/>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3011 %</w:t>
            </w: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57,924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50,315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320" w:firstLine="318"/>
        <w:spacing w:after="0" w:line="250" w:lineRule="auto"/>
        <w:rPr>
          <w:sz w:val="20"/>
          <w:szCs w:val="20"/>
          <w:color w:val="auto"/>
        </w:rPr>
      </w:pPr>
      <w:r>
        <w:rPr>
          <w:rFonts w:ascii="Arial" w:cs="Arial" w:eastAsia="Arial" w:hAnsi="Arial"/>
          <w:sz w:val="18"/>
          <w:szCs w:val="18"/>
          <w:color w:val="auto"/>
        </w:rPr>
        <w:t>Research and development expenses were $37.7 million for the year ended December 31, 2022, compared to $29.4 million for the year ended December 31, 2021, an increase of $8.3 million, or 28%. The increase was primarily due to a $5.9 million increase in salaries, related benefits, and stock-based compensation due to an increase in headcount to support on-going development of our products, a $1.6 million increase in facilities cost, and a $1.4 million increase in costs for development services. These increases were partially offset by a $0.7 million decrease in laboratory supplies and equipment expense.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General and administrative expenses were $25.9 million for the year ended December 31, 2022, compared to $21.1 million for the year ended December 31, 2021, an increase of $4.8 million, or 23%. The increase was primarily due to a $3.8 million increase in salaries, related benefits, and stock-based compensation due to an increase in headcount to support general and administrative activities required to operate as a public company and supply chain and manufacturing readiness, a $0.8 million increase in facilities costs and a $0.4 million increase in insurance costs. These increases were partially offset by a $0.8 million decrease in professional services including audit, accounting, and legal services.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64"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Other income (expense) for the year ended December 31, 2022 as compared to the year ended December 31, 2021 changed primarily due to higher interest income from marketable debt securities driven by higher interest rates.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200" w:firstLine="318"/>
        <w:spacing w:after="0" w:line="302" w:lineRule="auto"/>
        <w:rPr>
          <w:sz w:val="20"/>
          <w:szCs w:val="20"/>
          <w:color w:val="auto"/>
        </w:rPr>
      </w:pPr>
      <w:r>
        <w:rPr>
          <w:rFonts w:ascii="Arial" w:cs="Arial" w:eastAsia="Arial" w:hAnsi="Arial"/>
          <w:sz w:val="15"/>
          <w:szCs w:val="15"/>
          <w:color w:val="auto"/>
        </w:rPr>
        <w:t>Since our inception, we have not generated any revenue from product sales and have incurred significant operating losses and negative cash flows from our operations. Our net loss was $57.9 million for the year ended December 31, 2022. As of December 31, 2022, we had an accumulated deficit of</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$138.6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2022, we had cash, cash equivalents, and investments of $313.6 million.</w:t>
      </w:r>
    </w:p>
    <w:p>
      <w:pPr>
        <w:spacing w:after="0" w:line="128" w:lineRule="exact"/>
        <w:rPr>
          <w:sz w:val="20"/>
          <w:szCs w:val="20"/>
          <w:color w:val="auto"/>
        </w:rPr>
      </w:pPr>
    </w:p>
    <w:p>
      <w:pPr>
        <w:ind w:right="70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04"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19"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Based on our planned operations, we expect our current cash, cash equivalents, and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04" w:lineRule="exact"/>
        <w:rPr>
          <w:sz w:val="20"/>
          <w:szCs w:val="20"/>
          <w:color w:val="auto"/>
        </w:rPr>
      </w:pPr>
    </w:p>
    <w:p>
      <w:pPr>
        <w:ind w:right="120" w:firstLine="318"/>
        <w:spacing w:after="0" w:line="214" w:lineRule="exact"/>
        <w:rPr>
          <w:sz w:val="20"/>
          <w:szCs w:val="20"/>
          <w:color w:val="auto"/>
        </w:rPr>
      </w:pPr>
      <w:r>
        <w:rPr>
          <w:rFonts w:ascii="Arial" w:cs="Arial" w:eastAsia="Arial" w:hAnsi="Arial"/>
          <w:sz w:val="18"/>
          <w:szCs w:val="18"/>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Arial" w:cs="Arial" w:eastAsia="Arial" w:hAnsi="Arial"/>
          <w:sz w:val="18"/>
          <w:szCs w:val="18"/>
          <w:color w:val="auto"/>
        </w:rPr>
        <w:t>19 pandemic, the conflicts in Eastern Europe, potential uncertainty related to Taiwan and its relationship with China, and otherwise. Our failure to raise additional capital, if needed, would have a negative impact on our financial condition and our ability to execute our business plan.</w:t>
      </w:r>
    </w:p>
    <w:p>
      <w:pPr>
        <w:spacing w:after="0" w:line="151"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ectPr>
          <w:pgSz w:w="11900" w:h="16838" w:orient="portrait"/>
          <w:cols w:equalWidth="0" w:num="1">
            <w:col w:w="11240"/>
          </w:cols>
          <w:pgMar w:left="320" w:top="1440" w:right="339" w:bottom="1440" w:gutter="0" w:footer="0" w:header="0"/>
        </w:sectPr>
      </w:pP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Fiscal Years Ended December 31, 2022 and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546100</wp:posOffset>
            </wp:positionV>
            <wp:extent cx="7134860" cy="151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operating activities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cash provided by financing activities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192"/>
        </w:trPr>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spacing w:after="0"/>
              <w:rPr>
                <w:sz w:val="16"/>
                <w:szCs w:val="16"/>
                <w:color w:val="auto"/>
              </w:rPr>
            </w:pPr>
          </w:p>
        </w:tc>
      </w:tr>
      <w:tr>
        <w:trPr>
          <w:trHeight w:val="224"/>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(39,241)</w:t>
            </w:r>
          </w:p>
        </w:tc>
      </w:tr>
      <w:tr>
        <w:trPr>
          <w:trHeight w:val="225"/>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(138,964)</w:t>
            </w:r>
          </w:p>
        </w:tc>
      </w:tr>
      <w:tr>
        <w:trPr>
          <w:trHeight w:val="226"/>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327,447</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149,242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0" w:lineRule="exact"/>
        <w:rPr>
          <w:sz w:val="20"/>
          <w:szCs w:val="20"/>
          <w:color w:val="auto"/>
        </w:rPr>
      </w:pPr>
    </w:p>
    <w:p>
      <w:pPr>
        <w:sectPr>
          <w:pgSz w:w="11900" w:h="16838" w:orient="portrait"/>
          <w:cols w:equalWidth="0" w:num="2">
            <w:col w:w="7320" w:space="720"/>
            <w:col w:w="3200"/>
          </w:cols>
          <w:pgMar w:left="320" w:top="1440" w:right="339" w:bottom="1440" w:gutter="0" w:footer="0" w:header="0"/>
          <w:type w:val="continuous"/>
        </w:sectPr>
      </w:pPr>
    </w:p>
    <w:p>
      <w:pPr>
        <w:jc w:val="both"/>
        <w:ind w:right="260" w:firstLine="318"/>
        <w:spacing w:after="0" w:line="255" w:lineRule="auto"/>
        <w:rPr>
          <w:sz w:val="20"/>
          <w:szCs w:val="20"/>
          <w:color w:val="auto"/>
        </w:rPr>
      </w:pPr>
      <w:r>
        <w:rPr>
          <w:rFonts w:ascii="Arial" w:cs="Arial" w:eastAsia="Arial" w:hAnsi="Arial"/>
          <w:sz w:val="18"/>
          <w:szCs w:val="18"/>
          <w:color w:val="auto"/>
        </w:rPr>
        <w:t>During the year ended December 31, 2022, net cash used in operating activities was $45.8 million, primarily resulting from our operating loss of $57.9 million, a decrease in the net changes in assets and liabilities aggregating $0.8 million. The net loss and decrease in net changes in assets and liabilities was partially offset by $12.9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1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non-cash expenses. The non-cash expenses included $10.4 million of stock-based compensation, $2.2 million amortization of operating lease right-of-use assets, $1.2 million in depreciation, partially offset by $0.9 million in accretion of discounts of investments.</w:t>
      </w:r>
    </w:p>
    <w:p>
      <w:pPr>
        <w:spacing w:after="0" w:line="12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During the year ended December 31, 2021, net cash used in operating activities was $39.2 million, primarily resulting from our operating loss of $50.3 million and a $2.8 million increase in prepaid expenses and other assets, partially offset by $7.9 million of stock-based compensation, a $2.3 million increase in accrued expenses and other liabilities, $1.8 million amortization of operating lease right-of-use assets, a $1.3 million increase in accounts payable and $1.0 million in depreciation.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During the year ended December 31, 2022, net cash used in investing activities was $25.7 million, resulting from $186.6 million million in purchases of securities and $2.3 million in purchases of property and equipment, partially offset by $163.2 million in proceeds from sale and maturities of securities.</w:t>
      </w:r>
    </w:p>
    <w:p>
      <w:pPr>
        <w:spacing w:after="0" w:line="58"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During the year ended December 31, 2021, net cash used in investing activities was $139.0 million, resulting from $221.8 million in purchases of securities and $2.3 million in purchases of property and equipment, partially offset by $85.1 million in proceeds from the sale and maturities of securities.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During the year ended December 31, 2022, net cash provided by financing activities was $0.6 million, primarily from proceeds from the exercise of stock options and issuance of common stock under the employee stock purchase plan.</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During the year ended December 31, 2021, net cash provided by financing activities was $327.4 million, primarily from $335.4 million in proceeds from the reverse recapitalization and PIPE financing, partially offset by $8.1 million in payments of offering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For a discussion of our contractual obligations and commitments, refer to Part II, Item 8, Note 10, “Commitments and Contingencies” to the consolidated financial statements in this Annual Report on Form 10-K.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28"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19"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64"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1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93"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28"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64"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corresponding to the expected term of the awards.</w:t>
      </w:r>
    </w:p>
    <w:p>
      <w:pPr>
        <w:spacing w:after="0" w:line="127" w:lineRule="exact"/>
        <w:rPr>
          <w:rFonts w:ascii="Arial" w:cs="Arial" w:eastAsia="Arial" w:hAnsi="Arial"/>
          <w:sz w:val="18"/>
          <w:szCs w:val="18"/>
          <w:color w:val="auto"/>
        </w:rPr>
      </w:pPr>
    </w:p>
    <w:p>
      <w:pPr>
        <w:ind w:left="640" w:right="120" w:hanging="316"/>
        <w:spacing w:after="0" w:line="271"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Historically, we have been a private company and lacked company-specific historical and implied volatility information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Therefore, the expected volatility of our common stock was determined by using an average of historical volatilities of selected industry peers deemed to be comparable to our business corresponding to the expected term of the awards and we expect to continue to do so until such time we have adequate historical data regarding the volatility of our traded common stock price.</w:t>
      </w:r>
    </w:p>
    <w:p>
      <w:pPr>
        <w:spacing w:after="0" w:line="124" w:lineRule="exact"/>
        <w:rPr>
          <w:rFonts w:ascii="Arial" w:cs="Arial" w:eastAsia="Arial" w:hAnsi="Arial"/>
          <w:sz w:val="17"/>
          <w:szCs w:val="17"/>
          <w:color w:val="auto"/>
        </w:rPr>
      </w:pPr>
    </w:p>
    <w:p>
      <w:pPr>
        <w:ind w:left="640" w:right="80" w:hanging="316"/>
        <w:spacing w:after="0" w:line="252"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weighted-average period that the stock-based awards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expected dividend rate is zero as we have no history or expectation of declaring dividends on our common stock.</w:t>
      </w:r>
    </w:p>
    <w:p>
      <w:pPr>
        <w:spacing w:after="0" w:line="199"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7" w:name="page88"/>
    <w:bookmarkEnd w:id="8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32"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64" w:lineRule="exact"/>
        <w:rPr>
          <w:rFonts w:ascii="Arial" w:cs="Arial" w:eastAsia="Arial" w:hAnsi="Arial"/>
          <w:sz w:val="18"/>
          <w:szCs w:val="18"/>
          <w:color w:val="auto"/>
        </w:rPr>
      </w:pPr>
    </w:p>
    <w:p>
      <w:pPr>
        <w:ind w:left="640" w:hanging="316"/>
        <w:spacing w:after="0" w:line="330" w:lineRule="auto"/>
        <w:tabs>
          <w:tab w:leader="none" w:pos="635"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83" w:lineRule="exact"/>
        <w:rPr>
          <w:rFonts w:ascii="Arial" w:cs="Arial" w:eastAsia="Arial" w:hAnsi="Arial"/>
          <w:sz w:val="15"/>
          <w:szCs w:val="15"/>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applicable, the implied equity value of Legacy Nautilus as contemplated by the Business Combination Agreement.</w:t>
      </w:r>
    </w:p>
    <w:p>
      <w:pPr>
        <w:spacing w:after="0" w:line="164"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Our board of directors made a determination of the fair market value of our common stock which contemplated the implied equity value of the Legacy Nautilus per the Business Combination agreement that was executed on February 7, 2021.</w:t>
      </w:r>
    </w:p>
    <w:p>
      <w:pPr>
        <w:spacing w:after="0" w:line="13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Following the closing of the Business Combination, our board of directors determine the fair market value of our common stock based on its closing price as reported on the date of grant on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99"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w:t>
      </w:r>
    </w:p>
    <w:p>
      <w:pPr>
        <w:spacing w:after="0" w:line="1" w:lineRule="exact"/>
        <w:rPr>
          <w:sz w:val="20"/>
          <w:szCs w:val="20"/>
          <w:color w:val="auto"/>
        </w:rPr>
      </w:pPr>
    </w:p>
    <w:p>
      <w:pPr>
        <w:ind w:firstLine="6"/>
        <w:spacing w:after="0" w:line="251" w:lineRule="auto"/>
        <w:tabs>
          <w:tab w:leader="none" w:pos="3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had cash, cash equivalents and investments of $313.6 million as of December 31,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2022, the effect of a hypothetical 1.00% (100 basis point) change in interest rates would have changed the fair value of our marketable securities by $2.4 million. Such change would only be realized if we sold the marketable securities prior to maturity.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9"/>
        </w:trPr>
        <w:tc>
          <w:tcPr>
            <w:tcW w:w="982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00" w:type="dxa"/>
            <w:vAlign w:val="bottom"/>
            <w:gridSpan w:val="6"/>
          </w:tcPr>
          <w:p>
            <w:pPr>
              <w:jc w:val="center"/>
              <w:ind w:right="17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w w:val="92"/>
              </w:rPr>
              <w:t>Page</w:t>
            </w:r>
          </w:p>
        </w:tc>
      </w:tr>
      <w:tr>
        <w:trPr>
          <w:trHeight w:val="266"/>
        </w:trPr>
        <w:tc>
          <w:tcPr>
            <w:tcW w:w="20" w:type="dxa"/>
            <w:vAlign w:val="bottom"/>
          </w:tcPr>
          <w:p>
            <w:pPr>
              <w:spacing w:after="0"/>
              <w:rPr>
                <w:sz w:val="23"/>
                <w:szCs w:val="23"/>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E32E1"/>
              </w:rPr>
              <w:t>238</w:t>
            </w:r>
            <w:r>
              <w:rPr>
                <w:rFonts w:ascii="Arial" w:cs="Arial" w:eastAsia="Arial" w:hAnsi="Arial"/>
                <w:sz w:val="18"/>
                <w:szCs w:val="18"/>
                <w:u w:val="single" w:color="auto"/>
                <w:color w:val="3051F2"/>
              </w:rPr>
              <w:t>)</w:t>
            </w: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92</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8"/>
                <w:szCs w:val="18"/>
                <w:color w:val="0000FF"/>
                <w:w w:val="86"/>
              </w:rPr>
              <w:t>Consolidated Balance Sheets</w:t>
            </w:r>
          </w:p>
        </w:tc>
        <w:tc>
          <w:tcPr>
            <w:tcW w:w="3000" w:type="dxa"/>
            <w:vAlign w:val="bottom"/>
            <w:gridSpan w:val="5"/>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20" w:type="dxa"/>
            <w:vAlign w:val="bottom"/>
            <w:gridSpan w:val="2"/>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93</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Consolidated Statements of Operations</w:t>
            </w: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94</w:t>
            </w:r>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480" w:type="dxa"/>
            <w:vAlign w:val="bottom"/>
            <w:gridSpan w:val="5"/>
          </w:tcPr>
          <w:p>
            <w:pPr>
              <w:spacing w:after="0"/>
              <w:rPr>
                <w:sz w:val="20"/>
                <w:szCs w:val="20"/>
                <w:color w:val="auto"/>
              </w:rPr>
            </w:pPr>
            <w:r>
              <w:rPr>
                <w:rFonts w:ascii="Arial" w:cs="Arial" w:eastAsia="Arial" w:hAnsi="Arial"/>
                <w:sz w:val="18"/>
                <w:szCs w:val="18"/>
                <w:color w:val="0000FF"/>
                <w:w w:val="87"/>
              </w:rPr>
              <w:t>Consolidated Statements of Comprehensive Loss</w:t>
            </w:r>
          </w:p>
        </w:tc>
        <w:tc>
          <w:tcPr>
            <w:tcW w:w="6320" w:type="dxa"/>
            <w:vAlign w:val="bottom"/>
            <w:gridSpan w:val="5"/>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95</w:t>
            </w: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380" w:type="dxa"/>
            <w:vAlign w:val="bottom"/>
            <w:gridSpan w:val="9"/>
          </w:tcPr>
          <w:p>
            <w:pPr>
              <w:spacing w:after="0"/>
              <w:rPr>
                <w:sz w:val="20"/>
                <w:szCs w:val="20"/>
                <w:color w:val="auto"/>
              </w:rPr>
            </w:pPr>
            <w:r>
              <w:rPr>
                <w:rFonts w:ascii="Arial" w:cs="Arial" w:eastAsia="Arial" w:hAnsi="Arial"/>
                <w:sz w:val="18"/>
                <w:szCs w:val="18"/>
                <w:color w:val="0000FF"/>
                <w:w w:val="89"/>
              </w:rPr>
              <w:t>Consolidated Statements of Redeemable Convertible Preferred Stock and Stockholders’ Equity (Deficit)</w:t>
            </w:r>
          </w:p>
        </w:tc>
        <w:tc>
          <w:tcPr>
            <w:tcW w:w="2420" w:type="dxa"/>
            <w:vAlign w:val="bottom"/>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96</w:t>
            </w:r>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80" w:type="dxa"/>
            <w:vAlign w:val="bottom"/>
            <w:gridSpan w:val="5"/>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0000FF"/>
                <w:w w:val="87"/>
              </w:rPr>
              <w:t>Consolidated Statements of Cash Flows</w:t>
            </w:r>
          </w:p>
        </w:tc>
        <w:tc>
          <w:tcPr>
            <w:tcW w:w="4560" w:type="dxa"/>
            <w:vAlign w:val="bottom"/>
            <w:gridSpan w:val="6"/>
          </w:tcPr>
          <w:p>
            <w:pPr>
              <w:spacing w:after="0"/>
              <w:rPr>
                <w:sz w:val="22"/>
                <w:szCs w:val="22"/>
                <w:color w:val="auto"/>
              </w:rPr>
            </w:pPr>
          </w:p>
        </w:tc>
        <w:tc>
          <w:tcPr>
            <w:tcW w:w="2420" w:type="dxa"/>
            <w:vAlign w:val="bottom"/>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97</w:t>
            </w:r>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0000FF"/>
                <w:w w:val="87"/>
              </w:rPr>
              <w:t>Notes to Consolidated Financial Statements</w:t>
            </w:r>
          </w:p>
        </w:tc>
        <w:tc>
          <w:tcPr>
            <w:tcW w:w="6700" w:type="dxa"/>
            <w:vAlign w:val="bottom"/>
            <w:gridSpan w:val="6"/>
          </w:tcPr>
          <w:p>
            <w:pPr>
              <w:spacing w:after="0"/>
              <w:rPr>
                <w:sz w:val="22"/>
                <w:szCs w:val="22"/>
                <w:color w:val="auto"/>
              </w:rPr>
            </w:pPr>
          </w:p>
        </w:tc>
        <w:tc>
          <w:tcPr>
            <w:tcW w:w="1420" w:type="dxa"/>
            <w:vAlign w:val="bottom"/>
            <w:gridSpan w:val="2"/>
          </w:tcPr>
          <w:p>
            <w:pPr>
              <w:jc w:val="right"/>
              <w:ind w:right="1240"/>
              <w:spacing w:after="0"/>
              <w:rPr>
                <w:sz w:val="20"/>
                <w:szCs w:val="20"/>
                <w:color w:val="auto"/>
              </w:rPr>
            </w:pPr>
            <w:r>
              <w:rPr>
                <w:rFonts w:ascii="Arial" w:cs="Arial" w:eastAsia="Arial" w:hAnsi="Arial"/>
                <w:sz w:val="18"/>
                <w:szCs w:val="18"/>
                <w:color w:val="0000FF"/>
                <w:w w:val="79"/>
              </w:rPr>
              <w:t>98</w:t>
            </w:r>
          </w:p>
        </w:tc>
      </w:tr>
      <w:tr>
        <w:trPr>
          <w:trHeight w:val="863"/>
        </w:trPr>
        <w:tc>
          <w:tcPr>
            <w:tcW w:w="20" w:type="dxa"/>
            <w:vAlign w:val="bottom"/>
          </w:tcPr>
          <w:p>
            <w:pPr>
              <w:spacing w:after="0"/>
              <w:rPr>
                <w:sz w:val="24"/>
                <w:szCs w:val="24"/>
                <w:color w:val="auto"/>
              </w:rPr>
            </w:pPr>
          </w:p>
        </w:tc>
        <w:tc>
          <w:tcPr>
            <w:tcW w:w="3100" w:type="dxa"/>
            <w:vAlign w:val="bottom"/>
            <w:tcBorders>
              <w:top w:val="single" w:sz="8" w:color="0000FF"/>
            </w:tcBorders>
            <w:gridSpan w:val="4"/>
          </w:tcPr>
          <w:p>
            <w:pPr>
              <w:spacing w:after="0"/>
              <w:rPr>
                <w:sz w:val="24"/>
                <w:szCs w:val="24"/>
                <w:color w:val="auto"/>
              </w:rPr>
            </w:pPr>
          </w:p>
        </w:tc>
        <w:tc>
          <w:tcPr>
            <w:tcW w:w="4280" w:type="dxa"/>
            <w:vAlign w:val="bottom"/>
            <w:gridSpan w:val="5"/>
          </w:tcPr>
          <w:p>
            <w:pPr>
              <w:jc w:val="right"/>
              <w:ind w:right="1700"/>
              <w:spacing w:after="0"/>
              <w:rPr>
                <w:sz w:val="20"/>
                <w:szCs w:val="20"/>
                <w:color w:val="auto"/>
              </w:rPr>
            </w:pPr>
            <w:r>
              <w:rPr>
                <w:rFonts w:ascii="Arial" w:cs="Arial" w:eastAsia="Arial" w:hAnsi="Arial"/>
                <w:sz w:val="16"/>
                <w:szCs w:val="16"/>
                <w:color w:val="auto"/>
              </w:rPr>
              <w:t>91</w:t>
            </w:r>
          </w:p>
        </w:tc>
        <w:tc>
          <w:tcPr>
            <w:tcW w:w="24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-1808480</wp:posOffset>
            </wp:positionV>
            <wp:extent cx="27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1" w:name="page92"/>
    <w:bookmarkEnd w:id="91"/>
    <w:p>
      <w:pPr>
        <w:spacing w:after="0" w:line="113" w:lineRule="exact"/>
        <w:rPr>
          <w:sz w:val="20"/>
          <w:szCs w:val="20"/>
          <w:color w:val="auto"/>
        </w:rPr>
      </w:pPr>
    </w:p>
    <w:p>
      <w:pPr>
        <w:ind w:right="340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have audited the accompanying consolidated balance sheets of Nautilus Biotechnology, Inc. and its subsidiary (the “Company”) as of December 31, 2022 and 2021, and the related consolidated statements of operations, of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6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ind w:right="80"/>
        <w:spacing w:after="0" w:line="312"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At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114,523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Preferred stock, $0.0001 par value, 200,000,000 authorized as of December 31, 2022 and December 31, 2021,</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respectively; 0 shares issued and outstanding as of December 31, 2022 and December 31, 2021, respectively</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5"/>
              </w:rPr>
              <w:t>Common stock, $0.0001 par value, 1,000,000,000 shares authorized as of December 31, 2022 and 2021,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80"/>
              <w:spacing w:after="0" w:line="186" w:lineRule="exact"/>
              <w:rPr>
                <w:sz w:val="20"/>
                <w:szCs w:val="20"/>
                <w:color w:val="auto"/>
              </w:rPr>
            </w:pPr>
            <w:r>
              <w:rPr>
                <w:rFonts w:ascii="Arial" w:cs="Arial" w:eastAsia="Arial" w:hAnsi="Arial"/>
                <w:sz w:val="18"/>
                <w:szCs w:val="18"/>
                <w:color w:val="auto"/>
                <w:w w:val="88"/>
              </w:rPr>
              <w:t>respectively; 124,865,485 and 124,303,083 shares issued and outstanding as of December 31, 2022 and 2021,</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31, 2022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37,672</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29,352</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218"/>
        </w:trPr>
        <w:tc>
          <w:tcPr>
            <w:tcW w:w="80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50,498</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4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tcPr>
          <w:p>
            <w:pPr>
              <w:jc w:val="right"/>
              <w:ind w:right="135"/>
              <w:spacing w:after="0" w:line="198"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line="198"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4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 loss per share attributable to common stockholders, basic and</w:t>
            </w:r>
          </w:p>
        </w:tc>
        <w:tc>
          <w:tcPr>
            <w:tcW w:w="3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124,589,555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84,464,081</w:t>
            </w:r>
          </w:p>
        </w:tc>
        <w:tc>
          <w:tcPr>
            <w:tcW w:w="0" w:type="dxa"/>
            <w:vAlign w:val="bottom"/>
          </w:tcPr>
          <w:p>
            <w:pPr>
              <w:spacing w:after="0"/>
              <w:rPr>
                <w:sz w:val="1"/>
                <w:szCs w:val="1"/>
                <w:color w:val="auto"/>
              </w:rPr>
            </w:pPr>
          </w:p>
        </w:tc>
      </w:tr>
      <w:tr>
        <w:trPr>
          <w:trHeight w:val="231"/>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4" w:name="page95"/>
    <w:bookmarkEnd w:id="9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5" w:name="page96"/>
    <w:bookmarkEnd w:id="9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right="1820"/>
        <w:spacing w:after="0" w:line="261" w:lineRule="auto"/>
        <w:rPr>
          <w:sz w:val="20"/>
          <w:szCs w:val="20"/>
          <w:color w:val="auto"/>
        </w:rPr>
      </w:pPr>
      <w:r>
        <w:rPr>
          <w:rFonts w:ascii="Arial" w:cs="Arial" w:eastAsia="Arial" w:hAnsi="Arial"/>
          <w:sz w:val="21"/>
          <w:szCs w:val="21"/>
          <w:b w:val="1"/>
          <w:bCs w:val="1"/>
          <w:color w:val="auto"/>
        </w:rPr>
        <w:t>Consolidated Statements of Redeemable Convertible Preferred Stock and Stockholders’ Equity (Deficit)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9"/>
          </w:tcPr>
          <w:p>
            <w:pPr>
              <w:ind w:left="360"/>
              <w:spacing w:after="0"/>
              <w:rPr>
                <w:sz w:val="20"/>
                <w:szCs w:val="20"/>
                <w:color w:val="auto"/>
              </w:rPr>
            </w:pPr>
            <w:r>
              <w:rPr>
                <w:rFonts w:ascii="Arial" w:cs="Arial" w:eastAsia="Arial" w:hAnsi="Arial"/>
                <w:sz w:val="12"/>
                <w:szCs w:val="12"/>
                <w:b w:val="1"/>
                <w:bCs w:val="1"/>
                <w:color w:val="auto"/>
              </w:rPr>
              <w:t>Redeemable Convertible Preferred Stock</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540" w:type="dxa"/>
            <w:vAlign w:val="bottom"/>
            <w:gridSpan w:val="5"/>
            <w:vMerge w:val="restart"/>
          </w:tcPr>
          <w:p>
            <w:pPr>
              <w:ind w:left="440"/>
              <w:spacing w:after="0"/>
              <w:rPr>
                <w:sz w:val="20"/>
                <w:szCs w:val="20"/>
                <w:color w:val="auto"/>
              </w:rPr>
            </w:pPr>
            <w:r>
              <w:rPr>
                <w:rFonts w:ascii="Arial" w:cs="Arial" w:eastAsia="Arial" w:hAnsi="Arial"/>
                <w:sz w:val="12"/>
                <w:szCs w:val="12"/>
                <w:b w:val="1"/>
                <w:bCs w:val="1"/>
                <w:color w:val="auto"/>
              </w:rPr>
              <w:t>Series Seed</w:t>
            </w:r>
          </w:p>
        </w:tc>
        <w:tc>
          <w:tcPr>
            <w:tcW w:w="1600" w:type="dxa"/>
            <w:vAlign w:val="bottom"/>
            <w:gridSpan w:val="5"/>
            <w:vMerge w:val="restart"/>
          </w:tcPr>
          <w:p>
            <w:pPr>
              <w:ind w:left="540"/>
              <w:spacing w:after="0"/>
              <w:rPr>
                <w:sz w:val="20"/>
                <w:szCs w:val="20"/>
                <w:color w:val="auto"/>
              </w:rPr>
            </w:pPr>
            <w:r>
              <w:rPr>
                <w:rFonts w:ascii="Arial" w:cs="Arial" w:eastAsia="Arial" w:hAnsi="Arial"/>
                <w:sz w:val="12"/>
                <w:szCs w:val="12"/>
                <w:b w:val="1"/>
                <w:bCs w:val="1"/>
                <w:color w:val="auto"/>
              </w:rPr>
              <w:t>Series A</w:t>
            </w:r>
          </w:p>
        </w:tc>
        <w:tc>
          <w:tcPr>
            <w:tcW w:w="1640" w:type="dxa"/>
            <w:vAlign w:val="bottom"/>
            <w:tcBorders>
              <w:right w:val="single" w:sz="8" w:color="auto"/>
            </w:tcBorders>
            <w:gridSpan w:val="5"/>
            <w:vMerge w:val="restart"/>
          </w:tcPr>
          <w:p>
            <w:pPr>
              <w:ind w:left="560"/>
              <w:spacing w:after="0"/>
              <w:rPr>
                <w:sz w:val="20"/>
                <w:szCs w:val="20"/>
                <w:color w:val="auto"/>
              </w:rPr>
            </w:pPr>
            <w:r>
              <w:rPr>
                <w:rFonts w:ascii="Arial" w:cs="Arial" w:eastAsia="Arial" w:hAnsi="Arial"/>
                <w:sz w:val="12"/>
                <w:szCs w:val="12"/>
                <w:b w:val="1"/>
                <w:bCs w:val="1"/>
                <w:color w:val="auto"/>
              </w:rPr>
              <w:t>Series B</w:t>
            </w:r>
          </w:p>
        </w:tc>
        <w:tc>
          <w:tcPr>
            <w:tcW w:w="60" w:type="dxa"/>
            <w:vAlign w:val="bottom"/>
          </w:tcPr>
          <w:p>
            <w:pPr>
              <w:spacing w:after="0"/>
              <w:rPr>
                <w:sz w:val="4"/>
                <w:szCs w:val="4"/>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64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40"/>
        </w:trPr>
        <w:tc>
          <w:tcPr>
            <w:tcW w:w="172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tcPr>
          <w:p>
            <w:pPr>
              <w:ind w:left="20"/>
              <w:spacing w:after="0" w:line="40" w:lineRule="exact"/>
              <w:rPr>
                <w:sz w:val="20"/>
                <w:szCs w:val="20"/>
                <w:color w:val="auto"/>
              </w:rPr>
            </w:pPr>
            <w:r>
              <w:rPr>
                <w:rFonts w:ascii="Arial" w:cs="Arial" w:eastAsia="Arial" w:hAnsi="Arial"/>
                <w:sz w:val="4"/>
                <w:szCs w:val="4"/>
                <w:b w:val="1"/>
                <w:bCs w:val="1"/>
                <w:color w:val="auto"/>
              </w:rPr>
              <w:t>Additional</w:t>
            </w:r>
          </w:p>
        </w:tc>
        <w:tc>
          <w:tcPr>
            <w:tcW w:w="80" w:type="dxa"/>
            <w:vAlign w:val="bottom"/>
          </w:tcPr>
          <w:p>
            <w:pPr>
              <w:spacing w:after="0"/>
              <w:rPr>
                <w:sz w:val="3"/>
                <w:szCs w:val="3"/>
                <w:color w:val="auto"/>
              </w:rPr>
            </w:pPr>
          </w:p>
        </w:tc>
        <w:tc>
          <w:tcPr>
            <w:tcW w:w="880" w:type="dxa"/>
            <w:vAlign w:val="bottom"/>
            <w:gridSpan w:val="2"/>
          </w:tcPr>
          <w:p>
            <w:pPr>
              <w:jc w:val="center"/>
              <w:ind w:right="160"/>
              <w:spacing w:after="0" w:line="40" w:lineRule="exact"/>
              <w:rPr>
                <w:sz w:val="20"/>
                <w:szCs w:val="20"/>
                <w:color w:val="auto"/>
              </w:rPr>
            </w:pPr>
            <w:r>
              <w:rPr>
                <w:rFonts w:ascii="Arial" w:cs="Arial" w:eastAsia="Arial" w:hAnsi="Arial"/>
                <w:sz w:val="4"/>
                <w:szCs w:val="4"/>
                <w:b w:val="1"/>
                <w:bCs w:val="1"/>
                <w:color w:val="auto"/>
              </w:rPr>
              <w:t>Other</w:t>
            </w: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line="20" w:lineRule="exact"/>
              <w:rPr>
                <w:sz w:val="1"/>
                <w:szCs w:val="1"/>
                <w:color w:val="auto"/>
              </w:rPr>
            </w:pPr>
          </w:p>
        </w:tc>
      </w:tr>
      <w:tr>
        <w:trPr>
          <w:trHeight w:val="133"/>
        </w:trPr>
        <w:tc>
          <w:tcPr>
            <w:tcW w:w="1720" w:type="dxa"/>
            <w:vAlign w:val="bottom"/>
          </w:tcPr>
          <w:p>
            <w:pPr>
              <w:ind w:left="20"/>
              <w:spacing w:after="0" w:line="133" w:lineRule="exact"/>
              <w:rPr>
                <w:sz w:val="20"/>
                <w:szCs w:val="20"/>
                <w:color w:val="auto"/>
              </w:rPr>
            </w:pPr>
            <w:r>
              <w:rPr>
                <w:rFonts w:ascii="Arial" w:cs="Arial" w:eastAsia="Arial" w:hAnsi="Arial"/>
                <w:sz w:val="12"/>
                <w:szCs w:val="12"/>
                <w:i w:val="1"/>
                <w:iCs w:val="1"/>
                <w:color w:val="auto"/>
              </w:rPr>
              <w:t>(in thousands, except share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1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1"/>
                <w:szCs w:val="11"/>
                <w:color w:val="auto"/>
              </w:rPr>
            </w:pPr>
          </w:p>
        </w:tc>
        <w:tc>
          <w:tcPr>
            <w:tcW w:w="7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Paid-in</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Comprehensive</w:t>
            </w: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20" w:type="dxa"/>
            <w:vAlign w:val="bottom"/>
          </w:tcPr>
          <w:p>
            <w:pPr>
              <w:ind w:left="20"/>
              <w:spacing w:after="0"/>
              <w:rPr>
                <w:sz w:val="20"/>
                <w:szCs w:val="20"/>
                <w:color w:val="auto"/>
              </w:rPr>
            </w:pPr>
            <w:r>
              <w:rPr>
                <w:rFonts w:ascii="Arial" w:cs="Arial" w:eastAsia="Arial" w:hAnsi="Arial"/>
                <w:sz w:val="12"/>
                <w:szCs w:val="12"/>
                <w:i w:val="1"/>
                <w:iCs w:val="1"/>
                <w:color w:val="auto"/>
              </w:rPr>
              <w:t>amounts)</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9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4"/>
                <w:szCs w:val="14"/>
                <w:color w:val="auto"/>
              </w:rPr>
            </w:pPr>
          </w:p>
        </w:tc>
        <w:tc>
          <w:tcPr>
            <w:tcW w:w="640" w:type="dxa"/>
            <w:vAlign w:val="bottom"/>
          </w:tcPr>
          <w:p>
            <w:pPr>
              <w:jc w:val="center"/>
              <w:ind w:right="58"/>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6"/>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7"/>
              </w:rPr>
              <w:t>Balances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13,174,805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16,836,436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27,067</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22,164,724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75,857</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33,069,513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(30,325)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(29,721)</w:t>
            </w:r>
          </w:p>
        </w:tc>
        <w:tc>
          <w:tcPr>
            <w:tcW w:w="0" w:type="dxa"/>
            <w:vAlign w:val="bottom"/>
          </w:tcPr>
          <w:p>
            <w:pPr>
              <w:spacing w:after="0"/>
              <w:rPr>
                <w:sz w:val="1"/>
                <w:szCs w:val="1"/>
                <w:color w:val="auto"/>
              </w:rPr>
            </w:pPr>
          </w:p>
        </w:tc>
      </w:tr>
      <w:tr>
        <w:trPr>
          <w:trHeight w:val="119"/>
        </w:trPr>
        <w:tc>
          <w:tcPr>
            <w:tcW w:w="1720" w:type="dxa"/>
            <w:vAlign w:val="bottom"/>
          </w:tcPr>
          <w:p>
            <w:pPr>
              <w:ind w:left="20"/>
              <w:spacing w:after="0" w:line="120" w:lineRule="exact"/>
              <w:rPr>
                <w:sz w:val="20"/>
                <w:szCs w:val="20"/>
                <w:color w:val="auto"/>
              </w:rPr>
            </w:pPr>
            <w:r>
              <w:rPr>
                <w:rFonts w:ascii="Arial" w:cs="Arial" w:eastAsia="Arial" w:hAnsi="Arial"/>
                <w:sz w:val="12"/>
                <w:szCs w:val="12"/>
                <w:color w:val="auto"/>
                <w:w w:val="97"/>
              </w:rPr>
              <w:t>Issuance of common stock upon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Pr>
          <w:p>
            <w:pPr>
              <w:ind w:left="180"/>
              <w:spacing w:after="0" w:line="132" w:lineRule="exact"/>
              <w:rPr>
                <w:sz w:val="20"/>
                <w:szCs w:val="20"/>
                <w:color w:val="auto"/>
              </w:rPr>
            </w:pPr>
            <w:r>
              <w:rPr>
                <w:rFonts w:ascii="Arial" w:cs="Arial" w:eastAsia="Arial" w:hAnsi="Arial"/>
                <w:sz w:val="12"/>
                <w:szCs w:val="12"/>
                <w:color w:val="auto"/>
              </w:rPr>
              <w:t>exercise of vested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20" w:type="dxa"/>
            <w:vAlign w:val="bottom"/>
          </w:tcPr>
          <w:p>
            <w:pPr>
              <w:ind w:left="180"/>
              <w:spacing w:after="0"/>
              <w:rPr>
                <w:sz w:val="20"/>
                <w:szCs w:val="20"/>
                <w:color w:val="auto"/>
              </w:rPr>
            </w:pPr>
            <w:r>
              <w:rPr>
                <w:rFonts w:ascii="Arial" w:cs="Arial" w:eastAsia="Arial" w:hAnsi="Arial"/>
                <w:sz w:val="12"/>
                <w:szCs w:val="12"/>
                <w:color w:val="auto"/>
              </w:rPr>
              <w:t>options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273,696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28"/>
        </w:trPr>
        <w:tc>
          <w:tcPr>
            <w:tcW w:w="17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7"/>
              </w:rPr>
              <w:t>Issuance of common stock upon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exercise of warrants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62,772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720" w:type="dxa"/>
            <w:vAlign w:val="bottom"/>
          </w:tcPr>
          <w:p>
            <w:pPr>
              <w:ind w:left="20"/>
              <w:spacing w:after="0" w:line="120" w:lineRule="exact"/>
              <w:rPr>
                <w:sz w:val="20"/>
                <w:szCs w:val="20"/>
                <w:color w:val="auto"/>
              </w:rPr>
            </w:pPr>
            <w:r>
              <w:rPr>
                <w:rFonts w:ascii="Arial" w:cs="Arial" w:eastAsia="Arial" w:hAnsi="Arial"/>
                <w:sz w:val="12"/>
                <w:szCs w:val="12"/>
                <w:color w:val="auto"/>
              </w:rPr>
              <w:t>Conversion of redeemable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Pr>
          <w:p>
            <w:pPr>
              <w:ind w:left="20"/>
              <w:spacing w:after="0" w:line="132" w:lineRule="exact"/>
              <w:rPr>
                <w:sz w:val="20"/>
                <w:szCs w:val="20"/>
                <w:color w:val="auto"/>
              </w:rPr>
            </w:pPr>
            <w:r>
              <w:rPr>
                <w:rFonts w:ascii="Arial" w:cs="Arial" w:eastAsia="Arial" w:hAnsi="Arial"/>
                <w:sz w:val="12"/>
                <w:szCs w:val="12"/>
                <w:color w:val="auto"/>
              </w:rPr>
              <w:t>convertible preferred stock into</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720" w:type="dxa"/>
            <w:vAlign w:val="bottom"/>
          </w:tcPr>
          <w:p>
            <w:pPr>
              <w:ind w:left="20"/>
              <w:spacing w:after="0" w:line="120" w:lineRule="exact"/>
              <w:rPr>
                <w:sz w:val="20"/>
                <w:szCs w:val="20"/>
                <w:color w:val="auto"/>
              </w:rPr>
            </w:pPr>
            <w:r>
              <w:rPr>
                <w:rFonts w:ascii="Arial" w:cs="Arial" w:eastAsia="Arial" w:hAnsi="Arial"/>
                <w:sz w:val="12"/>
                <w:szCs w:val="12"/>
                <w:color w:val="auto"/>
              </w:rPr>
              <w:t>common stock in connection</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w w:val="99"/>
              </w:rPr>
              <w:t>(13,174,805)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(5,494)</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w w:val="99"/>
              </w:rPr>
              <w:t>(16,836,436)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(27,067)</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(22,164,724)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(75,857)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52,175,965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108,411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108,418</w:t>
            </w:r>
          </w:p>
        </w:tc>
        <w:tc>
          <w:tcPr>
            <w:tcW w:w="0" w:type="dxa"/>
            <w:vAlign w:val="bottom"/>
          </w:tcPr>
          <w:p>
            <w:pPr>
              <w:spacing w:after="0"/>
              <w:rPr>
                <w:sz w:val="1"/>
                <w:szCs w:val="1"/>
                <w:color w:val="auto"/>
              </w:rPr>
            </w:pPr>
          </w:p>
        </w:tc>
      </w:tr>
      <w:tr>
        <w:trPr>
          <w:trHeight w:val="164"/>
        </w:trPr>
        <w:tc>
          <w:tcPr>
            <w:tcW w:w="1720" w:type="dxa"/>
            <w:vAlign w:val="bottom"/>
          </w:tcPr>
          <w:p>
            <w:pPr>
              <w:ind w:left="20"/>
              <w:spacing w:after="0"/>
              <w:rPr>
                <w:sz w:val="20"/>
                <w:szCs w:val="20"/>
                <w:color w:val="auto"/>
              </w:rPr>
            </w:pPr>
            <w:r>
              <w:rPr>
                <w:rFonts w:ascii="Arial" w:cs="Arial" w:eastAsia="Arial" w:hAnsi="Arial"/>
                <w:sz w:val="12"/>
                <w:szCs w:val="12"/>
                <w:color w:val="auto"/>
                <w:w w:val="99"/>
              </w:rPr>
              <w:t>with the reverse recapitalization</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7"/>
              </w:rPr>
              <w:t>Issuance of common stock upon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2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the reverse recapitalization, net</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 issuance costs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38,721,137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327,276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327,280</w:t>
            </w:r>
          </w:p>
        </w:tc>
        <w:tc>
          <w:tcPr>
            <w:tcW w:w="0" w:type="dxa"/>
            <w:vAlign w:val="bottom"/>
          </w:tcPr>
          <w:p>
            <w:pPr>
              <w:spacing w:after="0"/>
              <w:rPr>
                <w:sz w:val="1"/>
                <w:szCs w:val="1"/>
                <w:color w:val="auto"/>
              </w:rPr>
            </w:pPr>
          </w:p>
        </w:tc>
      </w:tr>
      <w:tr>
        <w:trPr>
          <w:trHeight w:val="119"/>
        </w:trPr>
        <w:tc>
          <w:tcPr>
            <w:tcW w:w="1720" w:type="dxa"/>
            <w:vAlign w:val="bottom"/>
          </w:tcPr>
          <w:p>
            <w:pPr>
              <w:ind w:left="20"/>
              <w:spacing w:after="0" w:line="120" w:lineRule="exact"/>
              <w:rPr>
                <w:sz w:val="20"/>
                <w:szCs w:val="20"/>
                <w:color w:val="auto"/>
              </w:rPr>
            </w:pPr>
            <w:r>
              <w:rPr>
                <w:rFonts w:ascii="Arial" w:cs="Arial" w:eastAsia="Arial" w:hAnsi="Arial"/>
                <w:sz w:val="12"/>
                <w:szCs w:val="12"/>
                <w:color w:val="auto"/>
              </w:rPr>
              <w:t>Stock-based compensation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720" w:type="dxa"/>
            <w:vAlign w:val="bottom"/>
          </w:tcPr>
          <w:p>
            <w:pPr>
              <w:ind w:left="20"/>
              <w:spacing w:after="0"/>
              <w:rPr>
                <w:sz w:val="20"/>
                <w:szCs w:val="20"/>
                <w:color w:val="auto"/>
              </w:rPr>
            </w:pPr>
            <w:r>
              <w:rPr>
                <w:rFonts w:ascii="Arial" w:cs="Arial" w:eastAsia="Arial" w:hAnsi="Arial"/>
                <w:sz w:val="12"/>
                <w:szCs w:val="12"/>
                <w:color w:val="auto"/>
              </w:rPr>
              <w:t>expense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7,934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7,934</w:t>
            </w:r>
          </w:p>
        </w:tc>
        <w:tc>
          <w:tcPr>
            <w:tcW w:w="0" w:type="dxa"/>
            <w:vAlign w:val="bottom"/>
          </w:tcPr>
          <w:p>
            <w:pPr>
              <w:spacing w:after="0"/>
              <w:rPr>
                <w:sz w:val="1"/>
                <w:szCs w:val="1"/>
                <w:color w:val="auto"/>
              </w:rPr>
            </w:pPr>
          </w:p>
        </w:tc>
      </w:tr>
      <w:tr>
        <w:trPr>
          <w:trHeight w:val="181"/>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(50,315)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(50,315)</w:t>
            </w:r>
          </w:p>
        </w:tc>
        <w:tc>
          <w:tcPr>
            <w:tcW w:w="0" w:type="dxa"/>
            <w:vAlign w:val="bottom"/>
          </w:tcPr>
          <w:p>
            <w:pPr>
              <w:spacing w:after="0"/>
              <w:rPr>
                <w:sz w:val="1"/>
                <w:szCs w:val="1"/>
                <w:color w:val="auto"/>
              </w:rPr>
            </w:pPr>
          </w:p>
        </w:tc>
      </w:tr>
      <w:tr>
        <w:trPr>
          <w:trHeight w:val="172"/>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7"/>
              </w:rPr>
              <w:t>Balances at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124,303,083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444,388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363,576</w:t>
            </w:r>
          </w:p>
        </w:tc>
        <w:tc>
          <w:tcPr>
            <w:tcW w:w="0" w:type="dxa"/>
            <w:vAlign w:val="bottom"/>
          </w:tcPr>
          <w:p>
            <w:pPr>
              <w:spacing w:after="0"/>
              <w:rPr>
                <w:sz w:val="1"/>
                <w:szCs w:val="1"/>
                <w:color w:val="auto"/>
              </w:rPr>
            </w:pPr>
          </w:p>
        </w:tc>
      </w:tr>
      <w:tr>
        <w:trPr>
          <w:trHeight w:val="119"/>
        </w:trPr>
        <w:tc>
          <w:tcPr>
            <w:tcW w:w="1720" w:type="dxa"/>
            <w:vAlign w:val="bottom"/>
          </w:tcPr>
          <w:p>
            <w:pPr>
              <w:ind w:left="20"/>
              <w:spacing w:after="0" w:line="120" w:lineRule="exact"/>
              <w:rPr>
                <w:sz w:val="20"/>
                <w:szCs w:val="20"/>
                <w:color w:val="auto"/>
              </w:rPr>
            </w:pPr>
            <w:r>
              <w:rPr>
                <w:rFonts w:ascii="Arial" w:cs="Arial" w:eastAsia="Arial" w:hAnsi="Arial"/>
                <w:sz w:val="12"/>
                <w:szCs w:val="12"/>
                <w:color w:val="auto"/>
                <w:w w:val="97"/>
              </w:rPr>
              <w:t>Issuance of common stock upon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Pr>
          <w:p>
            <w:pPr>
              <w:ind w:left="180"/>
              <w:spacing w:after="0" w:line="132" w:lineRule="exact"/>
              <w:rPr>
                <w:sz w:val="20"/>
                <w:szCs w:val="20"/>
                <w:color w:val="auto"/>
              </w:rPr>
            </w:pPr>
            <w:r>
              <w:rPr>
                <w:rFonts w:ascii="Arial" w:cs="Arial" w:eastAsia="Arial" w:hAnsi="Arial"/>
                <w:sz w:val="12"/>
                <w:szCs w:val="12"/>
                <w:color w:val="auto"/>
              </w:rPr>
              <w:t>exercise of vested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20" w:type="dxa"/>
            <w:vAlign w:val="bottom"/>
          </w:tcPr>
          <w:p>
            <w:pPr>
              <w:ind w:left="180"/>
              <w:spacing w:after="0"/>
              <w:rPr>
                <w:sz w:val="20"/>
                <w:szCs w:val="20"/>
                <w:color w:val="auto"/>
              </w:rPr>
            </w:pPr>
            <w:r>
              <w:rPr>
                <w:rFonts w:ascii="Arial" w:cs="Arial" w:eastAsia="Arial" w:hAnsi="Arial"/>
                <w:sz w:val="12"/>
                <w:szCs w:val="12"/>
                <w:color w:val="auto"/>
              </w:rPr>
              <w:t>options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463,207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28"/>
        </w:trPr>
        <w:tc>
          <w:tcPr>
            <w:tcW w:w="17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5"/>
              </w:rPr>
              <w:t>Issuance of common stock under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3"/>
              </w:rPr>
              <w:t>employee stock purchase plan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99,195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19"/>
        </w:trPr>
        <w:tc>
          <w:tcPr>
            <w:tcW w:w="1720" w:type="dxa"/>
            <w:vAlign w:val="bottom"/>
          </w:tcPr>
          <w:p>
            <w:pPr>
              <w:ind w:left="20"/>
              <w:spacing w:after="0" w:line="120" w:lineRule="exact"/>
              <w:rPr>
                <w:sz w:val="20"/>
                <w:szCs w:val="20"/>
                <w:color w:val="auto"/>
              </w:rPr>
            </w:pPr>
            <w:r>
              <w:rPr>
                <w:rFonts w:ascii="Arial" w:cs="Arial" w:eastAsia="Arial" w:hAnsi="Arial"/>
                <w:sz w:val="12"/>
                <w:szCs w:val="12"/>
                <w:color w:val="auto"/>
              </w:rPr>
              <w:t>Stock-based compensation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720" w:type="dxa"/>
            <w:vAlign w:val="bottom"/>
          </w:tcPr>
          <w:p>
            <w:pPr>
              <w:ind w:left="20"/>
              <w:spacing w:after="0"/>
              <w:rPr>
                <w:sz w:val="20"/>
                <w:szCs w:val="20"/>
                <w:color w:val="auto"/>
              </w:rPr>
            </w:pPr>
            <w:r>
              <w:rPr>
                <w:rFonts w:ascii="Arial" w:cs="Arial" w:eastAsia="Arial" w:hAnsi="Arial"/>
                <w:sz w:val="12"/>
                <w:szCs w:val="12"/>
                <w:color w:val="auto"/>
              </w:rPr>
              <w:t>expense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10,380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10,380</w:t>
            </w:r>
          </w:p>
        </w:tc>
        <w:tc>
          <w:tcPr>
            <w:tcW w:w="0" w:type="dxa"/>
            <w:vAlign w:val="bottom"/>
          </w:tcPr>
          <w:p>
            <w:pPr>
              <w:spacing w:after="0"/>
              <w:rPr>
                <w:sz w:val="1"/>
                <w:szCs w:val="1"/>
                <w:color w:val="auto"/>
              </w:rPr>
            </w:pPr>
          </w:p>
        </w:tc>
      </w:tr>
      <w:tr>
        <w:trPr>
          <w:trHeight w:val="181"/>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w:t>
            </w:r>
          </w:p>
        </w:tc>
        <w:tc>
          <w:tcPr>
            <w:tcW w:w="0" w:type="dxa"/>
            <w:vAlign w:val="bottom"/>
          </w:tcPr>
          <w:p>
            <w:pPr>
              <w:spacing w:after="0"/>
              <w:rPr>
                <w:sz w:val="1"/>
                <w:szCs w:val="1"/>
                <w:color w:val="auto"/>
              </w:rPr>
            </w:pPr>
          </w:p>
        </w:tc>
      </w:tr>
      <w:tr>
        <w:trPr>
          <w:trHeight w:val="166"/>
        </w:trPr>
        <w:tc>
          <w:tcPr>
            <w:tcW w:w="172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(57,924)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(57,924)</w:t>
            </w:r>
          </w:p>
        </w:tc>
        <w:tc>
          <w:tcPr>
            <w:tcW w:w="0" w:type="dxa"/>
            <w:vAlign w:val="bottom"/>
          </w:tcPr>
          <w:p>
            <w:pPr>
              <w:spacing w:after="0"/>
              <w:rPr>
                <w:sz w:val="1"/>
                <w:szCs w:val="1"/>
                <w:color w:val="auto"/>
              </w:rPr>
            </w:pPr>
          </w:p>
        </w:tc>
      </w:tr>
      <w:tr>
        <w:trPr>
          <w:trHeight w:val="197"/>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7"/>
              </w:rPr>
              <w:t>Balances at December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124,865,485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(138,564)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314,924</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right="520" w:hanging="314"/>
        <w:spacing w:after="0" w:line="265" w:lineRule="auto"/>
        <w:tabs>
          <w:tab w:leader="none" w:pos="202"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6" w:name="page97"/>
    <w:bookmarkEnd w:id="9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8"/>
        </w:trPr>
        <w:tc>
          <w:tcPr>
            <w:tcW w:w="80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Amortization (accretion) of premiums (discount) on securities,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5"/>
        </w:trPr>
        <w:tc>
          <w:tcPr>
            <w:tcW w:w="80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0" w:type="dxa"/>
            <w:vAlign w:val="bottom"/>
          </w:tcPr>
          <w:p>
            <w:pPr>
              <w:spacing w:after="0"/>
              <w:rPr>
                <w:sz w:val="1"/>
                <w:szCs w:val="1"/>
                <w:color w:val="auto"/>
              </w:rPr>
            </w:pPr>
          </w:p>
        </w:tc>
      </w:tr>
      <w:tr>
        <w:trPr>
          <w:trHeight w:val="205"/>
        </w:trPr>
        <w:tc>
          <w:tcPr>
            <w:tcW w:w="80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(221,795)</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(138,964)</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335,409</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offering costs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327,447</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149,242</w:t>
            </w:r>
          </w:p>
        </w:tc>
        <w:tc>
          <w:tcPr>
            <w:tcW w:w="0" w:type="dxa"/>
            <w:vAlign w:val="bottom"/>
          </w:tcPr>
          <w:p>
            <w:pPr>
              <w:spacing w:after="0"/>
              <w:rPr>
                <w:sz w:val="1"/>
                <w:szCs w:val="1"/>
                <w:color w:val="auto"/>
              </w:rPr>
            </w:pPr>
          </w:p>
        </w:tc>
      </w:tr>
      <w:tr>
        <w:trPr>
          <w:trHeight w:val="252"/>
        </w:trPr>
        <w:tc>
          <w:tcPr>
            <w:tcW w:w="8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29,893</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4"/>
        </w:trPr>
        <w:tc>
          <w:tcPr>
            <w:tcW w:w="80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recapitalization</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634"/>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On June 9, 2021 (the “Closing Date”), Nautilus Biotechnology, Inc. a Delaware corporate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04"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2022 and 2021 and include the accounts of Nautilus Biotechnology, Inc. (i.e. former ARYA) and its wholly-owned subsidiary, Legacy Nautilus, following the Reverse Recapitalization as further discussed in Note 3 “Reverse Recapitalization.” All intercompany transactions and balances have been eliminated upon consolidation. The Company’s reporting currency is the U.S. dollar. Certain prior period amounts were reclassified to conform to the current year presentation of other income (expense).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2022, the Company had an accumulated deficit of $138.6 million.</w:t>
      </w:r>
    </w:p>
    <w:p>
      <w:pPr>
        <w:spacing w:after="0" w:line="128"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equivalents, and short-term investments of $184.5 million as of December 31, 2022. As of the date on which these consolidated financial statements were available to be issued, the Company believes that its cash, cash equivalents, and short-term investments will be sufficient to fund its operations for at least the next twelve months following the issuance of the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43"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Credit risk represents the accounting loss that would be recognized as of the reporting date if counterparties failed to perform as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99" w:name="page100"/>
    <w:bookmarkEnd w:id="9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realized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0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5" w:lineRule="exact"/>
        <w:rPr>
          <w:sz w:val="20"/>
          <w:szCs w:val="20"/>
          <w:color w:val="auto"/>
        </w:rPr>
      </w:pPr>
    </w:p>
    <w:p>
      <w:pPr>
        <w:jc w:val="both"/>
        <w:ind w:right="340" w:firstLine="318"/>
        <w:spacing w:after="0" w:line="330" w:lineRule="auto"/>
        <w:rPr>
          <w:sz w:val="20"/>
          <w:szCs w:val="20"/>
          <w:color w:val="auto"/>
        </w:rPr>
      </w:pPr>
      <w:r>
        <w:rPr>
          <w:rFonts w:ascii="Arial" w:cs="Arial" w:eastAsia="Arial" w:hAnsi="Arial"/>
          <w:sz w:val="15"/>
          <w:szCs w:val="15"/>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0" w:name="page101"/>
    <w:bookmarkEnd w:id="10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statement of operations and consolidated statement of comprehensive loss. No such adjustments were necessary during the periods presented.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8" w:lineRule="exact"/>
        <w:rPr>
          <w:sz w:val="20"/>
          <w:szCs w:val="20"/>
          <w:color w:val="auto"/>
        </w:rPr>
      </w:pPr>
    </w:p>
    <w:p>
      <w:pPr>
        <w:ind w:right="400" w:firstLine="318"/>
        <w:spacing w:after="0" w:line="294"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Useful lives assigned to property and equipment are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Laboratory equipment</w:t>
            </w:r>
          </w:p>
        </w:tc>
        <w:tc>
          <w:tcPr>
            <w:tcW w:w="5040" w:type="dxa"/>
            <w:vAlign w:val="bottom"/>
          </w:tcPr>
          <w:p>
            <w:pPr>
              <w:ind w:left="114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38"/>
        </w:trPr>
        <w:tc>
          <w:tcPr>
            <w:tcW w:w="2940" w:type="dxa"/>
            <w:vAlign w:val="bottom"/>
            <w:vMerge w:val="restart"/>
          </w:tcPr>
          <w:p>
            <w:pPr>
              <w:spacing w:after="0"/>
              <w:rPr>
                <w:sz w:val="20"/>
                <w:szCs w:val="20"/>
                <w:color w:val="auto"/>
              </w:rPr>
            </w:pPr>
            <w:r>
              <w:rPr>
                <w:rFonts w:ascii="Arial" w:cs="Arial" w:eastAsia="Arial" w:hAnsi="Arial"/>
                <w:sz w:val="18"/>
                <w:szCs w:val="18"/>
                <w:color w:val="auto"/>
              </w:rPr>
              <w:t>Prototype equipment</w:t>
            </w:r>
          </w:p>
        </w:tc>
        <w:tc>
          <w:tcPr>
            <w:tcW w:w="504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940" w:type="dxa"/>
            <w:vAlign w:val="bottom"/>
            <w:vMerge w:val="restart"/>
          </w:tcPr>
          <w:p>
            <w:pPr>
              <w:spacing w:after="0"/>
              <w:rPr>
                <w:sz w:val="20"/>
                <w:szCs w:val="20"/>
                <w:color w:val="auto"/>
              </w:rPr>
            </w:pPr>
            <w:r>
              <w:rPr>
                <w:rFonts w:ascii="Arial" w:cs="Arial" w:eastAsia="Arial" w:hAnsi="Arial"/>
                <w:sz w:val="18"/>
                <w:szCs w:val="18"/>
                <w:color w:val="auto"/>
              </w:rPr>
              <w:t>Computer hardware</w:t>
            </w:r>
          </w:p>
        </w:tc>
        <w:tc>
          <w:tcPr>
            <w:tcW w:w="504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94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504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59"/>
        </w:trPr>
        <w:tc>
          <w:tcPr>
            <w:tcW w:w="2940" w:type="dxa"/>
            <w:vAlign w:val="bottom"/>
            <w:vMerge w:val="continue"/>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0"/>
                <w:szCs w:val="20"/>
                <w:color w:val="auto"/>
              </w:rPr>
            </w:pPr>
            <w:r>
              <w:rPr>
                <w:rFonts w:ascii="Arial" w:cs="Arial" w:eastAsia="Arial" w:hAnsi="Arial"/>
                <w:sz w:val="18"/>
                <w:szCs w:val="18"/>
                <w:color w:val="212529"/>
              </w:rPr>
              <w:t>Office equipment</w:t>
            </w:r>
          </w:p>
        </w:tc>
        <w:tc>
          <w:tcPr>
            <w:tcW w:w="5040" w:type="dxa"/>
            <w:vAlign w:val="bottom"/>
          </w:tcPr>
          <w:p>
            <w:pPr>
              <w:ind w:left="114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Arial" w:cs="Arial" w:eastAsia="Arial" w:hAnsi="Arial"/>
                <w:sz w:val="18"/>
                <w:szCs w:val="18"/>
                <w:color w:val="212529"/>
              </w:rPr>
              <w:t>Leasehold improvements</w:t>
            </w:r>
          </w:p>
        </w:tc>
        <w:tc>
          <w:tcPr>
            <w:tcW w:w="5040" w:type="dxa"/>
            <w:vAlign w:val="bottom"/>
          </w:tcPr>
          <w:p>
            <w:pPr>
              <w:ind w:left="1140"/>
              <w:spacing w:after="0"/>
              <w:rPr>
                <w:sz w:val="20"/>
                <w:szCs w:val="20"/>
                <w:color w:val="auto"/>
              </w:rPr>
            </w:pPr>
            <w:r>
              <w:rPr>
                <w:rFonts w:ascii="Arial" w:cs="Arial" w:eastAsia="Arial" w:hAnsi="Arial"/>
                <w:sz w:val="18"/>
                <w:szCs w:val="18"/>
                <w:color w:val="212529"/>
                <w:w w:val="88"/>
              </w:rPr>
              <w:t>Shorter of estimated useful life or remaining lease term</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28"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With respect to property and equipment, the Company compares the carrying value of the long-lived assets with the estimated future net undiscounted cash flows expected to result from the use and eventual disposition of the asset</w:t>
      </w:r>
    </w:p>
    <w:p>
      <w:pPr>
        <w:sectPr>
          <w:pgSz w:w="11900" w:h="16838" w:orient="portrait"/>
          <w:cols w:equalWidth="0" w:num="1">
            <w:col w:w="11220"/>
          </w:cols>
          <w:pgMar w:left="320" w:top="1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type w:val="continuous"/>
        </w:sectPr>
      </w:pPr>
    </w:p>
    <w:bookmarkStart w:id="101" w:name="page102"/>
    <w:bookmarkEnd w:id="10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01"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2" w:name="page103"/>
    <w:bookmarkEnd w:id="10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 xml:space="preserve">Prior to becoming a public company, 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5"/>
          <w:szCs w:val="15"/>
          <w:i w:val="1"/>
          <w:iCs w:val="1"/>
          <w:color w:val="auto"/>
        </w:rPr>
        <w:t>Valuation of Privately-Held-Company Equity Securities Issued as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Determining the best estimated fair value of the Company’s common stock requires significant judgement and management considers several</w:t>
      </w:r>
      <w:r>
        <w:rPr>
          <w:rFonts w:ascii="Arial" w:cs="Arial" w:eastAsia="Arial" w:hAnsi="Arial"/>
          <w:sz w:val="15"/>
          <w:szCs w:val="15"/>
          <w:i w:val="1"/>
          <w:iCs w:val="1"/>
          <w:color w:val="auto"/>
        </w:rPr>
        <w:t xml:space="preserve"> </w:t>
      </w:r>
      <w:r>
        <w:rPr>
          <w:rFonts w:ascii="Arial" w:cs="Arial" w:eastAsia="Arial" w:hAnsi="Arial"/>
          <w:sz w:val="15"/>
          <w:szCs w:val="15"/>
          <w:color w:val="auto"/>
        </w:rPr>
        <w:t>factors, including the Company’s stage of development, equity market conditions affecting comparable public companies, significant milestones and progress of research and development efforts. Subsequent to the completion of the Business Combination (as defined in Note 1 and further described in Note 3) the fair value of the Company’s common stock is determined by using the closing price per share of common stock as reported on the Nasdaq.</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64"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Company bases its estimate of expected volatility on the historical volatility of comparable public companies from a representative peer group selected based on industry, financial, and market capitalization data.</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Comprehensive loss consists of net loss and other gains or losses affecting stockholders’ equity that, under U.S. GAAP are excluded from net loss. For the years ended December 31, 2022 and 2021, unrealized losses on marketable debt securities were included as components of comprehensive loss.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Basic net loss per common share is calculated by dividing the net loss attributable to common stockholders by the weighted-average number of common stock outstanding during the period, without consideration of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In March 2020, the FASB issued ASU No. 2020-04, “Reference Rate Reform (Topic 848).”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2024.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consolidated financial statements.</w:t>
      </w:r>
    </w:p>
    <w:p>
      <w:pPr>
        <w:spacing w:after="0" w:line="14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adopted the ASU effective January 1, 2022, with no material impact on the consolidated financial statements.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6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Financial Instruments-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amends existing guidance on the impairment of financial assets and adds an impairment model that is based on expected losses rather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104" w:name="page105"/>
    <w:bookmarkEnd w:id="10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spacing w:after="0" w:line="129" w:lineRule="exact"/>
        <w:rPr>
          <w:sz w:val="20"/>
          <w:szCs w:val="20"/>
          <w:color w:val="auto"/>
        </w:rPr>
      </w:pPr>
    </w:p>
    <w:p>
      <w:pPr>
        <w:ind w:left="640" w:hanging="634"/>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31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07"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8" w:right="359" w:bottom="1440" w:gutter="0" w:footer="0" w:header="0"/>
        </w:sectPr>
      </w:pPr>
    </w:p>
    <w:bookmarkStart w:id="105" w:name="page106"/>
    <w:bookmarkEnd w:id="10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420" w:type="dxa"/>
            <w:vAlign w:val="bottom"/>
          </w:tcPr>
          <w:p>
            <w:pPr>
              <w:spacing w:after="0"/>
              <w:rPr>
                <w:sz w:val="15"/>
                <w:szCs w:val="15"/>
                <w:color w:val="auto"/>
              </w:rPr>
            </w:pPr>
          </w:p>
        </w:tc>
        <w:tc>
          <w:tcPr>
            <w:tcW w:w="1920" w:type="dxa"/>
            <w:vAlign w:val="bottom"/>
          </w:tcPr>
          <w:p>
            <w:pPr>
              <w:jc w:val="right"/>
              <w:ind w:right="334"/>
              <w:spacing w:after="0"/>
              <w:rPr>
                <w:sz w:val="20"/>
                <w:szCs w:val="20"/>
                <w:color w:val="auto"/>
              </w:rPr>
            </w:pPr>
            <w:r>
              <w:rPr>
                <w:rFonts w:ascii="Arial" w:cs="Arial" w:eastAsia="Arial" w:hAnsi="Arial"/>
                <w:sz w:val="14"/>
                <w:szCs w:val="14"/>
                <w:b w:val="1"/>
                <w:bCs w:val="1"/>
                <w:color w:val="auto"/>
              </w:rPr>
              <w:t>Number of shares</w:t>
            </w:r>
          </w:p>
        </w:tc>
      </w:tr>
      <w:tr>
        <w:trPr>
          <w:trHeight w:val="24"/>
        </w:trPr>
        <w:tc>
          <w:tcPr>
            <w:tcW w:w="84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5"/>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ARYA shares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in PIPE Financing</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and PIPE Financing shares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Legacy Nautilus shares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hanging="634"/>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5"/>
          </w:tcPr>
          <w:p>
            <w:pPr>
              <w:ind w:left="46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Reported as: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0"/>
                <w:szCs w:val="10"/>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118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9"/>
              </w:rPr>
              <w:t>Cash and cash</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Short-term</w:t>
            </w:r>
          </w:p>
        </w:tc>
        <w:tc>
          <w:tcPr>
            <w:tcW w:w="200" w:type="dxa"/>
            <w:vAlign w:val="bottom"/>
          </w:tcPr>
          <w:p>
            <w:pPr>
              <w:spacing w:after="0"/>
              <w:rPr>
                <w:sz w:val="10"/>
                <w:szCs w:val="10"/>
                <w:color w:val="auto"/>
              </w:rPr>
            </w:pPr>
          </w:p>
        </w:tc>
        <w:tc>
          <w:tcPr>
            <w:tcW w:w="1040" w:type="dxa"/>
            <w:vAlign w:val="bottom"/>
          </w:tcPr>
          <w:p>
            <w:pPr>
              <w:jc w:val="center"/>
              <w:ind w:right="95"/>
              <w:spacing w:after="0" w:line="126"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6"/>
                <w:szCs w:val="16"/>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2"/>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218"/>
        </w:trPr>
        <w:tc>
          <w:tcPr>
            <w:tcW w:w="212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22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73,267</w:t>
            </w:r>
          </w:p>
        </w:tc>
        <w:tc>
          <w:tcPr>
            <w:tcW w:w="0" w:type="dxa"/>
            <w:vAlign w:val="bottom"/>
          </w:tcPr>
          <w:p>
            <w:pPr>
              <w:spacing w:after="0"/>
              <w:rPr>
                <w:sz w:val="1"/>
                <w:szCs w:val="1"/>
                <w:color w:val="auto"/>
              </w:rPr>
            </w:pPr>
          </w:p>
        </w:tc>
      </w:tr>
      <w:tr>
        <w:trPr>
          <w:trHeight w:val="219"/>
        </w:trPr>
        <w:tc>
          <w:tcPr>
            <w:tcW w:w="2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80,126</w:t>
            </w:r>
          </w:p>
        </w:tc>
        <w:tc>
          <w:tcPr>
            <w:tcW w:w="0" w:type="dxa"/>
            <w:vAlign w:val="bottom"/>
          </w:tcPr>
          <w:p>
            <w:pPr>
              <w:spacing w:after="0"/>
              <w:rPr>
                <w:sz w:val="1"/>
                <w:szCs w:val="1"/>
                <w:color w:val="auto"/>
              </w:rPr>
            </w:pPr>
          </w:p>
        </w:tc>
      </w:tr>
      <w:tr>
        <w:trPr>
          <w:trHeight w:val="153"/>
        </w:trPr>
        <w:tc>
          <w:tcPr>
            <w:tcW w:w="2120" w:type="dxa"/>
            <w:vAlign w:val="bottom"/>
          </w:tcPr>
          <w:p>
            <w:pPr>
              <w:ind w:left="240"/>
              <w:spacing w:after="0" w:line="154" w:lineRule="exact"/>
              <w:rPr>
                <w:sz w:val="20"/>
                <w:szCs w:val="20"/>
                <w:color w:val="auto"/>
              </w:rPr>
            </w:pPr>
            <w:r>
              <w:rPr>
                <w:rFonts w:ascii="Arial" w:cs="Arial" w:eastAsia="Arial" w:hAnsi="Arial"/>
                <w:sz w:val="17"/>
                <w:szCs w:val="17"/>
                <w:color w:val="auto"/>
              </w:rPr>
              <w:t>Total Level 1 and Level</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315,494</w:t>
            </w:r>
          </w:p>
        </w:tc>
        <w:tc>
          <w:tcPr>
            <w:tcW w:w="8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313,640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114,523</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69,948</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16"/>
        </w:trPr>
        <w:tc>
          <w:tcPr>
            <w:tcW w:w="2120" w:type="dxa"/>
            <w:vAlign w:val="bottom"/>
          </w:tcPr>
          <w:p>
            <w:pPr>
              <w:ind w:left="2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ind w:left="46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Reported as: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0"/>
                <w:szCs w:val="10"/>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118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9"/>
              </w:rPr>
              <w:t>Cash and cash</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Short-term</w:t>
            </w:r>
          </w:p>
        </w:tc>
        <w:tc>
          <w:tcPr>
            <w:tcW w:w="200" w:type="dxa"/>
            <w:vAlign w:val="bottom"/>
          </w:tcPr>
          <w:p>
            <w:pPr>
              <w:spacing w:after="0"/>
              <w:rPr>
                <w:sz w:val="10"/>
                <w:szCs w:val="10"/>
                <w:color w:val="auto"/>
              </w:rPr>
            </w:pPr>
          </w:p>
        </w:tc>
        <w:tc>
          <w:tcPr>
            <w:tcW w:w="1040" w:type="dxa"/>
            <w:vAlign w:val="bottom"/>
          </w:tcPr>
          <w:p>
            <w:pPr>
              <w:jc w:val="center"/>
              <w:ind w:right="95"/>
              <w:spacing w:after="0" w:line="126"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2"/>
        </w:trPr>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6"/>
                <w:szCs w:val="16"/>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2"/>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12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25"/>
        </w:trPr>
        <w:tc>
          <w:tcPr>
            <w:tcW w:w="21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19"/>
        </w:trPr>
        <w:tc>
          <w:tcPr>
            <w:tcW w:w="2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153"/>
        </w:trPr>
        <w:tc>
          <w:tcPr>
            <w:tcW w:w="2120" w:type="dxa"/>
            <w:vAlign w:val="bottom"/>
          </w:tcPr>
          <w:p>
            <w:pPr>
              <w:ind w:left="240"/>
              <w:spacing w:after="0" w:line="154" w:lineRule="exact"/>
              <w:rPr>
                <w:sz w:val="20"/>
                <w:szCs w:val="20"/>
                <w:color w:val="auto"/>
              </w:rPr>
            </w:pPr>
            <w:r>
              <w:rPr>
                <w:rFonts w:ascii="Arial" w:cs="Arial" w:eastAsia="Arial" w:hAnsi="Arial"/>
                <w:sz w:val="17"/>
                <w:szCs w:val="17"/>
                <w:color w:val="auto"/>
              </w:rPr>
              <w:t>Total Level 1 and Level</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362,284</w:t>
            </w:r>
          </w:p>
        </w:tc>
        <w:tc>
          <w:tcPr>
            <w:tcW w:w="8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362,100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185,619</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160,110</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16"/>
        </w:trPr>
        <w:tc>
          <w:tcPr>
            <w:tcW w:w="2120" w:type="dxa"/>
            <w:vAlign w:val="bottom"/>
          </w:tcPr>
          <w:p>
            <w:pPr>
              <w:ind w:left="2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6" w:name="page107"/>
    <w:bookmarkEnd w:id="10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Contractual maturities of short-term investments as of December 31, 2022 and 2021 are due in one year or less. Contractual maturities of long-term investments as of December 31, 2022 are due after 1 year through 2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72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Securities in Unrealized Loss Position Less</w:t>
            </w:r>
          </w:p>
        </w:tc>
        <w:tc>
          <w:tcPr>
            <w:tcW w:w="140" w:type="dxa"/>
            <w:vAlign w:val="bottom"/>
          </w:tcPr>
          <w:p>
            <w:pPr>
              <w:spacing w:after="0"/>
              <w:rPr>
                <w:sz w:val="14"/>
                <w:szCs w:val="14"/>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Securities in Unrealized Loss Position</w:t>
            </w:r>
          </w:p>
        </w:tc>
        <w:tc>
          <w:tcPr>
            <w:tcW w:w="220" w:type="dxa"/>
            <w:vAlign w:val="bottom"/>
          </w:tcPr>
          <w:p>
            <w:pPr>
              <w:spacing w:after="0"/>
              <w:rPr>
                <w:sz w:val="14"/>
                <w:szCs w:val="14"/>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rPr>
              <w:t>than 12 months</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Greater than 12 months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1"/>
                <w:szCs w:val="11"/>
                <w:color w:val="auto"/>
              </w:rPr>
            </w:pPr>
          </w:p>
        </w:tc>
        <w:tc>
          <w:tcPr>
            <w:tcW w:w="12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Gross Unrealized</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Market Value</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1"/>
                <w:szCs w:val="11"/>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4"/>
              </w:rPr>
              <w:t>Fair Market Value</w:t>
            </w:r>
          </w:p>
        </w:tc>
        <w:tc>
          <w:tcPr>
            <w:tcW w:w="100" w:type="dxa"/>
            <w:vAlign w:val="bottom"/>
            <w:vMerge w:val="restart"/>
          </w:tcPr>
          <w:p>
            <w:pPr>
              <w:spacing w:after="0"/>
              <w:rPr>
                <w:sz w:val="11"/>
                <w:szCs w:val="11"/>
                <w:color w:val="auto"/>
              </w:rPr>
            </w:pPr>
          </w:p>
        </w:tc>
        <w:tc>
          <w:tcPr>
            <w:tcW w:w="11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Gross Unrealized</w:t>
            </w: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49,114</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151,354</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Agency bonds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59,418</w:t>
            </w: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257,858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273,969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continuous unrealized loss positions in excess of twelve months as of December 31, 2021.</w:t>
      </w:r>
    </w:p>
    <w:p>
      <w:pPr>
        <w:spacing w:after="0" w:line="158" w:lineRule="exact"/>
        <w:rPr>
          <w:sz w:val="20"/>
          <w:szCs w:val="20"/>
          <w:color w:val="auto"/>
        </w:rPr>
      </w:pPr>
    </w:p>
    <w:p>
      <w:pPr>
        <w:ind w:right="5380" w:firstLine="6"/>
        <w:spacing w:after="0" w:line="433" w:lineRule="auto"/>
        <w:tabs>
          <w:tab w:leader="none" w:pos="63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Consolidated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2021</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Prototype equipment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19"/>
        </w:trPr>
        <w:tc>
          <w:tcPr>
            <w:tcW w:w="8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Company recorded $1.2 million and $1.0 million of depreciation expense for the years ended December 31, 2022 and 2021, respectively, which was primarily allocated to research and development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long-term assets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December 31, 2021</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7" w:name="page108"/>
    <w:bookmarkEnd w:id="10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research and development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facilities</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7840" w:type="dxa"/>
            <w:vAlign w:val="bottom"/>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80" w:type="dxa"/>
            <w:vAlign w:val="bottom"/>
          </w:tcPr>
          <w:p>
            <w:pPr>
              <w:spacing w:after="0"/>
              <w:rPr>
                <w:sz w:val="24"/>
                <w:szCs w:val="24"/>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long-term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8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December 31, 2022 the Company had no issued and outstanding Preferred Stock shares.</w:t>
      </w:r>
    </w:p>
    <w:p>
      <w:pPr>
        <w:spacing w:after="0" w:line="132" w:lineRule="exact"/>
        <w:rPr>
          <w:sz w:val="20"/>
          <w:szCs w:val="20"/>
          <w:color w:val="auto"/>
        </w:rPr>
      </w:pPr>
    </w:p>
    <w:p>
      <w:pPr>
        <w:ind w:left="640" w:hanging="634"/>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8"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10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June 2021, pursuant to the Business Combination, the Company amended its certificate of incorporation to increase the number of authorized common stock shares to 1,000,000,000. There were 124,865,485 shares issued and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8" w:name="page109"/>
    <w:bookmarkEnd w:id="10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27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2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Shares available for grant under 2021</w:t>
            </w: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17,298,043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14,481,463</w:t>
            </w:r>
          </w:p>
        </w:tc>
      </w:tr>
      <w:tr>
        <w:trPr>
          <w:trHeight w:val="225"/>
        </w:trPr>
        <w:tc>
          <w:tcPr>
            <w:tcW w:w="2700" w:type="dxa"/>
            <w:vAlign w:val="bottom"/>
          </w:tcPr>
          <w:p>
            <w:pPr>
              <w:ind w:left="20"/>
              <w:spacing w:after="0"/>
              <w:rPr>
                <w:sz w:val="20"/>
                <w:szCs w:val="20"/>
                <w:color w:val="auto"/>
              </w:rPr>
            </w:pPr>
            <w:r>
              <w:rPr>
                <w:rFonts w:ascii="Arial" w:cs="Arial" w:eastAsia="Arial" w:hAnsi="Arial"/>
                <w:sz w:val="18"/>
                <w:szCs w:val="18"/>
                <w:color w:val="auto"/>
                <w:w w:val="89"/>
              </w:rPr>
              <w:t>Stock options issued and outstanding</w:t>
            </w:r>
          </w:p>
        </w:tc>
        <w:tc>
          <w:tcPr>
            <w:tcW w:w="5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11,485,443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8,550,076</w:t>
            </w:r>
          </w:p>
        </w:tc>
      </w:tr>
      <w:tr>
        <w:trPr>
          <w:trHeight w:val="225"/>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Shares available for grant under 2021</w:t>
            </w: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2,388,735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1,244,900</w:t>
            </w:r>
          </w:p>
        </w:tc>
      </w:tr>
      <w:tr>
        <w:trPr>
          <w:trHeight w:val="21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31,172,221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24,276,439</w:t>
            </w:r>
          </w:p>
        </w:tc>
      </w:tr>
      <w:tr>
        <w:trPr>
          <w:trHeight w:val="20"/>
        </w:trPr>
        <w:tc>
          <w:tcPr>
            <w:tcW w:w="2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29" w:lineRule="exact"/>
        <w:rPr>
          <w:sz w:val="20"/>
          <w:szCs w:val="20"/>
          <w:color w:val="auto"/>
        </w:rPr>
      </w:pPr>
    </w:p>
    <w:p>
      <w:pPr>
        <w:ind w:left="640" w:hanging="634"/>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The Company is liable for income taxes in the United States. For the years ended December 31, 2022 and 2021,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8"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As of December 31, 2022, the Company had federal net operating loss carryforwards of $0.5 million that begin to expire in 2037 and federal net operating loss carryforwards of $51.5 million that arose after the 2017 tax year that will carryforward indefinitely and will be subject to the 80% of taxable income limitation. The Company has state net operating loss carryforwards of $21.1 million that will begin to expire in 2037.</w:t>
      </w:r>
    </w:p>
    <w:p>
      <w:pPr>
        <w:spacing w:after="0" w:line="11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of December 31, 2022, the Company had research and development tax credit carryover of $4.2 million and $3.2 million for federal and state tax purposes, respectively. If not utilized, the federal carryforward will expire in various amounts beginning in 2039. The California credits can be carried forward indefinitely.</w:t>
      </w:r>
    </w:p>
    <w:p>
      <w:pPr>
        <w:spacing w:after="0" w:line="135"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9" w:name="page110"/>
    <w:bookmarkEnd w:id="10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deferred tax assets. The valuation allowance increased by $17.1 million during the year ended December 31, 2022. Management reevaluates the positive and negative evidence at each reporting period.</w:t>
      </w:r>
    </w:p>
    <w:p>
      <w:pPr>
        <w:spacing w:after="0" w:line="128" w:lineRule="exact"/>
        <w:rPr>
          <w:sz w:val="20"/>
          <w:szCs w:val="20"/>
          <w:color w:val="auto"/>
        </w:rPr>
      </w:pPr>
    </w:p>
    <w:p>
      <w:pPr>
        <w:jc w:val="both"/>
        <w:ind w:right="240" w:firstLine="318"/>
        <w:spacing w:after="0" w:line="365" w:lineRule="auto"/>
        <w:rPr>
          <w:sz w:val="20"/>
          <w:szCs w:val="20"/>
          <w:color w:val="auto"/>
        </w:rPr>
      </w:pPr>
      <w:r>
        <w:rPr>
          <w:rFonts w:ascii="Arial" w:cs="Arial" w:eastAsia="Arial" w:hAnsi="Arial"/>
          <w:sz w:val="15"/>
          <w:szCs w:val="15"/>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2021</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80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11,928</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research and development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7,319</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accruals and reserves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32,023</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(24,078)</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r>
      <w:tr>
        <w:trPr>
          <w:trHeight w:val="252"/>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64"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$7.6 million as of December 31, 2022.</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valuation allowance of $41.2 million and $24.1 million at December 31, 2022 and 2021, respectively, has been recognized to offset net deferred tax</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assets where realization of such net deferred tax assets is determined to be more likely than not to not be realized. The valuation allowance increased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$17.1 million in 2022, and increased by $15.1 millions in 2021, which was primarily due to changes in our deferred tax asset balances. The 2022 increase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valuation allowance was primarily due to the net operating loss and tax credit generation, capitalized research and development expense and share-based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compensation. The 2021 increase in the valuation allowance was primarily due to the net operating loss and tax credit generation, capitalized startup costs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153"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had an unrecognized tax benefit balance of $1.5 million and $0.8 million related to research and development credits and California net operating loss carryforward as of December 31, 2022 and 2021, respectively. No amount of unrecognized tax benefits as of December 31, 2022,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0" w:name="page111"/>
    <w:bookmarkEnd w:id="11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statute of limitations does not expire until after the net operating loss and credit carryforwards are actually used, the statutes are still open on calendars years ending 2017 forward for federal and state purposes.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the beginning and ending amount of the liability for uncertain tax positions, excluding potential interest and penalties,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5"/>
                <w:szCs w:val="15"/>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2021</w:t>
            </w:r>
          </w:p>
        </w:tc>
      </w:tr>
      <w:tr>
        <w:trPr>
          <w:trHeight w:val="24"/>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25"/>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for prior year tax positions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12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93" w:lineRule="exact"/>
        <w:rPr>
          <w:sz w:val="20"/>
          <w:szCs w:val="20"/>
          <w:color w:val="auto"/>
        </w:rPr>
      </w:pPr>
    </w:p>
    <w:p>
      <w:pPr>
        <w:ind w:left="640" w:hanging="634"/>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w:t>
      </w:r>
    </w:p>
    <w:p>
      <w:pPr>
        <w:spacing w:after="0" w:line="170"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color w:val="auto"/>
        </w:rPr>
        <w:t>On June 8, 2021, the stockholders of the Company approved the 2021 Equity Incentive Plan (“2021 Plan”) and the 2021 Employee Stock Purchase Plan (“2021 ESPP”). As of December 31, 2022, 17,298,043 and 2,388,735 shares were available for grant under the 2021 Plan and 2021 ESPP, respectively.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4"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07"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first offering period was from October 1, 2021 through May 31, 2022. For subsequent offering periods, the Company will be offering a six month purchase period. As of December 31, 2022, 99,195 shares of common stock were purchased under the 2021 ESPP.</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6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1" w:name="page112"/>
    <w:bookmarkEnd w:id="11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preceding fiscal year, or (iii) such number of shares determined by the Administrator no later than the last day of the immediately preceding fiscal year.</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6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Grant Date Fair Value of Stock Options</w:t>
      </w:r>
    </w:p>
    <w:p>
      <w:pPr>
        <w:spacing w:after="0" w:line="16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5"/>
                <w:szCs w:val="15"/>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 Ended December 31, 2022</w:t>
            </w:r>
          </w:p>
        </w:tc>
        <w:tc>
          <w:tcPr>
            <w:tcW w:w="222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Year Ended December 31, 2021</w:t>
            </w:r>
          </w:p>
        </w:tc>
      </w:tr>
      <w:tr>
        <w:trPr>
          <w:trHeight w:val="24"/>
        </w:trPr>
        <w:tc>
          <w:tcPr>
            <w:tcW w:w="67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105.2% - 110.4%</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90.7% - 94.2%</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2200" w:type="dxa"/>
            <w:vAlign w:val="bottom"/>
          </w:tcPr>
          <w:p>
            <w:pPr>
              <w:jc w:val="right"/>
              <w:spacing w:after="0"/>
              <w:rPr>
                <w:sz w:val="20"/>
                <w:szCs w:val="20"/>
                <w:color w:val="auto"/>
              </w:rPr>
            </w:pPr>
            <w:r>
              <w:rPr>
                <w:rFonts w:ascii="Arial" w:cs="Arial" w:eastAsia="Arial" w:hAnsi="Arial"/>
                <w:sz w:val="18"/>
                <w:szCs w:val="18"/>
                <w:color w:val="auto"/>
              </w:rPr>
              <w:t>1.7% - 4.4%</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0.5% - 1.4%</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 $4.72</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 $11.16</w:t>
            </w:r>
          </w:p>
        </w:tc>
      </w:tr>
    </w:tbl>
    <w:p>
      <w:pPr>
        <w:spacing w:after="0" w:line="20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jc w:val="both"/>
        <w:ind w:right="40" w:firstLine="318"/>
        <w:spacing w:after="0" w:line="215" w:lineRule="exact"/>
        <w:rPr>
          <w:sz w:val="20"/>
          <w:szCs w:val="20"/>
          <w:color w:val="auto"/>
        </w:rPr>
      </w:pPr>
      <w:r>
        <w:rPr>
          <w:rFonts w:ascii="Arial" w:cs="Arial" w:eastAsia="Arial" w:hAnsi="Arial"/>
          <w:sz w:val="15"/>
          <w:szCs w:val="15"/>
          <w:color w:val="auto"/>
        </w:rPr>
        <w:t>Expected volatility: Historically, the Company has been a private company and lacked company</w:t>
      </w:r>
      <w:r>
        <w:rPr>
          <w:rFonts w:ascii="MS PGothic" w:cs="MS PGothic" w:eastAsia="MS PGothic" w:hAnsi="MS PGothic"/>
          <w:sz w:val="15"/>
          <w:szCs w:val="15"/>
          <w:color w:val="auto"/>
        </w:rPr>
        <w:t>‑</w:t>
      </w:r>
      <w:r>
        <w:rPr>
          <w:rFonts w:ascii="Arial" w:cs="Arial" w:eastAsia="Arial" w:hAnsi="Arial"/>
          <w:sz w:val="15"/>
          <w:szCs w:val="15"/>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Expected dividend yield: The expected dividend rate is zero as the Company has no history or expectation of declaring dividends on its common stock.</w:t>
      </w:r>
    </w:p>
    <w:p>
      <w:pPr>
        <w:spacing w:after="0" w:line="199"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2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awards granted in late January 2021 had an exercise price equal to the grant date fair value of the Company’s common stock. The Company’s board of directors made a determination of the fair market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2" w:name="page113"/>
    <w:bookmarkEnd w:id="11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Company’s common stock which contemplated the implied equity value of the Company per the Business Combination Agreement that was executed on February 7, 2021.</w:t>
      </w:r>
    </w:p>
    <w:p>
      <w:pPr>
        <w:spacing w:after="0" w:line="128"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Subsequent to the completion of the Business Combination (as defined in Note 1 and further described in Note 3) the fair value of the Company’s common stock is determined based on its closing market price.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year ended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2"/>
                <w:szCs w:val="12"/>
                <w:color w:val="auto"/>
              </w:rPr>
            </w:pPr>
          </w:p>
        </w:tc>
        <w:tc>
          <w:tcPr>
            <w:tcW w:w="142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3"/>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4,677,363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(1,278,789)</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11,485,443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Options vested and expected to vest as of December 31, 2022</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vMerge w:val="continue"/>
          </w:tcPr>
          <w:p>
            <w:pPr>
              <w:spacing w:after="0"/>
              <w:rPr>
                <w:sz w:val="17"/>
                <w:szCs w:val="17"/>
                <w:color w:val="auto"/>
              </w:rPr>
            </w:pPr>
          </w:p>
        </w:tc>
        <w:tc>
          <w:tcPr>
            <w:tcW w:w="1580" w:type="dxa"/>
            <w:vAlign w:val="bottom"/>
          </w:tcPr>
          <w:p>
            <w:pPr>
              <w:jc w:val="right"/>
              <w:spacing w:after="0" w:line="198" w:lineRule="exact"/>
              <w:rPr>
                <w:sz w:val="20"/>
                <w:szCs w:val="20"/>
                <w:color w:val="auto"/>
              </w:rPr>
            </w:pPr>
            <w:r>
              <w:rPr>
                <w:rFonts w:ascii="Arial" w:cs="Arial" w:eastAsia="Arial" w:hAnsi="Arial"/>
                <w:sz w:val="18"/>
                <w:szCs w:val="18"/>
                <w:color w:val="auto"/>
              </w:rPr>
              <w:t>11,485,443</w:t>
            </w:r>
          </w:p>
        </w:tc>
        <w:tc>
          <w:tcPr>
            <w:tcW w:w="2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4,167,416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total intrinsic value of options exercised during the years ended December 31, 2022 and 2021 was $1.2 million and $1.7 million, respectively.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right="220" w:firstLine="318"/>
        <w:spacing w:after="0" w:line="365" w:lineRule="auto"/>
        <w:rPr>
          <w:sz w:val="20"/>
          <w:szCs w:val="20"/>
          <w:color w:val="auto"/>
        </w:rPr>
      </w:pPr>
      <w:r>
        <w:rPr>
          <w:rFonts w:ascii="Arial" w:cs="Arial" w:eastAsia="Arial" w:hAnsi="Arial"/>
          <w:sz w:val="15"/>
          <w:szCs w:val="15"/>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58"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The weighted-average grant-date fair value of options granted during the years ended December 31, 2022 and 2021 was $2.98 and $6.83 per share, respectively.</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2022, there was $25.1 million of total unrecognized compensation expense expected to be recognized over a weighted average-period of 2.5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and ESPP included in the Company’s consolidated statements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5"/>
              </w:rPr>
              <w:t>Year Ended December</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2022 as the Company had not yet received the related goods or services. As of December 31, 2022, the Company had open purchase commitments for goods and services of $1.7 million, all of which are expected to be received through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3" w:name="page114"/>
    <w:bookmarkEnd w:id="11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Seattle Leases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San Carlos Leases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41"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2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w:t>
      </w:r>
    </w:p>
    <w:p>
      <w:pPr>
        <w:spacing w:after="0" w:line="13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December 2021, the Company entered into another lease in San Carlos, California for nine years that is expected to commence in the first quarter of 2023 and expiring in October 2031. The Company can terminate this lease after five years from the commencement date without bearing any significant termination penalties and therefore the Company concluded that the lease term is five years with total minimum lease payments of $7.2 million. The Company may utilize funds from the landlord of up to $2.0 million with an interest rate of 7% to finance its tenant improvements. As of December 31, 2022, $0.8 million has been utilized.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San Diego Lease</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In November 2022, the Company entered into a lease in San Diego, California for 39 months commencing in December 2022. Total non-cancellable payments under this lease aggregate $2.1 million through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4" w:name="page115"/>
    <w:bookmarkEnd w:id="11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components of lease costs which were included in operating expenses in the consolidated statements of operations were as follows:</w:t>
      </w:r>
    </w:p>
    <w:p>
      <w:pPr>
        <w:sectPr>
          <w:pgSz w:w="11900" w:h="16838" w:orient="portrait"/>
          <w:cols w:equalWidth="0" w:num="1">
            <w:col w:w="11240"/>
          </w:cols>
          <w:pgMar w:left="320" w:top="178" w:right="339" w:bottom="1440" w:gutter="0" w:footer="0" w:header="0"/>
        </w:sect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Fixed operating lease costs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Variable operating lease costs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left="-59"/>
        <w:spacing w:after="0"/>
        <w:rPr>
          <w:sz w:val="20"/>
          <w:szCs w:val="20"/>
          <w:color w:val="auto"/>
        </w:rPr>
      </w:pPr>
      <w:r>
        <w:rPr>
          <w:rFonts w:ascii="Arial" w:cs="Arial" w:eastAsia="Arial" w:hAnsi="Arial"/>
          <w:sz w:val="13"/>
          <w:szCs w:val="13"/>
          <w:b w:val="1"/>
          <w:bCs w:val="1"/>
          <w:color w:val="auto"/>
        </w:rPr>
        <w:t>Year Ended December</w:t>
      </w:r>
    </w:p>
    <w:p>
      <w:pPr>
        <w:spacing w:after="0" w:line="12"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11430</wp:posOffset>
            </wp:positionV>
            <wp:extent cx="7134860" cy="151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2" w:lineRule="exact"/>
        <w:rPr>
          <w:sz w:val="20"/>
          <w:szCs w:val="20"/>
          <w:color w:val="auto"/>
        </w:rPr>
      </w:pPr>
    </w:p>
    <w:p>
      <w:pPr>
        <w:ind w:left="1080" w:hanging="1080"/>
        <w:spacing w:after="0"/>
        <w:tabs>
          <w:tab w:leader="none" w:pos="10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4,751</w:t>
      </w:r>
    </w:p>
    <w:p>
      <w:pPr>
        <w:spacing w:after="0" w:line="52" w:lineRule="exact"/>
        <w:rPr>
          <w:rFonts w:ascii="Arial" w:cs="Arial" w:eastAsia="Arial" w:hAnsi="Arial"/>
          <w:sz w:val="15"/>
          <w:szCs w:val="15"/>
          <w:color w:val="auto"/>
        </w:rPr>
      </w:pPr>
    </w:p>
    <w:p>
      <w:pPr>
        <w:ind w:left="1300"/>
        <w:spacing w:after="0"/>
        <w:rPr>
          <w:rFonts w:ascii="Arial" w:cs="Arial" w:eastAsia="Arial" w:hAnsi="Arial"/>
          <w:sz w:val="15"/>
          <w:szCs w:val="15"/>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33020</wp:posOffset>
            </wp:positionV>
            <wp:extent cx="7134860" cy="142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ind w:left="1080" w:hanging="1080"/>
        <w:spacing w:after="0"/>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6,431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9925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Year Ended December</w:t>
      </w:r>
    </w:p>
    <w:p>
      <w:pPr>
        <w:spacing w:after="0" w:line="12"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31, 2021</w:t>
      </w:r>
    </w:p>
    <w:p>
      <w:pPr>
        <w:spacing w:after="0" w:line="32" w:lineRule="exact"/>
        <w:rPr>
          <w:sz w:val="20"/>
          <w:szCs w:val="20"/>
          <w:color w:val="auto"/>
        </w:rPr>
      </w:pPr>
    </w:p>
    <w:p>
      <w:pPr>
        <w:ind w:left="1084" w:hanging="1084"/>
        <w:spacing w:after="0"/>
        <w:tabs>
          <w:tab w:leader="none" w:pos="1084" w:val="left"/>
        </w:tabs>
        <w:numPr>
          <w:ilvl w:val="0"/>
          <w:numId w:val="70"/>
        </w:numPr>
        <w:rPr>
          <w:rFonts w:ascii="Arial" w:cs="Arial" w:eastAsia="Arial" w:hAnsi="Arial"/>
          <w:sz w:val="15"/>
          <w:szCs w:val="15"/>
          <w:color w:val="auto"/>
        </w:rPr>
      </w:pPr>
      <w:r>
        <w:rPr>
          <w:rFonts w:ascii="Arial" w:cs="Arial" w:eastAsia="Arial" w:hAnsi="Arial"/>
          <w:sz w:val="15"/>
          <w:szCs w:val="15"/>
          <w:color w:val="auto"/>
        </w:rPr>
        <w:t>2,539</w:t>
      </w:r>
    </w:p>
    <w:p>
      <w:pPr>
        <w:spacing w:after="0" w:line="52" w:lineRule="exact"/>
        <w:rPr>
          <w:rFonts w:ascii="Arial" w:cs="Arial" w:eastAsia="Arial" w:hAnsi="Arial"/>
          <w:sz w:val="15"/>
          <w:szCs w:val="15"/>
          <w:color w:val="auto"/>
        </w:rPr>
      </w:pPr>
    </w:p>
    <w:p>
      <w:pPr>
        <w:ind w:left="1084"/>
        <w:spacing w:after="0"/>
        <w:rPr>
          <w:rFonts w:ascii="Arial" w:cs="Arial" w:eastAsia="Arial" w:hAnsi="Arial"/>
          <w:sz w:val="15"/>
          <w:szCs w:val="15"/>
          <w:color w:val="auto"/>
        </w:rPr>
      </w:pPr>
      <w:r>
        <w:rPr>
          <w:rFonts w:ascii="Arial" w:cs="Arial" w:eastAsia="Arial" w:hAnsi="Arial"/>
          <w:sz w:val="15"/>
          <w:szCs w:val="15"/>
          <w:color w:val="auto"/>
        </w:rPr>
        <w:t>1,225</w:t>
      </w:r>
    </w:p>
    <w:p>
      <w:pPr>
        <w:spacing w:after="0" w:line="52" w:lineRule="exact"/>
        <w:rPr>
          <w:rFonts w:ascii="Arial" w:cs="Arial" w:eastAsia="Arial" w:hAnsi="Arial"/>
          <w:sz w:val="15"/>
          <w:szCs w:val="15"/>
          <w:color w:val="auto"/>
        </w:rPr>
      </w:pPr>
    </w:p>
    <w:p>
      <w:pPr>
        <w:ind w:left="1204"/>
        <w:spacing w:after="0"/>
        <w:rPr>
          <w:rFonts w:ascii="Arial" w:cs="Arial" w:eastAsia="Arial" w:hAnsi="Arial"/>
          <w:sz w:val="15"/>
          <w:szCs w:val="15"/>
          <w:color w:val="auto"/>
        </w:rPr>
      </w:pPr>
      <w:r>
        <w:rPr>
          <w:rFonts w:ascii="Arial" w:cs="Arial" w:eastAsia="Arial" w:hAnsi="Arial"/>
          <w:sz w:val="15"/>
          <w:szCs w:val="15"/>
          <w:color w:val="auto"/>
        </w:rPr>
        <w:t>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6" w:lineRule="exact"/>
        <w:rPr>
          <w:sz w:val="20"/>
          <w:szCs w:val="20"/>
          <w:color w:val="auto"/>
        </w:rPr>
      </w:pPr>
    </w:p>
    <w:p>
      <w:pPr>
        <w:ind w:left="1084" w:hanging="1084"/>
        <w:spacing w:after="0"/>
        <w:tabs>
          <w:tab w:leader="none" w:pos="1084" w:val="left"/>
        </w:tabs>
        <w:numPr>
          <w:ilvl w:val="0"/>
          <w:numId w:val="71"/>
        </w:numPr>
        <w:rPr>
          <w:rFonts w:ascii="Arial" w:cs="Arial" w:eastAsia="Arial" w:hAnsi="Arial"/>
          <w:sz w:val="15"/>
          <w:szCs w:val="15"/>
          <w:color w:val="auto"/>
        </w:rPr>
      </w:pPr>
      <w:r>
        <w:rPr>
          <w:rFonts w:ascii="Arial" w:cs="Arial" w:eastAsia="Arial" w:hAnsi="Arial"/>
          <w:sz w:val="15"/>
          <w:szCs w:val="15"/>
          <w:color w:val="auto"/>
        </w:rPr>
        <w:t>4,126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9925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3">
            <w:col w:w="7320" w:space="720"/>
            <w:col w:w="1480" w:space="176"/>
            <w:col w:w="1544"/>
          </w:cols>
          <w:pgMar w:left="320" w:top="178" w:right="339" w:bottom="1440" w:gutter="0" w:footer="0" w:header="0"/>
          <w:type w:val="continuous"/>
        </w:sectPr>
      </w:pPr>
    </w:p>
    <w:p>
      <w:pPr>
        <w:spacing w:after="0" w:line="83"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For the years ended December 31, 2022 and 2021, cash paid for amounts included in the measurement of lease liabilities included in cash flows used in operating activities was $3.9 million and $1.8 million, respectively.</w:t>
      </w:r>
    </w:p>
    <w:p>
      <w:pPr>
        <w:spacing w:after="0" w:line="12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of December 31, 2022, the weighted-average remaining lease term and weighted-average discount rate for operating leases is 8.19 years and 8.82%,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Company's future principal contractual obligations for operating lease commitments as of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7"/>
                <w:szCs w:val="17"/>
                <w:color w:val="auto"/>
              </w:rPr>
            </w:pPr>
          </w:p>
        </w:tc>
        <w:tc>
          <w:tcPr>
            <w:tcW w:w="138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Lease Obligations</w:t>
            </w:r>
          </w:p>
        </w:tc>
      </w:tr>
      <w:tr>
        <w:trPr>
          <w:trHeight w:val="24"/>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5,207</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17,966</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42,999</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(12,671)</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15" w:name="page116"/>
    <w:bookmarkEnd w:id="11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420"/>
        <w:spacing w:after="0" w:line="330" w:lineRule="auto"/>
        <w:rPr>
          <w:sz w:val="20"/>
          <w:szCs w:val="20"/>
          <w:color w:val="auto"/>
        </w:rPr>
      </w:pPr>
      <w:r>
        <w:rPr>
          <w:rFonts w:ascii="Arial" w:cs="Arial" w:eastAsia="Arial" w:hAnsi="Arial"/>
          <w:sz w:val="15"/>
          <w:szCs w:val="15"/>
          <w:color w:val="auto"/>
        </w:rPr>
        <w:t>agreement entered in December 2021, the Company amended the existing cash-collateralized letter of credit and increased the amount to $0.8 million. In conjunction with the San Diego lease agreement entered in November 2022, the Company issued a cash-collateralized letter of credit in lieu of a security deposit of $0.1 million. The cash amount is recorded as restricted cash under Other long-term assets on the Company’s consolidated balance sheets.</w:t>
      </w:r>
    </w:p>
    <w:p>
      <w:pPr>
        <w:spacing w:after="0" w:line="78" w:lineRule="exact"/>
        <w:rPr>
          <w:sz w:val="20"/>
          <w:szCs w:val="20"/>
          <w:color w:val="auto"/>
        </w:rPr>
      </w:pPr>
    </w:p>
    <w:p>
      <w:pPr>
        <w:ind w:left="620" w:hanging="614"/>
        <w:spacing w:after="0"/>
        <w:tabs>
          <w:tab w:leader="none" w:pos="6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2022 and 2021:</w:t>
      </w:r>
    </w:p>
    <w:p>
      <w:pPr>
        <w:sectPr>
          <w:pgSz w:w="11900" w:h="16838" w:orient="portrait"/>
          <w:cols w:equalWidth="0" w:num="1">
            <w:col w:w="11240"/>
          </w:cols>
          <w:pgMar w:left="320" w:top="178" w:right="339" w:bottom="1440" w:gutter="0" w:footer="0" w:header="0"/>
        </w:sect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34860" cy="142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Denominator: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Less: Weighted-average unvested restricted shares and shares subject to repurchase</w:t>
      </w:r>
    </w:p>
    <w:p>
      <w:pPr>
        <w:spacing w:after="0" w:line="18" w:lineRule="exact"/>
        <w:rPr>
          <w:sz w:val="20"/>
          <w:szCs w:val="20"/>
          <w:color w:val="auto"/>
        </w:rPr>
      </w:pPr>
    </w:p>
    <w:p>
      <w:pPr>
        <w:ind w:left="180" w:hanging="158"/>
        <w:spacing w:after="0" w:line="229" w:lineRule="auto"/>
        <w:rPr>
          <w:sz w:val="20"/>
          <w:szCs w:val="20"/>
          <w:color w:val="auto"/>
        </w:rPr>
      </w:pPr>
      <w:r>
        <w:rPr>
          <w:rFonts w:ascii="Arial" w:cs="Arial" w:eastAsia="Arial" w:hAnsi="Arial"/>
          <w:sz w:val="18"/>
          <w:szCs w:val="18"/>
          <w:color w:val="auto"/>
        </w:rPr>
        <w:t>Weighted average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68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Year Ended December</w:t>
            </w:r>
          </w:p>
        </w:tc>
      </w:tr>
      <w:tr>
        <w:trPr>
          <w:trHeight w:val="189"/>
        </w:trPr>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31, 2021</w:t>
            </w:r>
          </w:p>
        </w:tc>
      </w:tr>
      <w:tr>
        <w:trPr>
          <w:trHeight w:val="435"/>
        </w:trPr>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(57,924)</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(50,315)</w:t>
            </w:r>
          </w:p>
        </w:tc>
      </w:tr>
      <w:tr>
        <w:trPr>
          <w:trHeight w:val="451"/>
        </w:trPr>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124,589,555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84,481,251</w:t>
            </w:r>
          </w:p>
        </w:tc>
      </w:tr>
      <w:tr>
        <w:trPr>
          <w:trHeight w:val="226"/>
        </w:trPr>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(17,170)</w:t>
            </w:r>
          </w:p>
        </w:tc>
      </w:tr>
      <w:tr>
        <w:trPr>
          <w:trHeight w:val="391"/>
        </w:trPr>
        <w:tc>
          <w:tcPr>
            <w:tcW w:w="3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124,589,555</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84,464,081</w:t>
            </w:r>
          </w:p>
        </w:tc>
      </w:tr>
      <w:tr>
        <w:trPr>
          <w:trHeight w:val="218"/>
        </w:trPr>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280"/>
            <w:col w:w="3200"/>
          </w:cols>
          <w:pgMar w:left="320" w:top="178" w:right="339" w:bottom="1440" w:gutter="0" w:footer="0" w:header="0"/>
          <w:type w:val="continuous"/>
        </w:sectPr>
      </w:pPr>
    </w:p>
    <w:p>
      <w:pPr>
        <w:jc w:val="both"/>
        <w:ind w:right="80" w:firstLine="318"/>
        <w:spacing w:after="0" w:line="252" w:lineRule="auto"/>
        <w:rPr>
          <w:sz w:val="20"/>
          <w:szCs w:val="20"/>
          <w:color w:val="auto"/>
        </w:rPr>
      </w:pPr>
      <w:r>
        <w:rPr>
          <w:rFonts w:ascii="Arial" w:cs="Arial" w:eastAsia="Arial" w:hAnsi="Arial"/>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3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40" w:type="dxa"/>
            <w:vAlign w:val="bottom"/>
          </w:tcPr>
          <w:p>
            <w:pPr>
              <w:jc w:val="right"/>
              <w:ind w:right="19"/>
              <w:spacing w:after="0"/>
              <w:rPr>
                <w:sz w:val="20"/>
                <w:szCs w:val="20"/>
                <w:color w:val="auto"/>
              </w:rPr>
            </w:pPr>
            <w:r>
              <w:rPr>
                <w:rFonts w:ascii="Arial" w:cs="Arial" w:eastAsia="Arial" w:hAnsi="Arial"/>
                <w:sz w:val="14"/>
                <w:szCs w:val="14"/>
                <w:b w:val="1"/>
                <w:bCs w:val="1"/>
                <w:color w:val="auto"/>
                <w:w w:val="95"/>
              </w:rPr>
              <w:t>Year Ended December</w:t>
            </w:r>
          </w:p>
        </w:tc>
      </w:tr>
      <w:tr>
        <w:trPr>
          <w:trHeight w:val="189"/>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31, 2022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31, 2021</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11,485,443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r>
      <w:tr>
        <w:trPr>
          <w:trHeight w:val="22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59,085</w:t>
            </w: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11,548,689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8,609,161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38"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December 31, 2022, that has materially affected, or is reasonably likely to materially affect, our internal control over financial reporting.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6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17" w:name="page118"/>
    <w:bookmarkEnd w:id="117"/>
    <w:p>
      <w:pPr>
        <w:jc w:val="center"/>
        <w:ind w:right="-239"/>
        <w:spacing w:after="0"/>
        <w:rPr>
          <w:sz w:val="20"/>
          <w:szCs w:val="20"/>
          <w:color w:val="auto"/>
        </w:rPr>
      </w:pPr>
      <w:r>
        <w:rPr>
          <w:rFonts w:ascii="Arial" w:cs="Arial" w:eastAsia="Arial" w:hAnsi="Arial"/>
          <w:sz w:val="21"/>
          <w:szCs w:val="21"/>
          <w:b w:val="1"/>
          <w:bCs w:val="1"/>
          <w:color w:val="auto"/>
        </w:rPr>
        <w:t>Part III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information called for by this item will be set forth in our Proxy Statement for the Annual Meeting of Stockholders to be filed with the SEC within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120 days of the fiscal year ended December 31, 2022 (the “Proxy Statement”) and is incorporated herein by reference.</w:t>
      </w:r>
    </w:p>
    <w:p>
      <w:pPr>
        <w:spacing w:after="0" w:line="153"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Our board of directors has adopted a Code of Business Conduct and Ethics applicable to all employees, officers and directors of the Company. The full text of our Code of Business Conduct and Ethics is posted on our investors relations website at http://www.nautilus.bio/investors/. We will post any amendments to our code of business conduct and ethics, or waivers of its requirements, on our website.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disclosed in the Proxy Statement and is incorporated herein by reference.</w:t>
      </w: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119" w:right="559" w:bottom="1440" w:gutter="0" w:footer="0" w:header="0"/>
        </w:sectPr>
      </w:pPr>
    </w:p>
    <w:bookmarkStart w:id="118" w:name="page119"/>
    <w:bookmarkEnd w:id="118"/>
    <w:p>
      <w:pPr>
        <w:ind w:left="5280"/>
        <w:spacing w:after="0"/>
        <w:rPr>
          <w:sz w:val="20"/>
          <w:szCs w:val="20"/>
          <w:color w:val="auto"/>
        </w:rPr>
      </w:pPr>
      <w:r>
        <w:rPr>
          <w:rFonts w:ascii="Arial" w:cs="Arial" w:eastAsia="Arial" w:hAnsi="Arial"/>
          <w:sz w:val="21"/>
          <w:szCs w:val="21"/>
          <w:b w:val="1"/>
          <w:bCs w:val="1"/>
          <w:color w:val="auto"/>
        </w:rPr>
        <w:t>Part IV</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164" w:lineRule="exact"/>
        <w:rPr>
          <w:sz w:val="20"/>
          <w:szCs w:val="20"/>
          <w:color w:val="auto"/>
        </w:rPr>
      </w:pPr>
    </w:p>
    <w:p>
      <w:pPr>
        <w:ind w:right="180" w:firstLine="318"/>
        <w:spacing w:after="0" w:line="430" w:lineRule="auto"/>
        <w:rPr>
          <w:sz w:val="20"/>
          <w:szCs w:val="20"/>
          <w:color w:val="auto"/>
        </w:rPr>
      </w:pPr>
      <w:r>
        <w:rPr>
          <w:rFonts w:ascii="Arial" w:cs="Arial" w:eastAsia="Arial" w:hAnsi="Arial"/>
          <w:sz w:val="18"/>
          <w:szCs w:val="18"/>
          <w:color w:val="auto"/>
        </w:rPr>
        <w:t xml:space="preserve">See Index to consolidated financial statements in Part II, Item 8 of this Annual Report on Form 10-K, which is incorporated herein by reference. </w:t>
      </w:r>
      <w:r>
        <w:rPr>
          <w:rFonts w:ascii="Arial" w:cs="Arial" w:eastAsia="Arial" w:hAnsi="Arial"/>
          <w:sz w:val="18"/>
          <w:szCs w:val="18"/>
          <w:i w:val="1"/>
          <w:iCs w:val="1"/>
          <w:color w:val="auto"/>
        </w:rPr>
        <w:t>2. Financial Statement Schedules</w:t>
      </w:r>
    </w:p>
    <w:p>
      <w:pPr>
        <w:ind w:firstLine="318"/>
        <w:spacing w:after="0" w:line="264" w:lineRule="auto"/>
        <w:rPr>
          <w:sz w:val="20"/>
          <w:szCs w:val="20"/>
          <w:color w:val="auto"/>
        </w:rPr>
      </w:pPr>
      <w:r>
        <w:rPr>
          <w:rFonts w:ascii="Arial" w:cs="Arial" w:eastAsia="Arial" w:hAnsi="Arial"/>
          <w:sz w:val="18"/>
          <w:szCs w:val="18"/>
          <w:color w:val="auto"/>
        </w:rPr>
        <w:t>All financial statement schedules have been omitted because they are either not applicable or the required information is shown in the consolidated financial statements or notes thereto.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Exhibit Index which precedes the signature page of this Annual Report, which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15(a)(3) above.</w:t>
      </w:r>
    </w:p>
    <w:p>
      <w:pPr>
        <w:spacing w:after="0" w:line="164" w:lineRule="exact"/>
        <w:rPr>
          <w:sz w:val="20"/>
          <w:szCs w:val="20"/>
          <w:color w:val="auto"/>
        </w:rPr>
      </w:pPr>
    </w:p>
    <w:p>
      <w:pPr>
        <w:ind w:left="320" w:right="8280" w:hanging="314"/>
        <w:spacing w:after="0" w:line="587" w:lineRule="auto"/>
        <w:tabs>
          <w:tab w:leader="none" w:pos="242" w:val="left"/>
        </w:tabs>
        <w:numPr>
          <w:ilvl w:val="0"/>
          <w:numId w:val="7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Financial Statement Schedules </w:t>
      </w:r>
      <w:r>
        <w:rPr>
          <w:rFonts w:ascii="Arial" w:cs="Arial" w:eastAsia="Arial" w:hAnsi="Arial"/>
          <w:sz w:val="15"/>
          <w:szCs w:val="15"/>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00"/>
          </w:cols>
          <w:pgMar w:left="320" w:top="1119" w:right="879" w:bottom="1440" w:gutter="0" w:footer="0" w:header="0"/>
        </w:sectPr>
      </w:pPr>
    </w:p>
    <w:bookmarkStart w:id="119" w:name="page120"/>
    <w:bookmarkEnd w:id="11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32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6"/>
                <w:szCs w:val="16"/>
                <w:color w:val="auto"/>
              </w:rPr>
            </w:pPr>
          </w:p>
        </w:tc>
        <w:tc>
          <w:tcPr>
            <w:tcW w:w="9840" w:type="dxa"/>
            <w:vAlign w:val="bottom"/>
            <w:tcBorders>
              <w:top w:val="single" w:sz="8" w:color="auto"/>
            </w:tcBorders>
            <w:gridSpan w:val="34"/>
          </w:tcPr>
          <w:p>
            <w:pPr>
              <w:spacing w:after="0" w:line="184"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2" w:lineRule="exact"/>
              <w:rPr>
                <w:rFonts w:ascii="Arial" w:cs="Arial" w:eastAsia="Arial" w:hAnsi="Arial"/>
                <w:sz w:val="17"/>
                <w:szCs w:val="17"/>
                <w:color w:val="0000FF"/>
                <w:w w:val="96"/>
              </w:rPr>
            </w:pPr>
            <w:hyperlink r:id="rId191">
              <w:r>
                <w:rPr>
                  <w:rFonts w:ascii="Arial" w:cs="Arial" w:eastAsia="Arial" w:hAnsi="Arial"/>
                  <w:sz w:val="17"/>
                  <w:szCs w:val="17"/>
                  <w:color w:val="0000FF"/>
                  <w:w w:val="96"/>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top w:val="single" w:sz="8" w:color="0000FF"/>
              <w:bottom w:val="single" w:sz="8" w:color="0000FF"/>
            </w:tcBorders>
            <w:gridSpan w:val="4"/>
          </w:tcPr>
          <w:p>
            <w:pPr>
              <w:spacing w:after="0" w:line="165" w:lineRule="exact"/>
              <w:rPr>
                <w:rFonts w:ascii="Arial" w:cs="Arial" w:eastAsia="Arial" w:hAnsi="Arial"/>
                <w:sz w:val="18"/>
                <w:szCs w:val="18"/>
                <w:color w:val="0000FF"/>
                <w:w w:val="88"/>
              </w:rPr>
            </w:pPr>
            <w:hyperlink r:id="rId191">
              <w:r>
                <w:rPr>
                  <w:rFonts w:ascii="Arial" w:cs="Arial" w:eastAsia="Arial" w:hAnsi="Arial"/>
                  <w:sz w:val="18"/>
                  <w:szCs w:val="18"/>
                  <w:color w:val="0000FF"/>
                  <w:w w:val="88"/>
                </w:rPr>
                <w:t>the SEC on February 8, 2021).</w:t>
              </w:r>
            </w:hyperlink>
          </w:p>
        </w:tc>
        <w:tc>
          <w:tcPr>
            <w:tcW w:w="758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9840" w:type="dxa"/>
            <w:vAlign w:val="bottom"/>
            <w:gridSpan w:val="34"/>
          </w:tcPr>
          <w:p>
            <w:pPr>
              <w:spacing w:after="0" w:line="205" w:lineRule="exact"/>
              <w:rPr>
                <w:rFonts w:ascii="Arial" w:cs="Arial" w:eastAsia="Arial" w:hAnsi="Arial"/>
                <w:sz w:val="18"/>
                <w:szCs w:val="18"/>
                <w:color w:val="0000FF"/>
                <w:w w:val="93"/>
              </w:rPr>
            </w:pPr>
            <w:hyperlink r:id="rId192">
              <w:r>
                <w:rPr>
                  <w:rFonts w:ascii="Arial" w:cs="Arial" w:eastAsia="Arial" w:hAnsi="Arial"/>
                  <w:sz w:val="18"/>
                  <w:szCs w:val="18"/>
                  <w:color w:val="0000FF"/>
                  <w:w w:val="93"/>
                </w:rPr>
                <w:t>Certificate of Incorporation of Nautilus Biotechnology, Inc. (incorporated by reference to Exhibit 3.1 to the Company’s Current Report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5"/>
              </w:rPr>
            </w:pPr>
            <w:hyperlink r:id="rId192">
              <w:r>
                <w:rPr>
                  <w:rFonts w:ascii="Arial" w:cs="Arial" w:eastAsia="Arial" w:hAnsi="Arial"/>
                  <w:sz w:val="17"/>
                  <w:szCs w:val="17"/>
                  <w:color w:val="0000FF"/>
                  <w:w w:val="95"/>
                </w:rPr>
                <w:t>on Form 8-K filed with the SEC on June 10, 2021).</w:t>
              </w:r>
            </w:hyperlink>
          </w:p>
        </w:tc>
        <w:tc>
          <w:tcPr>
            <w:tcW w:w="59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5"/>
              </w:rPr>
            </w:pPr>
            <w:hyperlink r:id="rId193">
              <w:r>
                <w:rPr>
                  <w:rFonts w:ascii="Arial" w:cs="Arial" w:eastAsia="Arial" w:hAnsi="Arial"/>
                  <w:sz w:val="18"/>
                  <w:szCs w:val="18"/>
                  <w:color w:val="0000FF"/>
                  <w:w w:val="95"/>
                </w:rPr>
                <w:t>Amended and Restated Bylaws of Nautilus Biotechnology, Inc. (incorporated by reference to Exhibit 3.1 to the Company’s Current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5"/>
              </w:rPr>
            </w:pPr>
            <w:hyperlink r:id="rId193">
              <w:r>
                <w:rPr>
                  <w:rFonts w:ascii="Arial" w:cs="Arial" w:eastAsia="Arial" w:hAnsi="Arial"/>
                  <w:sz w:val="17"/>
                  <w:szCs w:val="17"/>
                  <w:color w:val="0000FF"/>
                  <w:w w:val="95"/>
                </w:rPr>
                <w:t>Report on Form 8-K filed with the SEC on November 1, 2022).</w:t>
              </w:r>
            </w:hyperlink>
          </w:p>
        </w:tc>
        <w:tc>
          <w:tcPr>
            <w:tcW w:w="4760" w:type="dxa"/>
            <w:vAlign w:val="bottom"/>
            <w:tcBorders>
              <w:top w:val="single" w:sz="8" w:color="0000FF"/>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2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Specimen Common Stock Certificate (incorporated by reference to Exhibit 4.1 to the Company’s Current Report on Form 8-K filed with</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94">
              <w:r>
                <w:rPr>
                  <w:rFonts w:ascii="Arial" w:cs="Arial" w:eastAsia="Arial" w:hAnsi="Arial"/>
                  <w:sz w:val="17"/>
                  <w:szCs w:val="17"/>
                  <w:color w:val="0000FF"/>
                </w:rPr>
                <w:t>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9"/>
                <w:szCs w:val="19"/>
                <w:color w:val="auto"/>
              </w:rPr>
            </w:pPr>
          </w:p>
        </w:tc>
        <w:tc>
          <w:tcPr>
            <w:tcW w:w="19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6"/>
              </w:rPr>
              <w:t>Description of Securities.</w:t>
            </w:r>
          </w:p>
        </w:tc>
        <w:tc>
          <w:tcPr>
            <w:tcW w:w="7900" w:type="dxa"/>
            <w:vAlign w:val="bottom"/>
            <w:gridSpan w:val="3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ind w:left="2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17"/>
                <w:szCs w:val="17"/>
                <w:color w:val="auto"/>
              </w:rPr>
            </w:pPr>
          </w:p>
        </w:tc>
        <w:tc>
          <w:tcPr>
            <w:tcW w:w="9840" w:type="dxa"/>
            <w:vAlign w:val="bottom"/>
            <w:gridSpan w:val="34"/>
          </w:tcPr>
          <w:p>
            <w:pPr>
              <w:spacing w:after="0" w:line="205"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r:id="rId195">
              <w:r>
                <w:rPr>
                  <w:rFonts w:ascii="Arial" w:cs="Arial" w:eastAsia="Arial" w:hAnsi="Arial"/>
                  <w:sz w:val="17"/>
                  <w:szCs w:val="17"/>
                  <w:color w:val="0000FF"/>
                  <w:w w:val="93"/>
                </w:rPr>
                <w:t>SEC on February 8, 2021).</w:t>
              </w:r>
            </w:hyperlink>
          </w:p>
        </w:tc>
        <w:tc>
          <w:tcPr>
            <w:tcW w:w="786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8"/>
              </w:rPr>
            </w:pPr>
            <w:hyperlink r:id="rId196">
              <w:r>
                <w:rPr>
                  <w:rFonts w:ascii="Arial" w:cs="Arial" w:eastAsia="Arial" w:hAnsi="Arial"/>
                  <w:sz w:val="18"/>
                  <w:szCs w:val="18"/>
                  <w:color w:val="0000FF"/>
                  <w:w w:val="98"/>
                </w:rPr>
                <w:t>Form of Amended and Restated Registration Rights and Lock-Up Agreement (incorporated by reference to Exhibit 10.2 to the</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196">
              <w:r>
                <w:rPr>
                  <w:rFonts w:ascii="Arial" w:cs="Arial" w:eastAsia="Arial" w:hAnsi="Arial"/>
                  <w:sz w:val="17"/>
                  <w:szCs w:val="17"/>
                  <w:color w:val="0000FF"/>
                </w:rPr>
                <w:t>Company’s Current Report on Form 8-K filed with the SEC on February 8, 2021).</w:t>
              </w:r>
            </w:hyperlink>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r:id="rId197">
              <w:r>
                <w:rPr>
                  <w:rFonts w:ascii="Arial" w:cs="Arial" w:eastAsia="Arial" w:hAnsi="Arial"/>
                  <w:sz w:val="17"/>
                  <w:szCs w:val="17"/>
                  <w:color w:val="0000FF"/>
                  <w:w w:val="95"/>
                </w:rPr>
                <w:t>Form 8-K filed with the SEC on June 10, 2021).</w:t>
              </w:r>
            </w:hyperlink>
          </w:p>
        </w:tc>
        <w:tc>
          <w:tcPr>
            <w:tcW w:w="624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1"/>
              </w:rPr>
            </w:pPr>
            <w:hyperlink r:id="rId198">
              <w:r>
                <w:rPr>
                  <w:rFonts w:ascii="Arial" w:cs="Arial" w:eastAsia="Arial" w:hAnsi="Arial"/>
                  <w:sz w:val="18"/>
                  <w:szCs w:val="18"/>
                  <w:color w:val="0000FF"/>
                  <w:w w:val="91"/>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98">
              <w:r>
                <w:rPr>
                  <w:rFonts w:ascii="Arial" w:cs="Arial" w:eastAsia="Arial" w:hAnsi="Arial"/>
                  <w:sz w:val="17"/>
                  <w:szCs w:val="17"/>
                  <w:color w:val="0000FF"/>
                </w:rPr>
                <w:t>Report on Form 8-K filed with the SEC on June 10,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gridSpan w:val="7"/>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5"/>
              </w:rPr>
            </w:pPr>
            <w:hyperlink r:id="rId199">
              <w:r>
                <w:rPr>
                  <w:rFonts w:ascii="Arial" w:cs="Arial" w:eastAsia="Arial" w:hAnsi="Arial"/>
                  <w:sz w:val="18"/>
                  <w:szCs w:val="18"/>
                  <w:color w:val="0000FF"/>
                  <w:w w:val="95"/>
                </w:rPr>
                <w:t>Form of Stock Option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5"/>
              </w:rPr>
            </w:pPr>
            <w:hyperlink r:id="rId199">
              <w:r>
                <w:rPr>
                  <w:rFonts w:ascii="Arial" w:cs="Arial" w:eastAsia="Arial" w:hAnsi="Arial"/>
                  <w:sz w:val="17"/>
                  <w:szCs w:val="17"/>
                  <w:color w:val="0000FF"/>
                  <w:w w:val="95"/>
                </w:rPr>
                <w:t>Exhibit 10.7 to the Company’s Form S-4 filed with the SEC on March 26, 2021).</w:t>
              </w:r>
            </w:hyperlink>
          </w:p>
        </w:tc>
        <w:tc>
          <w:tcPr>
            <w:tcW w:w="3500" w:type="dxa"/>
            <w:vAlign w:val="bottom"/>
            <w:tcBorders>
              <w:top w:val="single" w:sz="8" w:color="0000FF"/>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20"/>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1"/>
              </w:rPr>
            </w:pPr>
            <w:hyperlink r:id="rId200">
              <w:r>
                <w:rPr>
                  <w:rFonts w:ascii="Arial" w:cs="Arial" w:eastAsia="Arial" w:hAnsi="Arial"/>
                  <w:sz w:val="18"/>
                  <w:szCs w:val="18"/>
                  <w:color w:val="0000FF"/>
                  <w:w w:val="91"/>
                </w:rPr>
                <w:t>Form of Restricted Stock Unit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920" w:type="dxa"/>
            <w:vAlign w:val="bottom"/>
            <w:tcBorders>
              <w:top w:val="single" w:sz="8" w:color="0000FF"/>
              <w:bottom w:val="single" w:sz="8" w:color="0000FF"/>
            </w:tcBorders>
            <w:gridSpan w:val="13"/>
          </w:tcPr>
          <w:p>
            <w:pPr>
              <w:spacing w:after="0" w:line="179"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to Exhibit 10.8 to the Company’s Form S-4 filed with the SEC on March 26, 2021).</w:t>
              </w:r>
            </w:hyperlink>
          </w:p>
        </w:tc>
        <w:tc>
          <w:tcPr>
            <w:tcW w:w="3720" w:type="dxa"/>
            <w:vAlign w:val="bottom"/>
            <w:tcBorders>
              <w:top w:val="single" w:sz="8" w:color="0000FF"/>
            </w:tcBorders>
            <w:gridSpan w:val="11"/>
          </w:tcPr>
          <w:p>
            <w:pPr>
              <w:spacing w:after="0"/>
              <w:rPr>
                <w:sz w:val="15"/>
                <w:szCs w:val="15"/>
                <w:color w:val="auto"/>
              </w:rPr>
            </w:pPr>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920" w:type="dxa"/>
            <w:vAlign w:val="bottom"/>
          </w:tcPr>
          <w:p>
            <w:pPr>
              <w:ind w:left="2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20"/>
                <w:szCs w:val="20"/>
                <w:color w:val="auto"/>
              </w:rPr>
            </w:pPr>
          </w:p>
        </w:tc>
        <w:tc>
          <w:tcPr>
            <w:tcW w:w="9840" w:type="dxa"/>
            <w:vAlign w:val="bottom"/>
            <w:gridSpan w:val="34"/>
          </w:tcPr>
          <w:p>
            <w:pPr>
              <w:spacing w:after="0"/>
              <w:rPr>
                <w:rFonts w:ascii="Arial" w:cs="Arial" w:eastAsia="Arial" w:hAnsi="Arial"/>
                <w:sz w:val="18"/>
                <w:szCs w:val="18"/>
                <w:color w:val="0000FF"/>
                <w:w w:val="97"/>
              </w:rPr>
            </w:pPr>
            <w:hyperlink r:id="rId201">
              <w:r>
                <w:rPr>
                  <w:rFonts w:ascii="Arial" w:cs="Arial" w:eastAsia="Arial" w:hAnsi="Arial"/>
                  <w:sz w:val="18"/>
                  <w:szCs w:val="18"/>
                  <w:color w:val="0000FF"/>
                  <w:w w:val="97"/>
                </w:rPr>
                <w:t>Form of Restricted Stock Award Agreement under the Nautilus Biotechnology, Inc. 2021 Equity Incentive Plan (incorporated by</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14"/>
          </w:tcPr>
          <w:p>
            <w:pPr>
              <w:spacing w:after="0" w:line="152" w:lineRule="exact"/>
              <w:rPr>
                <w:rFonts w:ascii="Arial" w:cs="Arial" w:eastAsia="Arial" w:hAnsi="Arial"/>
                <w:sz w:val="17"/>
                <w:szCs w:val="17"/>
                <w:color w:val="0000FF"/>
                <w:w w:val="95"/>
              </w:rPr>
            </w:pPr>
            <w:hyperlink r:id="rId201">
              <w:r>
                <w:rPr>
                  <w:rFonts w:ascii="Arial" w:cs="Arial" w:eastAsia="Arial" w:hAnsi="Arial"/>
                  <w:sz w:val="17"/>
                  <w:szCs w:val="17"/>
                  <w:color w:val="0000FF"/>
                  <w:w w:val="95"/>
                </w:rPr>
                <w:t>reference to Exhibit 10.9 to the Company’s Form S-4 filed with the SEC on March 26, 2021).</w:t>
              </w:r>
            </w:hyperlink>
          </w:p>
        </w:tc>
        <w:tc>
          <w:tcPr>
            <w:tcW w:w="2480" w:type="dxa"/>
            <w:vAlign w:val="bottom"/>
            <w:tcBorders>
              <w:top w:val="single" w:sz="8" w:color="0000FF"/>
            </w:tcBorders>
            <w:gridSpan w:val="2"/>
          </w:tcPr>
          <w:p>
            <w:pPr>
              <w:spacing w:after="0"/>
              <w:rPr>
                <w:sz w:val="13"/>
                <w:szCs w:val="13"/>
                <w:color w:val="auto"/>
              </w:rPr>
            </w:pPr>
          </w:p>
        </w:tc>
        <w:tc>
          <w:tcPr>
            <w:tcW w:w="3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20" w:type="dxa"/>
            <w:vAlign w:val="bottom"/>
          </w:tcPr>
          <w:p>
            <w:pPr>
              <w:ind w:left="20"/>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Nautilus Biotechnology, Inc. 2017 Equity Incentive Plan and forms of agreements thereunder (incorporated by reference to Exhibit 10.11</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202">
              <w:r>
                <w:rPr>
                  <w:rFonts w:ascii="Arial" w:cs="Arial" w:eastAsia="Arial" w:hAnsi="Arial"/>
                  <w:sz w:val="17"/>
                  <w:szCs w:val="17"/>
                  <w:color w:val="0000FF"/>
                  <w:w w:val="95"/>
                </w:rPr>
                <w:t>to the Company’s Form S-4 filed with the SEC on March 26, 2021).</w:t>
              </w:r>
            </w:hyperlink>
          </w:p>
        </w:tc>
        <w:tc>
          <w:tcPr>
            <w:tcW w:w="492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3"/>
              </w:rPr>
            </w:pPr>
            <w:hyperlink r:id="rId203">
              <w:r>
                <w:rPr>
                  <w:rFonts w:ascii="Arial" w:cs="Arial" w:eastAsia="Arial" w:hAnsi="Arial"/>
                  <w:sz w:val="18"/>
                  <w:szCs w:val="18"/>
                  <w:color w:val="0000FF"/>
                  <w:w w:val="93"/>
                </w:rPr>
                <w:t>Confirmatory Employment Letter between Nautilus Biotechnology, Inc. and Sujal Patel (incorporated by reference to Exhibit 10.12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the Company’s Form S-4/A filed with the SEC on April 26, 2021).</w:t>
              </w:r>
            </w:hyperlink>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10.10+</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2"/>
              </w:rPr>
            </w:pPr>
            <w:hyperlink r:id="rId204">
              <w:r>
                <w:rPr>
                  <w:rFonts w:ascii="Arial" w:cs="Arial" w:eastAsia="Arial" w:hAnsi="Arial"/>
                  <w:sz w:val="18"/>
                  <w:szCs w:val="18"/>
                  <w:color w:val="0000FF"/>
                  <w:w w:val="92"/>
                </w:rPr>
                <w:t>Confirmatory Employment Letter between Nautilus Biotechnology, Inc. and Anna Mowry (incorporated by reference to Exhibit 10.13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204">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10.11+</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Confirmatory Employment Letter between Nautilus Biotechnology, Inc. and Subra Sankar (incorporated by reference to Exhibit 10.15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205">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2"/>
              </w:rPr>
            </w:pPr>
            <w:hyperlink r:id="rId206">
              <w:r>
                <w:rPr>
                  <w:rFonts w:ascii="Arial" w:cs="Arial" w:eastAsia="Arial" w:hAnsi="Arial"/>
                  <w:sz w:val="18"/>
                  <w:szCs w:val="18"/>
                  <w:color w:val="0000FF"/>
                  <w:w w:val="92"/>
                </w:rPr>
                <w:t>Confirmatory Employment Letter between Nautilus Biotechnology, Inc. and Nick Nelson (incorporated by reference to Exhibit 10.14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2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06">
              <w:r>
                <w:rPr>
                  <w:rFonts w:ascii="Arial" w:cs="Arial" w:eastAsia="Arial" w:hAnsi="Arial"/>
                  <w:sz w:val="17"/>
                  <w:szCs w:val="17"/>
                  <w:color w:val="0000FF"/>
                </w:rPr>
                <w:t>the Company’s Form S-4/A filed with the SEC on April 26, 2021).</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tcPr>
          <w:p>
            <w:pPr>
              <w:ind w:left="20"/>
              <w:spacing w:after="0"/>
              <w:rPr>
                <w:sz w:val="20"/>
                <w:szCs w:val="20"/>
                <w:color w:val="auto"/>
              </w:rPr>
            </w:pPr>
            <w:r>
              <w:rPr>
                <w:rFonts w:ascii="Arial" w:cs="Arial" w:eastAsia="Arial" w:hAnsi="Arial"/>
                <w:sz w:val="16"/>
                <w:szCs w:val="16"/>
                <w:color w:val="auto"/>
              </w:rPr>
              <w:t>10.13+</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1"/>
              </w:rPr>
            </w:pPr>
            <w:hyperlink r:id="rId207">
              <w:r>
                <w:rPr>
                  <w:rFonts w:ascii="Arial" w:cs="Arial" w:eastAsia="Arial" w:hAnsi="Arial"/>
                  <w:sz w:val="18"/>
                  <w:szCs w:val="18"/>
                  <w:color w:val="0000FF"/>
                  <w:w w:val="91"/>
                </w:rPr>
                <w:t>Confirmatory Employment Letter between Nautilus Biotechnology, Inc. and Parag Mallick (incorporated by reference to Exhibit 10.16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the Company’s Form S-4/A filed with the SEC on April 26,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10.14+</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2"/>
              </w:rPr>
            </w:pPr>
            <w:hyperlink r:id="rId208">
              <w:r>
                <w:rPr>
                  <w:rFonts w:ascii="Arial" w:cs="Arial" w:eastAsia="Arial" w:hAnsi="Arial"/>
                  <w:sz w:val="18"/>
                  <w:szCs w:val="18"/>
                  <w:color w:val="0000FF"/>
                  <w:w w:val="92"/>
                </w:rPr>
                <w:t>Confirmatory Employment Letter between Nautilus Biotechnology, Inc. and Matt Murphy (incorporated by reference to Exhibit 10.17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the Company’s Form S-4/A filed with the SEC on April 26, 2021).</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ind w:left="20"/>
              <w:spacing w:after="0"/>
              <w:rPr>
                <w:sz w:val="20"/>
                <w:szCs w:val="20"/>
                <w:color w:val="auto"/>
              </w:rPr>
            </w:pPr>
            <w:r>
              <w:rPr>
                <w:rFonts w:ascii="Arial" w:cs="Arial" w:eastAsia="Arial" w:hAnsi="Arial"/>
                <w:sz w:val="16"/>
                <w:szCs w:val="16"/>
                <w:color w:val="auto"/>
              </w:rPr>
              <w:t>10.15+</w:t>
            </w:r>
          </w:p>
        </w:tc>
        <w:tc>
          <w:tcPr>
            <w:tcW w:w="260" w:type="dxa"/>
            <w:vAlign w:val="bottom"/>
          </w:tcPr>
          <w:p>
            <w:pPr>
              <w:spacing w:after="0"/>
              <w:rPr>
                <w:sz w:val="19"/>
                <w:szCs w:val="19"/>
                <w:color w:val="auto"/>
              </w:rPr>
            </w:pPr>
          </w:p>
        </w:tc>
        <w:tc>
          <w:tcPr>
            <w:tcW w:w="9840" w:type="dxa"/>
            <w:vAlign w:val="bottom"/>
            <w:gridSpan w:val="34"/>
          </w:tcPr>
          <w:p>
            <w:pPr>
              <w:spacing w:after="0"/>
              <w:rPr>
                <w:rFonts w:ascii="Arial" w:cs="Arial" w:eastAsia="Arial" w:hAnsi="Arial"/>
                <w:sz w:val="18"/>
                <w:szCs w:val="18"/>
                <w:color w:val="0000FF"/>
                <w:w w:val="92"/>
              </w:rPr>
            </w:pPr>
            <w:hyperlink r:id="rId209">
              <w:r>
                <w:rPr>
                  <w:rFonts w:ascii="Arial" w:cs="Arial" w:eastAsia="Arial" w:hAnsi="Arial"/>
                  <w:sz w:val="18"/>
                  <w:szCs w:val="18"/>
                  <w:color w:val="0000FF"/>
                  <w:w w:val="92"/>
                </w:rPr>
                <w:t>Offer Letter between Nautilus Biotechnology, Inc. and Gwen Weld dated March 28, 2022 (incorporated by reference to Exhibit 10.1 to</w:t>
              </w:r>
            </w:hyperlink>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52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209">
              <w:r>
                <w:rPr>
                  <w:rFonts w:ascii="Arial" w:cs="Arial" w:eastAsia="Arial" w:hAnsi="Arial"/>
                  <w:sz w:val="17"/>
                  <w:szCs w:val="17"/>
                  <w:color w:val="0000FF"/>
                </w:rPr>
                <w:t>the Company’s Form 10-Q filed with the SEC on May 3, 2022).</w:t>
              </w:r>
            </w:hyperlink>
          </w:p>
        </w:tc>
        <w:tc>
          <w:tcPr>
            <w:tcW w:w="3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20" w:name="page121"/>
    <w:bookmarkEnd w:id="120"/>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6"/>
                <w:szCs w:val="16"/>
                <w:color w:val="auto"/>
              </w:rPr>
              <w:t>10.16+</w:t>
            </w:r>
          </w:p>
        </w:tc>
        <w:tc>
          <w:tcPr>
            <w:tcW w:w="9740" w:type="dxa"/>
            <w:vAlign w:val="bottom"/>
            <w:gridSpan w:val="27"/>
          </w:tcPr>
          <w:p>
            <w:pPr>
              <w:spacing w:after="0"/>
              <w:rPr>
                <w:rFonts w:ascii="Arial" w:cs="Arial" w:eastAsia="Arial" w:hAnsi="Arial"/>
                <w:sz w:val="18"/>
                <w:szCs w:val="18"/>
                <w:color w:val="0000FF"/>
                <w:w w:val="92"/>
              </w:rPr>
            </w:pPr>
            <w:hyperlink r:id="rId211">
              <w:r>
                <w:rPr>
                  <w:rFonts w:ascii="Arial" w:cs="Arial" w:eastAsia="Arial" w:hAnsi="Arial"/>
                  <w:sz w:val="18"/>
                  <w:szCs w:val="18"/>
                  <w:color w:val="0000FF"/>
                  <w:w w:val="92"/>
                </w:rPr>
                <w:t>Offer Letter between Nautilus Biotechnology, Inc. and Mary Godwin dated July 26, 2022 (incorporated by reference to Exhibit 10.1 to</w:t>
              </w:r>
            </w:hyperlink>
          </w:p>
        </w:tc>
      </w:tr>
      <w:tr>
        <w:trPr>
          <w:trHeight w:val="152"/>
        </w:trPr>
        <w:tc>
          <w:tcPr>
            <w:tcW w:w="116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5"/>
              </w:rPr>
            </w:pPr>
            <w:hyperlink r:id="rId211">
              <w:r>
                <w:rPr>
                  <w:rFonts w:ascii="Arial" w:cs="Arial" w:eastAsia="Arial" w:hAnsi="Arial"/>
                  <w:sz w:val="17"/>
                  <w:szCs w:val="17"/>
                  <w:color w:val="0000FF"/>
                  <w:w w:val="95"/>
                </w:rPr>
                <w:t>the Company’s Form 10-Q filed with the SEC on August 2, 2022).</w:t>
              </w:r>
            </w:hyperlink>
          </w:p>
        </w:tc>
        <w:tc>
          <w:tcPr>
            <w:tcW w:w="480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10.17+</w:t>
            </w:r>
          </w:p>
        </w:tc>
        <w:tc>
          <w:tcPr>
            <w:tcW w:w="9740" w:type="dxa"/>
            <w:vAlign w:val="bottom"/>
            <w:gridSpan w:val="27"/>
          </w:tcPr>
          <w:p>
            <w:pPr>
              <w:spacing w:after="0"/>
              <w:rPr>
                <w:rFonts w:ascii="Arial" w:cs="Arial" w:eastAsia="Arial" w:hAnsi="Arial"/>
                <w:sz w:val="18"/>
                <w:szCs w:val="18"/>
                <w:color w:val="0000FF"/>
                <w:w w:val="89"/>
              </w:rPr>
            </w:pPr>
            <w:hyperlink r:id="rId212">
              <w:r>
                <w:rPr>
                  <w:rFonts w:ascii="Arial" w:cs="Arial" w:eastAsia="Arial" w:hAnsi="Arial"/>
                  <w:sz w:val="18"/>
                  <w:szCs w:val="18"/>
                  <w:color w:val="0000FF"/>
                  <w:w w:val="89"/>
                </w:rPr>
                <w:t>Change in Control and Severance Agreement between Nautilus Biotechnology, Inc. and Sujal Patel (incorporated by reference to Exhibit</w:t>
              </w:r>
            </w:hyperlink>
          </w:p>
        </w:tc>
      </w:tr>
      <w:tr>
        <w:trPr>
          <w:trHeight w:val="152"/>
        </w:trPr>
        <w:tc>
          <w:tcPr>
            <w:tcW w:w="116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10.</w:t>
              </w:r>
              <w:r>
                <w:rPr>
                  <w:rFonts w:ascii="Arial" w:cs="Arial" w:eastAsia="Arial" w:hAnsi="Arial"/>
                  <w:sz w:val="17"/>
                  <w:szCs w:val="17"/>
                  <w:u w:val="single" w:color="auto"/>
                  <w:color w:val="0000FF"/>
                </w:rPr>
                <w:t>18</w:t>
              </w:r>
              <w:r>
                <w:rPr>
                  <w:rFonts w:ascii="Arial" w:cs="Arial" w:eastAsia="Arial" w:hAnsi="Arial"/>
                  <w:sz w:val="17"/>
                  <w:szCs w:val="17"/>
                  <w:color w:val="0000FF"/>
                </w:rPr>
                <w:t xml:space="preserve"> to the Company’s Form S-4/A filed with the SEC on April 26,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160" w:type="dxa"/>
            <w:vAlign w:val="bottom"/>
          </w:tcPr>
          <w:p>
            <w:pPr>
              <w:spacing w:after="0"/>
              <w:rPr>
                <w:sz w:val="20"/>
                <w:szCs w:val="20"/>
                <w:color w:val="auto"/>
              </w:rPr>
            </w:pPr>
            <w:r>
              <w:rPr>
                <w:rFonts w:ascii="Arial" w:cs="Arial" w:eastAsia="Arial" w:hAnsi="Arial"/>
                <w:sz w:val="16"/>
                <w:szCs w:val="16"/>
                <w:color w:val="auto"/>
              </w:rPr>
              <w:t>10.18+</w:t>
            </w:r>
          </w:p>
        </w:tc>
        <w:tc>
          <w:tcPr>
            <w:tcW w:w="9740" w:type="dxa"/>
            <w:vAlign w:val="bottom"/>
            <w:gridSpan w:val="27"/>
          </w:tcPr>
          <w:p>
            <w:pPr>
              <w:spacing w:after="0"/>
              <w:rPr>
                <w:rFonts w:ascii="Arial" w:cs="Arial" w:eastAsia="Arial" w:hAnsi="Arial"/>
                <w:sz w:val="18"/>
                <w:szCs w:val="18"/>
                <w:color w:val="0000FF"/>
                <w:w w:val="93"/>
              </w:rPr>
            </w:pPr>
            <w:hyperlink r:id="rId213">
              <w:r>
                <w:rPr>
                  <w:rFonts w:ascii="Arial" w:cs="Arial" w:eastAsia="Arial" w:hAnsi="Arial"/>
                  <w:sz w:val="18"/>
                  <w:szCs w:val="18"/>
                  <w:color w:val="0000FF"/>
                  <w:w w:val="93"/>
                </w:rPr>
                <w:t>Change in Control and Severance Agreement between Nautilus Biotechnology, Inc. and Anna Mowry (incorporated by reference to</w:t>
              </w:r>
            </w:hyperlink>
          </w:p>
        </w:tc>
      </w:tr>
      <w:tr>
        <w:trPr>
          <w:trHeight w:val="152"/>
        </w:trPr>
        <w:tc>
          <w:tcPr>
            <w:tcW w:w="11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6"/>
              </w:rPr>
            </w:pPr>
            <w:hyperlink r:id="rId213">
              <w:r>
                <w:rPr>
                  <w:rFonts w:ascii="Arial" w:cs="Arial" w:eastAsia="Arial" w:hAnsi="Arial"/>
                  <w:sz w:val="17"/>
                  <w:szCs w:val="17"/>
                  <w:color w:val="0000FF"/>
                  <w:w w:val="96"/>
                </w:rPr>
                <w:t>Exhibit 10.19 to the Company’s Form S-4/A filed with the SEC on April 26, 2021).</w:t>
              </w:r>
            </w:hyperlink>
          </w:p>
        </w:tc>
        <w:tc>
          <w:tcPr>
            <w:tcW w:w="33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10.19+</w:t>
            </w:r>
          </w:p>
        </w:tc>
        <w:tc>
          <w:tcPr>
            <w:tcW w:w="9740" w:type="dxa"/>
            <w:vAlign w:val="bottom"/>
            <w:gridSpan w:val="27"/>
          </w:tcPr>
          <w:p>
            <w:pPr>
              <w:spacing w:after="0"/>
              <w:rPr>
                <w:rFonts w:ascii="Arial" w:cs="Arial" w:eastAsia="Arial" w:hAnsi="Arial"/>
                <w:sz w:val="18"/>
                <w:szCs w:val="18"/>
                <w:color w:val="0000FF"/>
                <w:w w:val="92"/>
              </w:rPr>
            </w:pPr>
            <w:hyperlink r:id="rId214">
              <w:r>
                <w:rPr>
                  <w:rFonts w:ascii="Arial" w:cs="Arial" w:eastAsia="Arial" w:hAnsi="Arial"/>
                  <w:sz w:val="18"/>
                  <w:szCs w:val="18"/>
                  <w:color w:val="0000FF"/>
                  <w:w w:val="92"/>
                </w:rPr>
                <w:t>Change in Control and Severance Agreement between Nautilus Biotechnology, Inc. and Subra Sankar (incorporated by reference to</w:t>
              </w:r>
            </w:hyperlink>
          </w:p>
        </w:tc>
      </w:tr>
      <w:tr>
        <w:trPr>
          <w:trHeight w:val="152"/>
        </w:trPr>
        <w:tc>
          <w:tcPr>
            <w:tcW w:w="11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6"/>
              </w:rPr>
            </w:pPr>
            <w:hyperlink r:id="rId214">
              <w:r>
                <w:rPr>
                  <w:rFonts w:ascii="Arial" w:cs="Arial" w:eastAsia="Arial" w:hAnsi="Arial"/>
                  <w:sz w:val="17"/>
                  <w:szCs w:val="17"/>
                  <w:color w:val="0000FF"/>
                  <w:w w:val="96"/>
                </w:rPr>
                <w:t>Exhibit 10.21 to the Company’s Form S-4/A filed with the SEC on April 26, 2021).</w:t>
              </w:r>
            </w:hyperlink>
          </w:p>
        </w:tc>
        <w:tc>
          <w:tcPr>
            <w:tcW w:w="33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10.20+</w:t>
            </w:r>
          </w:p>
        </w:tc>
        <w:tc>
          <w:tcPr>
            <w:tcW w:w="9740" w:type="dxa"/>
            <w:vAlign w:val="bottom"/>
            <w:gridSpan w:val="27"/>
          </w:tcPr>
          <w:p>
            <w:pPr>
              <w:spacing w:after="0"/>
              <w:rPr>
                <w:rFonts w:ascii="Arial" w:cs="Arial" w:eastAsia="Arial" w:hAnsi="Arial"/>
                <w:sz w:val="18"/>
                <w:szCs w:val="18"/>
                <w:color w:val="0000FF"/>
                <w:w w:val="93"/>
              </w:rPr>
            </w:pPr>
            <w:hyperlink r:id="rId215">
              <w:r>
                <w:rPr>
                  <w:rFonts w:ascii="Arial" w:cs="Arial" w:eastAsia="Arial" w:hAnsi="Arial"/>
                  <w:sz w:val="18"/>
                  <w:szCs w:val="18"/>
                  <w:color w:val="0000FF"/>
                  <w:w w:val="93"/>
                </w:rPr>
                <w:t>Change in Control and Severance Agreement between Nautilus Biotechnology, Inc. and Nick Nelson (incorporated by reference to</w:t>
              </w:r>
            </w:hyperlink>
          </w:p>
        </w:tc>
      </w:tr>
      <w:tr>
        <w:trPr>
          <w:trHeight w:val="152"/>
        </w:trPr>
        <w:tc>
          <w:tcPr>
            <w:tcW w:w="116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15">
              <w:r>
                <w:rPr>
                  <w:rFonts w:ascii="Arial" w:cs="Arial" w:eastAsia="Arial" w:hAnsi="Arial"/>
                  <w:sz w:val="17"/>
                  <w:szCs w:val="17"/>
                  <w:color w:val="0000FF"/>
                </w:rPr>
                <w:t>Exhibit 10.20 to the Company’s Form S-4/A filed with the SEC on April 26, 2021)</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10.21+</w:t>
            </w:r>
          </w:p>
        </w:tc>
        <w:tc>
          <w:tcPr>
            <w:tcW w:w="9740" w:type="dxa"/>
            <w:vAlign w:val="bottom"/>
            <w:gridSpan w:val="27"/>
          </w:tcPr>
          <w:p>
            <w:pPr>
              <w:spacing w:after="0"/>
              <w:rPr>
                <w:rFonts w:ascii="Arial" w:cs="Arial" w:eastAsia="Arial" w:hAnsi="Arial"/>
                <w:sz w:val="18"/>
                <w:szCs w:val="18"/>
                <w:color w:val="0000FF"/>
                <w:w w:val="92"/>
              </w:rPr>
            </w:pPr>
            <w:hyperlink r:id="rId216">
              <w:r>
                <w:rPr>
                  <w:rFonts w:ascii="Arial" w:cs="Arial" w:eastAsia="Arial" w:hAnsi="Arial"/>
                  <w:sz w:val="18"/>
                  <w:szCs w:val="18"/>
                  <w:color w:val="0000FF"/>
                  <w:w w:val="92"/>
                </w:rPr>
                <w:t>Change in Control and Severance Agreement between Nautilus Biotechnology, Inc. and Parag Mallick (incorporated by reference to</w:t>
              </w:r>
            </w:hyperlink>
          </w:p>
        </w:tc>
      </w:tr>
      <w:tr>
        <w:trPr>
          <w:trHeight w:val="152"/>
        </w:trPr>
        <w:tc>
          <w:tcPr>
            <w:tcW w:w="11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6"/>
              </w:rPr>
            </w:pPr>
            <w:hyperlink r:id="rId216">
              <w:r>
                <w:rPr>
                  <w:rFonts w:ascii="Arial" w:cs="Arial" w:eastAsia="Arial" w:hAnsi="Arial"/>
                  <w:sz w:val="17"/>
                  <w:szCs w:val="17"/>
                  <w:color w:val="0000FF"/>
                  <w:w w:val="96"/>
                </w:rPr>
                <w:t>Exhibit 10.22 to the Company’s Form S-4/A filed with the SEC on April 26, 2021).</w:t>
              </w:r>
            </w:hyperlink>
          </w:p>
        </w:tc>
        <w:tc>
          <w:tcPr>
            <w:tcW w:w="34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10.22+</w:t>
            </w:r>
          </w:p>
        </w:tc>
        <w:tc>
          <w:tcPr>
            <w:tcW w:w="9740" w:type="dxa"/>
            <w:vAlign w:val="bottom"/>
            <w:gridSpan w:val="27"/>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Change in Control and Severance Agreement between Nautilus Biotechnology, Inc. and Matt Murphy (incorporated by reference to</w:t>
              </w:r>
            </w:hyperlink>
          </w:p>
        </w:tc>
      </w:tr>
      <w:tr>
        <w:trPr>
          <w:trHeight w:val="152"/>
        </w:trPr>
        <w:tc>
          <w:tcPr>
            <w:tcW w:w="11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6"/>
              </w:rPr>
            </w:pPr>
            <w:hyperlink r:id="rId217">
              <w:r>
                <w:rPr>
                  <w:rFonts w:ascii="Arial" w:cs="Arial" w:eastAsia="Arial" w:hAnsi="Arial"/>
                  <w:sz w:val="17"/>
                  <w:szCs w:val="17"/>
                  <w:color w:val="0000FF"/>
                  <w:w w:val="96"/>
                </w:rPr>
                <w:t>Exhibit 10.23 to the Company’s Form S-4/A filed with the SEC on April 26, 2021).</w:t>
              </w:r>
            </w:hyperlink>
          </w:p>
        </w:tc>
        <w:tc>
          <w:tcPr>
            <w:tcW w:w="3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160" w:type="dxa"/>
            <w:vAlign w:val="bottom"/>
          </w:tcPr>
          <w:p>
            <w:pPr>
              <w:spacing w:after="0"/>
              <w:rPr>
                <w:sz w:val="20"/>
                <w:szCs w:val="20"/>
                <w:color w:val="auto"/>
              </w:rPr>
            </w:pPr>
            <w:r>
              <w:rPr>
                <w:rFonts w:ascii="Arial" w:cs="Arial" w:eastAsia="Arial" w:hAnsi="Arial"/>
                <w:sz w:val="16"/>
                <w:szCs w:val="16"/>
                <w:color w:val="auto"/>
              </w:rPr>
              <w:t>10.23+</w:t>
            </w:r>
          </w:p>
        </w:tc>
        <w:tc>
          <w:tcPr>
            <w:tcW w:w="9740" w:type="dxa"/>
            <w:vAlign w:val="bottom"/>
            <w:gridSpan w:val="27"/>
          </w:tcPr>
          <w:p>
            <w:pPr>
              <w:spacing w:after="0"/>
              <w:rPr>
                <w:rFonts w:ascii="Arial" w:cs="Arial" w:eastAsia="Arial" w:hAnsi="Arial"/>
                <w:sz w:val="18"/>
                <w:szCs w:val="18"/>
                <w:color w:val="0000FF"/>
                <w:w w:val="90"/>
              </w:rPr>
            </w:pPr>
            <w:hyperlink r:id="rId218">
              <w:r>
                <w:rPr>
                  <w:rFonts w:ascii="Arial" w:cs="Arial" w:eastAsia="Arial" w:hAnsi="Arial"/>
                  <w:sz w:val="18"/>
                  <w:szCs w:val="18"/>
                  <w:color w:val="0000FF"/>
                  <w:w w:val="90"/>
                </w:rPr>
                <w:t>Change in Control and Severance Agreement between Nautilus Biotechnology, Inc. and Gwen Weld dated April 12, 2022 (incorporated</w:t>
              </w:r>
            </w:hyperlink>
          </w:p>
        </w:tc>
      </w:tr>
      <w:tr>
        <w:trPr>
          <w:trHeight w:val="152"/>
        </w:trPr>
        <w:tc>
          <w:tcPr>
            <w:tcW w:w="116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18">
              <w:r>
                <w:rPr>
                  <w:rFonts w:ascii="Arial" w:cs="Arial" w:eastAsia="Arial" w:hAnsi="Arial"/>
                  <w:sz w:val="17"/>
                  <w:szCs w:val="17"/>
                  <w:color w:val="0000FF"/>
                </w:rPr>
                <w:t>by reference to Exhibit 10.2 to the Company’s Form 10-Q filed with the SEC on May 3, 2022).</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10.24+</w:t>
            </w:r>
          </w:p>
        </w:tc>
        <w:tc>
          <w:tcPr>
            <w:tcW w:w="9740" w:type="dxa"/>
            <w:vAlign w:val="bottom"/>
            <w:gridSpan w:val="27"/>
          </w:tcPr>
          <w:p>
            <w:pPr>
              <w:spacing w:after="0"/>
              <w:rPr>
                <w:rFonts w:ascii="Arial" w:cs="Arial" w:eastAsia="Arial" w:hAnsi="Arial"/>
                <w:sz w:val="18"/>
                <w:szCs w:val="18"/>
                <w:color w:val="0000FF"/>
                <w:w w:val="89"/>
              </w:rPr>
            </w:pPr>
            <w:hyperlink r:id="rId219">
              <w:r>
                <w:rPr>
                  <w:rFonts w:ascii="Arial" w:cs="Arial" w:eastAsia="Arial" w:hAnsi="Arial"/>
                  <w:sz w:val="18"/>
                  <w:szCs w:val="18"/>
                  <w:color w:val="0000FF"/>
                  <w:w w:val="89"/>
                </w:rPr>
                <w:t>Change in Control and Severance Agreement between Nautilus Biotechnology, Inc. and Mary Godwin dated June 27, 2022 (incorporated</w:t>
              </w:r>
            </w:hyperlink>
          </w:p>
        </w:tc>
      </w:tr>
      <w:tr>
        <w:trPr>
          <w:trHeight w:val="152"/>
        </w:trPr>
        <w:tc>
          <w:tcPr>
            <w:tcW w:w="116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5"/>
              </w:rPr>
            </w:pPr>
            <w:hyperlink r:id="rId219">
              <w:r>
                <w:rPr>
                  <w:rFonts w:ascii="Arial" w:cs="Arial" w:eastAsia="Arial" w:hAnsi="Arial"/>
                  <w:sz w:val="17"/>
                  <w:szCs w:val="17"/>
                  <w:color w:val="0000FF"/>
                  <w:w w:val="95"/>
                </w:rPr>
                <w:t>by reference to Exhibit 10.2 to the Company’s Form 10-Q filed with the SEC on August 2, 2022).</w:t>
              </w:r>
            </w:hyperlink>
          </w:p>
        </w:tc>
        <w:tc>
          <w:tcPr>
            <w:tcW w:w="28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10.25</w:t>
            </w:r>
          </w:p>
        </w:tc>
        <w:tc>
          <w:tcPr>
            <w:tcW w:w="9740" w:type="dxa"/>
            <w:vAlign w:val="bottom"/>
            <w:gridSpan w:val="27"/>
          </w:tcPr>
          <w:p>
            <w:pPr>
              <w:spacing w:after="0"/>
              <w:rPr>
                <w:rFonts w:ascii="Arial" w:cs="Arial" w:eastAsia="Arial" w:hAnsi="Arial"/>
                <w:sz w:val="18"/>
                <w:szCs w:val="18"/>
                <w:color w:val="0000FF"/>
                <w:w w:val="90"/>
              </w:rPr>
            </w:pPr>
            <w:hyperlink r:id="rId220">
              <w:r>
                <w:rPr>
                  <w:rFonts w:ascii="Arial" w:cs="Arial" w:eastAsia="Arial" w:hAnsi="Arial"/>
                  <w:sz w:val="18"/>
                  <w:szCs w:val="18"/>
                  <w:color w:val="0000FF"/>
                  <w:w w:val="90"/>
                </w:rPr>
                <w:t>Form of Nautilus Biotechnology, Inc. Indemnification Agreement (incorporated by reference to Exhibit 10.24 to the Company’s Form S-</w:t>
              </w:r>
            </w:hyperlink>
          </w:p>
        </w:tc>
      </w:tr>
      <w:tr>
        <w:trPr>
          <w:trHeight w:val="152"/>
        </w:trPr>
        <w:tc>
          <w:tcPr>
            <w:tcW w:w="11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8"/>
              </w:rPr>
            </w:pPr>
            <w:hyperlink r:id="rId220">
              <w:r>
                <w:rPr>
                  <w:rFonts w:ascii="Arial" w:cs="Arial" w:eastAsia="Arial" w:hAnsi="Arial"/>
                  <w:sz w:val="17"/>
                  <w:szCs w:val="17"/>
                  <w:color w:val="0000FF"/>
                  <w:w w:val="98"/>
                </w:rPr>
                <w:t>4/A filed with the SEC on April 26, 2021).</w:t>
              </w:r>
            </w:hyperlink>
          </w:p>
        </w:tc>
        <w:tc>
          <w:tcPr>
            <w:tcW w:w="664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9"/>
        </w:trPr>
        <w:tc>
          <w:tcPr>
            <w:tcW w:w="1160" w:type="dxa"/>
            <w:vAlign w:val="bottom"/>
          </w:tcPr>
          <w:p>
            <w:pPr>
              <w:spacing w:after="0"/>
              <w:rPr>
                <w:sz w:val="20"/>
                <w:szCs w:val="20"/>
                <w:color w:val="auto"/>
              </w:rPr>
            </w:pPr>
            <w:r>
              <w:rPr>
                <w:rFonts w:ascii="Arial" w:cs="Arial" w:eastAsia="Arial" w:hAnsi="Arial"/>
                <w:sz w:val="16"/>
                <w:szCs w:val="16"/>
                <w:color w:val="auto"/>
              </w:rPr>
              <w:t>10.26+</w:t>
            </w:r>
          </w:p>
        </w:tc>
        <w:tc>
          <w:tcPr>
            <w:tcW w:w="9740" w:type="dxa"/>
            <w:vAlign w:val="bottom"/>
            <w:gridSpan w:val="27"/>
          </w:tcPr>
          <w:p>
            <w:pPr>
              <w:spacing w:after="0"/>
              <w:rPr>
                <w:rFonts w:ascii="Arial" w:cs="Arial" w:eastAsia="Arial" w:hAnsi="Arial"/>
                <w:sz w:val="18"/>
                <w:szCs w:val="18"/>
                <w:color w:val="0000FF"/>
                <w:w w:val="93"/>
              </w:rPr>
            </w:pPr>
            <w:hyperlink r:id="rId221">
              <w:r>
                <w:rPr>
                  <w:rFonts w:ascii="Arial" w:cs="Arial" w:eastAsia="Arial" w:hAnsi="Arial"/>
                  <w:sz w:val="18"/>
                  <w:szCs w:val="18"/>
                  <w:color w:val="0000FF"/>
                  <w:w w:val="93"/>
                </w:rPr>
                <w:t>Nautilus Biotechnology, Inc. Executive Incentive Compensation Plan (incorporated by reference to Exhibit 10.25 to the Company’s</w:t>
              </w:r>
            </w:hyperlink>
          </w:p>
        </w:tc>
      </w:tr>
      <w:tr>
        <w:trPr>
          <w:trHeight w:val="152"/>
        </w:trPr>
        <w:tc>
          <w:tcPr>
            <w:tcW w:w="11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7"/>
              </w:rPr>
            </w:pPr>
            <w:hyperlink r:id="rId221">
              <w:r>
                <w:rPr>
                  <w:rFonts w:ascii="Arial" w:cs="Arial" w:eastAsia="Arial" w:hAnsi="Arial"/>
                  <w:sz w:val="17"/>
                  <w:szCs w:val="17"/>
                  <w:color w:val="0000FF"/>
                  <w:w w:val="97"/>
                </w:rPr>
                <w:t>Form S-4/A filed with the SEC on April 26, 2021).</w:t>
              </w:r>
            </w:hyperlink>
          </w:p>
        </w:tc>
        <w:tc>
          <w:tcPr>
            <w:tcW w:w="57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6"/>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21.1</w:t>
            </w:r>
          </w:p>
        </w:tc>
        <w:tc>
          <w:tcPr>
            <w:tcW w:w="9440" w:type="dxa"/>
            <w:vAlign w:val="bottom"/>
            <w:tcBorders>
              <w:bottom w:val="single" w:sz="8" w:color="0000FF"/>
            </w:tcBorders>
            <w:gridSpan w:val="20"/>
          </w:tcPr>
          <w:p>
            <w:pPr>
              <w:spacing w:after="0"/>
              <w:rPr>
                <w:rFonts w:ascii="Arial" w:cs="Arial" w:eastAsia="Arial" w:hAnsi="Arial"/>
                <w:sz w:val="18"/>
                <w:szCs w:val="18"/>
                <w:color w:val="0000FF"/>
                <w:w w:val="90"/>
              </w:rPr>
            </w:pPr>
            <w:hyperlink r:id="rId222">
              <w:r>
                <w:rPr>
                  <w:rFonts w:ascii="Arial" w:cs="Arial" w:eastAsia="Arial" w:hAnsi="Arial"/>
                  <w:sz w:val="18"/>
                  <w:szCs w:val="18"/>
                  <w:color w:val="0000FF"/>
                  <w:w w:val="90"/>
                </w:rPr>
                <w:t>List of Subsidiaries of the Registrant (incorporated by reference to Exhibit 21.1 to the Company’s Annual Report on Form 10-K filed</w:t>
              </w:r>
            </w:hyperlink>
          </w:p>
        </w:tc>
        <w:tc>
          <w:tcPr>
            <w:tcW w:w="300" w:type="dxa"/>
            <w:vAlign w:val="bottom"/>
            <w:gridSpan w:val="7"/>
          </w:tcPr>
          <w:p>
            <w:pPr>
              <w:spacing w:after="0"/>
              <w:rPr>
                <w:sz w:val="19"/>
                <w:szCs w:val="19"/>
                <w:color w:val="auto"/>
              </w:rPr>
            </w:pPr>
          </w:p>
        </w:tc>
      </w:tr>
      <w:tr>
        <w:trPr>
          <w:trHeight w:val="179"/>
        </w:trPr>
        <w:tc>
          <w:tcPr>
            <w:tcW w:w="1160" w:type="dxa"/>
            <w:vAlign w:val="bottom"/>
          </w:tcPr>
          <w:p>
            <w:pPr>
              <w:spacing w:after="0"/>
              <w:rPr>
                <w:sz w:val="15"/>
                <w:szCs w:val="15"/>
                <w:color w:val="auto"/>
              </w:rPr>
            </w:pPr>
          </w:p>
        </w:tc>
        <w:tc>
          <w:tcPr>
            <w:tcW w:w="2620" w:type="dxa"/>
            <w:vAlign w:val="bottom"/>
            <w:tcBorders>
              <w:bottom w:val="single" w:sz="8" w:color="0000FF"/>
            </w:tcBorders>
            <w:gridSpan w:val="2"/>
          </w:tcPr>
          <w:p>
            <w:pPr>
              <w:spacing w:after="0" w:line="179" w:lineRule="exact"/>
              <w:rPr>
                <w:rFonts w:ascii="Arial" w:cs="Arial" w:eastAsia="Arial" w:hAnsi="Arial"/>
                <w:sz w:val="18"/>
                <w:szCs w:val="18"/>
                <w:color w:val="0000FF"/>
                <w:w w:val="88"/>
              </w:rPr>
            </w:pPr>
            <w:hyperlink r:id="rId222">
              <w:r>
                <w:rPr>
                  <w:rFonts w:ascii="Arial" w:cs="Arial" w:eastAsia="Arial" w:hAnsi="Arial"/>
                  <w:sz w:val="18"/>
                  <w:szCs w:val="18"/>
                  <w:color w:val="0000FF"/>
                  <w:w w:val="88"/>
                </w:rPr>
                <w:t>with the SEC on February 24, 2022).</w:t>
              </w:r>
            </w:hyperlink>
          </w:p>
        </w:tc>
        <w:tc>
          <w:tcPr>
            <w:tcW w:w="7120" w:type="dxa"/>
            <w:vAlign w:val="bottom"/>
            <w:gridSpan w:val="25"/>
          </w:tcPr>
          <w:p>
            <w:pPr>
              <w:spacing w:after="0"/>
              <w:rPr>
                <w:sz w:val="15"/>
                <w:szCs w:val="15"/>
                <w:color w:val="auto"/>
              </w:rPr>
            </w:pPr>
          </w:p>
        </w:tc>
      </w:tr>
      <w:tr>
        <w:trPr>
          <w:trHeight w:val="232"/>
        </w:trPr>
        <w:tc>
          <w:tcPr>
            <w:tcW w:w="1160" w:type="dxa"/>
            <w:vAlign w:val="bottom"/>
          </w:tcPr>
          <w:p>
            <w:pPr>
              <w:spacing w:after="0"/>
              <w:rPr>
                <w:sz w:val="20"/>
                <w:szCs w:val="20"/>
                <w:color w:val="auto"/>
              </w:rPr>
            </w:pPr>
            <w:r>
              <w:rPr>
                <w:rFonts w:ascii="Arial" w:cs="Arial" w:eastAsia="Arial" w:hAnsi="Arial"/>
                <w:sz w:val="16"/>
                <w:szCs w:val="16"/>
                <w:color w:val="auto"/>
              </w:rPr>
              <w:t>23.1*</w:t>
            </w:r>
          </w:p>
        </w:tc>
        <w:tc>
          <w:tcPr>
            <w:tcW w:w="9740" w:type="dxa"/>
            <w:vAlign w:val="bottom"/>
            <w:gridSpan w:val="27"/>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1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9740" w:type="dxa"/>
            <w:vAlign w:val="bottom"/>
            <w:gridSpan w:val="27"/>
          </w:tcPr>
          <w:p>
            <w:pPr>
              <w:spacing w:after="0" w:line="205" w:lineRule="exact"/>
              <w:rPr>
                <w:sz w:val="20"/>
                <w:szCs w:val="20"/>
                <w:color w:val="auto"/>
              </w:rPr>
            </w:pPr>
            <w:r>
              <w:rPr>
                <w:rFonts w:ascii="Arial" w:cs="Arial" w:eastAsia="Arial" w:hAnsi="Arial"/>
                <w:sz w:val="18"/>
                <w:szCs w:val="18"/>
                <w:color w:val="0000FF"/>
                <w:w w:val="92"/>
              </w:rPr>
              <w:t>Certification of Principal Executive Officer Pursuant to Rules 13a-14(a) and 15d-14(a) under the Securities Exchange Act of 1934, as</w:t>
            </w:r>
          </w:p>
        </w:tc>
      </w:tr>
      <w:tr>
        <w:trPr>
          <w:trHeight w:val="152"/>
        </w:trPr>
        <w:tc>
          <w:tcPr>
            <w:tcW w:w="116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7"/>
          </w:tcPr>
          <w:p>
            <w:pPr>
              <w:spacing w:after="0" w:line="152" w:lineRule="exact"/>
              <w:rPr>
                <w:sz w:val="20"/>
                <w:szCs w:val="20"/>
                <w:color w:val="auto"/>
              </w:rPr>
            </w:pPr>
            <w:r>
              <w:rPr>
                <w:rFonts w:ascii="Arial" w:cs="Arial" w:eastAsia="Arial" w:hAnsi="Arial"/>
                <w:sz w:val="17"/>
                <w:szCs w:val="17"/>
                <w:color w:val="0000FF"/>
                <w:w w:val="94"/>
              </w:rPr>
              <w:t>Adopted Pursuant to Section 302 of the Sarbanes-Oxley Act of 2002.</w:t>
            </w:r>
          </w:p>
        </w:tc>
        <w:tc>
          <w:tcPr>
            <w:tcW w:w="4560" w:type="dxa"/>
            <w:vAlign w:val="bottom"/>
            <w:tcBorders>
              <w:top w:val="single" w:sz="8" w:color="0000FF"/>
            </w:tcBorders>
            <w:gridSpan w:val="14"/>
          </w:tcPr>
          <w:p>
            <w:pPr>
              <w:spacing w:after="0"/>
              <w:rPr>
                <w:sz w:val="13"/>
                <w:szCs w:val="13"/>
                <w:color w:val="auto"/>
              </w:rPr>
            </w:pPr>
          </w:p>
        </w:tc>
        <w:tc>
          <w:tcPr>
            <w:tcW w:w="280" w:type="dxa"/>
            <w:vAlign w:val="bottom"/>
            <w:gridSpan w:val="6"/>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9740" w:type="dxa"/>
            <w:vAlign w:val="bottom"/>
            <w:gridSpan w:val="27"/>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 15d-14(a) under the Securities Exchange Act of 1934, as</w:t>
            </w:r>
          </w:p>
        </w:tc>
      </w:tr>
      <w:tr>
        <w:trPr>
          <w:trHeight w:val="152"/>
        </w:trPr>
        <w:tc>
          <w:tcPr>
            <w:tcW w:w="116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7"/>
          </w:tcPr>
          <w:p>
            <w:pPr>
              <w:spacing w:after="0" w:line="152" w:lineRule="exact"/>
              <w:rPr>
                <w:sz w:val="20"/>
                <w:szCs w:val="20"/>
                <w:color w:val="auto"/>
              </w:rPr>
            </w:pPr>
            <w:r>
              <w:rPr>
                <w:rFonts w:ascii="Arial" w:cs="Arial" w:eastAsia="Arial" w:hAnsi="Arial"/>
                <w:sz w:val="17"/>
                <w:szCs w:val="17"/>
                <w:color w:val="0000FF"/>
                <w:w w:val="94"/>
              </w:rPr>
              <w:t>Adopted Pursuant to Section 302 of the Sarbanes-Oxley Act of 2002.</w:t>
            </w:r>
          </w:p>
        </w:tc>
        <w:tc>
          <w:tcPr>
            <w:tcW w:w="45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7"/>
          </w:tcPr>
          <w:p>
            <w:pPr>
              <w:spacing w:after="0"/>
              <w:rPr>
                <w:sz w:val="13"/>
                <w:szCs w:val="13"/>
                <w:color w:val="auto"/>
              </w:rPr>
            </w:pPr>
          </w:p>
        </w:tc>
      </w:tr>
      <w:tr>
        <w:trPr>
          <w:trHeight w:val="218"/>
        </w:trPr>
        <w:tc>
          <w:tcPr>
            <w:tcW w:w="1160" w:type="dxa"/>
            <w:vAlign w:val="bottom"/>
          </w:tcPr>
          <w:p>
            <w:pPr>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9740" w:type="dxa"/>
            <w:vAlign w:val="bottom"/>
            <w:gridSpan w:val="27"/>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w:t>
            </w:r>
          </w:p>
        </w:tc>
      </w:tr>
      <w:tr>
        <w:trPr>
          <w:trHeight w:val="152"/>
        </w:trPr>
        <w:tc>
          <w:tcPr>
            <w:tcW w:w="11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7"/>
                <w:szCs w:val="17"/>
                <w:color w:val="0000FF"/>
                <w:w w:val="97"/>
              </w:rPr>
              <w:t>Oxley Act of 2002.</w:t>
            </w:r>
          </w:p>
        </w:tc>
        <w:tc>
          <w:tcPr>
            <w:tcW w:w="8060" w:type="dxa"/>
            <w:vAlign w:val="bottom"/>
            <w:tcBorders>
              <w:top w:val="single" w:sz="8" w:color="0000FF"/>
            </w:tcBorders>
            <w:gridSpan w:val="19"/>
          </w:tcPr>
          <w:p>
            <w:pPr>
              <w:spacing w:after="0"/>
              <w:rPr>
                <w:sz w:val="13"/>
                <w:szCs w:val="13"/>
                <w:color w:val="auto"/>
              </w:rPr>
            </w:pPr>
          </w:p>
        </w:tc>
        <w:tc>
          <w:tcPr>
            <w:tcW w:w="300" w:type="dxa"/>
            <w:vAlign w:val="bottom"/>
            <w:gridSpan w:val="7"/>
          </w:tcPr>
          <w:p>
            <w:pPr>
              <w:spacing w:after="0"/>
              <w:rPr>
                <w:sz w:val="13"/>
                <w:szCs w:val="13"/>
                <w:color w:val="auto"/>
              </w:rPr>
            </w:pPr>
          </w:p>
        </w:tc>
      </w:tr>
      <w:tr>
        <w:trPr>
          <w:trHeight w:val="219"/>
        </w:trPr>
        <w:tc>
          <w:tcPr>
            <w:tcW w:w="1160" w:type="dxa"/>
            <w:vAlign w:val="bottom"/>
          </w:tcPr>
          <w:p>
            <w:pPr>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9740" w:type="dxa"/>
            <w:vAlign w:val="bottom"/>
            <w:gridSpan w:val="27"/>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w:t>
            </w:r>
          </w:p>
        </w:tc>
      </w:tr>
      <w:tr>
        <w:trPr>
          <w:trHeight w:val="152"/>
        </w:trPr>
        <w:tc>
          <w:tcPr>
            <w:tcW w:w="11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7"/>
                <w:szCs w:val="17"/>
                <w:color w:val="0000FF"/>
                <w:w w:val="97"/>
              </w:rPr>
              <w:t>Oxley Act of 2002.</w:t>
            </w:r>
          </w:p>
        </w:tc>
        <w:tc>
          <w:tcPr>
            <w:tcW w:w="8000" w:type="dxa"/>
            <w:vAlign w:val="bottom"/>
            <w:tcBorders>
              <w:top w:val="single" w:sz="8" w:color="0000FF"/>
            </w:tcBorders>
            <w:gridSpan w:val="17"/>
          </w:tcPr>
          <w:p>
            <w:pPr>
              <w:spacing w:after="0"/>
              <w:rPr>
                <w:sz w:val="13"/>
                <w:szCs w:val="13"/>
                <w:color w:val="auto"/>
              </w:rPr>
            </w:pPr>
          </w:p>
        </w:tc>
        <w:tc>
          <w:tcPr>
            <w:tcW w:w="360" w:type="dxa"/>
            <w:vAlign w:val="bottom"/>
            <w:gridSpan w:val="9"/>
          </w:tcPr>
          <w:p>
            <w:pPr>
              <w:spacing w:after="0"/>
              <w:rPr>
                <w:sz w:val="13"/>
                <w:szCs w:val="13"/>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9740" w:type="dxa"/>
            <w:vAlign w:val="bottom"/>
            <w:gridSpan w:val="27"/>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XBRL tags are embedded</w:t>
            </w:r>
          </w:p>
        </w:tc>
      </w:tr>
      <w:tr>
        <w:trPr>
          <w:trHeight w:val="223"/>
        </w:trPr>
        <w:tc>
          <w:tcPr>
            <w:tcW w:w="1160" w:type="dxa"/>
            <w:vAlign w:val="bottom"/>
          </w:tcPr>
          <w:p>
            <w:pPr>
              <w:spacing w:after="0"/>
              <w:rPr>
                <w:sz w:val="19"/>
                <w:szCs w:val="19"/>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rPr>
              <w:t>within the Inline XBRL document</w:t>
            </w:r>
          </w:p>
        </w:tc>
      </w:tr>
      <w:tr>
        <w:trPr>
          <w:trHeight w:val="238"/>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974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974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974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974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974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 w:lineRule="exact"/>
        <w:rPr>
          <w:sz w:val="20"/>
          <w:szCs w:val="20"/>
          <w:color w:val="auto"/>
        </w:rPr>
      </w:pPr>
    </w:p>
    <w:p>
      <w:pPr>
        <w:ind w:left="1180" w:hanging="1156"/>
        <w:spacing w:after="0"/>
        <w:tabs>
          <w:tab w:leader="none" w:pos="1180" w:val="left"/>
        </w:tabs>
        <w:numPr>
          <w:ilvl w:val="0"/>
          <w:numId w:val="74"/>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21" w:name="page122"/>
    <w:bookmarkEnd w:id="121"/>
    <w:p>
      <w:pPr>
        <w:spacing w:after="0" w:line="112" w:lineRule="exact"/>
        <w:rPr>
          <w:sz w:val="20"/>
          <w:szCs w:val="20"/>
          <w:color w:val="auto"/>
        </w:rPr>
      </w:pPr>
    </w:p>
    <w:p>
      <w:pPr>
        <w:ind w:left="314" w:hanging="314"/>
        <w:spacing w:after="0" w:line="300" w:lineRule="auto"/>
        <w:tabs>
          <w:tab w:leader="none" w:pos="102"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162560</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14"/>
          </w:cols>
          <w:pgMar w:left="326" w:top="1440"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7"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162560</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035" w:right="1440" w:bottom="1440" w:gutter="0" w:footer="0" w:header="0"/>
        </w:sectPr>
      </w:pPr>
    </w:p>
    <w:bookmarkStart w:id="123" w:name="page124"/>
    <w:bookmarkEnd w:id="123"/>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Annual Report to be signed on its behalf by the undersigned, thereunto duly authorized.</w:t>
      </w:r>
    </w:p>
    <w:p>
      <w:pPr>
        <w:spacing w:after="0" w:line="1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NAUTILUS BIOTECHNOLOGY, INC.</w:t>
      </w:r>
    </w:p>
    <w:p>
      <w:pPr>
        <w:spacing w:after="0" w:line="3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27940</wp:posOffset>
            </wp:positionV>
            <wp:extent cx="26416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5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Sujal Patel</w:t>
      </w:r>
    </w:p>
    <w:p>
      <w:pPr>
        <w:spacing w:after="0" w:line="5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99"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171450</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ind w:left="170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5"/>
                <w:szCs w:val="15"/>
                <w:color w:val="auto"/>
              </w:rPr>
            </w:pPr>
          </w:p>
        </w:tc>
        <w:tc>
          <w:tcPr>
            <w:tcW w:w="5220" w:type="dxa"/>
            <w:vAlign w:val="bottom"/>
            <w:gridSpan w:val="2"/>
          </w:tcPr>
          <w:p>
            <w:pPr>
              <w:ind w:left="2440"/>
              <w:spacing w:after="0"/>
              <w:rPr>
                <w:sz w:val="20"/>
                <w:szCs w:val="20"/>
                <w:color w:val="auto"/>
              </w:rPr>
            </w:pPr>
            <w:r>
              <w:rPr>
                <w:rFonts w:ascii="Arial" w:cs="Arial" w:eastAsia="Arial" w:hAnsi="Arial"/>
                <w:sz w:val="14"/>
                <w:szCs w:val="14"/>
                <w:b w:val="1"/>
                <w:bCs w:val="1"/>
                <w:color w:val="auto"/>
              </w:rPr>
              <w:t>Title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4"/>
        </w:trPr>
        <w:tc>
          <w:tcPr>
            <w:tcW w:w="4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456"/>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Sujal Patel</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Mowry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Anna Mowry</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9"/>
                <w:szCs w:val="19"/>
                <w:color w:val="auto"/>
              </w:rPr>
            </w:pPr>
          </w:p>
        </w:tc>
      </w:tr>
      <w:tr>
        <w:trPr>
          <w:trHeight w:val="31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Altman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Epperly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Melissa Epperly</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Parag Mallick</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McIlwain</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Farzad Nazem</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Vijay Pande</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L. Posard</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Matthew L. Posard</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1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Karen Akinsanya</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auto"/>
              </w:rPr>
              <w:t>Karen Akinsanya</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0"/>
          </w:cols>
          <w:pgMar w:left="320" w:top="1440" w:right="3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36" w:lineRule="exact"/>
        <w:rPr>
          <w:sz w:val="20"/>
          <w:szCs w:val="20"/>
          <w:color w:val="auto"/>
        </w:rPr>
      </w:pPr>
    </w:p>
    <w:p>
      <w:pPr>
        <w:ind w:firstLine="636"/>
        <w:spacing w:after="0" w:line="347" w:lineRule="auto"/>
        <w:rPr>
          <w:sz w:val="20"/>
          <w:szCs w:val="20"/>
          <w:color w:val="auto"/>
        </w:rPr>
      </w:pPr>
      <w:r>
        <w:rPr>
          <w:rFonts w:ascii="Arial" w:cs="Arial" w:eastAsia="Arial" w:hAnsi="Arial"/>
          <w:sz w:val="15"/>
          <w:szCs w:val="15"/>
          <w:color w:val="auto"/>
        </w:rPr>
        <w:t>The following description of our securities is a summary and is qualified by reference to our Certificate of Incorporation and Bylaws, copies of which are included as exhibits to our Annual Report on Form 10-K, as well as by the applicable provisions of the Delaware General Corporation Law (“DGCL”).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w:t>
      </w:r>
    </w:p>
    <w:p>
      <w:pPr>
        <w:spacing w:after="0" w:line="230" w:lineRule="exact"/>
        <w:rPr>
          <w:sz w:val="20"/>
          <w:szCs w:val="20"/>
          <w:color w:val="auto"/>
        </w:rPr>
      </w:pPr>
    </w:p>
    <w:p>
      <w:pPr>
        <w:ind w:right="680" w:firstLine="318"/>
        <w:spacing w:after="0" w:line="249" w:lineRule="auto"/>
        <w:rPr>
          <w:sz w:val="20"/>
          <w:szCs w:val="20"/>
          <w:color w:val="auto"/>
        </w:rPr>
      </w:pPr>
      <w:r>
        <w:rPr>
          <w:rFonts w:ascii="Arial" w:cs="Arial" w:eastAsia="Arial" w:hAnsi="Arial"/>
          <w:sz w:val="18"/>
          <w:szCs w:val="18"/>
          <w:color w:val="auto"/>
        </w:rPr>
        <w:t>Our authorized capital stock consists of 1,000,000,000 shares of our Common Stock, par value $0.0001 per share, and 200,000,000 shares of our Preferred Stock, par value $0.0001 per share.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summary describes all material provisions of our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w:t>
      </w:r>
    </w:p>
    <w:p>
      <w:pPr>
        <w:spacing w:after="0" w:line="236" w:lineRule="exact"/>
        <w:rPr>
          <w:sz w:val="20"/>
          <w:szCs w:val="20"/>
          <w:color w:val="auto"/>
        </w:rPr>
      </w:pPr>
    </w:p>
    <w:p>
      <w:pPr>
        <w:ind w:firstLine="318"/>
        <w:spacing w:after="0" w:line="288" w:lineRule="auto"/>
        <w:rPr>
          <w:sz w:val="20"/>
          <w:szCs w:val="20"/>
          <w:color w:val="auto"/>
        </w:rPr>
      </w:pPr>
      <w:r>
        <w:rPr>
          <w:rFonts w:ascii="Arial" w:cs="Arial" w:eastAsia="Arial" w:hAnsi="Arial"/>
          <w:sz w:val="15"/>
          <w:szCs w:val="15"/>
          <w:b w:val="1"/>
          <w:bCs w:val="1"/>
          <w:i w:val="1"/>
          <w:iCs w:val="1"/>
          <w:color w:val="auto"/>
        </w:rPr>
        <w:t>Voting rights</w:t>
      </w:r>
      <w:r>
        <w:rPr>
          <w:rFonts w:ascii="Arial" w:cs="Arial" w:eastAsia="Arial" w:hAnsi="Arial"/>
          <w:sz w:val="15"/>
          <w:szCs w:val="15"/>
          <w:color w:val="auto"/>
        </w:rPr>
        <w:t>. Each share of our Common Stock is entitled to one vote per share on all matters (including the election of directors) submitted to a vote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81" w:lineRule="exact"/>
        <w:rPr>
          <w:sz w:val="20"/>
          <w:szCs w:val="20"/>
          <w:color w:val="auto"/>
        </w:rPr>
      </w:pPr>
    </w:p>
    <w:p>
      <w:pPr>
        <w:ind w:right="420" w:firstLine="318"/>
        <w:spacing w:after="0" w:line="278"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 Subject to preferences that may be applicable to any then-outstanding preferred stock, holders of our Common Stock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dividends, if any, as may be declared from time to time by our board of directors out of legally available funds.</w:t>
      </w:r>
    </w:p>
    <w:p>
      <w:pPr>
        <w:spacing w:after="0" w:line="183" w:lineRule="exact"/>
        <w:rPr>
          <w:sz w:val="20"/>
          <w:szCs w:val="20"/>
          <w:color w:val="auto"/>
        </w:rPr>
      </w:pPr>
    </w:p>
    <w:p>
      <w:pPr>
        <w:ind w:right="20" w:firstLine="318"/>
        <w:spacing w:after="0" w:line="234"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our Common Stock are entitled to share ratably in the net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216" w:lineRule="exact"/>
        <w:rPr>
          <w:sz w:val="20"/>
          <w:szCs w:val="20"/>
          <w:color w:val="auto"/>
        </w:rPr>
      </w:pPr>
    </w:p>
    <w:p>
      <w:pPr>
        <w:ind w:right="100" w:firstLine="318"/>
        <w:spacing w:after="0" w:line="261"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Holders of our Common Stock have no preemptive, conversion, subscription or other rights, and there are no redemption or sinking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6" w:lineRule="exact"/>
        <w:rPr>
          <w:sz w:val="20"/>
          <w:szCs w:val="20"/>
          <w:color w:val="auto"/>
        </w:rPr>
      </w:pPr>
    </w:p>
    <w:p>
      <w:pPr>
        <w:ind w:right="160" w:firstLine="318"/>
        <w:spacing w:after="0" w:line="235"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w:t>
      </w:r>
    </w:p>
    <w:p>
      <w:pPr>
        <w:spacing w:after="0" w:line="215" w:lineRule="exact"/>
        <w:rPr>
          <w:sz w:val="20"/>
          <w:szCs w:val="20"/>
          <w:color w:val="auto"/>
        </w:rPr>
      </w:pPr>
    </w:p>
    <w:p>
      <w:pPr>
        <w:ind w:right="640" w:firstLine="318"/>
        <w:spacing w:after="0" w:line="249" w:lineRule="auto"/>
        <w:rPr>
          <w:sz w:val="20"/>
          <w:szCs w:val="20"/>
          <w:color w:val="auto"/>
        </w:rPr>
      </w:pPr>
      <w:r>
        <w:rPr>
          <w:rFonts w:ascii="Arial" w:cs="Arial" w:eastAsia="Arial" w:hAnsi="Arial"/>
          <w:sz w:val="18"/>
          <w:szCs w:val="18"/>
          <w:color w:val="auto"/>
        </w:rPr>
        <w:t>In addition, the issuance of preferred stock could have the effect of delaying, deferring or preventing a change in control of our company or other corporate action.</w:t>
      </w:r>
    </w:p>
    <w:p>
      <w:pPr>
        <w:sectPr>
          <w:pgSz w:w="11900" w:h="16838" w:orient="portrait"/>
          <w:cols w:equalWidth="0" w:num="1">
            <w:col w:w="11220"/>
          </w:cols>
          <w:pgMar w:left="320" w:top="1380" w:right="359" w:bottom="1440" w:gutter="0" w:footer="0" w:header="0"/>
        </w:sectPr>
      </w:pPr>
    </w:p>
    <w:bookmarkStart w:id="126" w:name="page127"/>
    <w:bookmarkEnd w:id="126"/>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236" w:lineRule="exact"/>
        <w:rPr>
          <w:sz w:val="20"/>
          <w:szCs w:val="20"/>
          <w:color w:val="auto"/>
        </w:rPr>
      </w:pPr>
    </w:p>
    <w:p>
      <w:pPr>
        <w:ind w:right="40" w:firstLine="318"/>
        <w:spacing w:after="0" w:line="290" w:lineRule="auto"/>
        <w:rPr>
          <w:sz w:val="20"/>
          <w:szCs w:val="20"/>
          <w:color w:val="auto"/>
        </w:rPr>
      </w:pPr>
      <w:r>
        <w:rPr>
          <w:rFonts w:ascii="Arial" w:cs="Arial" w:eastAsia="Arial" w:hAnsi="Arial"/>
          <w:sz w:val="15"/>
          <w:szCs w:val="15"/>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nine (9)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167" w:lineRule="exact"/>
        <w:rPr>
          <w:sz w:val="20"/>
          <w:szCs w:val="20"/>
          <w:color w:val="auto"/>
        </w:rPr>
      </w:pPr>
    </w:p>
    <w:p>
      <w:pPr>
        <w:ind w:right="40" w:firstLine="318"/>
        <w:spacing w:after="0" w:line="250"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209" w:lineRule="exact"/>
        <w:rPr>
          <w:sz w:val="20"/>
          <w:szCs w:val="20"/>
          <w:color w:val="auto"/>
        </w:rPr>
      </w:pPr>
    </w:p>
    <w:p>
      <w:pPr>
        <w:jc w:val="both"/>
        <w:ind w:right="240" w:firstLine="318"/>
        <w:spacing w:after="0" w:line="239" w:lineRule="auto"/>
        <w:rPr>
          <w:sz w:val="20"/>
          <w:szCs w:val="20"/>
          <w:color w:val="auto"/>
        </w:rPr>
      </w:pPr>
      <w:r>
        <w:rPr>
          <w:rFonts w:ascii="Arial" w:cs="Arial" w:eastAsia="Arial" w:hAnsi="Arial"/>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216" w:lineRule="exact"/>
        <w:rPr>
          <w:sz w:val="20"/>
          <w:szCs w:val="20"/>
          <w:color w:val="auto"/>
        </w:rPr>
      </w:pPr>
    </w:p>
    <w:p>
      <w:pPr>
        <w:ind w:right="100" w:firstLine="318"/>
        <w:spacing w:after="0" w:line="233" w:lineRule="auto"/>
        <w:rPr>
          <w:sz w:val="20"/>
          <w:szCs w:val="20"/>
          <w:color w:val="auto"/>
        </w:rPr>
      </w:pPr>
      <w:r>
        <w:rPr>
          <w:rFonts w:ascii="Arial" w:cs="Arial" w:eastAsia="Arial" w:hAnsi="Arial"/>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 amended, altered or repealed after the date of our Bylaws will invalidate any prior act of our directors or officers which would have been valid if such Bylaw had not been adopted, amended, altered or repealed.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6" w:lineRule="exact"/>
        <w:rPr>
          <w:sz w:val="20"/>
          <w:szCs w:val="20"/>
          <w:color w:val="auto"/>
        </w:rPr>
      </w:pPr>
    </w:p>
    <w:p>
      <w:pPr>
        <w:ind w:firstLine="318"/>
        <w:spacing w:after="0" w:line="247" w:lineRule="auto"/>
        <w:rPr>
          <w:sz w:val="20"/>
          <w:szCs w:val="20"/>
          <w:color w:val="auto"/>
        </w:rPr>
      </w:pPr>
      <w:r>
        <w:rPr>
          <w:rFonts w:ascii="Arial" w:cs="Arial" w:eastAsia="Arial" w:hAnsi="Arial"/>
          <w:sz w:val="17"/>
          <w:szCs w:val="17"/>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our Certificate of Incorporation or our Bylaws, each as amended from time to time, or the rules of any applicable stock exchange on which our securities are listed.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36" w:lineRule="exact"/>
        <w:rPr>
          <w:sz w:val="20"/>
          <w:szCs w:val="20"/>
          <w:color w:val="auto"/>
        </w:rPr>
      </w:pPr>
    </w:p>
    <w:p>
      <w:pPr>
        <w:ind w:right="80" w:firstLine="318"/>
        <w:spacing w:after="0" w:line="311" w:lineRule="auto"/>
        <w:rPr>
          <w:sz w:val="20"/>
          <w:szCs w:val="20"/>
          <w:color w:val="auto"/>
        </w:rPr>
      </w:pPr>
      <w:r>
        <w:rPr>
          <w:rFonts w:ascii="Arial" w:cs="Arial" w:eastAsia="Arial" w:hAnsi="Arial"/>
          <w:sz w:val="15"/>
          <w:szCs w:val="15"/>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w:t>
      </w:r>
    </w:p>
    <w:p>
      <w:pPr>
        <w:sectPr>
          <w:pgSz w:w="11900" w:h="16838" w:orient="portrait"/>
          <w:cols w:equalWidth="0" w:num="1">
            <w:col w:w="11240"/>
          </w:cols>
          <w:pgMar w:left="320" w:top="1440" w:right="339" w:bottom="1440" w:gutter="0" w:footer="0" w:header="0"/>
        </w:sectPr>
      </w:pPr>
    </w:p>
    <w:bookmarkStart w:id="127" w:name="page128"/>
    <w:bookmarkEnd w:id="127"/>
    <w:p>
      <w:pPr>
        <w:ind w:right="600"/>
        <w:spacing w:after="0" w:line="249" w:lineRule="auto"/>
        <w:rPr>
          <w:sz w:val="20"/>
          <w:szCs w:val="20"/>
          <w:color w:val="auto"/>
        </w:rPr>
      </w:pPr>
      <w:r>
        <w:rPr>
          <w:rFonts w:ascii="Arial" w:cs="Arial" w:eastAsia="Arial" w:hAnsi="Arial"/>
          <w:sz w:val="18"/>
          <w:szCs w:val="18"/>
          <w:color w:val="auto"/>
        </w:rPr>
        <w:t>improvement of the terms of any such acquisition in favor of our stockholders. However, they also give our board of directors the power to discourage acquisitions that some stockholders may favor.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36"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 Nasdaq Global Select Market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58" w:lineRule="exact"/>
        <w:rPr>
          <w:sz w:val="20"/>
          <w:szCs w:val="20"/>
          <w:color w:val="auto"/>
        </w:rPr>
      </w:pPr>
    </w:p>
    <w:p>
      <w:pPr>
        <w:ind w:right="20" w:firstLine="318"/>
        <w:spacing w:after="0" w:line="237"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236" w:lineRule="exact"/>
        <w:rPr>
          <w:sz w:val="20"/>
          <w:szCs w:val="20"/>
          <w:color w:val="auto"/>
        </w:rPr>
      </w:pPr>
    </w:p>
    <w:p>
      <w:pPr>
        <w:ind w:right="20" w:firstLine="318"/>
        <w:spacing w:after="0" w:line="294" w:lineRule="auto"/>
        <w:rPr>
          <w:sz w:val="20"/>
          <w:szCs w:val="20"/>
          <w:color w:val="auto"/>
        </w:rPr>
      </w:pPr>
      <w:r>
        <w:rPr>
          <w:rFonts w:ascii="Arial" w:cs="Arial" w:eastAsia="Arial" w:hAnsi="Arial"/>
          <w:sz w:val="15"/>
          <w:szCs w:val="15"/>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76" w:lineRule="exact"/>
        <w:rPr>
          <w:sz w:val="20"/>
          <w:szCs w:val="20"/>
          <w:color w:val="auto"/>
        </w:rPr>
      </w:pPr>
    </w:p>
    <w:p>
      <w:pPr>
        <w:ind w:right="40" w:firstLine="318"/>
        <w:spacing w:after="0" w:line="239" w:lineRule="auto"/>
        <w:rPr>
          <w:sz w:val="20"/>
          <w:szCs w:val="20"/>
          <w:color w:val="auto"/>
        </w:rPr>
      </w:pPr>
      <w:r>
        <w:rPr>
          <w:rFonts w:ascii="Arial" w:cs="Arial" w:eastAsia="Arial" w:hAnsi="Arial"/>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203"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71"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236" w:lineRule="exact"/>
        <w:rPr>
          <w:sz w:val="20"/>
          <w:szCs w:val="20"/>
          <w:color w:val="auto"/>
        </w:rPr>
      </w:pPr>
    </w:p>
    <w:p>
      <w:pPr>
        <w:jc w:val="both"/>
        <w:ind w:right="40" w:firstLine="318"/>
        <w:spacing w:after="0" w:line="239"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216" w:lineRule="exact"/>
        <w:rPr>
          <w:sz w:val="20"/>
          <w:szCs w:val="20"/>
          <w:color w:val="auto"/>
        </w:rPr>
      </w:pPr>
    </w:p>
    <w:p>
      <w:pPr>
        <w:ind w:right="60" w:firstLine="318"/>
        <w:spacing w:after="0" w:line="239" w:lineRule="auto"/>
        <w:rPr>
          <w:sz w:val="20"/>
          <w:szCs w:val="20"/>
          <w:color w:val="auto"/>
        </w:rPr>
      </w:pPr>
      <w:r>
        <w:rPr>
          <w:rFonts w:ascii="Arial" w:cs="Arial" w:eastAsia="Arial" w:hAnsi="Arial"/>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ectPr>
          <w:pgSz w:w="11900" w:h="16838" w:orient="portrait"/>
          <w:cols w:equalWidth="0" w:num="1">
            <w:col w:w="11240"/>
          </w:cols>
          <w:pgMar w:left="320" w:top="1386" w:right="339" w:bottom="1440" w:gutter="0" w:footer="0" w:header="0"/>
        </w:sectPr>
      </w:pPr>
    </w:p>
    <w:bookmarkStart w:id="128" w:name="page129"/>
    <w:bookmarkEnd w:id="128"/>
    <w:p>
      <w:pPr>
        <w:ind w:left="640" w:right="520" w:hanging="316"/>
        <w:spacing w:after="0" w:line="225" w:lineRule="auto"/>
        <w:tabs>
          <w:tab w:leader="none" w:pos="635"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authorizing our board of directors to issues shares of our Preferred Stock, with any rights, preferences or privileges as they may designate;</w:t>
      </w:r>
    </w:p>
    <w:p>
      <w:pPr>
        <w:spacing w:after="0" w:line="1" w:lineRule="exact"/>
        <w:rPr>
          <w:rFonts w:ascii="Arial" w:cs="Arial" w:eastAsia="Arial" w:hAnsi="Arial"/>
          <w:sz w:val="21"/>
          <w:szCs w:val="21"/>
          <w:color w:val="auto"/>
        </w:rPr>
      </w:pPr>
    </w:p>
    <w:p>
      <w:pPr>
        <w:ind w:left="640" w:hanging="316"/>
        <w:spacing w:after="0" w:line="237" w:lineRule="auto"/>
        <w:tabs>
          <w:tab w:leader="none" w:pos="640"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dividing our board of directors into three classes, each of which stands for election once every three years;</w:t>
      </w:r>
    </w:p>
    <w:p>
      <w:pPr>
        <w:spacing w:after="0" w:line="253" w:lineRule="exact"/>
        <w:rPr>
          <w:rFonts w:ascii="Arial" w:cs="Arial" w:eastAsia="Arial" w:hAnsi="Arial"/>
          <w:sz w:val="21"/>
          <w:szCs w:val="21"/>
          <w:color w:val="auto"/>
        </w:rPr>
      </w:pPr>
    </w:p>
    <w:p>
      <w:pPr>
        <w:ind w:left="640" w:right="180" w:hanging="316"/>
        <w:spacing w:after="0" w:line="238" w:lineRule="auto"/>
        <w:tabs>
          <w:tab w:leader="none" w:pos="635" w:val="left"/>
        </w:tabs>
        <w:numPr>
          <w:ilvl w:val="0"/>
          <w:numId w:val="76"/>
        </w:numPr>
        <w:rPr>
          <w:rFonts w:ascii="Arial" w:cs="Arial" w:eastAsia="Arial" w:hAnsi="Arial"/>
          <w:sz w:val="20"/>
          <w:szCs w:val="20"/>
          <w:color w:val="auto"/>
        </w:rPr>
      </w:pPr>
      <w:r>
        <w:rPr>
          <w:rFonts w:ascii="Arial" w:cs="Arial" w:eastAsia="Arial" w:hAnsi="Arial"/>
          <w:sz w:val="17"/>
          <w:szCs w:val="17"/>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253" w:lineRule="exact"/>
        <w:rPr>
          <w:rFonts w:ascii="Arial" w:cs="Arial" w:eastAsia="Arial" w:hAnsi="Arial"/>
          <w:sz w:val="20"/>
          <w:szCs w:val="20"/>
          <w:color w:val="auto"/>
        </w:rPr>
      </w:pPr>
    </w:p>
    <w:p>
      <w:pPr>
        <w:ind w:left="640" w:right="680" w:hanging="316"/>
        <w:spacing w:after="0" w:line="225" w:lineRule="auto"/>
        <w:tabs>
          <w:tab w:leader="none" w:pos="635"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223" w:lineRule="exact"/>
        <w:rPr>
          <w:rFonts w:ascii="Arial" w:cs="Arial" w:eastAsia="Arial" w:hAnsi="Arial"/>
          <w:sz w:val="21"/>
          <w:szCs w:val="21"/>
          <w:color w:val="auto"/>
        </w:rPr>
      </w:pPr>
    </w:p>
    <w:p>
      <w:pPr>
        <w:ind w:left="640" w:hanging="316"/>
        <w:spacing w:after="0"/>
        <w:tabs>
          <w:tab w:leader="none" w:pos="640"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prohibiting cumulative voting;</w:t>
      </w:r>
    </w:p>
    <w:p>
      <w:pPr>
        <w:spacing w:after="0" w:line="253" w:lineRule="exact"/>
        <w:rPr>
          <w:rFonts w:ascii="Arial" w:cs="Arial" w:eastAsia="Arial" w:hAnsi="Arial"/>
          <w:sz w:val="21"/>
          <w:szCs w:val="21"/>
          <w:color w:val="auto"/>
        </w:rPr>
      </w:pPr>
    </w:p>
    <w:p>
      <w:pPr>
        <w:ind w:left="640" w:right="220" w:hanging="316"/>
        <w:spacing w:after="0" w:line="225" w:lineRule="auto"/>
        <w:tabs>
          <w:tab w:leader="none" w:pos="635"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requiring that any action to be taken by our stockholders must be effected at a duly called annual or special meeting of stockholders and not be taken by written consent;</w:t>
      </w:r>
    </w:p>
    <w:p>
      <w:pPr>
        <w:spacing w:after="0" w:line="237" w:lineRule="exact"/>
        <w:rPr>
          <w:rFonts w:ascii="Arial" w:cs="Arial" w:eastAsia="Arial" w:hAnsi="Arial"/>
          <w:sz w:val="21"/>
          <w:szCs w:val="21"/>
          <w:color w:val="auto"/>
        </w:rPr>
      </w:pPr>
    </w:p>
    <w:p>
      <w:pPr>
        <w:ind w:left="640" w:hanging="316"/>
        <w:spacing w:after="0"/>
        <w:tabs>
          <w:tab w:leader="none" w:pos="640"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regarding calling special meetings of stockholders;</w:t>
      </w:r>
    </w:p>
    <w:p>
      <w:pPr>
        <w:spacing w:after="0" w:line="253" w:lineRule="exact"/>
        <w:rPr>
          <w:rFonts w:ascii="Arial" w:cs="Arial" w:eastAsia="Arial" w:hAnsi="Arial"/>
          <w:sz w:val="21"/>
          <w:szCs w:val="21"/>
          <w:color w:val="auto"/>
        </w:rPr>
      </w:pPr>
    </w:p>
    <w:p>
      <w:pPr>
        <w:ind w:left="640" w:right="360" w:hanging="316"/>
        <w:spacing w:after="0" w:line="225" w:lineRule="auto"/>
        <w:tabs>
          <w:tab w:leader="none" w:pos="635"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our stockholders; and</w:t>
      </w:r>
    </w:p>
    <w:p>
      <w:pPr>
        <w:spacing w:after="0" w:line="237" w:lineRule="exact"/>
        <w:rPr>
          <w:rFonts w:ascii="Arial" w:cs="Arial" w:eastAsia="Arial" w:hAnsi="Arial"/>
          <w:sz w:val="21"/>
          <w:szCs w:val="21"/>
          <w:color w:val="auto"/>
        </w:rPr>
      </w:pPr>
    </w:p>
    <w:p>
      <w:pPr>
        <w:ind w:left="640" w:hanging="316"/>
        <w:spacing w:after="0"/>
        <w:tabs>
          <w:tab w:leader="none" w:pos="640" w:val="left"/>
        </w:tabs>
        <w:numPr>
          <w:ilvl w:val="0"/>
          <w:numId w:val="76"/>
        </w:numPr>
        <w:rPr>
          <w:rFonts w:ascii="Arial" w:cs="Arial" w:eastAsia="Arial" w:hAnsi="Arial"/>
          <w:sz w:val="21"/>
          <w:szCs w:val="21"/>
          <w:color w:val="auto"/>
        </w:rPr>
      </w:pPr>
      <w:r>
        <w:rPr>
          <w:rFonts w:ascii="Arial" w:cs="Arial" w:eastAsia="Arial" w:hAnsi="Arial"/>
          <w:sz w:val="18"/>
          <w:szCs w:val="18"/>
          <w:color w:val="auto"/>
        </w:rPr>
        <w:t>the provision regarding the approval requirements for such amendments;</w:t>
      </w:r>
    </w:p>
    <w:p>
      <w:pPr>
        <w:spacing w:after="0" w:line="214" w:lineRule="exact"/>
        <w:rPr>
          <w:sz w:val="20"/>
          <w:szCs w:val="20"/>
          <w:color w:val="auto"/>
        </w:rPr>
      </w:pPr>
    </w:p>
    <w:p>
      <w:pPr>
        <w:ind w:firstLine="318"/>
        <w:spacing w:after="0" w:line="237" w:lineRule="auto"/>
        <w:rPr>
          <w:sz w:val="20"/>
          <w:szCs w:val="20"/>
          <w:color w:val="auto"/>
        </w:rPr>
      </w:pPr>
      <w:r>
        <w:rPr>
          <w:rFonts w:ascii="Arial" w:cs="Arial" w:eastAsia="Arial" w:hAnsi="Arial"/>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236" w:lineRule="exact"/>
        <w:rPr>
          <w:sz w:val="20"/>
          <w:szCs w:val="20"/>
          <w:color w:val="auto"/>
        </w:rPr>
      </w:pPr>
    </w:p>
    <w:p>
      <w:pPr>
        <w:ind w:firstLine="318"/>
        <w:spacing w:after="0" w:line="246" w:lineRule="auto"/>
        <w:rPr>
          <w:sz w:val="20"/>
          <w:szCs w:val="20"/>
          <w:color w:val="auto"/>
        </w:rPr>
      </w:pPr>
      <w:r>
        <w:rPr>
          <w:rFonts w:ascii="Arial" w:cs="Arial" w:eastAsia="Arial" w:hAnsi="Arial"/>
          <w:sz w:val="17"/>
          <w:szCs w:val="17"/>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36" w:lineRule="exact"/>
        <w:rPr>
          <w:sz w:val="20"/>
          <w:szCs w:val="20"/>
          <w:color w:val="auto"/>
        </w:rPr>
      </w:pPr>
    </w:p>
    <w:p>
      <w:pPr>
        <w:ind w:right="40" w:firstLine="318"/>
        <w:spacing w:after="0" w:line="287" w:lineRule="auto"/>
        <w:rPr>
          <w:sz w:val="20"/>
          <w:szCs w:val="20"/>
          <w:color w:val="auto"/>
        </w:rPr>
      </w:pPr>
      <w:r>
        <w:rPr>
          <w:rFonts w:ascii="Arial" w:cs="Arial" w:eastAsia="Arial" w:hAnsi="Arial"/>
          <w:sz w:val="15"/>
          <w:szCs w:val="15"/>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w:t>
      </w:r>
    </w:p>
    <w:p>
      <w:pPr>
        <w:sectPr>
          <w:pgSz w:w="11900" w:h="16838" w:orient="portrait"/>
          <w:cols w:equalWidth="0" w:num="1">
            <w:col w:w="11200"/>
          </w:cols>
          <w:pgMar w:left="320" w:top="1426" w:right="379" w:bottom="1440" w:gutter="0" w:footer="0" w:header="0"/>
        </w:sectPr>
      </w:pPr>
    </w:p>
    <w:bookmarkStart w:id="129" w:name="page130"/>
    <w:bookmarkEnd w:id="129"/>
    <w:p>
      <w:pPr>
        <w:ind w:right="1800"/>
        <w:spacing w:after="0" w:line="249" w:lineRule="auto"/>
        <w:rPr>
          <w:sz w:val="20"/>
          <w:szCs w:val="20"/>
          <w:color w:val="auto"/>
        </w:rPr>
      </w:pPr>
      <w:r>
        <w:rPr>
          <w:rFonts w:ascii="Arial" w:cs="Arial" w:eastAsia="Arial" w:hAnsi="Arial"/>
          <w:sz w:val="18"/>
          <w:szCs w:val="18"/>
          <w:color w:val="auto"/>
        </w:rPr>
        <w:t xml:space="preserve">may reduce our available funds to satisfy successful third-party claims against it and may reduce the amount of money available to it. </w:t>
      </w:r>
      <w:r>
        <w:rPr>
          <w:rFonts w:ascii="Arial" w:cs="Arial" w:eastAsia="Arial" w:hAnsi="Arial"/>
          <w:sz w:val="18"/>
          <w:szCs w:val="18"/>
          <w:b w:val="1"/>
          <w:bCs w:val="1"/>
          <w:color w:val="auto"/>
        </w:rPr>
        <w:t>Exclusive Jurisdiction of Certain Actions</w:t>
      </w:r>
    </w:p>
    <w:p>
      <w:pPr>
        <w:spacing w:after="0" w:line="207" w:lineRule="exact"/>
        <w:rPr>
          <w:sz w:val="20"/>
          <w:szCs w:val="20"/>
          <w:color w:val="auto"/>
        </w:rPr>
      </w:pPr>
    </w:p>
    <w:p>
      <w:pPr>
        <w:ind w:right="100" w:firstLine="318"/>
        <w:spacing w:after="0" w:line="281"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1" w:lineRule="exact"/>
        <w:rPr>
          <w:sz w:val="20"/>
          <w:szCs w:val="20"/>
          <w:color w:val="auto"/>
        </w:rPr>
      </w:pPr>
    </w:p>
    <w:p>
      <w:pPr>
        <w:ind w:firstLine="6"/>
        <w:spacing w:after="0" w:line="283" w:lineRule="auto"/>
        <w:tabs>
          <w:tab w:leader="none" w:pos="309"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 as amended, against any person in connection with any offering of our securities, including, without limitation and for the avoidance of doubt, any auditor, underwriter, expert, control person or other defendant.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on Nasdaq under the symbol “NAUT.”</w:t>
      </w:r>
    </w:p>
    <w:p>
      <w:pPr>
        <w:sectPr>
          <w:pgSz w:w="11900" w:h="16838" w:orient="portrait"/>
          <w:cols w:equalWidth="0" w:num="1">
            <w:col w:w="11240"/>
          </w:cols>
          <w:pgMar w:left="320" w:top="1386"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9" w:lineRule="exact"/>
        <w:rPr>
          <w:sz w:val="20"/>
          <w:szCs w:val="20"/>
          <w:color w:val="auto"/>
        </w:rPr>
      </w:pPr>
    </w:p>
    <w:p>
      <w:pPr>
        <w:jc w:val="both"/>
        <w:ind w:right="400"/>
        <w:spacing w:after="0" w:line="23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333-258100) and Form S-8 (Nos. 333-258684 333-258686 and 333-262992) of Nautilus Biotechnology, Inc. of our report dated February 23, 2023 relating to the financial statements, which appears in this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10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23" w:lineRule="exact"/>
        <w:rPr>
          <w:sz w:val="20"/>
          <w:szCs w:val="20"/>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Nautilus Biotechnology, Inc.;</w:t>
      </w:r>
    </w:p>
    <w:p>
      <w:pPr>
        <w:spacing w:after="0" w:line="97" w:lineRule="exact"/>
        <w:rPr>
          <w:rFonts w:ascii="Arial" w:cs="Arial" w:eastAsia="Arial" w:hAnsi="Arial"/>
          <w:sz w:val="18"/>
          <w:szCs w:val="18"/>
          <w:color w:val="auto"/>
        </w:rPr>
      </w:pPr>
    </w:p>
    <w:p>
      <w:pPr>
        <w:jc w:val="both"/>
        <w:ind w:left="640" w:right="320" w:hanging="316"/>
        <w:spacing w:after="0" w:line="234"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640" w:right="280" w:hanging="316"/>
        <w:spacing w:after="0" w:line="262" w:lineRule="auto"/>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ind w:left="640" w:right="320" w:hanging="316"/>
        <w:spacing w:after="0" w:line="229"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1120" w:right="120" w:hanging="319"/>
        <w:spacing w:after="0" w:line="229" w:lineRule="auto"/>
        <w:tabs>
          <w:tab w:leader="none" w:pos="111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120" w:right="420" w:hanging="319"/>
        <w:spacing w:after="0" w:line="234" w:lineRule="auto"/>
        <w:tabs>
          <w:tab w:leader="none" w:pos="1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120" w:right="580" w:hanging="319"/>
        <w:spacing w:after="0" w:line="328" w:lineRule="auto"/>
        <w:tabs>
          <w:tab w:leader="none" w:pos="1110" w:val="left"/>
        </w:tabs>
        <w:numPr>
          <w:ilvl w:val="1"/>
          <w:numId w:val="7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5"/>
          <w:szCs w:val="15"/>
          <w:color w:val="auto"/>
        </w:rPr>
      </w:pPr>
    </w:p>
    <w:p>
      <w:pPr>
        <w:ind w:left="1120" w:right="140" w:hanging="319"/>
        <w:spacing w:after="0" w:line="229" w:lineRule="auto"/>
        <w:tabs>
          <w:tab w:leader="none" w:pos="1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40" w:right="240" w:hanging="316"/>
        <w:spacing w:after="0" w:line="341" w:lineRule="auto"/>
        <w:tabs>
          <w:tab w:leader="none" w:pos="6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20" w:right="20" w:hanging="319"/>
        <w:spacing w:after="0" w:line="262" w:lineRule="auto"/>
        <w:tabs>
          <w:tab w:leader="none" w:pos="111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120" w:right="520" w:hanging="319"/>
        <w:spacing w:after="0" w:line="237" w:lineRule="auto"/>
        <w:tabs>
          <w:tab w:leader="none" w:pos="1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23, 2023</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Sujal Patel</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President and Chief Executive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23" w:lineRule="exact"/>
        <w:rPr>
          <w:sz w:val="20"/>
          <w:szCs w:val="20"/>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Nautilus Biotechnology, Inc.;</w:t>
      </w:r>
    </w:p>
    <w:p>
      <w:pPr>
        <w:spacing w:after="0" w:line="97" w:lineRule="exact"/>
        <w:rPr>
          <w:rFonts w:ascii="Arial" w:cs="Arial" w:eastAsia="Arial" w:hAnsi="Arial"/>
          <w:sz w:val="18"/>
          <w:szCs w:val="18"/>
          <w:color w:val="auto"/>
        </w:rPr>
      </w:pPr>
    </w:p>
    <w:p>
      <w:pPr>
        <w:jc w:val="both"/>
        <w:ind w:left="640" w:right="320" w:hanging="316"/>
        <w:spacing w:after="0" w:line="234"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640" w:right="280" w:hanging="316"/>
        <w:spacing w:after="0" w:line="262"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ind w:left="640" w:right="320" w:hanging="316"/>
        <w:spacing w:after="0" w:line="229"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1120" w:right="120" w:hanging="319"/>
        <w:spacing w:after="0" w:line="229" w:lineRule="auto"/>
        <w:tabs>
          <w:tab w:leader="none" w:pos="111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120" w:right="420" w:hanging="319"/>
        <w:spacing w:after="0" w:line="234" w:lineRule="auto"/>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120" w:right="580" w:hanging="319"/>
        <w:spacing w:after="0" w:line="328" w:lineRule="auto"/>
        <w:tabs>
          <w:tab w:leader="none" w:pos="1110" w:val="left"/>
        </w:tabs>
        <w:numPr>
          <w:ilvl w:val="1"/>
          <w:numId w:val="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5"/>
          <w:szCs w:val="15"/>
          <w:color w:val="auto"/>
        </w:rPr>
      </w:pPr>
    </w:p>
    <w:p>
      <w:pPr>
        <w:ind w:left="1120" w:right="140" w:hanging="319"/>
        <w:spacing w:after="0" w:line="229" w:lineRule="auto"/>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40" w:right="240" w:hanging="316"/>
        <w:spacing w:after="0" w:line="341" w:lineRule="auto"/>
        <w:tabs>
          <w:tab w:leader="none" w:pos="6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20" w:right="20" w:hanging="319"/>
        <w:spacing w:after="0" w:line="262" w:lineRule="auto"/>
        <w:tabs>
          <w:tab w:leader="none" w:pos="11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120" w:right="520" w:hanging="319"/>
        <w:spacing w:after="0" w:line="237" w:lineRule="auto"/>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23, 2023</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/s/ Anna Mowry</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43"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1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connection with the Annual Report of Nautilus Biotechnology, Inc. (the “Company”) on Form 10-K for the fiscal year ended December 31, 2022 as filed with the Securities and Exchange Commission on the date hereof (the “Report”), I, Sujal Patel, hereby certify, pursuant to 18 U.S.C. § 1350, as adopted pursuant to § 906 of the Sarbanes-Oxley Act of 2002, that:</w:t>
      </w:r>
    </w:p>
    <w:p>
      <w:pPr>
        <w:spacing w:after="0" w:line="322" w:lineRule="exact"/>
        <w:rPr>
          <w:sz w:val="20"/>
          <w:szCs w:val="20"/>
          <w:color w:val="auto"/>
        </w:rPr>
      </w:pPr>
    </w:p>
    <w:p>
      <w:pPr>
        <w:ind w:left="640" w:hanging="31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23, 2023</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Sujal Patel</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President and Chief Executive Officer</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connection with the Annual Report of Nautilus Biotechnology, Inc. (the “Company”) on Form 10-K for the fiscal year ended December 31, 2022 as filed with the Securities and Exchange Commission on the date hereof (the “Report”), I, Anna Mowry, hereby certify, pursuant to 18 U.S.C. § 1350, as adopted pursuant to § 906 of the Sarbanes-Oxley Act of 2002, that:</w:t>
      </w:r>
    </w:p>
    <w:p>
      <w:pPr>
        <w:spacing w:after="0" w:line="322"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20" w:type="dxa"/>
            <w:vAlign w:val="bottom"/>
            <w:vMerge w:val="restart"/>
          </w:tcPr>
          <w:p>
            <w:pPr>
              <w:spacing w:after="0"/>
              <w:rPr>
                <w:sz w:val="20"/>
                <w:szCs w:val="20"/>
                <w:color w:val="auto"/>
              </w:rPr>
            </w:pPr>
            <w:r>
              <w:rPr>
                <w:rFonts w:ascii="Arial" w:cs="Arial" w:eastAsia="Arial" w:hAnsi="Arial"/>
                <w:sz w:val="18"/>
                <w:szCs w:val="18"/>
                <w:color w:val="auto"/>
              </w:rPr>
              <w:t>Date: February 23, 2023</w:t>
            </w:r>
          </w:p>
        </w:tc>
        <w:tc>
          <w:tcPr>
            <w:tcW w:w="2500" w:type="dxa"/>
            <w:vAlign w:val="bottom"/>
          </w:tcPr>
          <w:p>
            <w:pPr>
              <w:ind w:left="160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/s/ Anna Mowry</w:t>
            </w:r>
          </w:p>
        </w:tc>
        <w:tc>
          <w:tcPr>
            <w:tcW w:w="0" w:type="dxa"/>
            <w:vAlign w:val="bottom"/>
          </w:tcPr>
          <w:p>
            <w:pPr>
              <w:spacing w:after="0"/>
              <w:rPr>
                <w:sz w:val="1"/>
                <w:szCs w:val="1"/>
                <w:color w:val="auto"/>
              </w:rPr>
            </w:pPr>
          </w:p>
        </w:tc>
      </w:tr>
      <w:tr>
        <w:trPr>
          <w:trHeight w:val="113"/>
        </w:trPr>
        <w:tc>
          <w:tcPr>
            <w:tcW w:w="3320" w:type="dxa"/>
            <w:vAlign w:val="bottom"/>
            <w:vMerge w:val="continue"/>
          </w:tcPr>
          <w:p>
            <w:pPr>
              <w:spacing w:after="0"/>
              <w:rPr>
                <w:sz w:val="9"/>
                <w:szCs w:val="9"/>
                <w:color w:val="auto"/>
              </w:rPr>
            </w:pPr>
          </w:p>
        </w:tc>
        <w:tc>
          <w:tcPr>
            <w:tcW w:w="2500" w:type="dxa"/>
            <w:vAlign w:val="bottom"/>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1."/>
      <w:numFmt w:val="decimal"/>
      <w:start w:val="2"/>
    </w:lvl>
  </w:abstractNum>
  <w:abstractNum w:abstractNumId="11">
    <w:nsid w:val="542289EC"/>
    <w:multiLevelType w:val="hybridMultilevel"/>
    <w:lvl w:ilvl="0">
      <w:lvlJc w:val="left"/>
      <w:lvlText w:val="%1."/>
      <w:numFmt w:val="decimal"/>
      <w:start w:val="3"/>
    </w:lvl>
  </w:abstractNum>
  <w:abstractNum w:abstractNumId="12">
    <w:nsid w:val="6DE91B18"/>
    <w:multiLevelType w:val="hybridMultilevel"/>
    <w:lvl w:ilvl="0">
      <w:lvlJc w:val="left"/>
      <w:lvlText w:val="%1."/>
      <w:numFmt w:val="decimal"/>
      <w:start w:val="4"/>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emdash "/>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lowerRoman"/>
      <w:start w:val="3"/>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1)"/>
      <w:numFmt w:val="lowerRoman"/>
      <w:start w:val="3"/>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2"/>
    </w:lvl>
  </w:abstractNum>
  <w:abstractNum w:abstractNumId="60">
    <w:nsid w:val="799D0247"/>
    <w:multiLevelType w:val="hybridMultilevel"/>
    <w:lvl w:ilvl="0">
      <w:lvlJc w:val="left"/>
      <w:lvlText w:val="%1."/>
      <w:numFmt w:val="decimal"/>
      <w:start w:val="3"/>
    </w:lvl>
  </w:abstractNum>
  <w:abstractNum w:abstractNumId="61">
    <w:nsid w:val="6B94764"/>
    <w:multiLevelType w:val="hybridMultilevel"/>
    <w:lvl w:ilvl="0">
      <w:lvlJc w:val="left"/>
      <w:lvlText w:val="%1."/>
      <w:numFmt w:val="decimal"/>
      <w:start w:val="4"/>
    </w:lvl>
  </w:abstractNum>
  <w:abstractNum w:abstractNumId="62">
    <w:nsid w:val="42C296BD"/>
    <w:multiLevelType w:val="hybridMultilevel"/>
    <w:lvl w:ilvl="0">
      <w:lvlJc w:val="left"/>
      <w:lvlText w:val="%1."/>
      <w:numFmt w:val="decimal"/>
      <w:start w:val="5"/>
    </w:lvl>
  </w:abstractNum>
  <w:abstractNum w:abstractNumId="63">
    <w:nsid w:val="168E121F"/>
    <w:multiLevelType w:val="hybridMultilevel"/>
    <w:lvl w:ilvl="0">
      <w:lvlJc w:val="left"/>
      <w:lvlText w:val="%1."/>
      <w:numFmt w:val="decimal"/>
      <w:start w:val="7"/>
    </w:lvl>
  </w:abstractNum>
  <w:abstractNum w:abstractNumId="64">
    <w:nsid w:val="1EBA5D23"/>
    <w:multiLevelType w:val="hybridMultilevel"/>
    <w:lvl w:ilvl="0">
      <w:lvlJc w:val="left"/>
      <w:lvlText w:val="%1."/>
      <w:numFmt w:val="decimal"/>
      <w:start w:val="8"/>
    </w:lvl>
  </w:abstractNum>
  <w:abstractNum w:abstractNumId="65">
    <w:nsid w:val="661E3F1E"/>
    <w:multiLevelType w:val="hybridMultilevel"/>
    <w:lvl w:ilvl="0">
      <w:lvlJc w:val="left"/>
      <w:lvlText w:val="%1."/>
      <w:numFmt w:val="decimal"/>
      <w:start w:val="9"/>
    </w:lvl>
  </w:abstractNum>
  <w:abstractNum w:abstractNumId="66">
    <w:nsid w:val="5DC79EA8"/>
    <w:multiLevelType w:val="hybridMultilevel"/>
    <w:lvl w:ilvl="0">
      <w:lvlJc w:val="left"/>
      <w:lvlText w:val="%1."/>
      <w:numFmt w:val="decimal"/>
      <w:start w:val="10"/>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11"/>
    </w:lvl>
  </w:abstractNum>
  <w:abstractNum w:abstractNumId="72">
    <w:nsid w:val="11447B73"/>
    <w:multiLevelType w:val="hybridMultilevel"/>
    <w:lvl w:ilvl="0">
      <w:lvlJc w:val="left"/>
      <w:lvlText w:val="(%1)"/>
      <w:numFmt w:val="lowerLetter"/>
      <w:start w:val="3"/>
    </w:lvl>
  </w:abstractNum>
  <w:abstractNum w:abstractNumId="73">
    <w:nsid w:val="42963E5A"/>
    <w:multiLevelType w:val="hybridMultilevel"/>
    <w:lvl w:ilvl="0">
      <w:lvlJc w:val="left"/>
      <w:lvlText w:val="%1"/>
      <w:numFmt w:val="decimal"/>
      <w:start w:val="104"/>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Roman"/>
      <w:start w:val="3"/>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10"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191" Type="http://schemas.openxmlformats.org/officeDocument/2006/relationships/hyperlink" Target="https://www.sec.gov/Archives/edgar/data/1808805/000114036121003650/brhc10019858_ex2-1.htm" TargetMode="External"/><Relationship Id="rId192" Type="http://schemas.openxmlformats.org/officeDocument/2006/relationships/hyperlink" Target="https://www.sec.gov/Archives/edgar/data/1808805/000162828021011892/exhibit31-form8xkclosing.htm" TargetMode="External"/><Relationship Id="rId193" Type="http://schemas.openxmlformats.org/officeDocument/2006/relationships/hyperlink" Target="https://www.sec.gov/Archives/edgar/data/1808805/000180880522000107/exhibit31-nautilusbiotechn.htm" TargetMode="External"/><Relationship Id="rId194" Type="http://schemas.openxmlformats.org/officeDocument/2006/relationships/hyperlink" Target="https://www.sec.gov/Archives/edgar/data/1808805/000162828021011892/exhibit41-super8xkclosing.htm" TargetMode="External"/><Relationship Id="rId195" Type="http://schemas.openxmlformats.org/officeDocument/2006/relationships/hyperlink" Target="https://www.sec.gov/Archives/edgar/data/1808805/000114036121003650/brhc10019858_ex10-3.htm" TargetMode="External"/><Relationship Id="rId196" Type="http://schemas.openxmlformats.org/officeDocument/2006/relationships/hyperlink" Target="https://www.sec.gov/Archives/edgar/data/1808805/000114036121003650/brhc10019858_ex10-2.htm" TargetMode="External"/><Relationship Id="rId197" Type="http://schemas.openxmlformats.org/officeDocument/2006/relationships/hyperlink" Target="https://www.sec.gov/Archives/edgar/data/1808805/000162828021011892/exhibit104-form8xkclosing.htm" TargetMode="External"/><Relationship Id="rId198" Type="http://schemas.openxmlformats.org/officeDocument/2006/relationships/hyperlink" Target="https://www.sec.gov/Archives/edgar/data/1808805/000162828021011892/exhibit105-form8xkclosing.htm" TargetMode="External"/><Relationship Id="rId199" Type="http://schemas.openxmlformats.org/officeDocument/2006/relationships/hyperlink" Target="https://www.sec.gov/Archives/edgar/data/1808805/000162828021005786/exhibit107-sx4.htm" TargetMode="External"/><Relationship Id="rId200" Type="http://schemas.openxmlformats.org/officeDocument/2006/relationships/hyperlink" Target="https://www.sec.gov/Archives/edgar/data/1808805/000162828021005786/exhibit108-sx4.htm" TargetMode="External"/><Relationship Id="rId201" Type="http://schemas.openxmlformats.org/officeDocument/2006/relationships/hyperlink" Target="https://www.sec.gov/Archives/edgar/data/1808805/000162828021005786/exhibit109-sx4.htm" TargetMode="External"/><Relationship Id="rId202" Type="http://schemas.openxmlformats.org/officeDocument/2006/relationships/hyperlink" Target="https://www.sec.gov/Archives/edgar/data/1808805/000162828021005786/exhibit1011-sx4.htm" TargetMode="External"/><Relationship Id="rId203" Type="http://schemas.openxmlformats.org/officeDocument/2006/relationships/hyperlink" Target="https://www.sec.gov/Archives/edgar/data/1808805/000162828021007512/exhibit1012-sx4a2.htm" TargetMode="External"/><Relationship Id="rId204" Type="http://schemas.openxmlformats.org/officeDocument/2006/relationships/hyperlink" Target="https://www.sec.gov/Archives/edgar/data/1808805/000162828021007512/exhibit1013-sx4a2.htm" TargetMode="External"/><Relationship Id="rId205" Type="http://schemas.openxmlformats.org/officeDocument/2006/relationships/hyperlink" Target="https://www.sec.gov/Archives/edgar/data/1808805/000162828021007512/exhibit1015-sx4a2.htm" TargetMode="External"/><Relationship Id="rId206" Type="http://schemas.openxmlformats.org/officeDocument/2006/relationships/hyperlink" Target="https://www.sec.gov/Archives/edgar/data/1808805/000162828021007512/exhibit1014-sx4a2.htm" TargetMode="External"/><Relationship Id="rId207" Type="http://schemas.openxmlformats.org/officeDocument/2006/relationships/hyperlink" Target="https://www.sec.gov/Archives/edgar/data/1808805/000162828021007512/exhibit1016-sx4a2.htm" TargetMode="External"/><Relationship Id="rId208" Type="http://schemas.openxmlformats.org/officeDocument/2006/relationships/hyperlink" Target="https://www.sec.gov/Archives/edgar/data/1808805/000162828021007512/exhibit1017-sx4a2.htm" TargetMode="External"/><Relationship Id="rId209" Type="http://schemas.openxmlformats.org/officeDocument/2006/relationships/hyperlink" Target="https://www.sec.gov/Archives/edgar/data/1808805/000180880522000046/exhibit101-offerletter.htm" TargetMode="External"/><Relationship Id="rId211" Type="http://schemas.openxmlformats.org/officeDocument/2006/relationships/hyperlink" Target="https://www.sec.gov/Archives/edgar/data/1808805/000180880522000081/exhibit101-offerletter_god.htm" TargetMode="External"/><Relationship Id="rId212" Type="http://schemas.openxmlformats.org/officeDocument/2006/relationships/hyperlink" Target="https://www.sec.gov/Archives/edgar/data/1808805/000162828021007512/exhibit1018-sx4a2.htm" TargetMode="External"/><Relationship Id="rId213" Type="http://schemas.openxmlformats.org/officeDocument/2006/relationships/hyperlink" Target="https://www.sec.gov/Archives/edgar/data/1808805/000162828021007512/exhibit1019-sx4a2.htm" TargetMode="External"/><Relationship Id="rId214" Type="http://schemas.openxmlformats.org/officeDocument/2006/relationships/hyperlink" Target="https://www.sec.gov/Archives/edgar/data/1808805/000162828021007512/exhibit1021-sx4a2.htm" TargetMode="External"/><Relationship Id="rId215" Type="http://schemas.openxmlformats.org/officeDocument/2006/relationships/hyperlink" Target="https://www.sec.gov/Archives/edgar/data/1808805/000162828021007512/exhibit1020-sx4a2.htm" TargetMode="External"/><Relationship Id="rId216" Type="http://schemas.openxmlformats.org/officeDocument/2006/relationships/hyperlink" Target="https://www.sec.gov/Archives/edgar/data/1808805/000162828021007512/exhibit1022-sx4a2.htm" TargetMode="External"/><Relationship Id="rId217" Type="http://schemas.openxmlformats.org/officeDocument/2006/relationships/hyperlink" Target="https://www.sec.gov/Archives/edgar/data/1808805/000162828021007512/exhibit1023-sx4a2.htm" TargetMode="External"/><Relationship Id="rId218" Type="http://schemas.openxmlformats.org/officeDocument/2006/relationships/hyperlink" Target="https://www.sec.gov/Archives/edgar/data/1808805/000180880522000046/exhibit102-changeincontrol.htm" TargetMode="External"/><Relationship Id="rId219" Type="http://schemas.openxmlformats.org/officeDocument/2006/relationships/hyperlink" Target="https://www.sec.gov/Archives/edgar/data/1808805/000180880522000081/exhibit102-changeincontrol.htm" TargetMode="External"/><Relationship Id="rId220" Type="http://schemas.openxmlformats.org/officeDocument/2006/relationships/hyperlink" Target="https://www.sec.gov/Archives/edgar/data/1808805/000162828021007512/exhibit1024-sx4a2.htm" TargetMode="External"/><Relationship Id="rId221" Type="http://schemas.openxmlformats.org/officeDocument/2006/relationships/hyperlink" Target="https://www.sec.gov/Archives/edgar/data/1808805/000162828021007512/exhibit1025-sx4a2.htm" TargetMode="External"/><Relationship Id="rId222" Type="http://schemas.openxmlformats.org/officeDocument/2006/relationships/hyperlink" Target="https://www.sec.gov/Archives/edgar/data/1808805/000180880522000010/exhibit211-listofsubsidi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2023-02-23T16:14:05Z</dcterms:created>
  <dcterms:modified xsi:type="dcterms:W3CDTF">2023-02-23T16:14:05Z</dcterms:modified>
</cp:coreProperties>
</file>