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23, 2021</w:t>
      </w:r>
    </w:p>
    <w:p>
      <w:pPr>
        <w:spacing w:after="0" w:line="163"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No. 333-254796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58420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ARYA SCIENCES ACQUISITION CORP III*</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640" w:type="dxa"/>
        <w:tblCellMar>
          <w:top w:w="0" w:type="dxa"/>
          <w:left w:w="0" w:type="dxa"/>
          <w:bottom w:w="0" w:type="dxa"/>
          <w:right w:w="0" w:type="dxa"/>
        </w:tblCellMar>
      </w:tblPr>
      <w:tr>
        <w:trPr>
          <w:trHeight w:val="229"/>
        </w:trPr>
        <w:tc>
          <w:tcPr>
            <w:tcW w:w="3300" w:type="dxa"/>
            <w:vAlign w:val="bottom"/>
          </w:tcPr>
          <w:p>
            <w:pPr>
              <w:jc w:val="center"/>
              <w:ind w:right="762"/>
              <w:spacing w:after="0"/>
              <w:rPr>
                <w:sz w:val="20"/>
                <w:szCs w:val="20"/>
                <w:color w:val="auto"/>
              </w:rPr>
            </w:pPr>
            <w:r>
              <w:rPr>
                <w:rFonts w:ascii="Arial" w:cs="Arial" w:eastAsia="Arial" w:hAnsi="Arial"/>
                <w:sz w:val="18"/>
                <w:szCs w:val="18"/>
                <w:b w:val="1"/>
                <w:bCs w:val="1"/>
                <w:color w:val="auto"/>
                <w:w w:val="92"/>
              </w:rPr>
              <w:t>Cayman Islands*</w:t>
            </w:r>
          </w:p>
        </w:tc>
        <w:tc>
          <w:tcPr>
            <w:tcW w:w="344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6770</w:t>
            </w:r>
          </w:p>
        </w:tc>
        <w:tc>
          <w:tcPr>
            <w:tcW w:w="30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98-1541723</w:t>
            </w:r>
          </w:p>
        </w:tc>
      </w:tr>
      <w:tr>
        <w:trPr>
          <w:trHeight w:val="140"/>
        </w:trPr>
        <w:tc>
          <w:tcPr>
            <w:tcW w:w="3300" w:type="dxa"/>
            <w:vAlign w:val="bottom"/>
          </w:tcPr>
          <w:p>
            <w:pPr>
              <w:jc w:val="center"/>
              <w:ind w:right="742"/>
              <w:spacing w:after="0" w:line="141" w:lineRule="exact"/>
              <w:rPr>
                <w:sz w:val="20"/>
                <w:szCs w:val="20"/>
                <w:color w:val="auto"/>
              </w:rPr>
            </w:pPr>
            <w:r>
              <w:rPr>
                <w:rFonts w:ascii="Arial" w:cs="Arial" w:eastAsia="Arial" w:hAnsi="Arial"/>
                <w:sz w:val="14"/>
                <w:szCs w:val="14"/>
                <w:color w:val="auto"/>
                <w:w w:val="95"/>
              </w:rPr>
              <w:t>(State or other jurisdiction of incorporation</w:t>
            </w:r>
          </w:p>
        </w:tc>
        <w:tc>
          <w:tcPr>
            <w:tcW w:w="3440" w:type="dxa"/>
            <w:vAlign w:val="bottom"/>
          </w:tcPr>
          <w:p>
            <w:pPr>
              <w:jc w:val="center"/>
              <w:ind w:right="22"/>
              <w:spacing w:after="0" w:line="141" w:lineRule="exact"/>
              <w:rPr>
                <w:sz w:val="20"/>
                <w:szCs w:val="20"/>
                <w:color w:val="auto"/>
              </w:rPr>
            </w:pPr>
            <w:r>
              <w:rPr>
                <w:rFonts w:ascii="Arial" w:cs="Arial" w:eastAsia="Arial" w:hAnsi="Arial"/>
                <w:sz w:val="14"/>
                <w:szCs w:val="14"/>
                <w:color w:val="auto"/>
                <w:w w:val="95"/>
              </w:rPr>
              <w:t>(Primary Standard Industrial</w:t>
            </w:r>
          </w:p>
        </w:tc>
        <w:tc>
          <w:tcPr>
            <w:tcW w:w="3020" w:type="dxa"/>
            <w:vAlign w:val="bottom"/>
          </w:tcPr>
          <w:p>
            <w:pPr>
              <w:jc w:val="center"/>
              <w:ind w:left="859"/>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3300" w:type="dxa"/>
            <w:vAlign w:val="bottom"/>
          </w:tcPr>
          <w:p>
            <w:pPr>
              <w:jc w:val="center"/>
              <w:ind w:right="742"/>
              <w:spacing w:after="0"/>
              <w:rPr>
                <w:sz w:val="20"/>
                <w:szCs w:val="20"/>
                <w:color w:val="auto"/>
              </w:rPr>
            </w:pPr>
            <w:r>
              <w:rPr>
                <w:rFonts w:ascii="Arial" w:cs="Arial" w:eastAsia="Arial" w:hAnsi="Arial"/>
                <w:sz w:val="14"/>
                <w:szCs w:val="14"/>
                <w:color w:val="auto"/>
                <w:w w:val="94"/>
              </w:rPr>
              <w:t>or organization)</w:t>
            </w:r>
          </w:p>
        </w:tc>
        <w:tc>
          <w:tcPr>
            <w:tcW w:w="3440" w:type="dxa"/>
            <w:vAlign w:val="bottom"/>
          </w:tcPr>
          <w:p>
            <w:pPr>
              <w:jc w:val="center"/>
              <w:ind w:right="22"/>
              <w:spacing w:after="0"/>
              <w:rPr>
                <w:sz w:val="20"/>
                <w:szCs w:val="20"/>
                <w:color w:val="auto"/>
              </w:rPr>
            </w:pPr>
            <w:r>
              <w:rPr>
                <w:rFonts w:ascii="Arial" w:cs="Arial" w:eastAsia="Arial" w:hAnsi="Arial"/>
                <w:sz w:val="14"/>
                <w:szCs w:val="14"/>
                <w:color w:val="auto"/>
                <w:w w:val="95"/>
              </w:rPr>
              <w:t>Classification Code Number)</w:t>
            </w:r>
          </w:p>
        </w:tc>
        <w:tc>
          <w:tcPr>
            <w:tcW w:w="3020" w:type="dxa"/>
            <w:vAlign w:val="bottom"/>
          </w:tcPr>
          <w:p>
            <w:pPr>
              <w:spacing w:after="0"/>
              <w:rPr>
                <w:sz w:val="15"/>
                <w:szCs w:val="15"/>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Adam Stone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Copies of all communications, including communications sent to agent for service, should be sent to:</w:t>
      </w:r>
    </w:p>
    <w:p>
      <w:pPr>
        <w:spacing w:after="0" w:line="124"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4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3"/>
              </w:rPr>
              <w:t>Christian O. Nagler, Esq.</w:t>
            </w: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Robert F. Kornegay</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89"/>
              </w:rPr>
              <w:t>Peter Seligson, Esq.</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5"/>
              </w:rPr>
              <w:t>Michael Nordtvedt</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rPr>
              <w:t>Kirkland &amp; Ellis LLP</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1"/>
              </w:rPr>
              <w:t>Brian Keyes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1"/>
              </w:rPr>
              <w:t>601 Lexington Avenue</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Zachary B. Myers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4"/>
              </w:rPr>
              <w:t>New York, New York 10022</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3"/>
              </w:rPr>
              <w:t>Tel: (212) 446-4800</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4"/>
              </w:rPr>
              <w:t>650 Page Mill Road</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4"/>
              </w:rPr>
              <w:t>Fax: (212) 446-4900</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Palo Alto, California 94304</w:t>
            </w:r>
          </w:p>
        </w:tc>
      </w:tr>
      <w:tr>
        <w:trPr>
          <w:trHeight w:val="135"/>
        </w:trPr>
        <w:tc>
          <w:tcPr>
            <w:tcW w:w="3460" w:type="dxa"/>
            <w:vAlign w:val="bottom"/>
          </w:tcPr>
          <w:p>
            <w:pPr>
              <w:spacing w:after="0"/>
              <w:rPr>
                <w:sz w:val="11"/>
                <w:szCs w:val="11"/>
                <w:color w:val="auto"/>
              </w:rPr>
            </w:pP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Tel: (650) 493-9300</w:t>
            </w:r>
          </w:p>
        </w:tc>
      </w:tr>
      <w:tr>
        <w:trPr>
          <w:trHeight w:val="186"/>
        </w:trPr>
        <w:tc>
          <w:tcPr>
            <w:tcW w:w="3460" w:type="dxa"/>
            <w:vAlign w:val="bottom"/>
          </w:tcPr>
          <w:p>
            <w:pPr>
              <w:spacing w:after="0"/>
              <w:rPr>
                <w:sz w:val="16"/>
                <w:szCs w:val="16"/>
                <w:color w:val="auto"/>
              </w:rPr>
            </w:pP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4"/>
              </w:rPr>
              <w:t>Fax: (650) 493-6811</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62230</wp:posOffset>
            </wp:positionV>
            <wp:extent cx="1225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81"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60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08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jc w:val="both"/>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14d-l(d)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510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Amount</w:t>
            </w:r>
          </w:p>
        </w:tc>
        <w:tc>
          <w:tcPr>
            <w:tcW w:w="14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Proposed</w:t>
            </w: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vMerge w:val="restart"/>
          </w:tcPr>
          <w:p>
            <w:pPr>
              <w:jc w:val="center"/>
              <w:ind w:right="128"/>
              <w:spacing w:after="0"/>
              <w:rPr>
                <w:sz w:val="20"/>
                <w:szCs w:val="20"/>
                <w:color w:val="auto"/>
              </w:rPr>
            </w:pPr>
            <w:r>
              <w:rPr>
                <w:rFonts w:ascii="Arial" w:cs="Arial" w:eastAsia="Arial" w:hAnsi="Arial"/>
                <w:sz w:val="14"/>
                <w:szCs w:val="14"/>
                <w:color w:val="auto"/>
                <w:w w:val="93"/>
              </w:rPr>
              <w:t>Proposed Maximum</w:t>
            </w:r>
          </w:p>
        </w:tc>
        <w:tc>
          <w:tcPr>
            <w:tcW w:w="15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Title of Each Class of Securities</w:t>
            </w:r>
          </w:p>
        </w:tc>
        <w:tc>
          <w:tcPr>
            <w:tcW w:w="14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Maximum</w:t>
            </w:r>
          </w:p>
        </w:tc>
        <w:tc>
          <w:tcPr>
            <w:tcW w:w="16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9"/>
              </w:rPr>
              <w:t>Amount of Registration</w:t>
            </w: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Offering Price</w:t>
            </w:r>
          </w:p>
        </w:tc>
        <w:tc>
          <w:tcPr>
            <w:tcW w:w="160" w:type="dxa"/>
            <w:vAlign w:val="bottom"/>
          </w:tcPr>
          <w:p>
            <w:pPr>
              <w:spacing w:after="0"/>
              <w:rPr>
                <w:sz w:val="11"/>
                <w:szCs w:val="11"/>
                <w:color w:val="auto"/>
              </w:rPr>
            </w:pPr>
          </w:p>
        </w:tc>
        <w:tc>
          <w:tcPr>
            <w:tcW w:w="1520" w:type="dxa"/>
            <w:vAlign w:val="bottom"/>
            <w:tcBorders>
              <w:right w:val="single" w:sz="8" w:color="auto"/>
            </w:tcBorders>
          </w:tcPr>
          <w:p>
            <w:pPr>
              <w:jc w:val="center"/>
              <w:ind w:right="128"/>
              <w:spacing w:after="0" w:line="135" w:lineRule="exact"/>
              <w:rPr>
                <w:sz w:val="20"/>
                <w:szCs w:val="20"/>
                <w:color w:val="auto"/>
              </w:rPr>
            </w:pPr>
            <w:r>
              <w:rPr>
                <w:rFonts w:ascii="Arial" w:cs="Arial" w:eastAsia="Arial" w:hAnsi="Arial"/>
                <w:sz w:val="14"/>
                <w:szCs w:val="14"/>
                <w:color w:val="auto"/>
                <w:w w:val="92"/>
              </w:rPr>
              <w:t>Aggregate</w:t>
            </w:r>
          </w:p>
        </w:tc>
        <w:tc>
          <w:tcPr>
            <w:tcW w:w="1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 be Registered</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color w:val="auto"/>
                <w:w w:val="87"/>
              </w:rPr>
              <w:t>Registered</w:t>
            </w:r>
            <w:r>
              <w:rPr>
                <w:rFonts w:ascii="Arial" w:cs="Arial" w:eastAsia="Arial" w:hAnsi="Arial"/>
                <w:sz w:val="18"/>
                <w:szCs w:val="18"/>
                <w:color w:val="auto"/>
                <w:w w:val="87"/>
                <w:vertAlign w:val="superscript"/>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Per Share</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ind w:right="108"/>
              <w:spacing w:after="0" w:line="189" w:lineRule="exact"/>
              <w:rPr>
                <w:sz w:val="20"/>
                <w:szCs w:val="20"/>
                <w:color w:val="auto"/>
              </w:rPr>
            </w:pPr>
            <w:r>
              <w:rPr>
                <w:rFonts w:ascii="Arial" w:cs="Arial" w:eastAsia="Arial" w:hAnsi="Arial"/>
                <w:sz w:val="14"/>
                <w:szCs w:val="14"/>
                <w:color w:val="auto"/>
                <w:w w:val="93"/>
              </w:rPr>
              <w:t>Offering Price</w:t>
            </w:r>
            <w:r>
              <w:rPr>
                <w:rFonts w:ascii="Arial" w:cs="Arial" w:eastAsia="Arial" w:hAnsi="Arial"/>
                <w:sz w:val="18"/>
                <w:szCs w:val="18"/>
                <w:color w:val="auto"/>
                <w:w w:val="93"/>
                <w:vertAlign w:val="superscript"/>
              </w:rPr>
              <w:t>(1)</w:t>
            </w:r>
          </w:p>
        </w:tc>
        <w:tc>
          <w:tcPr>
            <w:tcW w:w="156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4"/>
                <w:szCs w:val="14"/>
                <w:color w:val="auto"/>
              </w:rPr>
              <w:t>New Nautilus Common Stock</w:t>
            </w:r>
            <w:r>
              <w:rPr>
                <w:rFonts w:ascii="Arial" w:cs="Arial" w:eastAsia="Arial" w:hAnsi="Arial"/>
                <w:sz w:val="18"/>
                <w:szCs w:val="18"/>
                <w:color w:val="auto"/>
                <w:vertAlign w:val="superscript"/>
              </w:rPr>
              <w:t>(1)</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$12.02 </w:t>
            </w:r>
            <w:r>
              <w:rPr>
                <w:rFonts w:ascii="Arial" w:cs="Arial" w:eastAsia="Arial" w:hAnsi="Arial"/>
                <w:sz w:val="18"/>
                <w:szCs w:val="18"/>
                <w:color w:val="auto"/>
                <w:vertAlign w:val="superscript"/>
              </w:rPr>
              <w:t>(3)</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1,342,331,216</w:t>
            </w: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-264795</wp:posOffset>
            </wp:positionV>
            <wp:extent cx="25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4" w:lineRule="exact"/>
        <w:rPr>
          <w:sz w:val="20"/>
          <w:szCs w:val="20"/>
          <w:color w:val="auto"/>
        </w:rPr>
      </w:pPr>
    </w:p>
    <w:p>
      <w:pPr>
        <w:ind w:left="340" w:right="40" w:hanging="332"/>
        <w:spacing w:after="0" w:line="273" w:lineRule="auto"/>
        <w:tabs>
          <w:tab w:leader="none" w:pos="327" w:val="left"/>
        </w:tabs>
        <w:numPr>
          <w:ilvl w:val="0"/>
          <w:numId w:val="1"/>
        </w:numPr>
        <w:rPr>
          <w:rFonts w:ascii="Arial" w:cs="Arial" w:eastAsia="Arial" w:hAnsi="Arial"/>
          <w:sz w:val="14"/>
          <w:szCs w:val="14"/>
          <w:color w:val="auto"/>
          <w:vertAlign w:val="superscript"/>
        </w:rPr>
      </w:pPr>
      <w:r>
        <w:rPr>
          <w:rFonts w:ascii="Arial" w:cs="Arial" w:eastAsia="Arial" w:hAnsi="Arial"/>
          <w:sz w:val="11"/>
          <w:szCs w:val="11"/>
          <w:color w:val="auto"/>
        </w:rPr>
        <w:t>The number of shares of common stock of New Nautilus (as defined below) being registered represents (i) 14,950,000 Class A ordinary shares issued in ARYA’s initial public offering, which will be converted by operation of law into shares of common stock of New Nautilus (the “</w:t>
      </w:r>
      <w:r>
        <w:rPr>
          <w:rFonts w:ascii="Arial" w:cs="Arial" w:eastAsia="Arial" w:hAnsi="Arial"/>
          <w:sz w:val="11"/>
          <w:szCs w:val="11"/>
          <w:u w:val="single" w:color="auto"/>
          <w:color w:val="auto"/>
        </w:rPr>
        <w:t>New Nautilus Common Stock</w:t>
      </w:r>
      <w:r>
        <w:rPr>
          <w:rFonts w:ascii="Arial" w:cs="Arial" w:eastAsia="Arial" w:hAnsi="Arial"/>
          <w:sz w:val="11"/>
          <w:szCs w:val="11"/>
          <w:color w:val="auto"/>
        </w:rPr>
        <w:t>”) in the Domestication (each as defined below) (ii) 499,000 Class A ordinary shares issued in a private placement simultaneously with the closing of ARYA’s initial public offering which will be converted by operation of law into shares of New Nautilus Common Stock in the Domestication, (iii) 3,737,500 Class B ordinary shares held by ARYA’s initial shareholders which will be converted by operation of law into shares of New Nautilus Common Stock in the Domestication, (iv) up to 85,295,562 shares of New Nautilus Common Stock that will be issued to the equity holders of Nautilus Biotechnology, Inc. in connection with the Business Combination described in the proxy statement/prospectus forming part of this registration statement (the “</w:t>
      </w:r>
      <w:r>
        <w:rPr>
          <w:rFonts w:ascii="Arial" w:cs="Arial" w:eastAsia="Arial" w:hAnsi="Arial"/>
          <w:sz w:val="11"/>
          <w:szCs w:val="11"/>
          <w:u w:val="single" w:color="auto"/>
          <w:color w:val="auto"/>
        </w:rPr>
        <w:t>proxy</w:t>
      </w:r>
      <w:r>
        <w:rPr>
          <w:rFonts w:ascii="Arial" w:cs="Arial" w:eastAsia="Arial" w:hAnsi="Arial"/>
          <w:sz w:val="11"/>
          <w:szCs w:val="11"/>
          <w:color w:val="auto"/>
        </w:rPr>
        <w:t xml:space="preserve"> </w:t>
      </w:r>
      <w:r>
        <w:rPr>
          <w:rFonts w:ascii="Arial" w:cs="Arial" w:eastAsia="Arial" w:hAnsi="Arial"/>
          <w:sz w:val="11"/>
          <w:szCs w:val="11"/>
          <w:u w:val="single" w:color="auto"/>
          <w:color w:val="auto"/>
        </w:rPr>
        <w:t>statement/prospectus</w:t>
      </w:r>
      <w:r>
        <w:rPr>
          <w:rFonts w:ascii="Arial" w:cs="Arial" w:eastAsia="Arial" w:hAnsi="Arial"/>
          <w:sz w:val="11"/>
          <w:szCs w:val="11"/>
          <w:color w:val="auto"/>
        </w:rPr>
        <w:t>”), assuming an exchange ratio of 3.6275, and (v) up to 7,192,748 shares of New Nautilus Common Stock that may be issued upon the exercise of outstanding options to purchase shares of Nautilus Biotechnology, Inc. common stock being assumed in connection with the Business Combination, assuming an exchange ratio of 3.6275.</w:t>
      </w:r>
    </w:p>
    <w:p>
      <w:pPr>
        <w:spacing w:after="0" w:line="3" w:lineRule="exact"/>
        <w:rPr>
          <w:rFonts w:ascii="Arial" w:cs="Arial" w:eastAsia="Arial" w:hAnsi="Arial"/>
          <w:sz w:val="14"/>
          <w:szCs w:val="14"/>
          <w:color w:val="auto"/>
          <w:vertAlign w:val="superscript"/>
        </w:rPr>
      </w:pPr>
    </w:p>
    <w:p>
      <w:pPr>
        <w:ind w:left="340" w:right="24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Pursuant to Rule 416(a) of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6"/>
          <w:szCs w:val="16"/>
          <w:color w:val="auto"/>
          <w:vertAlign w:val="superscript"/>
        </w:rPr>
      </w:pPr>
    </w:p>
    <w:p>
      <w:pPr>
        <w:ind w:left="340" w:right="50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Estimated solely for the purpose of calculating the registration fee, based on the average of the high and low prices of the Class A ordinary shares of ARYA on the Nasdaq Capital Market on March 25 , 2021 ($12.02 per Class A ordinary share). This calculation is in accordance with Rule 457(f)(1) of the Securities Act.</w:t>
      </w:r>
    </w:p>
    <w:p>
      <w:pPr>
        <w:spacing w:after="0" w:line="1" w:lineRule="exact"/>
        <w:rPr>
          <w:rFonts w:ascii="Arial" w:cs="Arial" w:eastAsia="Arial" w:hAnsi="Arial"/>
          <w:sz w:val="16"/>
          <w:szCs w:val="16"/>
          <w:color w:val="auto"/>
          <w:vertAlign w:val="superscript"/>
        </w:rPr>
      </w:pPr>
    </w:p>
    <w:p>
      <w:pPr>
        <w:ind w:left="320" w:hanging="312"/>
        <w:spacing w:after="0" w:line="193"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Calculated by multiplying the proposed maximum aggregate offering price of securities to be registered by 0.0001091.</w:t>
      </w:r>
    </w:p>
    <w:p>
      <w:pPr>
        <w:ind w:left="320" w:hanging="312"/>
        <w:spacing w:after="0" w:line="195"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Registration fee has previously been paid.</w:t>
      </w:r>
    </w:p>
    <w:p>
      <w:pPr>
        <w:spacing w:after="0" w:line="151" w:lineRule="exact"/>
        <w:rPr>
          <w:sz w:val="20"/>
          <w:szCs w:val="20"/>
          <w:color w:val="auto"/>
        </w:rPr>
      </w:pPr>
    </w:p>
    <w:p>
      <w:pPr>
        <w:ind w:left="340" w:right="100" w:hanging="332"/>
        <w:spacing w:after="0" w:line="271" w:lineRule="auto"/>
        <w:tabs>
          <w:tab w:leader="none" w:pos="335" w:val="left"/>
        </w:tabs>
        <w:numPr>
          <w:ilvl w:val="0"/>
          <w:numId w:val="2"/>
        </w:numPr>
        <w:rPr>
          <w:rFonts w:ascii="Arial" w:cs="Arial" w:eastAsia="Arial" w:hAnsi="Arial"/>
          <w:sz w:val="12"/>
          <w:szCs w:val="12"/>
          <w:color w:val="auto"/>
        </w:rPr>
      </w:pPr>
      <w:r>
        <w:rPr>
          <w:rFonts w:ascii="Arial" w:cs="Arial" w:eastAsia="Arial" w:hAnsi="Arial"/>
          <w:sz w:val="12"/>
          <w:szCs w:val="12"/>
          <w:color w:val="auto"/>
        </w:rPr>
        <w:t>Immediately prior to the consummation of the Business Combination, ARYA Sciences Acquisition Corp III, a Cayman Islands exempted company (“</w:t>
      </w:r>
      <w:r>
        <w:rPr>
          <w:rFonts w:ascii="Arial" w:cs="Arial" w:eastAsia="Arial" w:hAnsi="Arial"/>
          <w:sz w:val="12"/>
          <w:szCs w:val="12"/>
          <w:u w:val="single" w:color="auto"/>
          <w:color w:val="auto"/>
        </w:rPr>
        <w:t>ARYA</w:t>
      </w:r>
      <w:r>
        <w:rPr>
          <w:rFonts w:ascii="Arial" w:cs="Arial" w:eastAsia="Arial" w:hAnsi="Arial"/>
          <w:sz w:val="12"/>
          <w:szCs w:val="12"/>
          <w:color w:val="auto"/>
        </w:rPr>
        <w:t>”), intends to effect a deregistration under the Cayman Islands Companies Act (2021 Revision) and a domestication under Section 388 of the Delaware General Corporation Law, pursuant to which ARYA’s jurisdiction of incorporation will be changed from the Cayman Islands to the State of Delaware (the “</w:t>
      </w:r>
      <w:r>
        <w:rPr>
          <w:rFonts w:ascii="Arial" w:cs="Arial" w:eastAsia="Arial" w:hAnsi="Arial"/>
          <w:sz w:val="12"/>
          <w:szCs w:val="12"/>
          <w:u w:val="single" w:color="auto"/>
          <w:color w:val="auto"/>
        </w:rPr>
        <w:t>Domestication</w:t>
      </w:r>
      <w:r>
        <w:rPr>
          <w:rFonts w:ascii="Arial" w:cs="Arial" w:eastAsia="Arial" w:hAnsi="Arial"/>
          <w:sz w:val="12"/>
          <w:szCs w:val="12"/>
          <w:color w:val="auto"/>
        </w:rPr>
        <w:t>”). All securities being registered will be issued by the continuing entity following the Domestication, which will be renamed “Nautilus Biotechnology, Inc.” upon the consummation of the Domestication. As used herein, “New Nautilus” refers to ARYA after giving effect to the Domestication.</w:t>
      </w:r>
    </w:p>
    <w:p>
      <w:pPr>
        <w:spacing w:after="0" w:line="124" w:lineRule="exact"/>
        <w:rPr>
          <w:sz w:val="20"/>
          <w:szCs w:val="20"/>
          <w:color w:val="auto"/>
        </w:rPr>
      </w:pPr>
    </w:p>
    <w:p>
      <w:pPr>
        <w:ind w:right="380" w:firstLine="648"/>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2" w:name="page3"/>
    <w:bookmarkEnd w:id="2"/>
    <w:p>
      <w:pPr>
        <w:spacing w:after="0" w:line="135" w:lineRule="exact"/>
        <w:rPr>
          <w:sz w:val="20"/>
          <w:szCs w:val="20"/>
          <w:color w:val="auto"/>
        </w:rPr>
      </w:pPr>
    </w:p>
    <w:p>
      <w:pPr>
        <w:ind w:right="180"/>
        <w:spacing w:after="0" w:line="289" w:lineRule="auto"/>
        <w:rPr>
          <w:sz w:val="20"/>
          <w:szCs w:val="20"/>
          <w:color w:val="auto"/>
        </w:rPr>
      </w:pPr>
      <w:r>
        <w:rPr>
          <w:rFonts w:ascii="Arial" w:cs="Arial" w:eastAsia="Arial" w:hAnsi="Arial"/>
          <w:sz w:val="13"/>
          <w:szCs w:val="13"/>
          <w:b w:val="1"/>
          <w:bCs w:val="1"/>
          <w:color w:val="F1665F"/>
        </w:rPr>
        <w:t>The information in this preliminary proxy statement/prospectus is not complete and may be changed. The registrant may not sell the securities described in this preliminary proxy statement/prospectus until the registration statement filed with the Securities and Exchange Commission is declared effective. This preliminary proxy statement/prospectus is not an offer to sell these securities and it is not soliciting an offer to buy these securities in any jurisdiction where the offer or sale is not permitted.</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1665F"/>
        </w:rPr>
        <w:t>PRELIMINARY—SUBJECT TO COMPLETION, DATED APRIL 23,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EXTRAORDINARY GENERAL MEETING OF ARYA SCIENCES ACQUISITION CORP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FOR</w:t>
      </w:r>
    </w:p>
    <w:p>
      <w:pPr>
        <w:spacing w:after="0" w:line="9" w:lineRule="exact"/>
        <w:rPr>
          <w:sz w:val="20"/>
          <w:szCs w:val="20"/>
          <w:color w:val="auto"/>
        </w:rPr>
      </w:pPr>
    </w:p>
    <w:p>
      <w:pPr>
        <w:ind w:left="40" w:right="40" w:firstLine="1127"/>
        <w:spacing w:after="0" w:line="250" w:lineRule="auto"/>
        <w:rPr>
          <w:sz w:val="20"/>
          <w:szCs w:val="20"/>
          <w:color w:val="auto"/>
        </w:rPr>
      </w:pPr>
      <w:r>
        <w:rPr>
          <w:rFonts w:ascii="Arial" w:cs="Arial" w:eastAsia="Arial" w:hAnsi="Arial"/>
          <w:sz w:val="18"/>
          <w:szCs w:val="18"/>
          <w:b w:val="1"/>
          <w:bCs w:val="1"/>
          <w:color w:val="auto"/>
        </w:rPr>
        <w:t>SHARES OF COMMON STOCK OF ARYA SCIENCES ACQUISITION CORP III (AFTER ITS DOMESTICATION AS A CORPORATION INCORPORATED IN THE STATE OF DELAWARE, WHICH WILL BE RENAMED NAUTILUS BIOTECHNOLOGY,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CONNECTION WITH THE DOMESTICATION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125730</wp:posOffset>
            </wp:positionV>
            <wp:extent cx="1414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3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board of directors of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has unanimously approved the transactions (collectively,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contemplated by that certain Business Combination Agreement, dated February 7, 2021 (as may be amended, supplemented or otherwise modified from time to time,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ARYA, Mako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Nautilus Biotechnology, Inc., a Delaware corporation (“</w:t>
      </w:r>
      <w:r>
        <w:rPr>
          <w:rFonts w:ascii="Arial" w:cs="Arial" w:eastAsia="Arial" w:hAnsi="Arial"/>
          <w:sz w:val="18"/>
          <w:szCs w:val="18"/>
          <w:u w:val="single" w:color="auto"/>
          <w:color w:val="auto"/>
        </w:rPr>
        <w:t>Nautilus</w:t>
      </w:r>
      <w:r>
        <w:rPr>
          <w:rFonts w:ascii="Arial" w:cs="Arial" w:eastAsia="Arial" w:hAnsi="Arial"/>
          <w:sz w:val="18"/>
          <w:szCs w:val="18"/>
          <w:color w:val="auto"/>
        </w:rPr>
        <w:t>”), a copy of which is attached to this proxy statement/prospectus as Annex A, including the domestication of ARYA as a Delaware corporation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As described in this proxy statement/prospectus, ARYA’s shareholders are being asked to consider a vote upon each of the Domestication and the Business Combination, among other items. As used in this proxy statement/prospectus, “New Nautilus” refers to ARYA after giving effect to the consummation of the Domestication and the Business Combination.</w:t>
      </w:r>
    </w:p>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connection with the Domestication, on the Closing Date prior to the Effective Time (as defined below): (i) each issued and outstanding Class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ordinary share, par value $0.0001 per share (the “</w:t>
      </w:r>
      <w:r>
        <w:rPr>
          <w:rFonts w:ascii="Arial" w:cs="Arial" w:eastAsia="Arial" w:hAnsi="Arial"/>
          <w:sz w:val="16"/>
          <w:szCs w:val="16"/>
          <w:u w:val="single" w:color="auto"/>
          <w:color w:val="auto"/>
        </w:rPr>
        <w:t>Class A ordinary shares</w:t>
      </w:r>
      <w:r>
        <w:rPr>
          <w:rFonts w:ascii="Arial" w:cs="Arial" w:eastAsia="Arial" w:hAnsi="Arial"/>
          <w:sz w:val="16"/>
          <w:szCs w:val="16"/>
          <w:color w:val="auto"/>
        </w:rPr>
        <w:t>”), and each issued and outstanding Class B ordinary share, par value $0.0001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(the “</w:t>
      </w:r>
      <w:r>
        <w:rPr>
          <w:rFonts w:ascii="Arial" w:cs="Arial" w:eastAsia="Arial" w:hAnsi="Arial"/>
          <w:sz w:val="17"/>
          <w:szCs w:val="17"/>
          <w:u w:val="single" w:color="auto"/>
          <w:color w:val="auto"/>
        </w:rPr>
        <w:t>Class B ordinary shares</w:t>
      </w:r>
      <w:r>
        <w:rPr>
          <w:rFonts w:ascii="Arial" w:cs="Arial" w:eastAsia="Arial" w:hAnsi="Arial"/>
          <w:sz w:val="17"/>
          <w:szCs w:val="17"/>
          <w:color w:val="auto"/>
        </w:rPr>
        <w:t>”), of ARYA will be converted into one share of common stock, par value $0.0001 per share, of New Nautilus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Nautilus Common Stock</w:t>
      </w:r>
      <w:r>
        <w:rPr>
          <w:rFonts w:ascii="Arial" w:cs="Arial" w:eastAsia="Arial" w:hAnsi="Arial"/>
          <w:sz w:val="16"/>
          <w:szCs w:val="16"/>
          <w:color w:val="auto"/>
        </w:rPr>
        <w:t>”); (ii) the governing documents of ARYA will be amended and restated and become the certificate of incorporation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bylaws of New Nautilus as described in this proxy statement/prospectus; and (iii) ARYA’s name will change to “Nautilus Biotechnology, Inc.”</w:t>
      </w:r>
    </w:p>
    <w:p>
      <w:pPr>
        <w:spacing w:after="0" w:line="1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the date of Closing, promptly following the consummation of the Domestication, Merger Sub will merge with and into Nautilus (the “</w:t>
      </w:r>
      <w:r>
        <w:rPr>
          <w:rFonts w:ascii="Arial" w:cs="Arial" w:eastAsia="Arial" w:hAnsi="Arial"/>
          <w:sz w:val="18"/>
          <w:szCs w:val="18"/>
          <w:u w:val="single" w:color="auto"/>
          <w:color w:val="auto"/>
        </w:rPr>
        <w:t>Merger</w:t>
      </w:r>
      <w:r>
        <w:rPr>
          <w:rFonts w:ascii="Arial" w:cs="Arial" w:eastAsia="Arial" w:hAnsi="Arial"/>
          <w:sz w:val="18"/>
          <w:szCs w:val="18"/>
          <w:color w:val="auto"/>
        </w:rPr>
        <w:t>”), with Nautilus as the surviving company in the Merger and, after giving effect to the Merger, Nautilus will be a wholly-owned subsidiary of ARYA (the time that the Merger becomes effective being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covers 111,674,810 shares of New Nautilus Common Stock. The number of shares of New Nautilus Common Stock that this prospectus covers represents the maximum number of shares that may be issued to holders of shares and equity awards of Nautilus in connection with the Business Combination (as more fully described in this proxy statement/prospectus), together with the shares issued or issuable to the existing shareholders of ARYA in connection with the Business Combination.</w:t>
      </w:r>
    </w:p>
    <w:p>
      <w:pPr>
        <w:spacing w:after="0" w:line="13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ARYA’s public shares are currently listed on the Nasdaq Capital Market (“Nasdaq”) under the symbol “ARYA.” ARYA will apply for listing, to be effective at the time of the Business Combination, of New Nautilus Common Stock on Nasdaq under the proposed symbol “NAUT”. It is a condition of the consummation of the Business Combination that ARYA receive confirmation from Nasdaq that New Nautilus has been conditionally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approved for listing on Nasdaq, but there can be no assurance such listing condition will be met or that ARYA will obtain such confirmation from Nasdaq. If such listing condition is not met or if such confirmation is not obtained, the Business Combination will not be consummated unless the Nasdaq condition set forth in the Business Combination Agreement is waived by the applicable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142875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62" w:lineRule="exact"/>
        <w:rPr>
          <w:sz w:val="20"/>
          <w:szCs w:val="20"/>
          <w:color w:val="auto"/>
        </w:rPr>
      </w:pPr>
    </w:p>
    <w:p>
      <w:pPr>
        <w:ind w:right="280" w:firstLine="324"/>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The accompanying proxy statement/prospectus provides shareholders of ARYA with detailed information about the Business Combination and other matters to be considered at the extraordinary general meeting of ARYA. We encourage you to read the entire accompanying proxy statement/prospectus, including the Annexes and other documents referred to therein, carefully and in their entirety. You should also carefully consider the risk factors described in “</w:t>
      </w:r>
      <w:hyperlink w:anchor="page64">
        <w:r>
          <w:rPr>
            <w:rFonts w:ascii="Arial" w:cs="Arial" w:eastAsia="Arial" w:hAnsi="Arial"/>
            <w:sz w:val="16"/>
            <w:szCs w:val="16"/>
            <w:b w:val="1"/>
            <w:bCs w:val="1"/>
            <w:i w:val="1"/>
            <w:iCs w:val="1"/>
            <w:u w:val="single" w:color="auto"/>
            <w:color w:val="auto"/>
          </w:rPr>
          <w:t>Risk Factors</w:t>
        </w:r>
      </w:hyperlink>
      <w:r>
        <w:rPr>
          <w:rFonts w:ascii="Arial" w:cs="Arial" w:eastAsia="Arial" w:hAnsi="Arial"/>
          <w:sz w:val="16"/>
          <w:szCs w:val="16"/>
          <w:b w:val="1"/>
          <w:bCs w:val="1"/>
          <w:color w:val="auto"/>
        </w:rPr>
        <w:t>” beginning on page 28 of the accompanying proxy statement/prospectus.</w:t>
      </w:r>
    </w:p>
    <w:p>
      <w:pPr>
        <w:spacing w:after="0" w:line="97"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ind w:left="2840"/>
              <w:spacing w:after="0"/>
              <w:rPr>
                <w:sz w:val="20"/>
                <w:szCs w:val="20"/>
                <w:color w:val="auto"/>
              </w:rPr>
            </w:pPr>
            <w:r>
              <w:rPr>
                <w:rFonts w:ascii="Arial" w:cs="Arial" w:eastAsia="Arial" w:hAnsi="Arial"/>
                <w:sz w:val="18"/>
                <w:szCs w:val="18"/>
                <w:b w:val="1"/>
                <w:bCs w:val="1"/>
                <w:color w:val="auto"/>
                <w:w w:val="95"/>
              </w:rPr>
              <w:t>The accompanying proxy statement/prospectus is dated</w:t>
            </w:r>
          </w:p>
        </w:tc>
        <w:tc>
          <w:tcPr>
            <w:tcW w:w="3780" w:type="dxa"/>
            <w:vAlign w:val="bottom"/>
          </w:tcPr>
          <w:p>
            <w:pPr>
              <w:jc w:val="center"/>
              <w:ind w:right="2610"/>
              <w:spacing w:after="0"/>
              <w:rPr>
                <w:sz w:val="20"/>
                <w:szCs w:val="20"/>
                <w:color w:val="auto"/>
              </w:rPr>
            </w:pPr>
            <w:r>
              <w:rPr>
                <w:rFonts w:ascii="Arial" w:cs="Arial" w:eastAsia="Arial" w:hAnsi="Arial"/>
                <w:sz w:val="18"/>
                <w:szCs w:val="18"/>
                <w:b w:val="1"/>
                <w:bCs w:val="1"/>
                <w:color w:val="auto"/>
                <w:w w:val="91"/>
              </w:rPr>
              <w:t>, 2021, and</w:t>
            </w:r>
          </w:p>
        </w:tc>
      </w:tr>
      <w:tr>
        <w:trPr>
          <w:trHeight w:val="234"/>
        </w:trPr>
        <w:tc>
          <w:tcPr>
            <w:tcW w:w="7460" w:type="dxa"/>
            <w:vAlign w:val="bottom"/>
          </w:tcPr>
          <w:p>
            <w:pPr>
              <w:ind w:left="3020"/>
              <w:spacing w:after="0"/>
              <w:rPr>
                <w:sz w:val="20"/>
                <w:szCs w:val="20"/>
                <w:color w:val="auto"/>
              </w:rPr>
            </w:pPr>
            <w:r>
              <w:rPr>
                <w:rFonts w:ascii="Arial" w:cs="Arial" w:eastAsia="Arial" w:hAnsi="Arial"/>
                <w:sz w:val="18"/>
                <w:szCs w:val="18"/>
                <w:b w:val="1"/>
                <w:bCs w:val="1"/>
                <w:color w:val="auto"/>
                <w:w w:val="91"/>
              </w:rPr>
              <w:t>is first being mailed to ARYA’s shareholders on or about</w:t>
            </w:r>
          </w:p>
        </w:tc>
        <w:tc>
          <w:tcPr>
            <w:tcW w:w="3780" w:type="dxa"/>
            <w:vAlign w:val="bottom"/>
          </w:tcPr>
          <w:p>
            <w:pPr>
              <w:jc w:val="right"/>
              <w:ind w:right="2910"/>
              <w:spacing w:after="0"/>
              <w:rPr>
                <w:sz w:val="20"/>
                <w:szCs w:val="20"/>
                <w:color w:val="auto"/>
              </w:rPr>
            </w:pPr>
            <w:r>
              <w:rPr>
                <w:rFonts w:ascii="Arial" w:cs="Arial" w:eastAsia="Arial" w:hAnsi="Arial"/>
                <w:sz w:val="18"/>
                <w:szCs w:val="18"/>
                <w:b w:val="1"/>
                <w:bCs w:val="1"/>
                <w:color w:val="auto"/>
              </w:rPr>
              <w:t>, 2021.</w:t>
            </w:r>
          </w:p>
        </w:tc>
      </w:tr>
      <w:tr>
        <w:trPr>
          <w:trHeight w:val="1411"/>
        </w:trPr>
        <w:tc>
          <w:tcPr>
            <w:tcW w:w="74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ARYA Sciences Acquisition Corp III Shareholders: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are cordially invited to attend the extraordinary general meeting (the “</w:t>
      </w:r>
      <w:r>
        <w:rPr>
          <w:rFonts w:ascii="Arial" w:cs="Arial" w:eastAsia="Arial" w:hAnsi="Arial"/>
          <w:sz w:val="16"/>
          <w:szCs w:val="16"/>
          <w:u w:val="single" w:color="auto"/>
          <w:color w:val="auto"/>
        </w:rPr>
        <w:t>extraordinary general meeting</w:t>
      </w:r>
      <w:r>
        <w:rPr>
          <w:rFonts w:ascii="Arial" w:cs="Arial" w:eastAsia="Arial" w:hAnsi="Arial"/>
          <w:sz w:val="16"/>
          <w:szCs w:val="16"/>
          <w:color w:val="auto"/>
        </w:rPr>
        <w:t>”) of ARYA Sciences Acquisitions Corp III, a</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Cayman Islands exempted company (“</w:t>
      </w:r>
      <w:r>
        <w:rPr>
          <w:rFonts w:ascii="Arial" w:cs="Arial" w:eastAsia="Arial" w:hAnsi="Arial"/>
          <w:sz w:val="17"/>
          <w:szCs w:val="17"/>
          <w:u w:val="single" w:color="auto"/>
          <w:color w:val="auto"/>
        </w:rPr>
        <w:t>ARYA</w:t>
      </w:r>
      <w:r>
        <w:rPr>
          <w:rFonts w:ascii="Arial" w:cs="Arial" w:eastAsia="Arial" w:hAnsi="Arial"/>
          <w:sz w:val="17"/>
          <w:szCs w:val="17"/>
          <w:color w:val="auto"/>
        </w:rPr>
        <w:t>”), at 9:00 a.m., Eastern Time, on , 2021, at the offices of Kirkland &amp; Ellis LLP located at 601 Lexington Avenue, New York, New York 10022, or at such other time, on such other date and at such other place to which the meeting may be adjourned.</w:t>
      </w:r>
    </w:p>
    <w:p>
      <w:pPr>
        <w:spacing w:after="0" w:line="10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further described in the accompanying proxy statement/prospectus, in connection with the Domestication, on the Closing Date prior to the Effective Time (as described below), among other things, (i) ARYA will change its name to “Nautilus Biotechnology, Inc.,” (ii) all of the outstanding shares of ARYA will be converted into common stock of a domesticated Delaware corporation, and (iii) the governing documents of ARYA will be amended and restated. As used in the accompanying proxy statement/prospectus, “New Nautilus” refers to ARYA after giving effect to the Domestication and the Business Combination.</w:t>
      </w:r>
    </w:p>
    <w:p>
      <w:pPr>
        <w:spacing w:after="0" w:line="13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At the extraordinary general meeting, ARYA shareholders will be asked to consider and vote upon a proposal, which is referred to herein as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to approve and adopt the Business Combination Agreement (and the transactions contemplated thereby) dated as of February 7, 2021 (as may be 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accompanying proxy statement/prospectus as Annex A, including the transactions contemplated thereby.</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further described in the accompanying proxy statement/prospectus, subject to the terms and conditions of the Business Combination Agreement, the following transactions will occur:</w:t>
      </w:r>
    </w:p>
    <w:p>
      <w:pPr>
        <w:spacing w:after="0" w:line="116" w:lineRule="exact"/>
        <w:rPr>
          <w:sz w:val="20"/>
          <w:szCs w:val="20"/>
          <w:color w:val="auto"/>
        </w:rPr>
      </w:pPr>
    </w:p>
    <w:p>
      <w:pPr>
        <w:ind w:left="660" w:right="4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(the “</w:t>
      </w:r>
      <w:r>
        <w:rPr>
          <w:rFonts w:ascii="Arial" w:cs="Arial" w:eastAsia="Arial" w:hAnsi="Arial"/>
          <w:sz w:val="18"/>
          <w:szCs w:val="18"/>
          <w:u w:val="single" w:color="auto"/>
          <w:color w:val="auto"/>
        </w:rPr>
        <w:t>Domestication</w:t>
      </w:r>
      <w:r>
        <w:rPr>
          <w:rFonts w:ascii="Arial" w:cs="Arial" w:eastAsia="Arial" w:hAnsi="Arial"/>
          <w:sz w:val="18"/>
          <w:szCs w:val="18"/>
          <w:color w:val="auto"/>
        </w:rPr>
        <w:t>”), upon which ARYA will change its name to “Nautilus Biotechnology, Inc.” (“</w:t>
      </w:r>
      <w:r>
        <w:rPr>
          <w:rFonts w:ascii="Arial" w:cs="Arial" w:eastAsia="Arial" w:hAnsi="Arial"/>
          <w:sz w:val="18"/>
          <w:szCs w:val="18"/>
          <w:u w:val="single" w:color="auto"/>
          <w:color w:val="auto"/>
        </w:rPr>
        <w:t>New Nautilus</w:t>
      </w:r>
      <w:r>
        <w:rPr>
          <w:rFonts w:ascii="Arial" w:cs="Arial" w:eastAsia="Arial" w:hAnsi="Arial"/>
          <w:sz w:val="18"/>
          <w:szCs w:val="18"/>
          <w:color w:val="auto"/>
        </w:rPr>
        <w:t>”) (for further details, see the section entitled “</w:t>
      </w:r>
      <w:r>
        <w:rPr>
          <w:rFonts w:ascii="Arial" w:cs="Arial" w:eastAsia="Arial" w:hAnsi="Arial"/>
          <w:sz w:val="18"/>
          <w:szCs w:val="18"/>
          <w:i w:val="1"/>
          <w:iCs w:val="1"/>
          <w:color w:val="auto"/>
        </w:rPr>
        <w:t>Proposal No. 2—The Domestication Proposal</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80" w:hanging="328"/>
        <w:spacing w:after="0" w:line="273" w:lineRule="auto"/>
        <w:tabs>
          <w:tab w:leader="none" w:pos="654"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Merger Sub will merge with and into Nautilus (the “</w:t>
      </w:r>
      <w:r>
        <w:rPr>
          <w:rFonts w:ascii="Arial" w:cs="Arial" w:eastAsia="Arial" w:hAnsi="Arial"/>
          <w:sz w:val="17"/>
          <w:szCs w:val="17"/>
          <w:u w:val="single" w:color="auto"/>
          <w:color w:val="auto"/>
        </w:rPr>
        <w:t>Merger</w:t>
      </w:r>
      <w:r>
        <w:rPr>
          <w:rFonts w:ascii="Arial" w:cs="Arial" w:eastAsia="Arial" w:hAnsi="Arial"/>
          <w:sz w:val="17"/>
          <w:szCs w:val="17"/>
          <w:color w:val="auto"/>
        </w:rPr>
        <w:t>”), with Nautilus as the surviving company in the Merger and, after giving effect to such Merger, Nautilus shall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entered into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Perceptive Life Sciences Master Fund Ltd, a Cayman Islands exempted company (the “</w:t>
      </w:r>
      <w:r>
        <w:rPr>
          <w:rFonts w:ascii="Arial" w:cs="Arial" w:eastAsia="Arial" w:hAnsi="Arial"/>
          <w:sz w:val="17"/>
          <w:szCs w:val="17"/>
          <w:u w:val="single" w:color="auto"/>
          <w:color w:val="auto"/>
        </w:rPr>
        <w:t>Perceptive 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certain other investors (the “</w:t>
      </w:r>
      <w:r>
        <w:rPr>
          <w:rFonts w:ascii="Arial" w:cs="Arial" w:eastAsia="Arial" w:hAnsi="Arial"/>
          <w:sz w:val="17"/>
          <w:szCs w:val="17"/>
          <w:u w:val="single" w:color="auto"/>
          <w:color w:val="auto"/>
        </w:rPr>
        <w:t>Other PIPE Investors</w:t>
      </w:r>
      <w:r>
        <w:rPr>
          <w:rFonts w:ascii="Arial" w:cs="Arial" w:eastAsia="Arial" w:hAnsi="Arial"/>
          <w:sz w:val="17"/>
          <w:szCs w:val="17"/>
          <w:color w:val="auto"/>
        </w:rPr>
        <w:t>,” and the Other PIPE Investors, together with the Perceptive PIPE Investor,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PIPE Investors have agreed to subscribe for and purchase, and ARYA has agreed to issue and sell to the PIPE Investors, an aggregate of 20,000,000 shares of New Nautilus Common Stock at a price of $10.00 per share, for aggregate gross proceeds of $200 million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Financing</w:t>
      </w:r>
      <w:r>
        <w:rPr>
          <w:rFonts w:ascii="Arial" w:cs="Arial" w:eastAsia="Arial" w:hAnsi="Arial"/>
          <w:sz w:val="17"/>
          <w:szCs w:val="17"/>
          <w:color w:val="auto"/>
        </w:rPr>
        <w:t>”). The Perceptive PIPE Investor will fund $55 million in the PIPE Financing. The shares of New Nautilus Common Stock to be issued pursuant to the Subscription Agreements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will be issued in reliance upon the exemption provided in Section 4(a)(2)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ARYA will grant the PIPE Investors certain registration rights in connection with the PIPE Financing. The PIPE Financing is contingent upon, among other things, the substantially concurrent closing of the Business Combination.</w:t>
      </w:r>
    </w:p>
    <w:p>
      <w:pPr>
        <w:spacing w:after="0" w:line="11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You will also be asked to consider and vote upon (a) a proposal to approve the Domestication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(b) the proposed new certificate of incorporation of New Nautilus upon the Domestication, a copy of which is attached to the accompanying proxy statement/prospectus as Annex C, which is referred to herein as the “</w:t>
      </w:r>
      <w:r>
        <w:rPr>
          <w:rFonts w:ascii="Arial" w:cs="Arial" w:eastAsia="Arial" w:hAnsi="Arial"/>
          <w:sz w:val="16"/>
          <w:szCs w:val="16"/>
          <w:u w:val="single" w:color="auto"/>
          <w:color w:val="auto"/>
        </w:rPr>
        <w:t>Charter Proposal</w:t>
      </w:r>
      <w:r>
        <w:rPr>
          <w:rFonts w:ascii="Arial" w:cs="Arial" w:eastAsia="Arial" w:hAnsi="Arial"/>
          <w:sz w:val="16"/>
          <w:szCs w:val="16"/>
          <w:color w:val="auto"/>
        </w:rPr>
        <w:t>”, (c) on a non-binding advisory basis, proposals related to material differences between ARYA’s existing amended and restated memorandum and articles of association (the “</w:t>
      </w:r>
      <w:r>
        <w:rPr>
          <w:rFonts w:ascii="Arial" w:cs="Arial" w:eastAsia="Arial" w:hAnsi="Arial"/>
          <w:sz w:val="16"/>
          <w:szCs w:val="16"/>
          <w:u w:val="single" w:color="auto"/>
          <w:color w:val="auto"/>
        </w:rPr>
        <w:t>Existing Governing Documents</w:t>
      </w:r>
      <w:r>
        <w:rPr>
          <w:rFonts w:ascii="Arial" w:cs="Arial" w:eastAsia="Arial" w:hAnsi="Arial"/>
          <w:sz w:val="16"/>
          <w:szCs w:val="16"/>
          <w:color w:val="auto"/>
        </w:rPr>
        <w:t>”), which are referred to herein collectively as the “</w:t>
      </w:r>
      <w:r>
        <w:rPr>
          <w:rFonts w:ascii="Arial" w:cs="Arial" w:eastAsia="Arial" w:hAnsi="Arial"/>
          <w:sz w:val="16"/>
          <w:szCs w:val="16"/>
          <w:u w:val="single" w:color="auto"/>
          <w:color w:val="auto"/>
        </w:rPr>
        <w:t>Advisory Governing Documents Proposals</w:t>
      </w:r>
      <w:r>
        <w:rPr>
          <w:rFonts w:ascii="Arial" w:cs="Arial" w:eastAsia="Arial" w:hAnsi="Arial"/>
          <w:sz w:val="16"/>
          <w:szCs w:val="16"/>
          <w:color w:val="auto"/>
        </w:rPr>
        <w:t>,” (d) a proposal to approve, for purpose of complying with Nasdaq Listing Rule 5635, the issuance of New Nautilus Common Stock in connection with the Business Combination and the PIPE Financing, which is referred to herein as the “</w:t>
      </w:r>
      <w:r>
        <w:rPr>
          <w:rFonts w:ascii="Arial" w:cs="Arial" w:eastAsia="Arial" w:hAnsi="Arial"/>
          <w:sz w:val="16"/>
          <w:szCs w:val="16"/>
          <w:u w:val="single" w:color="auto"/>
          <w:color w:val="auto"/>
        </w:rPr>
        <w:t>Nasdaq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Proposal</w:t>
      </w:r>
      <w:r>
        <w:rPr>
          <w:rFonts w:ascii="Arial" w:cs="Arial" w:eastAsia="Arial" w:hAnsi="Arial"/>
          <w:sz w:val="16"/>
          <w:szCs w:val="16"/>
          <w:color w:val="auto"/>
        </w:rPr>
        <w:t>,” (e) a proposal to approve and adopt the Nautilus Biotechnology, Inc. 2021 Equity Incentive Plan, a copy of which is attached to the accompanying proxy statement/prospectus as Annex I, which is referred to herein as the “</w:t>
      </w:r>
      <w:r>
        <w:rPr>
          <w:rFonts w:ascii="Arial" w:cs="Arial" w:eastAsia="Arial" w:hAnsi="Arial"/>
          <w:sz w:val="16"/>
          <w:szCs w:val="16"/>
          <w:u w:val="single" w:color="auto"/>
          <w:color w:val="auto"/>
        </w:rPr>
        <w:t>Incentive Award Plan Proposal</w:t>
      </w:r>
      <w:r>
        <w:rPr>
          <w:rFonts w:ascii="Arial" w:cs="Arial" w:eastAsia="Arial" w:hAnsi="Arial"/>
          <w:sz w:val="16"/>
          <w:szCs w:val="16"/>
          <w:color w:val="auto"/>
        </w:rPr>
        <w:t>,” (f) a proposal to approve and adopt the Nautilus Biotechnology, Inc. 2021 Employee Stock Purchase Plan, a copy of which is attached to the accompanying proxy statement/prospectus as Annex J, which is referred to herein as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and (g) a proposal to adjourn the extraordinary general meeting to a later date or dates to the extent necessary, which is referred to herein as the “</w:t>
      </w:r>
      <w:r>
        <w:rPr>
          <w:rFonts w:ascii="Arial" w:cs="Arial" w:eastAsia="Arial" w:hAnsi="Arial"/>
          <w:sz w:val="16"/>
          <w:szCs w:val="16"/>
          <w:u w:val="single" w:color="auto"/>
          <w:color w:val="auto"/>
        </w:rPr>
        <w:t>Adjournment Proposal</w:t>
      </w:r>
      <w:r>
        <w:rPr>
          <w:rFonts w:ascii="Arial" w:cs="Arial" w:eastAsia="Arial" w:hAnsi="Arial"/>
          <w:sz w:val="16"/>
          <w:szCs w:val="16"/>
          <w:color w:val="auto"/>
        </w:rPr>
        <w:t>.”</w:t>
      </w:r>
    </w:p>
    <w:p>
      <w:pPr>
        <w:spacing w:after="0" w:line="11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Business Combination will be consummated only if the Business Combination Proposal, the Domestication Proposal, the Charter Proposal, the Incentive Award Plan Proposal, the Employee Stock Purchase Plan Proposal and the Nasdaq Proposal (collectively, the “</w:t>
      </w:r>
      <w:r>
        <w:rPr>
          <w:rFonts w:ascii="Arial" w:cs="Arial" w:eastAsia="Arial" w:hAnsi="Arial"/>
          <w:sz w:val="16"/>
          <w:szCs w:val="16"/>
          <w:u w:val="single" w:color="auto"/>
          <w:color w:val="auto"/>
        </w:rPr>
        <w:t>Condition Precedent Proposals</w:t>
      </w:r>
      <w:r>
        <w:rPr>
          <w:rFonts w:ascii="Arial" w:cs="Arial" w:eastAsia="Arial" w:hAnsi="Arial"/>
          <w:sz w:val="16"/>
          <w:szCs w:val="16"/>
          <w:color w:val="auto"/>
        </w:rPr>
        <w:t>”) are approved at the extraordinary general meeting. The Advisory Governing Documents Proposals are conditioned on the approval of the Condition Precedent Proposals. The Adjournment Proposal is not conditioned upon the approval of any other proposal. Each of these proposals is more fully described in the accompanying proxy statement/prospectus, which each shareholder is encouraged to read carefully and in its entirety.</w:t>
      </w:r>
    </w:p>
    <w:p>
      <w:pPr>
        <w:spacing w:after="0" w:line="10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Adjournment Proposal provides for a vote to adjourn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the aggregate gross proceeds from the PIPE Financing, equal no less than $250,000,000 after deducting ARYA’s unpaid expenses, liabilities, and any amounts paid to ARYA shareholders that exercise their redemption rights in connection with the Business Combination would not be satisfied (such aggregate proceeds, the “</w:t>
      </w:r>
      <w:r>
        <w:rPr>
          <w:rFonts w:ascii="Arial" w:cs="Arial" w:eastAsia="Arial" w:hAnsi="Arial"/>
          <w:sz w:val="17"/>
          <w:szCs w:val="17"/>
          <w:u w:val="single" w:color="auto"/>
          <w:color w:val="auto"/>
        </w:rPr>
        <w:t>Aggregate Transaction Proceeds</w:t>
      </w:r>
      <w:r>
        <w:rPr>
          <w:rFonts w:ascii="Arial" w:cs="Arial" w:eastAsia="Arial" w:hAnsi="Arial"/>
          <w:sz w:val="17"/>
          <w:szCs w:val="17"/>
          <w:color w:val="auto"/>
        </w:rPr>
        <w:t>”, and such condition to the consummation of the Business Combination, the “</w:t>
      </w:r>
      <w:r>
        <w:rPr>
          <w:rFonts w:ascii="Arial" w:cs="Arial" w:eastAsia="Arial" w:hAnsi="Arial"/>
          <w:sz w:val="17"/>
          <w:szCs w:val="17"/>
          <w:u w:val="single" w:color="auto"/>
          <w:color w:val="auto"/>
        </w:rPr>
        <w:t>Aggregate Transaction Proceeds Condition</w:t>
      </w:r>
      <w:r>
        <w:rPr>
          <w:rFonts w:ascii="Arial" w:cs="Arial" w:eastAsia="Arial" w:hAnsi="Arial"/>
          <w:sz w:val="17"/>
          <w:szCs w:val="17"/>
          <w:color w:val="auto"/>
        </w:rPr>
        <w:t>”).</w:t>
      </w:r>
    </w:p>
    <w:p>
      <w:pPr>
        <w:spacing w:after="0" w:line="13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connection with the Business Combination, certain related agreements were entered into in connection with the signing of the Business Combination Agreement, including the Subscription Agreements, the Nautilus Shareholder Transaction Support Agreements, the Sponsor Letter Agreement, and the Amended and Restated Registration Rights and Lock-up Agreement (each as defined in the accompanying proxy statement/prospectus). See the section entitled “</w:t>
      </w:r>
      <w:r>
        <w:rPr>
          <w:rFonts w:ascii="Arial" w:cs="Arial" w:eastAsia="Arial" w:hAnsi="Arial"/>
          <w:sz w:val="16"/>
          <w:szCs w:val="16"/>
          <w:i w:val="1"/>
          <w:iCs w:val="1"/>
          <w:color w:val="auto"/>
        </w:rPr>
        <w:t>Business Combination Proposal—Related Agreements</w:t>
      </w:r>
      <w:r>
        <w:rPr>
          <w:rFonts w:ascii="Arial" w:cs="Arial" w:eastAsia="Arial" w:hAnsi="Arial"/>
          <w:sz w:val="16"/>
          <w:szCs w:val="16"/>
          <w:color w:val="auto"/>
        </w:rPr>
        <w:t>” in the accompanying proxy statement/prospectus for more information.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Existing Governing Documents, a holder of ARYA’s public shares (a “</w:t>
      </w:r>
      <w:r>
        <w:rPr>
          <w:rFonts w:ascii="Arial" w:cs="Arial" w:eastAsia="Arial" w:hAnsi="Arial"/>
          <w:sz w:val="16"/>
          <w:szCs w:val="16"/>
          <w:u w:val="single" w:color="auto"/>
          <w:color w:val="auto"/>
        </w:rPr>
        <w:t>public shareholder</w:t>
      </w:r>
      <w:r>
        <w:rPr>
          <w:rFonts w:ascii="Arial" w:cs="Arial" w:eastAsia="Arial" w:hAnsi="Arial"/>
          <w:sz w:val="16"/>
          <w:szCs w:val="16"/>
          <w:color w:val="auto"/>
        </w:rPr>
        <w:t>”) may request that ARYA redeem all or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portion of such public shares for cash if the Business Combination is consummated. The redemption rights include the requirement that a holder must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identify itself in writing as a beneficial holder and provide its legal name, phone number and address to Continental Stock Transfer &amp;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w:t>
      </w:r>
      <w:r>
        <w:rPr>
          <w:rFonts w:ascii="Arial" w:cs="Arial" w:eastAsia="Arial" w:hAnsi="Arial"/>
          <w:sz w:val="16"/>
          <w:szCs w:val="16"/>
          <w:color w:val="auto"/>
        </w:rPr>
        <w:t xml:space="preserve">”) in order to validly redeem its shares. </w:t>
      </w:r>
      <w:r>
        <w:rPr>
          <w:rFonts w:ascii="Arial" w:cs="Arial" w:eastAsia="Arial" w:hAnsi="Arial"/>
          <w:sz w:val="16"/>
          <w:szCs w:val="16"/>
          <w:b w:val="1"/>
          <w:bCs w:val="1"/>
          <w:color w:val="auto"/>
        </w:rPr>
        <w:t>Public shareholders may elect to redeem their public shares even if they vote “for” the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Combination Proposal. </w:t>
      </w:r>
      <w:r>
        <w:rPr>
          <w:rFonts w:ascii="Arial" w:cs="Arial" w:eastAsia="Arial" w:hAnsi="Arial"/>
          <w:sz w:val="16"/>
          <w:szCs w:val="16"/>
          <w:color w:val="auto"/>
        </w:rPr>
        <w:t>If the Business Combination is not consummated, the public shares will be returned to the respective holder, broker or bank. If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Combination is consummated, and if a public shareholder properly exercises its right to redeem all or a portion of the public shares that it holds and timely delivers its shares to Continental, New Nautilus will redeem such public shares for a per-share price, payable in cash, equal to the pro rata portion of the trust account established at the consummation of ARYA’s initial public offering,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the accompanying proxy statement/prospectus for a detailed description of the procedures to be followed if you wish to redeem your public shares for cash.</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Sponsor and each of Messrs. Wider, Campbell and Islam (collectively, the “</w:t>
      </w:r>
      <w:r>
        <w:rPr>
          <w:rFonts w:ascii="Arial" w:cs="Arial" w:eastAsia="Arial" w:hAnsi="Arial"/>
          <w:sz w:val="18"/>
          <w:szCs w:val="18"/>
          <w:u w:val="single" w:color="auto"/>
          <w:color w:val="auto"/>
        </w:rPr>
        <w:t>initial shareholders</w:t>
      </w:r>
      <w:r>
        <w:rPr>
          <w:rFonts w:ascii="Arial" w:cs="Arial" w:eastAsia="Arial" w:hAnsi="Arial"/>
          <w:sz w:val="18"/>
          <w:szCs w:val="18"/>
          <w:color w:val="auto"/>
        </w:rPr>
        <w:t>”)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the accompanying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Proposal—Related Agreements—Sponsor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ARYA is providing the accompanying proxy statement/prospectus and accompanying proxy card to ARYA’s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ARYA’s shareholders at the extraordinary general meeting is included in the accompanying proxy statement/prospectus. </w:t>
      </w:r>
      <w:r>
        <w:rPr>
          <w:rFonts w:ascii="Arial" w:cs="Arial" w:eastAsia="Arial" w:hAnsi="Arial"/>
          <w:sz w:val="16"/>
          <w:szCs w:val="16"/>
          <w:b w:val="1"/>
          <w:bCs w:val="1"/>
          <w:color w:val="auto"/>
        </w:rPr>
        <w:t>Whether or not you plan to attend the extraordinary general meeting, all of</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ARYA’s shareholders are urged to read the accompanying proxy statement/prospectus, including the Annexes and other documents referred to therein,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the accompanying proxy statement/prospectus.</w:t>
      </w:r>
    </w:p>
    <w:p>
      <w:pPr>
        <w:spacing w:after="0" w:line="132" w:lineRule="exact"/>
        <w:rPr>
          <w:sz w:val="20"/>
          <w:szCs w:val="20"/>
          <w:color w:val="auto"/>
        </w:rPr>
      </w:pPr>
    </w:p>
    <w:p>
      <w:pPr>
        <w:ind w:right="180" w:firstLine="324"/>
        <w:spacing w:after="0" w:line="317" w:lineRule="auto"/>
        <w:rPr>
          <w:sz w:val="20"/>
          <w:szCs w:val="20"/>
          <w:color w:val="auto"/>
        </w:rPr>
      </w:pPr>
      <w:r>
        <w:rPr>
          <w:rFonts w:ascii="Arial" w:cs="Arial" w:eastAsia="Arial" w:hAnsi="Arial"/>
          <w:sz w:val="15"/>
          <w:szCs w:val="15"/>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the accompanying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5"/>
          <w:szCs w:val="15"/>
          <w:b w:val="1"/>
          <w:bCs w:val="1"/>
          <w:i w:val="1"/>
          <w:iCs w:val="1"/>
          <w:color w:val="auto"/>
        </w:rPr>
        <w:t>Business Combination Proposal—Interests of ARYA’s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i w:val="1"/>
          <w:iCs w:val="1"/>
          <w:color w:val="auto"/>
        </w:rPr>
        <w:t>Directors and Executive Officers in the Business Combination</w:t>
      </w:r>
      <w:r>
        <w:rPr>
          <w:rFonts w:ascii="Arial" w:cs="Arial" w:eastAsia="Arial" w:hAnsi="Arial"/>
          <w:sz w:val="18"/>
          <w:szCs w:val="18"/>
          <w:b w:val="1"/>
          <w:bCs w:val="1"/>
          <w:color w:val="auto"/>
        </w:rPr>
        <w:t>” in the accompanying proxy statement/prospectus for a further discussion of these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considerations.</w:t>
      </w:r>
    </w:p>
    <w:p>
      <w:pPr>
        <w:spacing w:after="0" w:line="11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Your vote is very important. </w:t>
      </w:r>
      <w:r>
        <w:rPr>
          <w:rFonts w:ascii="Arial" w:cs="Arial" w:eastAsia="Arial" w:hAnsi="Arial"/>
          <w:sz w:val="17"/>
          <w:szCs w:val="17"/>
          <w:b w:val="1"/>
          <w:bCs w:val="1"/>
          <w:color w:val="auto"/>
        </w:rPr>
        <w:t>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the accompanying proxy statement/prospectus.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behalf of ARYA’s board of directors, I would like to thank you for your support and look forward to the successful completion of the Business Combination.</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Joseph Edelman</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Chairman of the Board of Directors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34" w:lineRule="exact"/>
        <w:rPr>
          <w:sz w:val="20"/>
          <w:szCs w:val="20"/>
          <w:color w:val="auto"/>
        </w:rPr>
      </w:pPr>
    </w:p>
    <w:p>
      <w:pPr>
        <w:ind w:left="340"/>
        <w:spacing w:after="0"/>
        <w:tabs>
          <w:tab w:leader="none" w:pos="4880" w:val="left"/>
          <w:tab w:leader="none" w:pos="9620" w:val="left"/>
        </w:tabs>
        <w:rPr>
          <w:sz w:val="20"/>
          <w:szCs w:val="20"/>
          <w:color w:val="auto"/>
        </w:rPr>
      </w:pPr>
      <w:r>
        <w:rPr>
          <w:rFonts w:ascii="Arial" w:cs="Arial" w:eastAsia="Arial" w:hAnsi="Arial"/>
          <w:sz w:val="18"/>
          <w:szCs w:val="18"/>
          <w:color w:val="auto"/>
        </w:rPr>
        <w:t>The accompanying proxy statement/prospectus is dated</w:t>
      </w:r>
      <w:r>
        <w:rPr>
          <w:sz w:val="20"/>
          <w:szCs w:val="20"/>
          <w:color w:val="auto"/>
        </w:rPr>
        <w:tab/>
      </w:r>
      <w:r>
        <w:rPr>
          <w:rFonts w:ascii="Arial" w:cs="Arial" w:eastAsia="Arial" w:hAnsi="Arial"/>
          <w:sz w:val="18"/>
          <w:szCs w:val="18"/>
          <w:color w:val="auto"/>
        </w:rPr>
        <w:t>, 2021 and is first being mailed to shareholders on or about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10003</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ARYA SCIENCES ACQUISITION CORP III: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NOTICE IS HEREBY GIVEN that an extraordinary general meeting of the shareholders (the “</w:t>
      </w:r>
      <w:r>
        <w:rPr>
          <w:rFonts w:ascii="Arial" w:cs="Arial" w:eastAsia="Arial" w:hAnsi="Arial"/>
          <w:sz w:val="17"/>
          <w:szCs w:val="17"/>
          <w:u w:val="single" w:color="auto"/>
          <w:color w:val="auto"/>
        </w:rPr>
        <w:t>extraordinary general meeting</w:t>
      </w:r>
      <w:r>
        <w:rPr>
          <w:rFonts w:ascii="Arial" w:cs="Arial" w:eastAsia="Arial" w:hAnsi="Arial"/>
          <w:sz w:val="17"/>
          <w:szCs w:val="17"/>
          <w:color w:val="auto"/>
        </w:rPr>
        <w:t>”) of ARYA Sciences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will be held at 9:00 a.m., Eastern Time, on , 2021, at the offices of Kirkland &amp; Ellis LLP located at 601 Lexington Avenue, New York, New York 10022. You are cordially invited to attend the extraordinary general meeting, which will be held for the following purposes:</w:t>
      </w:r>
    </w:p>
    <w:p>
      <w:pPr>
        <w:spacing w:after="0" w:line="132" w:lineRule="exact"/>
        <w:rPr>
          <w:sz w:val="20"/>
          <w:szCs w:val="20"/>
          <w:color w:val="auto"/>
        </w:rPr>
      </w:pPr>
    </w:p>
    <w:p>
      <w:pPr>
        <w:ind w:left="66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Proposal No. 1—The Business Combination Proposal—RESOLVED</w:t>
      </w:r>
      <w:r>
        <w:rPr>
          <w:rFonts w:ascii="Arial" w:cs="Arial" w:eastAsia="Arial" w:hAnsi="Arial"/>
          <w:sz w:val="16"/>
          <w:szCs w:val="16"/>
          <w:color w:val="auto"/>
        </w:rPr>
        <w:t>, as an ordinary resolution, that ARYA’s entry into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Agreement, dated as of February 7, 2021 (as may be amended, supplemented or otherwise modified from time to time,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Arial" w:cs="Arial" w:eastAsia="Arial" w:hAnsi="Arial"/>
          <w:sz w:val="16"/>
          <w:szCs w:val="16"/>
          <w:u w:val="single" w:color="auto"/>
          <w:color w:val="auto"/>
        </w:rPr>
        <w:t>Merger</w:t>
      </w:r>
      <w:r>
        <w:rPr>
          <w:rFonts w:ascii="Arial" w:cs="Arial" w:eastAsia="Arial" w:hAnsi="Arial"/>
          <w:sz w:val="16"/>
          <w:szCs w:val="16"/>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1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Proposal No. 2—The Domestication Proposal—RESOLVED</w:t>
      </w:r>
      <w:r>
        <w:rPr>
          <w:rFonts w:ascii="Arial" w:cs="Arial" w:eastAsia="Arial" w:hAnsi="Arial"/>
          <w:sz w:val="17"/>
          <w:szCs w:val="17"/>
          <w:color w:val="auto"/>
        </w:rPr>
        <w:t>, as a special resolution, that ARYA be transferred by way of continuation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13" w:lineRule="exact"/>
        <w:rPr>
          <w:rFonts w:ascii="Arial" w:cs="Arial" w:eastAsia="Arial" w:hAnsi="Arial"/>
          <w:sz w:val="17"/>
          <w:szCs w:val="17"/>
          <w:color w:val="auto"/>
        </w:rPr>
      </w:pPr>
    </w:p>
    <w:p>
      <w:pPr>
        <w:ind w:left="660" w:right="240" w:hanging="328"/>
        <w:spacing w:after="0" w:line="28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Proposal No. 3—The Charter Proposal—RESOLVED</w:t>
      </w:r>
      <w:r>
        <w:rPr>
          <w:rFonts w:ascii="Arial" w:cs="Arial" w:eastAsia="Arial" w:hAnsi="Arial"/>
          <w:sz w:val="17"/>
          <w:szCs w:val="17"/>
          <w:color w:val="auto"/>
        </w:rPr>
        <w:t>, as a special resolution, that, upon the Domestication, the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memorandum and articles of association of ARYA (“</w:t>
      </w:r>
      <w:r>
        <w:rPr>
          <w:rFonts w:ascii="Arial" w:cs="Arial" w:eastAsia="Arial" w:hAnsi="Arial"/>
          <w:sz w:val="17"/>
          <w:szCs w:val="17"/>
          <w:u w:val="single" w:color="auto"/>
          <w:color w:val="auto"/>
        </w:rPr>
        <w:t>Existing Governing Documents</w:t>
      </w:r>
      <w:r>
        <w:rPr>
          <w:rFonts w:ascii="Arial" w:cs="Arial" w:eastAsia="Arial" w:hAnsi="Arial"/>
          <w:sz w:val="17"/>
          <w:szCs w:val="17"/>
          <w:color w:val="auto"/>
        </w:rPr>
        <w:t>”) be amended and restated by the deletion in their entirety and the substitution in their place of the proposed new certificate of incorporation of “Nautilus Biotechnology, Inc.” upon the Domestication, a copy of which is attached to the proxy statement/prospectus as Annex C (the “</w:t>
      </w:r>
      <w:r>
        <w:rPr>
          <w:rFonts w:ascii="Arial" w:cs="Arial" w:eastAsia="Arial" w:hAnsi="Arial"/>
          <w:sz w:val="17"/>
          <w:szCs w:val="17"/>
          <w:u w:val="single" w:color="auto"/>
          <w:color w:val="auto"/>
        </w:rPr>
        <w:t>Proposed Certificate of Incorporation</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660" w:right="220" w:hanging="328"/>
        <w:spacing w:after="0" w:line="28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Advisory Governing Documents Proposals</w:t>
      </w:r>
      <w:r>
        <w:rPr>
          <w:rFonts w:ascii="Arial" w:cs="Arial" w:eastAsia="Arial" w:hAnsi="Arial"/>
          <w:sz w:val="18"/>
          <w:szCs w:val="18"/>
          <w:color w:val="auto"/>
        </w:rPr>
        <w:t>—to consider and vote upon, on a non-binding advisory basis, the following governance proposals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Proposed Certificate of Incorporation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4" w:lineRule="exact"/>
        <w:rPr>
          <w:sz w:val="20"/>
          <w:szCs w:val="20"/>
          <w:color w:val="auto"/>
        </w:rPr>
      </w:pPr>
    </w:p>
    <w:p>
      <w:pPr>
        <w:ind w:left="328" w:right="40"/>
        <w:spacing w:after="0" w:line="277" w:lineRule="auto"/>
        <w:rPr>
          <w:sz w:val="20"/>
          <w:szCs w:val="20"/>
          <w:color w:val="auto"/>
        </w:rPr>
      </w:pPr>
      <w:r>
        <w:rPr>
          <w:rFonts w:ascii="Arial" w:cs="Arial" w:eastAsia="Arial" w:hAnsi="Arial"/>
          <w:sz w:val="18"/>
          <w:szCs w:val="18"/>
          <w:color w:val="auto"/>
        </w:rPr>
        <w:t>collectively, the “Advisory Governing Documents Proposals”) and the following material differences between the Existing Governing Documents and the Proposed Certificate of Incorporation:</w:t>
      </w:r>
    </w:p>
    <w:p>
      <w:pPr>
        <w:spacing w:after="0" w:line="112" w:lineRule="exact"/>
        <w:rPr>
          <w:sz w:val="20"/>
          <w:szCs w:val="20"/>
          <w:color w:val="auto"/>
        </w:rPr>
      </w:pPr>
    </w:p>
    <w:p>
      <w:pPr>
        <w:ind w:left="648" w:right="20" w:hanging="324"/>
        <w:spacing w:after="0" w:line="258"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4—Advisory Governing Documents Proposal A—RESOLVED</w:t>
      </w:r>
      <w:r>
        <w:rPr>
          <w:rFonts w:ascii="Arial" w:cs="Arial" w:eastAsia="Arial" w:hAnsi="Arial"/>
          <w:sz w:val="18"/>
          <w:szCs w:val="18"/>
          <w:color w:val="auto"/>
        </w:rPr>
        <w:t>, that an amendment to change the authorized share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129" w:lineRule="exact"/>
        <w:rPr>
          <w:rFonts w:ascii="Arial" w:cs="Arial" w:eastAsia="Arial" w:hAnsi="Arial"/>
          <w:sz w:val="18"/>
          <w:szCs w:val="18"/>
          <w:color w:val="auto"/>
        </w:rPr>
      </w:pPr>
    </w:p>
    <w:p>
      <w:pPr>
        <w:ind w:left="648" w:right="100" w:hanging="324"/>
        <w:spacing w:after="0" w:line="261"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5—Advisory Governing Documents Proposal B—RESOLVED</w:t>
      </w:r>
      <w:r>
        <w:rPr>
          <w:rFonts w:ascii="Arial" w:cs="Arial" w:eastAsia="Arial" w:hAnsi="Arial"/>
          <w:sz w:val="18"/>
          <w:szCs w:val="18"/>
          <w:color w:val="auto"/>
        </w:rPr>
        <w:t>, that an amendment to authorize the New Nautilus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spacing w:after="0" w:line="125" w:lineRule="exact"/>
        <w:rPr>
          <w:rFonts w:ascii="Arial" w:cs="Arial" w:eastAsia="Arial" w:hAnsi="Arial"/>
          <w:sz w:val="18"/>
          <w:szCs w:val="18"/>
          <w:color w:val="auto"/>
        </w:rPr>
      </w:pPr>
    </w:p>
    <w:p>
      <w:pPr>
        <w:ind w:left="648" w:right="200" w:hanging="324"/>
        <w:spacing w:after="0" w:line="282" w:lineRule="auto"/>
        <w:tabs>
          <w:tab w:leader="none" w:pos="643"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Proposal No. 6—Advisory Governing Documents Proposal C—RESOLVED</w:t>
      </w:r>
      <w:r>
        <w:rPr>
          <w:rFonts w:ascii="Arial" w:cs="Arial" w:eastAsia="Arial" w:hAnsi="Arial"/>
          <w:sz w:val="18"/>
          <w:szCs w:val="18"/>
          <w:color w:val="auto"/>
        </w:rPr>
        <w:t>, that an amendment to remove the ability of New Nautilus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take action by written consent in lieu of a meeting be approved on a non-binding advisory basis.</w:t>
      </w:r>
    </w:p>
    <w:p>
      <w:pPr>
        <w:spacing w:after="0" w:line="107" w:lineRule="exact"/>
        <w:rPr>
          <w:rFonts w:ascii="Arial" w:cs="Arial" w:eastAsia="Arial" w:hAnsi="Arial"/>
          <w:sz w:val="18"/>
          <w:szCs w:val="18"/>
          <w:color w:val="auto"/>
        </w:rPr>
      </w:pPr>
    </w:p>
    <w:p>
      <w:pPr>
        <w:ind w:left="648" w:right="120" w:hanging="324"/>
        <w:spacing w:after="0" w:line="292" w:lineRule="auto"/>
        <w:tabs>
          <w:tab w:leader="none" w:pos="643"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Proposal No. 7—Advisory Governing Documents Proposal D—RESOLVED</w:t>
      </w:r>
      <w:r>
        <w:rPr>
          <w:rFonts w:ascii="Arial" w:cs="Arial" w:eastAsia="Arial" w:hAnsi="Arial"/>
          <w:sz w:val="16"/>
          <w:szCs w:val="16"/>
          <w:color w:val="auto"/>
        </w:rPr>
        <w:t>, that certain other changes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107" w:lineRule="exact"/>
        <w:rPr>
          <w:rFonts w:ascii="Arial" w:cs="Arial" w:eastAsia="Arial" w:hAnsi="Arial"/>
          <w:sz w:val="16"/>
          <w:szCs w:val="16"/>
          <w:color w:val="auto"/>
        </w:rPr>
      </w:pPr>
    </w:p>
    <w:p>
      <w:pPr>
        <w:ind w:left="328" w:right="600" w:hanging="328"/>
        <w:spacing w:after="0" w:line="347"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Proposal No. 8—The Nasdaq Proposal—RESOLVED</w:t>
      </w:r>
      <w:r>
        <w:rPr>
          <w:rFonts w:ascii="Arial" w:cs="Arial" w:eastAsia="Arial" w:hAnsi="Arial"/>
          <w:sz w:val="16"/>
          <w:szCs w:val="16"/>
          <w:color w:val="auto"/>
        </w:rPr>
        <w:t>, as an ordinary resolution, that for the purposes of complying with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Nasdaq Stock Exchange Listing Rule 5635, the issuance of shares of New Nautilus Common Stock be approved.</w:t>
      </w:r>
    </w:p>
    <w:p>
      <w:pPr>
        <w:spacing w:after="0" w:line="61" w:lineRule="exact"/>
        <w:rPr>
          <w:rFonts w:ascii="Arial" w:cs="Arial" w:eastAsia="Arial" w:hAnsi="Arial"/>
          <w:sz w:val="16"/>
          <w:szCs w:val="16"/>
          <w:color w:val="auto"/>
        </w:rPr>
      </w:pPr>
    </w:p>
    <w:p>
      <w:pPr>
        <w:ind w:left="328" w:right="360" w:hanging="328"/>
        <w:spacing w:after="0" w:line="312"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Proposal No. 9—The Incentive Award Plan Proposal—RESOLVED</w:t>
      </w:r>
      <w:r>
        <w:rPr>
          <w:rFonts w:ascii="Arial" w:cs="Arial" w:eastAsia="Arial" w:hAnsi="Arial"/>
          <w:sz w:val="17"/>
          <w:szCs w:val="17"/>
          <w:color w:val="auto"/>
        </w:rPr>
        <w:t>, as an ordinary resolution, that the Nautilus Biotechnology,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a copy of which is attached to the proxy statement/prospectus as Annex I, be adopted and approved.</w:t>
      </w:r>
    </w:p>
    <w:p>
      <w:pPr>
        <w:spacing w:after="0" w:line="85" w:lineRule="exact"/>
        <w:rPr>
          <w:rFonts w:ascii="Arial" w:cs="Arial" w:eastAsia="Arial" w:hAnsi="Arial"/>
          <w:sz w:val="17"/>
          <w:szCs w:val="17"/>
          <w:color w:val="auto"/>
        </w:rPr>
      </w:pPr>
    </w:p>
    <w:p>
      <w:pPr>
        <w:jc w:val="both"/>
        <w:ind w:left="328" w:right="280" w:hanging="328"/>
        <w:spacing w:after="0" w:line="347"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Proposal No. 10—The Employee Stock Purchase Plan Proposal—RESOLVED</w:t>
      </w:r>
      <w:r>
        <w:rPr>
          <w:rFonts w:ascii="Arial" w:cs="Arial" w:eastAsia="Arial" w:hAnsi="Arial"/>
          <w:sz w:val="16"/>
          <w:szCs w:val="16"/>
          <w:color w:val="auto"/>
        </w:rPr>
        <w:t>, as an ordinary resolution, that the Nautilus Biotechnology,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Inc. 2021 Employee Stock Purchase Plan, a copy of which is attached to the proxy statement/prospectus as Annex J, be adopted and approved.</w:t>
      </w:r>
    </w:p>
    <w:p>
      <w:pPr>
        <w:spacing w:after="0" w:line="61" w:lineRule="exact"/>
        <w:rPr>
          <w:rFonts w:ascii="Arial" w:cs="Arial" w:eastAsia="Arial" w:hAnsi="Arial"/>
          <w:sz w:val="16"/>
          <w:szCs w:val="16"/>
          <w:color w:val="auto"/>
        </w:rPr>
      </w:pPr>
    </w:p>
    <w:p>
      <w:pPr>
        <w:ind w:left="328" w:hanging="328"/>
        <w:spacing w:after="0" w:line="254"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No. 11—The Adjournment Proposal—RESOLVED</w:t>
      </w:r>
      <w:r>
        <w:rPr>
          <w:rFonts w:ascii="Arial" w:cs="Arial" w:eastAsia="Arial" w:hAnsi="Arial"/>
          <w:sz w:val="18"/>
          <w:szCs w:val="18"/>
          <w:color w:val="auto"/>
        </w:rPr>
        <w:t>, as an ordinary resolution, that the adjournment of the extraordinary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975995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1" w:name="page12"/>
    <w:bookmarkEnd w:id="11"/>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amounts paid to ARYA shareholders that exercise their redemption rights in connection with the Business Combination would not be satisfied, at the extraordinary general meeting be approved.</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items of business are described in this proxy statement/prospectus, which we encourage you to read carefully and in its entirety before voting.</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Only holders of record of ordinary shares at the close of business on April 1, 2021 are entitled to notice of and to vote and have their votes counted at the extraordinary general meeting and any adjournment of the extraordinary general meeting.</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This proxy statement/prospectus and accompanying proxy card is being provided to ARYA’s shareholders in connection with the solicitation of proxies to be voted at the extraordinary general meeting and at any adjournment of the extraordinary general meeting.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 all of ARYA’s shareholders are urged to read this proxy statement/prospectus, including the Annexes and the documents referred to 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this proxy statement/prospectus.</w:t>
      </w:r>
    </w:p>
    <w:p>
      <w:pPr>
        <w:spacing w:after="0" w:line="130"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this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6"/>
          <w:szCs w:val="16"/>
          <w:b w:val="1"/>
          <w:bCs w:val="1"/>
          <w:i w:val="1"/>
          <w:iCs w:val="1"/>
          <w:color w:val="auto"/>
        </w:rPr>
        <w:t>Business Combination Proposal—Interests of ARYA’s Directors and Executive Officers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the Business Combination</w:t>
      </w:r>
      <w:r>
        <w:rPr>
          <w:rFonts w:ascii="Arial" w:cs="Arial" w:eastAsia="Arial" w:hAnsi="Arial"/>
          <w:sz w:val="16"/>
          <w:szCs w:val="16"/>
          <w:b w:val="1"/>
          <w:bCs w:val="1"/>
          <w:color w:val="auto"/>
        </w:rPr>
        <w:t>” in this proxy statement/prospectus for a further discussion of these considerations.</w:t>
      </w:r>
    </w:p>
    <w:p>
      <w:pPr>
        <w:spacing w:after="0" w:line="1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The Depository Trust Company.</w:t>
      </w:r>
    </w:p>
    <w:p>
      <w:pPr>
        <w:spacing w:after="0" w:line="167"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 Eastern Time, on ____________, 2021 (two business days before the extraordinary general meeting) in order for their shares to be redeemed.</w:t>
      </w:r>
    </w:p>
    <w:p>
      <w:pPr>
        <w:spacing w:after="0" w:line="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redemption rights include the requirement that a holder must identify itself in writing as a beneficial holder and provide its legal name, phone number and address to Continental in order to validly redeem its shares. Public shareholders may elect to redeem public shares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ARYA’s initial public offering (the “</w:t>
      </w:r>
      <w:r>
        <w:rPr>
          <w:rFonts w:ascii="Arial" w:cs="Arial" w:eastAsia="Arial" w:hAnsi="Arial"/>
          <w:sz w:val="17"/>
          <w:szCs w:val="17"/>
          <w:u w:val="single" w:color="auto"/>
          <w:color w:val="auto"/>
        </w:rPr>
        <w:t>trust account</w:t>
      </w:r>
      <w:r>
        <w:rPr>
          <w:rFonts w:ascii="Arial" w:cs="Arial" w:eastAsia="Arial" w:hAnsi="Arial"/>
          <w:sz w:val="17"/>
          <w:szCs w:val="17"/>
          <w:color w:val="auto"/>
        </w:rPr>
        <w: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7"/>
          <w:szCs w:val="17"/>
          <w:i w:val="1"/>
          <w:iCs w:val="1"/>
          <w:color w:val="auto"/>
        </w:rPr>
        <w:t>Extraordinary General Meeting of ARYA—Redemption Rights</w:t>
      </w:r>
      <w:r>
        <w:rPr>
          <w:rFonts w:ascii="Arial" w:cs="Arial" w:eastAsia="Arial" w:hAnsi="Arial"/>
          <w:sz w:val="17"/>
          <w:szCs w:val="17"/>
          <w:color w:val="auto"/>
        </w:rPr>
        <w:t>” in this proxy statement/prospectus for a detailed description of the procedures to be followed if you wish to redeem your public shares for cash.</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 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Your vote is very important</w:t>
      </w:r>
      <w:r>
        <w:rPr>
          <w:rFonts w:ascii="Arial" w:cs="Arial" w:eastAsia="Arial" w:hAnsi="Arial"/>
          <w:sz w:val="17"/>
          <w:szCs w:val="17"/>
          <w:b w:val="1"/>
          <w:bCs w:val="1"/>
          <w:color w:val="auto"/>
        </w:rPr>
        <w:t>. 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this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Your attention is directed to the remainder of the proxy statement/prospectus following this notice (including the Annexes and other documents referred to herein) for a more complete description of the proposed Business Combination and related transactions and each of the proposals. You are encouraged to read this proxy statement/prospectus carefully and in its entirety, including the Annexes and other documents referred to herein. If you have any questions or need assistance voting your ordinary shares, please contact Morrow Sodali LLC, our proxy solicitor, by calling (800) 662-5200, or banks and brokers can call collect at (203) 658-9400, or by emailing ARYA.info@investor.morrowsodali.com.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 of ARYA Sciences Acquisition Corp III,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Chairman of the Board of Directors</w:t>
      </w:r>
    </w:p>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Page</w:t>
            </w:r>
          </w:p>
        </w:tc>
      </w:tr>
      <w:tr>
        <w:trPr>
          <w:trHeight w:val="169"/>
        </w:trPr>
        <w:tc>
          <w:tcPr>
            <w:tcW w:w="20" w:type="dxa"/>
            <w:vAlign w:val="bottom"/>
          </w:tcPr>
          <w:p>
            <w:pPr>
              <w:spacing w:after="0"/>
              <w:rPr>
                <w:sz w:val="14"/>
                <w:szCs w:val="14"/>
                <w:color w:val="auto"/>
              </w:rPr>
            </w:pPr>
          </w:p>
        </w:tc>
        <w:tc>
          <w:tcPr>
            <w:tcW w:w="218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w:anchor="page15">
              <w:r>
                <w:rPr>
                  <w:rFonts w:ascii="Arial" w:cs="Arial" w:eastAsia="Arial" w:hAnsi="Arial"/>
                  <w:sz w:val="16"/>
                  <w:szCs w:val="16"/>
                  <w:color w:val="0000FF"/>
                </w:rPr>
                <w:t>ADDITIONAL INFORMATION</w:t>
              </w:r>
            </w:hyperlink>
          </w:p>
        </w:tc>
        <w:tc>
          <w:tcPr>
            <w:tcW w:w="8320" w:type="dxa"/>
            <w:vAlign w:val="bottom"/>
            <w:gridSpan w:val="26"/>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jc w:val="right"/>
              <w:ind w:right="20"/>
              <w:spacing w:after="0" w:line="169" w:lineRule="exact"/>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i</w:t>
              </w:r>
            </w:hyperlink>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16">
              <w:r>
                <w:rPr>
                  <w:rFonts w:ascii="Arial" w:cs="Arial" w:eastAsia="Arial" w:hAnsi="Arial"/>
                  <w:sz w:val="16"/>
                  <w:szCs w:val="16"/>
                  <w:color w:val="0000FF"/>
                </w:rPr>
                <w:t>TRADEMARKS</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jc w:val="right"/>
              <w:ind w:right="2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w:t>
              </w:r>
            </w:hyperlink>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16">
              <w:r>
                <w:rPr>
                  <w:rFonts w:ascii="Arial" w:cs="Arial" w:eastAsia="Arial" w:hAnsi="Arial"/>
                  <w:sz w:val="16"/>
                  <w:szCs w:val="16"/>
                  <w:color w:val="0000FF"/>
                </w:rPr>
                <w:t>SELECTED DEFINITIONS</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rPr>
            </w:pPr>
            <w:hyperlink w:anchor="page16">
              <w:r>
                <w:rPr>
                  <w:rFonts w:ascii="Arial" w:cs="Arial" w:eastAsia="Arial" w:hAnsi="Arial"/>
                  <w:sz w:val="16"/>
                  <w:szCs w:val="16"/>
                  <w:color w:val="0000FF"/>
                </w:rPr>
                <w:t>ii</w:t>
              </w:r>
            </w:hyperlink>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QUESTIONS AND ANSWERS FOR SHAREHOLDERS OF ARYA</w:t>
              </w:r>
            </w:hyperlink>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w w:val="86"/>
              </w:rPr>
            </w:pPr>
            <w:hyperlink w:anchor="page20">
              <w:r>
                <w:rPr>
                  <w:rFonts w:ascii="Arial" w:cs="Arial" w:eastAsia="Arial" w:hAnsi="Arial"/>
                  <w:sz w:val="16"/>
                  <w:szCs w:val="16"/>
                  <w:color w:val="0000FF"/>
                  <w:w w:val="86"/>
                </w:rPr>
                <w:t>vi</w:t>
              </w:r>
            </w:hyperlink>
          </w:p>
        </w:tc>
      </w:tr>
      <w:tr>
        <w:trPr>
          <w:trHeight w:val="196"/>
        </w:trPr>
        <w:tc>
          <w:tcPr>
            <w:tcW w:w="20" w:type="dxa"/>
            <w:vAlign w:val="bottom"/>
          </w:tcPr>
          <w:p>
            <w:pPr>
              <w:spacing w:after="0"/>
              <w:rPr>
                <w:sz w:val="17"/>
                <w:szCs w:val="17"/>
                <w:color w:val="auto"/>
              </w:rPr>
            </w:pPr>
          </w:p>
        </w:tc>
        <w:tc>
          <w:tcPr>
            <w:tcW w:w="4060" w:type="dxa"/>
            <w:vAlign w:val="bottom"/>
            <w:tcBorders>
              <w:top w:val="single" w:sz="8" w:color="0000FF"/>
            </w:tcBorders>
            <w:gridSpan w:val="21"/>
          </w:tcPr>
          <w:p>
            <w:pPr>
              <w:spacing w:after="0"/>
              <w:rPr>
                <w:rFonts w:ascii="Arial" w:cs="Arial" w:eastAsia="Arial" w:hAnsi="Arial"/>
                <w:sz w:val="16"/>
                <w:szCs w:val="16"/>
                <w:color w:val="0000FF"/>
                <w:w w:val="95"/>
              </w:rPr>
            </w:pPr>
            <w:hyperlink w:anchor="page37">
              <w:r>
                <w:rPr>
                  <w:rFonts w:ascii="Arial" w:cs="Arial" w:eastAsia="Arial" w:hAnsi="Arial"/>
                  <w:sz w:val="16"/>
                  <w:szCs w:val="16"/>
                  <w:color w:val="0000FF"/>
                  <w:w w:val="95"/>
                </w:rPr>
                <w:t>SUMMARY OF THE PROXY STATEMENT/PROSPECTUS</w:t>
              </w:r>
            </w:hyperlink>
          </w:p>
        </w:tc>
        <w:tc>
          <w:tcPr>
            <w:tcW w:w="440" w:type="dxa"/>
            <w:vAlign w:val="bottom"/>
            <w:tcBorders>
              <w:top w:val="single" w:sz="8" w:color="0000FF"/>
            </w:tcBorders>
            <w:gridSpan w:val="3"/>
          </w:tcPr>
          <w:p>
            <w:pPr>
              <w:spacing w:after="0"/>
              <w:rPr>
                <w:sz w:val="17"/>
                <w:szCs w:val="17"/>
                <w:color w:val="auto"/>
              </w:rPr>
            </w:pPr>
          </w:p>
        </w:tc>
        <w:tc>
          <w:tcPr>
            <w:tcW w:w="6000" w:type="dxa"/>
            <w:vAlign w:val="bottom"/>
            <w:gridSpan w:val="10"/>
          </w:tcPr>
          <w:p>
            <w:pPr>
              <w:spacing w:after="0"/>
              <w:rPr>
                <w:sz w:val="17"/>
                <w:szCs w:val="17"/>
                <w:color w:val="auto"/>
              </w:rPr>
            </w:pPr>
          </w:p>
        </w:tc>
        <w:tc>
          <w:tcPr>
            <w:tcW w:w="580" w:type="dxa"/>
            <w:vAlign w:val="bottom"/>
            <w:gridSpan w:val="3"/>
          </w:tcPr>
          <w:p>
            <w:pPr>
              <w:spacing w:after="0"/>
              <w:rPr>
                <w:sz w:val="17"/>
                <w:szCs w:val="17"/>
                <w:color w:val="auto"/>
              </w:rPr>
            </w:pPr>
          </w:p>
        </w:tc>
        <w:tc>
          <w:tcPr>
            <w:tcW w:w="120" w:type="dxa"/>
            <w:vAlign w:val="bottom"/>
            <w:tcBorders>
              <w:top w:val="single" w:sz="8" w:color="0000FF"/>
            </w:tcBorders>
            <w:gridSpan w:val="2"/>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rFonts w:ascii="Arial" w:cs="Arial" w:eastAsia="Arial" w:hAnsi="Arial"/>
                <w:sz w:val="16"/>
                <w:szCs w:val="16"/>
                <w:color w:val="0000FF"/>
                <w:w w:val="95"/>
              </w:rPr>
            </w:pPr>
            <w:hyperlink w:anchor="page59">
              <w:r>
                <w:rPr>
                  <w:rFonts w:ascii="Arial" w:cs="Arial" w:eastAsia="Arial" w:hAnsi="Arial"/>
                  <w:sz w:val="16"/>
                  <w:szCs w:val="16"/>
                  <w:color w:val="0000FF"/>
                  <w:w w:val="95"/>
                </w:rPr>
                <w:t>COMPARATIVE PER SHARE DATA</w:t>
              </w:r>
            </w:hyperlink>
          </w:p>
        </w:tc>
        <w:tc>
          <w:tcPr>
            <w:tcW w:w="1540" w:type="dxa"/>
            <w:vAlign w:val="bottom"/>
            <w:gridSpan w:val="11"/>
          </w:tcPr>
          <w:p>
            <w:pPr>
              <w:spacing w:after="0"/>
              <w:rPr>
                <w:sz w:val="17"/>
                <w:szCs w:val="17"/>
                <w:color w:val="auto"/>
              </w:rPr>
            </w:pPr>
          </w:p>
        </w:tc>
        <w:tc>
          <w:tcPr>
            <w:tcW w:w="6440" w:type="dxa"/>
            <w:vAlign w:val="bottom"/>
            <w:gridSpan w:val="13"/>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59">
              <w:r>
                <w:rPr>
                  <w:rFonts w:ascii="Arial" w:cs="Arial" w:eastAsia="Arial" w:hAnsi="Arial"/>
                  <w:sz w:val="16"/>
                  <w:szCs w:val="16"/>
                  <w:color w:val="0000FF"/>
                  <w:w w:val="78"/>
                </w:rPr>
                <w:t>23</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Borders>
              <w:bottom w:val="single" w:sz="8" w:color="0000FF"/>
            </w:tcBorders>
            <w:gridSpan w:val="28"/>
          </w:tcPr>
          <w:p>
            <w:pPr>
              <w:spacing w:after="0"/>
              <w:rPr>
                <w:rFonts w:ascii="Arial" w:cs="Arial" w:eastAsia="Arial" w:hAnsi="Arial"/>
                <w:sz w:val="16"/>
                <w:szCs w:val="16"/>
                <w:color w:val="0000FF"/>
                <w:w w:val="97"/>
              </w:rPr>
            </w:pPr>
            <w:hyperlink w:anchor="page61">
              <w:r>
                <w:rPr>
                  <w:rFonts w:ascii="Arial" w:cs="Arial" w:eastAsia="Arial" w:hAnsi="Arial"/>
                  <w:sz w:val="16"/>
                  <w:szCs w:val="16"/>
                  <w:color w:val="0000FF"/>
                  <w:w w:val="97"/>
                </w:rPr>
                <w:t>CAUTIONARY NOTE REGARDING FORWARD-LOOKING STATEMENTS</w:t>
              </w:r>
            </w:hyperlink>
          </w:p>
        </w:tc>
        <w:tc>
          <w:tcPr>
            <w:tcW w:w="5280" w:type="dxa"/>
            <w:vAlign w:val="bottom"/>
            <w:gridSpan w:val="6"/>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1">
              <w:r>
                <w:rPr>
                  <w:rFonts w:ascii="Arial" w:cs="Arial" w:eastAsia="Arial" w:hAnsi="Arial"/>
                  <w:sz w:val="16"/>
                  <w:szCs w:val="16"/>
                  <w:color w:val="0000FF"/>
                  <w:w w:val="78"/>
                </w:rPr>
                <w:t>25</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RISK FACTORS</w:t>
              </w:r>
            </w:hyperlink>
          </w:p>
        </w:tc>
        <w:tc>
          <w:tcPr>
            <w:tcW w:w="700" w:type="dxa"/>
            <w:vAlign w:val="bottom"/>
            <w:gridSpan w:val="5"/>
          </w:tcPr>
          <w:p>
            <w:pPr>
              <w:jc w:val="right"/>
              <w:spacing w:after="0"/>
              <w:rPr>
                <w:rFonts w:ascii="Arial" w:cs="Arial" w:eastAsia="Arial" w:hAnsi="Arial"/>
                <w:sz w:val="16"/>
                <w:szCs w:val="16"/>
                <w:color w:val="0000FF"/>
              </w:rPr>
            </w:pPr>
            <w:hyperlink w:anchor="page64">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0000FF"/>
            </w:tcBorders>
            <w:gridSpan w:val="19"/>
          </w:tcPr>
          <w:p>
            <w:pPr>
              <w:spacing w:after="0"/>
              <w:rPr>
                <w:rFonts w:ascii="Arial" w:cs="Arial" w:eastAsia="Arial" w:hAnsi="Arial"/>
                <w:sz w:val="16"/>
                <w:szCs w:val="16"/>
                <w:color w:val="0000FF"/>
                <w:w w:val="98"/>
              </w:rPr>
            </w:pPr>
            <w:hyperlink w:anchor="page117">
              <w:r>
                <w:rPr>
                  <w:rFonts w:ascii="Arial" w:cs="Arial" w:eastAsia="Arial" w:hAnsi="Arial"/>
                  <w:sz w:val="16"/>
                  <w:szCs w:val="16"/>
                  <w:color w:val="0000FF"/>
                  <w:w w:val="98"/>
                </w:rPr>
                <w:t>EXTRAORDINARY GENERAL MEETING OF ARYA</w:t>
              </w:r>
            </w:hyperlink>
          </w:p>
        </w:tc>
        <w:tc>
          <w:tcPr>
            <w:tcW w:w="6820" w:type="dxa"/>
            <w:vAlign w:val="bottom"/>
            <w:gridSpan w:val="15"/>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117">
              <w:r>
                <w:rPr>
                  <w:rFonts w:ascii="Arial" w:cs="Arial" w:eastAsia="Arial" w:hAnsi="Arial"/>
                  <w:sz w:val="16"/>
                  <w:szCs w:val="16"/>
                  <w:color w:val="0000FF"/>
                  <w:w w:val="78"/>
                </w:rPr>
                <w:t>81</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0000FF"/>
            </w:tcBorders>
            <w:gridSpan w:val="14"/>
          </w:tcPr>
          <w:p>
            <w:pPr>
              <w:spacing w:after="0"/>
              <w:rPr>
                <w:rFonts w:ascii="Arial" w:cs="Arial" w:eastAsia="Arial" w:hAnsi="Arial"/>
                <w:sz w:val="16"/>
                <w:szCs w:val="16"/>
                <w:color w:val="0000FF"/>
                <w:w w:val="96"/>
              </w:rPr>
            </w:pPr>
            <w:hyperlink w:anchor="page124">
              <w:r>
                <w:rPr>
                  <w:rFonts w:ascii="Arial" w:cs="Arial" w:eastAsia="Arial" w:hAnsi="Arial"/>
                  <w:sz w:val="16"/>
                  <w:szCs w:val="16"/>
                  <w:color w:val="0000FF"/>
                  <w:w w:val="96"/>
                </w:rPr>
                <w:t>BUSINESS COMBINATION PROPOSAL</w:t>
              </w:r>
            </w:hyperlink>
          </w:p>
        </w:tc>
        <w:tc>
          <w:tcPr>
            <w:tcW w:w="7680" w:type="dxa"/>
            <w:vAlign w:val="bottom"/>
            <w:gridSpan w:val="20"/>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124">
              <w:r>
                <w:rPr>
                  <w:rFonts w:ascii="Arial" w:cs="Arial" w:eastAsia="Arial" w:hAnsi="Arial"/>
                  <w:sz w:val="16"/>
                  <w:szCs w:val="16"/>
                  <w:color w:val="0000FF"/>
                  <w:w w:val="78"/>
                </w:rPr>
                <w:t>88</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157">
              <w:r>
                <w:rPr>
                  <w:rFonts w:ascii="Arial" w:cs="Arial" w:eastAsia="Arial" w:hAnsi="Arial"/>
                  <w:sz w:val="16"/>
                  <w:szCs w:val="16"/>
                  <w:color w:val="0000FF"/>
                </w:rPr>
                <w:t>DOMESTICATION PROPOSAL</w:t>
              </w:r>
            </w:hyperlink>
          </w:p>
        </w:tc>
        <w:tc>
          <w:tcPr>
            <w:tcW w:w="700" w:type="dxa"/>
            <w:vAlign w:val="bottom"/>
            <w:gridSpan w:val="5"/>
          </w:tcPr>
          <w:p>
            <w:pPr>
              <w:jc w:val="right"/>
              <w:spacing w:after="0"/>
              <w:rPr>
                <w:rFonts w:ascii="Arial" w:cs="Arial" w:eastAsia="Arial" w:hAnsi="Arial"/>
                <w:sz w:val="16"/>
                <w:szCs w:val="16"/>
                <w:color w:val="0000FF"/>
              </w:rPr>
            </w:pPr>
            <w:hyperlink w:anchor="page157">
              <w:r>
                <w:rPr>
                  <w:rFonts w:ascii="Arial" w:cs="Arial" w:eastAsia="Arial" w:hAnsi="Arial"/>
                  <w:sz w:val="16"/>
                  <w:szCs w:val="16"/>
                  <w:color w:val="0000FF"/>
                </w:rPr>
                <w:t>121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spacing w:after="0"/>
              <w:rPr>
                <w:rFonts w:ascii="Arial" w:cs="Arial" w:eastAsia="Arial" w:hAnsi="Arial"/>
                <w:sz w:val="16"/>
                <w:szCs w:val="16"/>
                <w:color w:val="0000FF"/>
              </w:rPr>
            </w:pPr>
            <w:hyperlink w:anchor="page160">
              <w:r>
                <w:rPr>
                  <w:rFonts w:ascii="Arial" w:cs="Arial" w:eastAsia="Arial" w:hAnsi="Arial"/>
                  <w:sz w:val="16"/>
                  <w:szCs w:val="16"/>
                  <w:color w:val="0000FF"/>
                </w:rPr>
                <w:t>CHARTER PROPOSAL</w:t>
              </w:r>
            </w:hyperlink>
          </w:p>
        </w:tc>
        <w:tc>
          <w:tcPr>
            <w:tcW w:w="8320" w:type="dxa"/>
            <w:vAlign w:val="bottom"/>
            <w:gridSpan w:val="26"/>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60">
              <w:r>
                <w:rPr>
                  <w:rFonts w:ascii="Arial" w:cs="Arial" w:eastAsia="Arial" w:hAnsi="Arial"/>
                  <w:sz w:val="16"/>
                  <w:szCs w:val="16"/>
                  <w:color w:val="0000FF"/>
                </w:rPr>
                <w:t>124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161">
              <w:r>
                <w:rPr>
                  <w:rFonts w:ascii="Arial" w:cs="Arial" w:eastAsia="Arial" w:hAnsi="Arial"/>
                  <w:sz w:val="16"/>
                  <w:szCs w:val="16"/>
                  <w:color w:val="0000FF"/>
                </w:rPr>
                <w:t>ADVISORY GOVERNING DOCUMENTS PROPOSALS</w:t>
              </w:r>
            </w:hyperlink>
          </w:p>
        </w:tc>
        <w:tc>
          <w:tcPr>
            <w:tcW w:w="700" w:type="dxa"/>
            <w:vAlign w:val="bottom"/>
            <w:gridSpan w:val="5"/>
          </w:tcPr>
          <w:p>
            <w:pPr>
              <w:jc w:val="right"/>
              <w:spacing w:after="0"/>
              <w:rPr>
                <w:rFonts w:ascii="Arial" w:cs="Arial" w:eastAsia="Arial" w:hAnsi="Arial"/>
                <w:sz w:val="16"/>
                <w:szCs w:val="16"/>
                <w:color w:val="0000FF"/>
              </w:rPr>
            </w:pPr>
            <w:hyperlink w:anchor="page161">
              <w:r>
                <w:rPr>
                  <w:rFonts w:ascii="Arial" w:cs="Arial" w:eastAsia="Arial" w:hAnsi="Arial"/>
                  <w:sz w:val="16"/>
                  <w:szCs w:val="16"/>
                  <w:color w:val="0000FF"/>
                </w:rPr>
                <w:t>125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0"/>
          </w:tcPr>
          <w:p>
            <w:pPr>
              <w:spacing w:after="0"/>
              <w:rPr>
                <w:rFonts w:ascii="Arial" w:cs="Arial" w:eastAsia="Arial" w:hAnsi="Arial"/>
                <w:sz w:val="16"/>
                <w:szCs w:val="16"/>
                <w:color w:val="0000FF"/>
              </w:rPr>
            </w:pPr>
            <w:hyperlink w:anchor="page173">
              <w:r>
                <w:rPr>
                  <w:rFonts w:ascii="Arial" w:cs="Arial" w:eastAsia="Arial" w:hAnsi="Arial"/>
                  <w:sz w:val="16"/>
                  <w:szCs w:val="16"/>
                  <w:color w:val="0000FF"/>
                </w:rPr>
                <w:t>NASDAQ PROPOSAL</w:t>
              </w:r>
            </w:hyperlink>
          </w:p>
        </w:tc>
        <w:tc>
          <w:tcPr>
            <w:tcW w:w="6660" w:type="dxa"/>
            <w:vAlign w:val="bottom"/>
            <w:gridSpan w:val="14"/>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73">
              <w:r>
                <w:rPr>
                  <w:rFonts w:ascii="Arial" w:cs="Arial" w:eastAsia="Arial" w:hAnsi="Arial"/>
                  <w:sz w:val="16"/>
                  <w:szCs w:val="16"/>
                  <w:color w:val="0000FF"/>
                </w:rPr>
                <w:t>137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18"/>
          </w:tcPr>
          <w:p>
            <w:pPr>
              <w:spacing w:after="0"/>
              <w:rPr>
                <w:rFonts w:ascii="Arial" w:cs="Arial" w:eastAsia="Arial" w:hAnsi="Arial"/>
                <w:sz w:val="18"/>
                <w:szCs w:val="18"/>
                <w:color w:val="0000FF"/>
                <w:w w:val="95"/>
              </w:rPr>
            </w:pPr>
            <w:hyperlink w:anchor="page175">
              <w:r>
                <w:rPr>
                  <w:rFonts w:ascii="Arial" w:cs="Arial" w:eastAsia="Arial" w:hAnsi="Arial"/>
                  <w:sz w:val="18"/>
                  <w:szCs w:val="18"/>
                  <w:color w:val="0000FF"/>
                  <w:w w:val="95"/>
                </w:rPr>
                <w:t>THE INCENTIVE AWARD PLAN PROPOSAL</w:t>
              </w:r>
            </w:hyperlink>
          </w:p>
        </w:tc>
        <w:tc>
          <w:tcPr>
            <w:tcW w:w="6980" w:type="dxa"/>
            <w:vAlign w:val="bottom"/>
            <w:gridSpan w:val="16"/>
          </w:tcPr>
          <w:p>
            <w:pPr>
              <w:spacing w:after="0"/>
              <w:rPr>
                <w:sz w:val="18"/>
                <w:szCs w:val="18"/>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75">
              <w:r>
                <w:rPr>
                  <w:rFonts w:ascii="Arial" w:cs="Arial" w:eastAsia="Arial" w:hAnsi="Arial"/>
                  <w:sz w:val="16"/>
                  <w:szCs w:val="16"/>
                  <w:color w:val="0000FF"/>
                </w:rPr>
                <w:t>139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23"/>
          </w:tcPr>
          <w:p>
            <w:pPr>
              <w:spacing w:after="0"/>
              <w:rPr>
                <w:rFonts w:ascii="Arial" w:cs="Arial" w:eastAsia="Arial" w:hAnsi="Arial"/>
                <w:sz w:val="18"/>
                <w:szCs w:val="18"/>
                <w:color w:val="0000FF"/>
                <w:w w:val="94"/>
              </w:rPr>
            </w:pPr>
            <w:hyperlink w:anchor="page184">
              <w:r>
                <w:rPr>
                  <w:rFonts w:ascii="Arial" w:cs="Arial" w:eastAsia="Arial" w:hAnsi="Arial"/>
                  <w:sz w:val="18"/>
                  <w:szCs w:val="18"/>
                  <w:color w:val="0000FF"/>
                  <w:w w:val="94"/>
                </w:rPr>
                <w:t>THE EMPLOYEE STOCK PURCHASE PLAN PROPOSAL</w:t>
              </w:r>
            </w:hyperlink>
          </w:p>
        </w:tc>
        <w:tc>
          <w:tcPr>
            <w:tcW w:w="6040" w:type="dxa"/>
            <w:vAlign w:val="bottom"/>
            <w:gridSpan w:val="11"/>
          </w:tcPr>
          <w:p>
            <w:pPr>
              <w:spacing w:after="0"/>
              <w:rPr>
                <w:sz w:val="18"/>
                <w:szCs w:val="18"/>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84">
              <w:r>
                <w:rPr>
                  <w:rFonts w:ascii="Arial" w:cs="Arial" w:eastAsia="Arial" w:hAnsi="Arial"/>
                  <w:sz w:val="16"/>
                  <w:szCs w:val="16"/>
                  <w:color w:val="0000FF"/>
                </w:rPr>
                <w:t>148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3"/>
          </w:tcPr>
          <w:p>
            <w:pPr>
              <w:spacing w:after="0"/>
              <w:rPr>
                <w:rFonts w:ascii="Arial" w:cs="Arial" w:eastAsia="Arial" w:hAnsi="Arial"/>
                <w:sz w:val="16"/>
                <w:szCs w:val="16"/>
                <w:color w:val="0000FF"/>
              </w:rPr>
            </w:pPr>
            <w:hyperlink w:anchor="page189">
              <w:r>
                <w:rPr>
                  <w:rFonts w:ascii="Arial" w:cs="Arial" w:eastAsia="Arial" w:hAnsi="Arial"/>
                  <w:sz w:val="16"/>
                  <w:szCs w:val="16"/>
                  <w:color w:val="0000FF"/>
                </w:rPr>
                <w:t>ADJOURNMENT PROPOSAL</w:t>
              </w:r>
            </w:hyperlink>
          </w:p>
        </w:tc>
        <w:tc>
          <w:tcPr>
            <w:tcW w:w="6040" w:type="dxa"/>
            <w:vAlign w:val="bottom"/>
            <w:gridSpan w:val="11"/>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189">
              <w:r>
                <w:rPr>
                  <w:rFonts w:ascii="Arial" w:cs="Arial" w:eastAsia="Arial" w:hAnsi="Arial"/>
                  <w:sz w:val="16"/>
                  <w:szCs w:val="16"/>
                  <w:color w:val="0000FF"/>
                </w:rPr>
                <w:t>153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191">
              <w:r>
                <w:rPr>
                  <w:rFonts w:ascii="Arial" w:cs="Arial" w:eastAsia="Arial" w:hAnsi="Arial"/>
                  <w:sz w:val="16"/>
                  <w:szCs w:val="16"/>
                  <w:color w:val="0000FF"/>
                </w:rPr>
                <w:t>MATERIAL U.S. FEDERAL INCOME TAX CONSIDERATIONS</w:t>
              </w:r>
            </w:hyperlink>
          </w:p>
        </w:tc>
        <w:tc>
          <w:tcPr>
            <w:tcW w:w="700" w:type="dxa"/>
            <w:vAlign w:val="bottom"/>
            <w:gridSpan w:val="5"/>
          </w:tcPr>
          <w:p>
            <w:pPr>
              <w:jc w:val="right"/>
              <w:spacing w:after="0"/>
              <w:rPr>
                <w:rFonts w:ascii="Arial" w:cs="Arial" w:eastAsia="Arial" w:hAnsi="Arial"/>
                <w:sz w:val="16"/>
                <w:szCs w:val="16"/>
                <w:color w:val="0000FF"/>
              </w:rPr>
            </w:pPr>
            <w:hyperlink w:anchor="page191">
              <w:r>
                <w:rPr>
                  <w:rFonts w:ascii="Arial" w:cs="Arial" w:eastAsia="Arial" w:hAnsi="Arial"/>
                  <w:sz w:val="16"/>
                  <w:szCs w:val="16"/>
                  <w:color w:val="0000FF"/>
                </w:rPr>
                <w:t>155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202">
              <w:r>
                <w:rPr>
                  <w:rFonts w:ascii="Arial" w:cs="Arial" w:eastAsia="Arial" w:hAnsi="Arial"/>
                  <w:sz w:val="16"/>
                  <w:szCs w:val="16"/>
                  <w:color w:val="0000FF"/>
                </w:rPr>
                <w:t>UNAUDITED PRO FORMA COMBINED FINANCIAL INFORMATION</w:t>
              </w:r>
            </w:hyperlink>
          </w:p>
        </w:tc>
        <w:tc>
          <w:tcPr>
            <w:tcW w:w="700" w:type="dxa"/>
            <w:vAlign w:val="bottom"/>
            <w:gridSpan w:val="5"/>
          </w:tcPr>
          <w:p>
            <w:pPr>
              <w:jc w:val="right"/>
              <w:spacing w:after="0"/>
              <w:rPr>
                <w:rFonts w:ascii="Arial" w:cs="Arial" w:eastAsia="Arial" w:hAnsi="Arial"/>
                <w:sz w:val="16"/>
                <w:szCs w:val="16"/>
                <w:color w:val="0000FF"/>
              </w:rPr>
            </w:pPr>
            <w:hyperlink w:anchor="page202">
              <w:r>
                <w:rPr>
                  <w:rFonts w:ascii="Arial" w:cs="Arial" w:eastAsia="Arial" w:hAnsi="Arial"/>
                  <w:sz w:val="16"/>
                  <w:szCs w:val="16"/>
                  <w:color w:val="0000FF"/>
                </w:rPr>
                <w:t>166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gridSpan w:val="9"/>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INFORMATION ABOUT ARYA</w:t>
              </w:r>
            </w:hyperlink>
          </w:p>
        </w:tc>
        <w:tc>
          <w:tcPr>
            <w:tcW w:w="2700" w:type="dxa"/>
            <w:vAlign w:val="bottom"/>
            <w:gridSpan w:val="17"/>
          </w:tcPr>
          <w:p>
            <w:pPr>
              <w:spacing w:after="0"/>
              <w:rPr>
                <w:sz w:val="17"/>
                <w:szCs w:val="17"/>
                <w:color w:val="auto"/>
              </w:rPr>
            </w:pPr>
          </w:p>
        </w:tc>
        <w:tc>
          <w:tcPr>
            <w:tcW w:w="5600" w:type="dxa"/>
            <w:vAlign w:val="bottom"/>
            <w:gridSpan w:val="8"/>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09">
              <w:r>
                <w:rPr>
                  <w:rFonts w:ascii="Arial" w:cs="Arial" w:eastAsia="Arial" w:hAnsi="Arial"/>
                  <w:sz w:val="16"/>
                  <w:szCs w:val="16"/>
                  <w:color w:val="0000FF"/>
                </w:rPr>
                <w:t>173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224">
              <w:r>
                <w:rPr>
                  <w:rFonts w:ascii="Arial" w:cs="Arial" w:eastAsia="Arial" w:hAnsi="Arial"/>
                  <w:sz w:val="16"/>
                  <w:szCs w:val="16"/>
                  <w:color w:val="0000FF"/>
                </w:rPr>
                <w:t>ARYA’S MANAGEMENT’S DISCUSSION AND ANALYSIS OF FINANCIAL CONDITION AND RESULTS OF OPERATIONS</w:t>
              </w:r>
            </w:hyperlink>
          </w:p>
        </w:tc>
        <w:tc>
          <w:tcPr>
            <w:tcW w:w="700" w:type="dxa"/>
            <w:vAlign w:val="bottom"/>
            <w:gridSpan w:val="5"/>
          </w:tcPr>
          <w:p>
            <w:pPr>
              <w:jc w:val="right"/>
              <w:spacing w:after="0"/>
              <w:rPr>
                <w:rFonts w:ascii="Arial" w:cs="Arial" w:eastAsia="Arial" w:hAnsi="Arial"/>
                <w:sz w:val="16"/>
                <w:szCs w:val="16"/>
                <w:color w:val="0000FF"/>
              </w:rPr>
            </w:pPr>
            <w:hyperlink w:anchor="page224">
              <w:r>
                <w:rPr>
                  <w:rFonts w:ascii="Arial" w:cs="Arial" w:eastAsia="Arial" w:hAnsi="Arial"/>
                  <w:sz w:val="16"/>
                  <w:szCs w:val="16"/>
                  <w:color w:val="0000FF"/>
                </w:rPr>
                <w:t>188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gridSpan w:val="11"/>
          </w:tcPr>
          <w:p>
            <w:pPr>
              <w:spacing w:after="0"/>
              <w:rPr>
                <w:rFonts w:ascii="Arial" w:cs="Arial" w:eastAsia="Arial" w:hAnsi="Arial"/>
                <w:sz w:val="16"/>
                <w:szCs w:val="16"/>
                <w:color w:val="0000FF"/>
              </w:rPr>
            </w:pPr>
            <w:hyperlink w:anchor="page231">
              <w:r>
                <w:rPr>
                  <w:rFonts w:ascii="Arial" w:cs="Arial" w:eastAsia="Arial" w:hAnsi="Arial"/>
                  <w:sz w:val="16"/>
                  <w:szCs w:val="16"/>
                  <w:color w:val="0000FF"/>
                </w:rPr>
                <w:t xml:space="preserve">INFORMATION ABOUT </w:t>
              </w:r>
            </w:hyperlink>
            <w:r>
              <w:rPr>
                <w:rFonts w:ascii="Arial" w:cs="Arial" w:eastAsia="Arial" w:hAnsi="Arial"/>
                <w:sz w:val="16"/>
                <w:szCs w:val="16"/>
                <w:color w:val="0000FF"/>
              </w:rPr>
              <w:t>NAUTILUS</w:t>
            </w:r>
          </w:p>
        </w:tc>
        <w:tc>
          <w:tcPr>
            <w:tcW w:w="6040" w:type="dxa"/>
            <w:vAlign w:val="bottom"/>
            <w:gridSpan w:val="21"/>
          </w:tcPr>
          <w:p>
            <w:pPr>
              <w:spacing w:after="0"/>
              <w:rPr>
                <w:sz w:val="17"/>
                <w:szCs w:val="17"/>
                <w:color w:val="auto"/>
              </w:rPr>
            </w:pPr>
          </w:p>
        </w:tc>
        <w:tc>
          <w:tcPr>
            <w:tcW w:w="1880" w:type="dxa"/>
            <w:vAlign w:val="bottom"/>
            <w:gridSpan w:val="2"/>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31">
              <w:r>
                <w:rPr>
                  <w:rFonts w:ascii="Arial" w:cs="Arial" w:eastAsia="Arial" w:hAnsi="Arial"/>
                  <w:sz w:val="16"/>
                  <w:szCs w:val="16"/>
                  <w:color w:val="0000FF"/>
                </w:rPr>
                <w:t>195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3"/>
          </w:tcPr>
          <w:p>
            <w:pPr>
              <w:spacing w:after="0"/>
              <w:rPr>
                <w:rFonts w:ascii="Arial" w:cs="Arial" w:eastAsia="Arial" w:hAnsi="Arial"/>
                <w:sz w:val="16"/>
                <w:szCs w:val="16"/>
                <w:color w:val="0000FF"/>
                <w:w w:val="98"/>
              </w:rPr>
            </w:pPr>
            <w:hyperlink w:anchor="page267">
              <w:r>
                <w:rPr>
                  <w:rFonts w:ascii="Arial" w:cs="Arial" w:eastAsia="Arial" w:hAnsi="Arial"/>
                  <w:sz w:val="16"/>
                  <w:szCs w:val="16"/>
                  <w:color w:val="0000FF"/>
                  <w:w w:val="98"/>
                </w:rPr>
                <w:t>NAUTILUS’ MANAGEMENT’S DISCUSSION AND ANALYSIS OF FINANCIAL CONDITION AND RESULTS OF OPERATIONS</w:t>
              </w:r>
            </w:hyperlink>
          </w:p>
        </w:tc>
        <w:tc>
          <w:tcPr>
            <w:tcW w:w="1560" w:type="dxa"/>
            <w:vAlign w:val="bottom"/>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67">
              <w:r>
                <w:rPr>
                  <w:rFonts w:ascii="Arial" w:cs="Arial" w:eastAsia="Arial" w:hAnsi="Arial"/>
                  <w:sz w:val="16"/>
                  <w:szCs w:val="16"/>
                  <w:color w:val="0000FF"/>
                </w:rPr>
                <w:t>231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gridSpan w:val="16"/>
          </w:tcPr>
          <w:p>
            <w:pPr>
              <w:spacing w:after="0"/>
              <w:rPr>
                <w:rFonts w:ascii="Arial" w:cs="Arial" w:eastAsia="Arial" w:hAnsi="Arial"/>
                <w:sz w:val="16"/>
                <w:szCs w:val="16"/>
                <w:color w:val="0000FF"/>
                <w:w w:val="98"/>
              </w:rPr>
            </w:pPr>
            <w:hyperlink w:anchor="page279">
              <w:r>
                <w:rPr>
                  <w:rFonts w:ascii="Arial" w:cs="Arial" w:eastAsia="Arial" w:hAnsi="Arial"/>
                  <w:sz w:val="16"/>
                  <w:szCs w:val="16"/>
                  <w:color w:val="0000FF"/>
                  <w:w w:val="98"/>
                </w:rPr>
                <w:t>NAUTILUS EXECUTIVE COMPENSATION</w:t>
              </w:r>
            </w:hyperlink>
          </w:p>
        </w:tc>
        <w:tc>
          <w:tcPr>
            <w:tcW w:w="5880" w:type="dxa"/>
            <w:vAlign w:val="bottom"/>
            <w:gridSpan w:val="17"/>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79">
              <w:r>
                <w:rPr>
                  <w:rFonts w:ascii="Arial" w:cs="Arial" w:eastAsia="Arial" w:hAnsi="Arial"/>
                  <w:sz w:val="16"/>
                  <w:szCs w:val="16"/>
                  <w:color w:val="0000FF"/>
                </w:rPr>
                <w:t>243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gridSpan w:val="15"/>
          </w:tcPr>
          <w:p>
            <w:pPr>
              <w:spacing w:after="0"/>
              <w:rPr>
                <w:rFonts w:ascii="Arial" w:cs="Arial" w:eastAsia="Arial" w:hAnsi="Arial"/>
                <w:sz w:val="16"/>
                <w:szCs w:val="16"/>
                <w:color w:val="0000FF"/>
                <w:w w:val="96"/>
              </w:rPr>
            </w:pPr>
            <w:hyperlink w:anchor="page288">
              <w:r>
                <w:rPr>
                  <w:rFonts w:ascii="Arial" w:cs="Arial" w:eastAsia="Arial" w:hAnsi="Arial"/>
                  <w:sz w:val="16"/>
                  <w:szCs w:val="16"/>
                  <w:color w:val="0000FF"/>
                  <w:w w:val="96"/>
                </w:rPr>
                <w:t>NAUTILUS DIRECTOR COMPENSATION</w:t>
              </w:r>
            </w:hyperlink>
          </w:p>
        </w:tc>
        <w:tc>
          <w:tcPr>
            <w:tcW w:w="100" w:type="dxa"/>
            <w:vAlign w:val="bottom"/>
          </w:tcPr>
          <w:p>
            <w:pPr>
              <w:spacing w:after="0"/>
              <w:rPr>
                <w:sz w:val="17"/>
                <w:szCs w:val="17"/>
                <w:color w:val="auto"/>
              </w:rPr>
            </w:pPr>
          </w:p>
        </w:tc>
        <w:tc>
          <w:tcPr>
            <w:tcW w:w="7440" w:type="dxa"/>
            <w:vAlign w:val="bottom"/>
            <w:gridSpan w:val="18"/>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88">
              <w:r>
                <w:rPr>
                  <w:rFonts w:ascii="Arial" w:cs="Arial" w:eastAsia="Arial" w:hAnsi="Arial"/>
                  <w:sz w:val="16"/>
                  <w:szCs w:val="16"/>
                  <w:color w:val="0000FF"/>
                </w:rPr>
                <w:t>252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5"/>
          </w:tcPr>
          <w:p>
            <w:pPr>
              <w:spacing w:after="0"/>
              <w:rPr>
                <w:rFonts w:ascii="Arial" w:cs="Arial" w:eastAsia="Arial" w:hAnsi="Arial"/>
                <w:sz w:val="16"/>
                <w:szCs w:val="16"/>
                <w:color w:val="0000FF"/>
                <w:w w:val="99"/>
              </w:rPr>
            </w:pPr>
            <w:hyperlink w:anchor="page292">
              <w:r>
                <w:rPr>
                  <w:rFonts w:ascii="Arial" w:cs="Arial" w:eastAsia="Arial" w:hAnsi="Arial"/>
                  <w:sz w:val="16"/>
                  <w:szCs w:val="16"/>
                  <w:color w:val="0000FF"/>
                  <w:w w:val="99"/>
                </w:rPr>
                <w:t xml:space="preserve">MANAGEMENT </w:t>
              </w:r>
            </w:hyperlink>
            <w:r>
              <w:rPr>
                <w:rFonts w:ascii="Arial" w:cs="Arial" w:eastAsia="Arial" w:hAnsi="Arial"/>
                <w:sz w:val="16"/>
                <w:szCs w:val="16"/>
                <w:color w:val="0000FF"/>
                <w:w w:val="99"/>
              </w:rPr>
              <w:t xml:space="preserve">FOLLOWING </w:t>
            </w:r>
            <w:hyperlink w:anchor="page292">
              <w:r>
                <w:rPr>
                  <w:rFonts w:ascii="Arial" w:cs="Arial" w:eastAsia="Arial" w:hAnsi="Arial"/>
                  <w:sz w:val="16"/>
                  <w:szCs w:val="16"/>
                  <w:color w:val="0000FF"/>
                  <w:w w:val="99"/>
                </w:rPr>
                <w:t>THE BUSINESS COMBINATION</w:t>
              </w:r>
            </w:hyperlink>
          </w:p>
        </w:tc>
        <w:tc>
          <w:tcPr>
            <w:tcW w:w="5980" w:type="dxa"/>
            <w:vAlign w:val="bottom"/>
            <w:gridSpan w:val="9"/>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92">
              <w:r>
                <w:rPr>
                  <w:rFonts w:ascii="Arial" w:cs="Arial" w:eastAsia="Arial" w:hAnsi="Arial"/>
                  <w:sz w:val="16"/>
                  <w:szCs w:val="16"/>
                  <w:color w:val="0000FF"/>
                </w:rPr>
                <w:t>256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25"/>
          </w:tcPr>
          <w:p>
            <w:pPr>
              <w:spacing w:after="0"/>
              <w:rPr>
                <w:rFonts w:ascii="Arial" w:cs="Arial" w:eastAsia="Arial" w:hAnsi="Arial"/>
                <w:sz w:val="16"/>
                <w:szCs w:val="16"/>
                <w:color w:val="0000FF"/>
              </w:rPr>
            </w:pPr>
            <w:hyperlink w:anchor="page299">
              <w:r>
                <w:rPr>
                  <w:rFonts w:ascii="Arial" w:cs="Arial" w:eastAsia="Arial" w:hAnsi="Arial"/>
                  <w:sz w:val="16"/>
                  <w:szCs w:val="16"/>
                  <w:color w:val="0000FF"/>
                </w:rPr>
                <w:t>BENEFICIAL OWNERSHIP OF SECURITIES</w:t>
              </w:r>
            </w:hyperlink>
          </w:p>
        </w:tc>
        <w:tc>
          <w:tcPr>
            <w:tcW w:w="5980" w:type="dxa"/>
            <w:vAlign w:val="bottom"/>
            <w:gridSpan w:val="9"/>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299">
              <w:r>
                <w:rPr>
                  <w:rFonts w:ascii="Arial" w:cs="Arial" w:eastAsia="Arial" w:hAnsi="Arial"/>
                  <w:sz w:val="16"/>
                  <w:szCs w:val="16"/>
                  <w:color w:val="0000FF"/>
                </w:rPr>
                <w:t>263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303">
              <w:r>
                <w:rPr>
                  <w:rFonts w:ascii="Arial" w:cs="Arial" w:eastAsia="Arial" w:hAnsi="Arial"/>
                  <w:sz w:val="16"/>
                  <w:szCs w:val="16"/>
                  <w:color w:val="0000FF"/>
                </w:rPr>
                <w:t>CERTAIN RELATIONSHIPS AND RELATED PERSON TRANSACTIONS</w:t>
              </w:r>
            </w:hyperlink>
          </w:p>
        </w:tc>
        <w:tc>
          <w:tcPr>
            <w:tcW w:w="700" w:type="dxa"/>
            <w:vAlign w:val="bottom"/>
            <w:gridSpan w:val="5"/>
          </w:tcPr>
          <w:p>
            <w:pPr>
              <w:jc w:val="right"/>
              <w:spacing w:after="0"/>
              <w:rPr>
                <w:rFonts w:ascii="Arial" w:cs="Arial" w:eastAsia="Arial" w:hAnsi="Arial"/>
                <w:sz w:val="16"/>
                <w:szCs w:val="16"/>
                <w:color w:val="0000FF"/>
              </w:rPr>
            </w:pPr>
            <w:hyperlink w:anchor="page303">
              <w:r>
                <w:rPr>
                  <w:rFonts w:ascii="Arial" w:cs="Arial" w:eastAsia="Arial" w:hAnsi="Arial"/>
                  <w:sz w:val="16"/>
                  <w:szCs w:val="16"/>
                  <w:color w:val="0000FF"/>
                </w:rPr>
                <w:t>267</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tcBorders>
            <w:gridSpan w:val="8"/>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310">
              <w:r>
                <w:rPr>
                  <w:rFonts w:ascii="Arial" w:cs="Arial" w:eastAsia="Arial" w:hAnsi="Arial"/>
                  <w:sz w:val="16"/>
                  <w:szCs w:val="16"/>
                  <w:color w:val="0000FF"/>
                </w:rPr>
                <w:t>COMPARISON OF CORPORATE GOVERNANCE AND SHAREHOLDER RIGHTS</w:t>
              </w:r>
            </w:hyperlink>
          </w:p>
        </w:tc>
        <w:tc>
          <w:tcPr>
            <w:tcW w:w="700" w:type="dxa"/>
            <w:vAlign w:val="bottom"/>
            <w:gridSpan w:val="5"/>
          </w:tcPr>
          <w:p>
            <w:pPr>
              <w:jc w:val="right"/>
              <w:spacing w:after="0"/>
              <w:rPr>
                <w:rFonts w:ascii="Arial" w:cs="Arial" w:eastAsia="Arial" w:hAnsi="Arial"/>
                <w:sz w:val="16"/>
                <w:szCs w:val="16"/>
                <w:color w:val="0000FF"/>
              </w:rPr>
            </w:pPr>
            <w:hyperlink w:anchor="page310">
              <w:r>
                <w:rPr>
                  <w:rFonts w:ascii="Arial" w:cs="Arial" w:eastAsia="Arial" w:hAnsi="Arial"/>
                  <w:sz w:val="16"/>
                  <w:szCs w:val="16"/>
                  <w:color w:val="0000FF"/>
                </w:rPr>
                <w:t>274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tcBorders>
            <w:gridSpan w:val="10"/>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9"/>
          </w:tcPr>
          <w:p>
            <w:pPr>
              <w:spacing w:after="0"/>
              <w:rPr>
                <w:rFonts w:ascii="Arial" w:cs="Arial" w:eastAsia="Arial" w:hAnsi="Arial"/>
                <w:sz w:val="16"/>
                <w:szCs w:val="16"/>
                <w:color w:val="0000FF"/>
              </w:rPr>
            </w:pPr>
            <w:hyperlink w:anchor="page312">
              <w:r>
                <w:rPr>
                  <w:rFonts w:ascii="Arial" w:cs="Arial" w:eastAsia="Arial" w:hAnsi="Arial"/>
                  <w:sz w:val="16"/>
                  <w:szCs w:val="16"/>
                  <w:color w:val="0000FF"/>
                </w:rPr>
                <w:t>DESCRIPTION OF NEW NAUTILUS SECURITIES</w:t>
              </w:r>
            </w:hyperlink>
          </w:p>
        </w:tc>
        <w:tc>
          <w:tcPr>
            <w:tcW w:w="4820" w:type="dxa"/>
            <w:vAlign w:val="bottom"/>
            <w:gridSpan w:val="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2">
              <w:r>
                <w:rPr>
                  <w:rFonts w:ascii="Arial" w:cs="Arial" w:eastAsia="Arial" w:hAnsi="Arial"/>
                  <w:sz w:val="16"/>
                  <w:szCs w:val="16"/>
                  <w:color w:val="0000FF"/>
                </w:rPr>
                <w:t>276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317">
              <w:r>
                <w:rPr>
                  <w:rFonts w:ascii="Arial" w:cs="Arial" w:eastAsia="Arial" w:hAnsi="Arial"/>
                  <w:sz w:val="16"/>
                  <w:szCs w:val="16"/>
                  <w:color w:val="0000FF"/>
                </w:rPr>
                <w:t>SECURITIES ACT RESTRICTIONS ON RESALE OF NEW NAUTILUS COMMON STOCK</w:t>
              </w:r>
            </w:hyperlink>
          </w:p>
        </w:tc>
        <w:tc>
          <w:tcPr>
            <w:tcW w:w="700" w:type="dxa"/>
            <w:vAlign w:val="bottom"/>
            <w:gridSpan w:val="5"/>
          </w:tcPr>
          <w:p>
            <w:pPr>
              <w:jc w:val="right"/>
              <w:spacing w:after="0"/>
              <w:rPr>
                <w:rFonts w:ascii="Arial" w:cs="Arial" w:eastAsia="Arial" w:hAnsi="Arial"/>
                <w:sz w:val="16"/>
                <w:szCs w:val="16"/>
                <w:color w:val="0000FF"/>
              </w:rPr>
            </w:pPr>
            <w:hyperlink w:anchor="page317">
              <w:r>
                <w:rPr>
                  <w:rFonts w:ascii="Arial" w:cs="Arial" w:eastAsia="Arial" w:hAnsi="Arial"/>
                  <w:sz w:val="16"/>
                  <w:szCs w:val="16"/>
                  <w:color w:val="0000FF"/>
                </w:rPr>
                <w:t>281</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1"/>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gridSpan w:val="31"/>
          </w:tcPr>
          <w:p>
            <w:pPr>
              <w:spacing w:after="0"/>
              <w:rPr>
                <w:rFonts w:ascii="Arial" w:cs="Arial" w:eastAsia="Arial" w:hAnsi="Arial"/>
                <w:sz w:val="16"/>
                <w:szCs w:val="16"/>
                <w:color w:val="0000FF"/>
              </w:rPr>
            </w:pPr>
            <w:hyperlink w:anchor="page318">
              <w:r>
                <w:rPr>
                  <w:rFonts w:ascii="Arial" w:cs="Arial" w:eastAsia="Arial" w:hAnsi="Arial"/>
                  <w:sz w:val="16"/>
                  <w:szCs w:val="16"/>
                  <w:color w:val="0000FF"/>
                </w:rPr>
                <w:t>STOCKHOLDER PROPOSALS AND NOMINATIONS</w:t>
              </w:r>
            </w:hyperlink>
          </w:p>
        </w:tc>
        <w:tc>
          <w:tcPr>
            <w:tcW w:w="4240" w:type="dxa"/>
            <w:vAlign w:val="bottom"/>
            <w:gridSpan w:val="3"/>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8">
              <w:r>
                <w:rPr>
                  <w:rFonts w:ascii="Arial" w:cs="Arial" w:eastAsia="Arial" w:hAnsi="Arial"/>
                  <w:sz w:val="16"/>
                  <w:szCs w:val="16"/>
                  <w:color w:val="0000FF"/>
                </w:rPr>
                <w:t>282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1"/>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gridSpan w:val="12"/>
          </w:tcPr>
          <w:p>
            <w:pPr>
              <w:spacing w:after="0"/>
              <w:rPr>
                <w:rFonts w:ascii="Arial" w:cs="Arial" w:eastAsia="Arial" w:hAnsi="Arial"/>
                <w:sz w:val="16"/>
                <w:szCs w:val="16"/>
                <w:color w:val="0000FF"/>
                <w:w w:val="97"/>
              </w:rPr>
            </w:pPr>
            <w:hyperlink w:anchor="page319">
              <w:r>
                <w:rPr>
                  <w:rFonts w:ascii="Arial" w:cs="Arial" w:eastAsia="Arial" w:hAnsi="Arial"/>
                  <w:sz w:val="16"/>
                  <w:szCs w:val="16"/>
                  <w:color w:val="0000FF"/>
                  <w:w w:val="97"/>
                </w:rPr>
                <w:t>SHAREHOLDER COMMUNICATIONS</w:t>
              </w:r>
            </w:hyperlink>
          </w:p>
        </w:tc>
        <w:tc>
          <w:tcPr>
            <w:tcW w:w="960" w:type="dxa"/>
            <w:vAlign w:val="bottom"/>
            <w:gridSpan w:val="7"/>
          </w:tcPr>
          <w:p>
            <w:pPr>
              <w:spacing w:after="0"/>
              <w:rPr>
                <w:sz w:val="17"/>
                <w:szCs w:val="17"/>
                <w:color w:val="auto"/>
              </w:rPr>
            </w:pPr>
          </w:p>
        </w:tc>
        <w:tc>
          <w:tcPr>
            <w:tcW w:w="6820" w:type="dxa"/>
            <w:vAlign w:val="bottom"/>
            <w:gridSpan w:val="1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tcPr>
          <w:p>
            <w:pPr>
              <w:spacing w:after="0"/>
              <w:rPr>
                <w:rFonts w:ascii="Arial" w:cs="Arial" w:eastAsia="Arial" w:hAnsi="Arial"/>
                <w:sz w:val="16"/>
                <w:szCs w:val="16"/>
                <w:color w:val="0000FF"/>
                <w:w w:val="98"/>
              </w:rPr>
            </w:pPr>
            <w:hyperlink w:anchor="page319">
              <w:r>
                <w:rPr>
                  <w:rFonts w:ascii="Arial" w:cs="Arial" w:eastAsia="Arial" w:hAnsi="Arial"/>
                  <w:sz w:val="16"/>
                  <w:szCs w:val="16"/>
                  <w:color w:val="0000FF"/>
                  <w:w w:val="98"/>
                </w:rPr>
                <w:t>LEGAL MATTERS</w:t>
              </w:r>
            </w:hyperlink>
          </w:p>
        </w:tc>
        <w:tc>
          <w:tcPr>
            <w:tcW w:w="1400" w:type="dxa"/>
            <w:vAlign w:val="bottom"/>
            <w:gridSpan w:val="9"/>
          </w:tcPr>
          <w:p>
            <w:pPr>
              <w:spacing w:after="0"/>
              <w:rPr>
                <w:sz w:val="17"/>
                <w:szCs w:val="17"/>
                <w:color w:val="auto"/>
              </w:rPr>
            </w:pPr>
          </w:p>
        </w:tc>
        <w:tc>
          <w:tcPr>
            <w:tcW w:w="7780" w:type="dxa"/>
            <w:vAlign w:val="bottom"/>
            <w:gridSpan w:val="22"/>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rFonts w:ascii="Arial" w:cs="Arial" w:eastAsia="Arial" w:hAnsi="Arial"/>
                <w:sz w:val="16"/>
                <w:szCs w:val="16"/>
                <w:color w:val="0000FF"/>
                <w:w w:val="90"/>
              </w:rPr>
            </w:pPr>
            <w:hyperlink w:anchor="page319">
              <w:r>
                <w:rPr>
                  <w:rFonts w:ascii="Arial" w:cs="Arial" w:eastAsia="Arial" w:hAnsi="Arial"/>
                  <w:sz w:val="16"/>
                  <w:szCs w:val="16"/>
                  <w:color w:val="0000FF"/>
                  <w:w w:val="90"/>
                </w:rPr>
                <w:t>EXPERTS</w:t>
              </w:r>
            </w:hyperlink>
          </w:p>
        </w:tc>
        <w:tc>
          <w:tcPr>
            <w:tcW w:w="620" w:type="dxa"/>
            <w:vAlign w:val="bottom"/>
            <w:gridSpan w:val="2"/>
          </w:tcPr>
          <w:p>
            <w:pPr>
              <w:spacing w:after="0"/>
              <w:rPr>
                <w:sz w:val="17"/>
                <w:szCs w:val="17"/>
                <w:color w:val="auto"/>
              </w:rPr>
            </w:pPr>
          </w:p>
        </w:tc>
        <w:tc>
          <w:tcPr>
            <w:tcW w:w="9180" w:type="dxa"/>
            <w:vAlign w:val="bottom"/>
            <w:gridSpan w:val="31"/>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19"/>
          </w:tcPr>
          <w:p>
            <w:pPr>
              <w:spacing w:after="0"/>
              <w:rPr>
                <w:rFonts w:ascii="Arial" w:cs="Arial" w:eastAsia="Arial" w:hAnsi="Arial"/>
                <w:sz w:val="16"/>
                <w:szCs w:val="16"/>
                <w:color w:val="0000FF"/>
                <w:w w:val="96"/>
              </w:rPr>
            </w:pPr>
            <w:hyperlink w:anchor="page320">
              <w:r>
                <w:rPr>
                  <w:rFonts w:ascii="Arial" w:cs="Arial" w:eastAsia="Arial" w:hAnsi="Arial"/>
                  <w:sz w:val="16"/>
                  <w:szCs w:val="16"/>
                  <w:color w:val="0000FF"/>
                  <w:w w:val="96"/>
                </w:rPr>
                <w:t>DELIVERY OF DOCUMENTS TO SHAREHOLDERS</w:t>
              </w:r>
            </w:hyperlink>
          </w:p>
        </w:tc>
        <w:tc>
          <w:tcPr>
            <w:tcW w:w="6820" w:type="dxa"/>
            <w:vAlign w:val="bottom"/>
            <w:gridSpan w:val="1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gridSpan w:val="15"/>
          </w:tcPr>
          <w:p>
            <w:pPr>
              <w:spacing w:after="0"/>
              <w:rPr>
                <w:rFonts w:ascii="Arial" w:cs="Arial" w:eastAsia="Arial" w:hAnsi="Arial"/>
                <w:sz w:val="16"/>
                <w:szCs w:val="16"/>
                <w:color w:val="0000FF"/>
              </w:rPr>
            </w:pPr>
            <w:hyperlink w:anchor="page320">
              <w:r>
                <w:rPr>
                  <w:rFonts w:ascii="Arial" w:cs="Arial" w:eastAsia="Arial" w:hAnsi="Arial"/>
                  <w:sz w:val="16"/>
                  <w:szCs w:val="16"/>
                  <w:color w:val="0000FF"/>
                </w:rPr>
                <w:t>ENFORCEABILITY OF CIVIL LIABILITY</w:t>
              </w:r>
            </w:hyperlink>
          </w:p>
        </w:tc>
        <w:tc>
          <w:tcPr>
            <w:tcW w:w="720" w:type="dxa"/>
            <w:vAlign w:val="bottom"/>
            <w:gridSpan w:val="4"/>
          </w:tcPr>
          <w:p>
            <w:pPr>
              <w:spacing w:after="0"/>
              <w:rPr>
                <w:sz w:val="17"/>
                <w:szCs w:val="17"/>
                <w:color w:val="auto"/>
              </w:rPr>
            </w:pPr>
          </w:p>
        </w:tc>
        <w:tc>
          <w:tcPr>
            <w:tcW w:w="6820" w:type="dxa"/>
            <w:vAlign w:val="bottom"/>
            <w:gridSpan w:val="15"/>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100" w:type="dxa"/>
            <w:vAlign w:val="bottom"/>
            <w:gridSpan w:val="15"/>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13"/>
          </w:tcPr>
          <w:p>
            <w:pPr>
              <w:spacing w:after="0"/>
              <w:rPr>
                <w:rFonts w:ascii="Arial" w:cs="Arial" w:eastAsia="Arial" w:hAnsi="Arial"/>
                <w:sz w:val="16"/>
                <w:szCs w:val="16"/>
                <w:color w:val="0000FF"/>
                <w:w w:val="96"/>
              </w:rPr>
            </w:pPr>
            <w:hyperlink w:anchor="page320">
              <w:r>
                <w:rPr>
                  <w:rFonts w:ascii="Arial" w:cs="Arial" w:eastAsia="Arial" w:hAnsi="Arial"/>
                  <w:sz w:val="16"/>
                  <w:szCs w:val="16"/>
                  <w:color w:val="0000FF"/>
                  <w:w w:val="96"/>
                </w:rPr>
                <w:t>TRANSFER AGENT AND REGISTRAR</w:t>
              </w:r>
            </w:hyperlink>
          </w:p>
        </w:tc>
        <w:tc>
          <w:tcPr>
            <w:tcW w:w="200" w:type="dxa"/>
            <w:vAlign w:val="bottom"/>
            <w:gridSpan w:val="2"/>
          </w:tcPr>
          <w:p>
            <w:pPr>
              <w:spacing w:after="0"/>
              <w:rPr>
                <w:sz w:val="17"/>
                <w:szCs w:val="17"/>
                <w:color w:val="auto"/>
              </w:rPr>
            </w:pPr>
          </w:p>
        </w:tc>
        <w:tc>
          <w:tcPr>
            <w:tcW w:w="7540" w:type="dxa"/>
            <w:vAlign w:val="bottom"/>
            <w:gridSpan w:val="19"/>
          </w:tcPr>
          <w:p>
            <w:pPr>
              <w:spacing w:after="0"/>
              <w:rPr>
                <w:sz w:val="17"/>
                <w:szCs w:val="17"/>
                <w:color w:val="auto"/>
              </w:rPr>
            </w:pPr>
          </w:p>
        </w:tc>
        <w:tc>
          <w:tcPr>
            <w:tcW w:w="700" w:type="dxa"/>
            <w:vAlign w:val="bottom"/>
            <w:gridSpan w:val="5"/>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3300" w:type="dxa"/>
            <w:vAlign w:val="bottom"/>
            <w:gridSpan w:val="17"/>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00" w:type="dxa"/>
            <w:vAlign w:val="bottom"/>
            <w:gridSpan w:val="34"/>
          </w:tcPr>
          <w:p>
            <w:pPr>
              <w:spacing w:after="0"/>
              <w:rPr>
                <w:rFonts w:ascii="Arial" w:cs="Arial" w:eastAsia="Arial" w:hAnsi="Arial"/>
                <w:sz w:val="16"/>
                <w:szCs w:val="16"/>
                <w:color w:val="0000FF"/>
              </w:rPr>
            </w:pPr>
            <w:hyperlink w:anchor="page320">
              <w:r>
                <w:rPr>
                  <w:rFonts w:ascii="Arial" w:cs="Arial" w:eastAsia="Arial" w:hAnsi="Arial"/>
                  <w:sz w:val="16"/>
                  <w:szCs w:val="16"/>
                  <w:color w:val="0000FF"/>
                </w:rPr>
                <w:t>WHERE YOU CAN FIND MORE INFORMATION; INCORPORATION BY REFERENCE</w:t>
              </w:r>
            </w:hyperlink>
          </w:p>
        </w:tc>
        <w:tc>
          <w:tcPr>
            <w:tcW w:w="700" w:type="dxa"/>
            <w:vAlign w:val="bottom"/>
            <w:gridSpan w:val="5"/>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right w:val="single" w:sz="8" w:color="0000FF"/>
            </w:tcBorders>
            <w:gridSpan w:val="13"/>
            <w:shd w:val="clear" w:color="auto" w:fill="0000FF"/>
          </w:tcPr>
          <w:p>
            <w:pPr>
              <w:spacing w:after="0" w:line="20" w:lineRule="exact"/>
              <w:rPr>
                <w:sz w:val="1"/>
                <w:szCs w:val="1"/>
                <w:color w:val="auto"/>
              </w:rPr>
            </w:pPr>
          </w:p>
        </w:tc>
        <w:tc>
          <w:tcPr>
            <w:tcW w:w="3300" w:type="dxa"/>
            <w:vAlign w:val="bottom"/>
            <w:gridSpan w:val="17"/>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gridSpan w:val="30"/>
          </w:tcPr>
          <w:p>
            <w:pPr>
              <w:spacing w:after="0"/>
              <w:rPr>
                <w:rFonts w:ascii="Arial" w:cs="Arial" w:eastAsia="Arial" w:hAnsi="Arial"/>
                <w:sz w:val="16"/>
                <w:szCs w:val="16"/>
                <w:color w:val="0000FF"/>
              </w:rPr>
            </w:pPr>
            <w:hyperlink w:anchor="page321">
              <w:r>
                <w:rPr>
                  <w:rFonts w:ascii="Arial" w:cs="Arial" w:eastAsia="Arial" w:hAnsi="Arial"/>
                  <w:sz w:val="16"/>
                  <w:szCs w:val="16"/>
                  <w:color w:val="0000FF"/>
                </w:rPr>
                <w:t>INDEX TO FINANCIAL STATEMENTS</w:t>
              </w:r>
            </w:hyperlink>
          </w:p>
        </w:tc>
        <w:tc>
          <w:tcPr>
            <w:tcW w:w="44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gridSpan w:val="5"/>
          </w:tcPr>
          <w:p>
            <w:pPr>
              <w:jc w:val="right"/>
              <w:ind w:right="20"/>
              <w:spacing w:after="0"/>
              <w:rPr>
                <w:rFonts w:ascii="Arial" w:cs="Arial" w:eastAsia="Arial" w:hAnsi="Arial"/>
                <w:sz w:val="16"/>
                <w:szCs w:val="16"/>
                <w:color w:val="0000FF"/>
                <w:w w:val="83"/>
              </w:rPr>
            </w:pPr>
            <w:hyperlink w:anchor="page321">
              <w:r>
                <w:rPr>
                  <w:rFonts w:ascii="Arial" w:cs="Arial" w:eastAsia="Arial" w:hAnsi="Arial"/>
                  <w:sz w:val="16"/>
                  <w:szCs w:val="16"/>
                  <w:color w:val="0000FF"/>
                  <w:w w:val="83"/>
                </w:rPr>
                <w:t>F-1</w:t>
              </w:r>
            </w:hyperlink>
          </w:p>
        </w:tc>
      </w:tr>
      <w:tr>
        <w:trPr>
          <w:trHeight w:val="1593"/>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7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b w:val="1"/>
          <w:bCs w:val="1"/>
          <w:color w:val="auto"/>
        </w:rPr>
        <w:t>You may request copies of this proxy statement/prospectus and any other publicly available information concerning ARYA, without charge, by written request to ARYA Sciences Acquisition Corp III, 51 Astor Place, 10th Floor, New York, New York 10003, or by telephone request at</w:t>
      </w:r>
    </w:p>
    <w:p>
      <w:pPr>
        <w:spacing w:after="0" w:line="1" w:lineRule="exact"/>
        <w:rPr>
          <w:sz w:val="20"/>
          <w:szCs w:val="20"/>
          <w:color w:val="auto"/>
        </w:rPr>
      </w:pPr>
    </w:p>
    <w:p>
      <w:pPr>
        <w:ind w:right="160" w:firstLine="8"/>
        <w:spacing w:after="0" w:line="290" w:lineRule="auto"/>
        <w:tabs>
          <w:tab w:leader="none" w:pos="43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284-2300; or Morrow Sodali LLC, our proxy solicitor, by calling (800) 662-5200, or banks and brokers can call collect at (203) 658-9400, or by emailing ARYA.info@investor.morrowsodali.com or from the SEC through the SEC website at http://www.sec.gov.</w:t>
      </w:r>
    </w:p>
    <w:p>
      <w:pPr>
        <w:spacing w:after="0" w:line="10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color w:val="auto"/>
        </w:rPr>
        <w:t>In order for ARYA’s shareholders to receive timely delivery of the documents in advance of the extraordinary general meeting of ARYA to be held on ___________, 2021, you must request the information no later than five business days prior to the date of the extraordinary general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by _________, 2021.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left="4188"/>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Unless otherwise stated in this proxy statement/prospectus or the context otherwise requires, references to:</w:t>
      </w:r>
    </w:p>
    <w:p>
      <w:pPr>
        <w:spacing w:after="0" w:line="171"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of Association” are to the amended and restated articles of association of ARYA;</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“we,” “us” or “our” are to ARYA Sciences Acquisition Corp III, a Cayman Islands exempted company, prior to the consummation of the Business Combination;</w:t>
      </w:r>
    </w:p>
    <w:p>
      <w:pPr>
        <w:spacing w:after="0" w:line="116" w:lineRule="exact"/>
        <w:rPr>
          <w:rFonts w:ascii="Arial" w:cs="Arial" w:eastAsia="Arial" w:hAnsi="Arial"/>
          <w:sz w:val="18"/>
          <w:szCs w:val="18"/>
          <w:color w:val="auto"/>
        </w:rPr>
      </w:pPr>
    </w:p>
    <w:p>
      <w:pPr>
        <w:ind w:left="328" w:right="40" w:hanging="328"/>
        <w:spacing w:after="0" w:line="255"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Acquisition Proposal” are to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“ARYA Board” are to ARYA’s board of directors;</w:t>
      </w:r>
    </w:p>
    <w:p>
      <w:pPr>
        <w:spacing w:after="0" w:line="171" w:lineRule="exact"/>
        <w:rPr>
          <w:rFonts w:ascii="Arial" w:cs="Arial" w:eastAsia="Arial" w:hAnsi="Arial"/>
          <w:sz w:val="18"/>
          <w:szCs w:val="18"/>
          <w:color w:val="auto"/>
        </w:rPr>
      </w:pPr>
    </w:p>
    <w:p>
      <w:pPr>
        <w:ind w:left="328" w:right="4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Combination” are to the Domestication, the Merger and other transactions contemplated by the Business Combination Agreement, collectively, including the PIPE Financing;</w:t>
      </w:r>
    </w:p>
    <w:p>
      <w:pPr>
        <w:spacing w:after="0" w:line="116"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Combination Agreement” are to that certain Business Combination Agreement, dated February 7, 2021, by and among ARYA, Merger Sub and Nautilus;</w:t>
      </w:r>
    </w:p>
    <w:p>
      <w:pPr>
        <w:spacing w:after="0" w:line="116"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“Cayman Islands Companies Act” are to the Companies Act (2021 Revision) of the Cayman Islands as the same may be amended from time to time;</w:t>
      </w:r>
    </w:p>
    <w:p>
      <w:pPr>
        <w:spacing w:after="0" w:line="116" w:lineRule="exact"/>
        <w:rPr>
          <w:rFonts w:ascii="Arial" w:cs="Arial" w:eastAsia="Arial" w:hAnsi="Arial"/>
          <w:sz w:val="18"/>
          <w:szCs w:val="18"/>
          <w:color w:val="auto"/>
        </w:rPr>
      </w:pPr>
    </w:p>
    <w:p>
      <w:pPr>
        <w:ind w:left="328" w:right="18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 A ordinary shares” are to the Class A ordinary shares, par value $0.0001 per share, of ARYA, which will automatically convert, on a one-for-one basis, into shares of New Nautilus Common Stock in connection with the Domestication;</w:t>
      </w:r>
    </w:p>
    <w:p>
      <w:pPr>
        <w:spacing w:after="0" w:line="116" w:lineRule="exact"/>
        <w:rPr>
          <w:rFonts w:ascii="Arial" w:cs="Arial" w:eastAsia="Arial" w:hAnsi="Arial"/>
          <w:sz w:val="18"/>
          <w:szCs w:val="18"/>
          <w:color w:val="auto"/>
        </w:rPr>
      </w:pPr>
    </w:p>
    <w:p>
      <w:pPr>
        <w:ind w:left="328" w:hanging="328"/>
        <w:spacing w:after="0" w:line="279"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“Class B ordinary shares” or “founder shares” are to the 3,737,500 Class B ordinary shares, par value $0.0001 per share, of ARYA outstanding as of the date of this proxy statement/prospectus that were initially issued to our Sponsor in a private placement prior to our initial public offering and of which 90,000 were transferred to Messrs. Wider, Campbell and Islam (30,000 shares each) in July 2020, and, in connection with the Domestication, will automatically convert, on a one-for-one basis, into shares of New Nautilus Common Stock;</w:t>
      </w:r>
    </w:p>
    <w:p>
      <w:pPr>
        <w:spacing w:after="0" w:line="117"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71" w:lineRule="exact"/>
        <w:rPr>
          <w:rFonts w:ascii="Arial" w:cs="Arial" w:eastAsia="Arial" w:hAnsi="Arial"/>
          <w:sz w:val="18"/>
          <w:szCs w:val="18"/>
          <w:color w:val="auto"/>
        </w:rPr>
      </w:pPr>
    </w:p>
    <w:p>
      <w:pPr>
        <w:ind w:left="328" w:right="220" w:hanging="328"/>
        <w:spacing w:after="0" w:line="301"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“Closing Date” are to that date that is in no event later than the third (3rd) business day, following the satisfaction (or, to the extent permitted by applicable law, waiver) of the conditions described under the section entitled “</w:t>
      </w:r>
      <w:r>
        <w:rPr>
          <w:rFonts w:ascii="Arial" w:cs="Arial" w:eastAsia="Arial" w:hAnsi="Arial"/>
          <w:sz w:val="16"/>
          <w:szCs w:val="16"/>
          <w:i w:val="1"/>
          <w:iCs w:val="1"/>
          <w:color w:val="auto"/>
        </w:rPr>
        <w:t>Business Combination Proposal—The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Agreement—Conditions to Closing of the Business Combination</w:t>
      </w:r>
      <w:r>
        <w:rPr>
          <w:rFonts w:ascii="Arial" w:cs="Arial" w:eastAsia="Arial" w:hAnsi="Arial"/>
          <w:sz w:val="16"/>
          <w:szCs w:val="16"/>
          <w:color w:val="auto"/>
        </w:rPr>
        <w:t>,” (other than those conditions that by their nature are to be satisfied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but subject to satisfaction or waiver of such conditions) or at such other date as ARYA and Nautilus may agree in writing;</w:t>
      </w:r>
    </w:p>
    <w:p>
      <w:pPr>
        <w:spacing w:after="0" w:line="103" w:lineRule="exact"/>
        <w:rPr>
          <w:rFonts w:ascii="Arial" w:cs="Arial" w:eastAsia="Arial" w:hAnsi="Arial"/>
          <w:sz w:val="16"/>
          <w:szCs w:val="16"/>
          <w:color w:val="auto"/>
        </w:rPr>
      </w:pPr>
    </w:p>
    <w:p>
      <w:pPr>
        <w:ind w:left="328" w:right="600" w:hanging="328"/>
        <w:spacing w:after="0" w:line="308"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“Condition Precedent Proposals” are to the Business Combination Proposal, the Domestication Proposal, the Charter Proposal, the Nasdaq Proposal, the Employee Stock Purchase Plan Proposal and the Incentive Award Plan Proposal, collectively;</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“Continental” are to Continental Stock Transfer &amp; Trust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“DGCL” are to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7" w:name="page18"/>
    <w:bookmarkEnd w:id="17"/>
    <w:p>
      <w:pPr>
        <w:spacing w:after="0" w:line="144" w:lineRule="exact"/>
        <w:rPr>
          <w:sz w:val="20"/>
          <w:szCs w:val="20"/>
          <w:color w:val="auto"/>
        </w:rPr>
      </w:pPr>
    </w:p>
    <w:p>
      <w:pPr>
        <w:ind w:left="328" w:right="62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“Domestication” are to the transfer by way of continuation and deregistration of ARYA from the Cayman Islands and the continuation and domestication of ARYA as a corporation incorporated in the State of Delaware;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Time” are to the time at which the Merger becomes effective;</w:t>
      </w:r>
    </w:p>
    <w:p>
      <w:pPr>
        <w:spacing w:after="0" w:line="171"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“ESPP” are to the New Nautilus 2021 Employee Stock Purchase Plan to be considered for adoption and approval by the shareholders pursuant to the Employee Stock Purchase Plan Proposal;</w:t>
      </w:r>
    </w:p>
    <w:p>
      <w:pPr>
        <w:spacing w:after="0" w:line="116"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“extraordinary general meeting” are to the extraordinary general meeting of ARYA at 9:00 a.m., Eastern Time, on _________, 2021, at the offices of Kirkland &amp; Ellis LLP located at 601 Lexington Avenue, New York, New York 10022, or at such other time, on such other date and at such other place to which the meeting may be adjourned;</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“Existing Governing Documents” are to the Memorandum of Association and the Articles of Association;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 public offering” are to ARYA’s initial public offering that was consummated on August 11,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 shareholders” are to Sponsor and each of Messrs. Wider, Campbell and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“Memorandum of Association” are to the amended and restated memorandum of association of ARYA;</w:t>
      </w:r>
    </w:p>
    <w:p>
      <w:pPr>
        <w:spacing w:after="0" w:line="171" w:lineRule="exact"/>
        <w:rPr>
          <w:rFonts w:ascii="Arial" w:cs="Arial" w:eastAsia="Arial" w:hAnsi="Arial"/>
          <w:sz w:val="18"/>
          <w:szCs w:val="18"/>
          <w:color w:val="auto"/>
        </w:rPr>
      </w:pPr>
    </w:p>
    <w:p>
      <w:pPr>
        <w:jc w:val="both"/>
        <w:ind w:left="328" w:right="20" w:hanging="328"/>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Nautilus pursuant to the Business Combination Agreement, with Nautilus as the surviving company in the Merger and, after giving effect to such Merger, Nautilus becoming a wholly-owned subsidiary of ARYA, which itself will become New Nautilus upon and after the Domestication;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 Sub” are to Mako Merger Sub, Inc., a Delaware corporation and wholly-owned subsidiary of ARYA prior to the consummation of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“Nasdaq” are to the Nasdaq Capital Market;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“Nautilus” are to Nautilus Biotechnology, Inc., a Delaware corporation, prior to the consummation of the Business Combination;</w:t>
      </w:r>
    </w:p>
    <w:p>
      <w:pPr>
        <w:spacing w:after="0" w:line="171" w:lineRule="exact"/>
        <w:rPr>
          <w:rFonts w:ascii="Arial" w:cs="Arial" w:eastAsia="Arial" w:hAnsi="Arial"/>
          <w:sz w:val="18"/>
          <w:szCs w:val="18"/>
          <w:color w:val="auto"/>
        </w:rPr>
      </w:pPr>
    </w:p>
    <w:p>
      <w:pPr>
        <w:ind w:left="328" w:hanging="328"/>
        <w:spacing w:after="0" w:line="289"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color w:val="auto"/>
        </w:rPr>
        <w:t>“Nautilus Acquisition Proposal” are to (a) any direct or indirect acquisition (or other business combination), in one or a series of related transactions, (i) of the equity securities of Nautilus, in each case, that, if consummated, would result in a person acquiring beneficial ownership of 15% or more of any class of outstanding voting equity securities of Nautilus or 15% or more of the outstanding voting equity securities of Nautilus (regardless of class) or (ii) of all or a portion of assets or businesses of Nautilus which constitute 15% or more of the fair market value of Nautilus,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Nautilus or 15% or more of the outstanding voting equity securities of the Company (regardless of class) (in each case of clauses (a) and (b) other than pursuant to the exercise or conversion of any Nautilus options or warrants in accordance with the terms of Nautilus’ 2017 equity plan, the underlying grant, award or similar agreement or the Company Warrant Agreement (as applicable));</w:t>
      </w:r>
    </w:p>
    <w:p>
      <w:pPr>
        <w:spacing w:after="0" w:line="112" w:lineRule="exact"/>
        <w:rPr>
          <w:rFonts w:ascii="Arial" w:cs="Arial" w:eastAsia="Arial" w:hAnsi="Arial"/>
          <w:sz w:val="16"/>
          <w:szCs w:val="16"/>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“Nautilus Shareholders” are to holders of Nautilus capital stock prior to the consummation of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Nautilus” are to Nautilus Biotechnology, Inc. (f.k.a. ARYA Sciences Acquisition Corp III) upon and after the Domestication;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Nautilus Board” are to the board of directors of New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Nautilus Common Stock” are to the common stock, par value $0.0001 per share, of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8" w:name="page19"/>
    <w:bookmarkEnd w:id="18"/>
    <w:p>
      <w:pPr>
        <w:spacing w:after="0" w:line="144"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shares” are to ARYA’s Class A ordinary shares and ARYA’s Class B ordinary shares;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PIPE Investors” are to certain other investors in the PIPE Financing;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“Perceptive Advisors” are to Perceptive Advisors, LLC, an affiliate of our Sponsor;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“Perceptive PIPE Investor” are to Perceptive Life Sciences Master Fund Ltd, a Cayman Islands exempted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“Perceptive Shareholders” are to the Sponsor and the Perceptive PIPE Investor;</w:t>
      </w:r>
    </w:p>
    <w:p>
      <w:pPr>
        <w:spacing w:after="0" w:line="171"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“PIPE Financing” are to the transactions contemplated by the Subscription Agreements, pursuant to which the PIPE Investors have collectively committed to subscribe for an aggregate of 20,000,000 shares of New Nautilus Common Stock for an aggregate purchase price of $200,000,000 to be consummated in connection with Closing;</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“PIPE Investors” are to the Perceptive PIPE Investor and the Other PIPE Investors, collectively;</w:t>
      </w:r>
    </w:p>
    <w:p>
      <w:pPr>
        <w:spacing w:after="0" w:line="171" w:lineRule="exact"/>
        <w:rPr>
          <w:rFonts w:ascii="Arial" w:cs="Arial" w:eastAsia="Arial" w:hAnsi="Arial"/>
          <w:sz w:val="18"/>
          <w:szCs w:val="18"/>
          <w:color w:val="auto"/>
        </w:rPr>
      </w:pPr>
    </w:p>
    <w:p>
      <w:pPr>
        <w:ind w:left="328" w:right="360" w:hanging="328"/>
        <w:spacing w:after="0" w:line="263"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placement shares” are to the 499,000 private placement shares outstanding as of the date of this proxy statement/prospectus that were issued to our Sponsor in a private placement simultaneously with the closing of our initial public offering, which are identical to the Class A ordinary shares sold in our initial public offering, subject to certain limited exceptions;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are to giving pro forma effect to the Business Combination, including the Merger and the PIPE Financing;</w:t>
      </w:r>
    </w:p>
    <w:p>
      <w:pPr>
        <w:spacing w:after="0" w:line="171" w:lineRule="exact"/>
        <w:rPr>
          <w:rFonts w:ascii="Arial" w:cs="Arial" w:eastAsia="Arial" w:hAnsi="Arial"/>
          <w:sz w:val="18"/>
          <w:szCs w:val="18"/>
          <w:color w:val="auto"/>
        </w:rPr>
      </w:pPr>
    </w:p>
    <w:p>
      <w:pPr>
        <w:ind w:left="328" w:right="152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“Proposed Bylaws” are to the proposed bylaws of New Nautilus to be effective upon the Domestication attached to this proxy statement/prospectus as Annex D;</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“Proposed Certificate of Incorporation” are to the proposed certificate of incorporation of New Nautilus to be effective upon the Domestication attached to this proxy statement/prospectus as Annex C;</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“Proposed Governing Documents” are to the Proposed Certificate of Incorporation and the Proposed Bylaws;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“public shareholders” are to holders of public shares, whether acquired in ARYA’s initial public offering or acquired in the secondary market;</w:t>
      </w:r>
    </w:p>
    <w:p>
      <w:pPr>
        <w:spacing w:after="0" w:line="182" w:lineRule="exact"/>
        <w:rPr>
          <w:rFonts w:ascii="Arial" w:cs="Arial" w:eastAsia="Arial" w:hAnsi="Arial"/>
          <w:sz w:val="17"/>
          <w:szCs w:val="17"/>
          <w:color w:val="auto"/>
        </w:rPr>
      </w:pPr>
    </w:p>
    <w:p>
      <w:pPr>
        <w:ind w:left="328" w:right="12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shares” are to the currently outstanding 14,950,000 Class A ordinary shares of ARYA, whether acquired in ARYA’s initial public offering or acquired in the secondary market;</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are to each redemption of public shares for cash pursuant to the Existing Governing Documents;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are to the Securities and Exchange Commission;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“Sponsor” are to ARYA Sciences Holdings III, a Cayman Islands exempted limited company;</w:t>
      </w:r>
    </w:p>
    <w:p>
      <w:pPr>
        <w:spacing w:after="0" w:line="171"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Agreements” are to the subscription agreements, entered into by ARYA and each of the PIPE Investors in connection with the PIPE Financing;</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agent” are to Continental, ARYA’s transfer agent;</w:t>
      </w:r>
    </w:p>
    <w:p>
      <w:pPr>
        <w:spacing w:after="0" w:line="171" w:lineRule="exact"/>
        <w:rPr>
          <w:rFonts w:ascii="Arial" w:cs="Arial" w:eastAsia="Arial" w:hAnsi="Arial"/>
          <w:sz w:val="18"/>
          <w:szCs w:val="18"/>
          <w:color w:val="auto"/>
        </w:rPr>
      </w:pPr>
    </w:p>
    <w:p>
      <w:pPr>
        <w:ind w:left="328" w:right="380" w:hanging="328"/>
        <w:spacing w:after="0" w:line="277"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“trust account” are to the trust account established at the consummation of ARYA’s initial public offering that holds the proceeds of the initial public offering and is maintained by Continental, acting as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9" w:name="page20"/>
    <w:bookmarkEnd w:id="19"/>
    <w:p>
      <w:pPr>
        <w:spacing w:after="0" w:line="144" w:lineRule="exact"/>
        <w:rPr>
          <w:sz w:val="20"/>
          <w:szCs w:val="20"/>
          <w:color w:val="auto"/>
        </w:rPr>
      </w:pPr>
    </w:p>
    <w:p>
      <w:pPr>
        <w:ind w:left="328" w:hanging="328"/>
        <w:spacing w:after="0" w:line="27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“2021 Plan” are to the Nautilus Biotechnology, Inc. 2021 Equity Incentive Plan to be considered for adoption and approval by the shareholders pursuant to the Incentive Award Plan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8"/>
          </w:cols>
          <w:pgMar w:left="652" w:top="1440" w:right="639" w:bottom="1440" w:gutter="0" w:footer="0" w:header="0"/>
        </w:sectPr>
      </w:pPr>
    </w:p>
    <w:bookmarkStart w:id="20" w:name="page21"/>
    <w:bookmarkEnd w:id="20"/>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FOR SHAREHOLDERS OF ARYA</w:t>
      </w:r>
    </w:p>
    <w:p>
      <w:pPr>
        <w:spacing w:after="0" w:line="175"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i w:val="1"/>
          <w:iCs w:val="1"/>
          <w:color w:val="auto"/>
        </w:rPr>
        <w:t>The questions and answers below highlight only selected information from this document and only briefly address some commonly asked questions about the proposals to be presented at the extraordinary general meeting, including with respect to the proposed Business Combination. The following questions and answers do not include all the information that is important to ARYA’s shareholders. We urge shareholders to read this proxy statement/prospectus, including the Annexes and the other documents referred to herein, carefully and in their entirety to fully understand the proposed Business Combination and the voting procedures for the extraordinary general meeting, which will be held at 9:00 a.m. Eastern Time, on _________, 2021, at the offices of Kirkland &amp; Ellis LLP located at 601 Lexington Avenue, New York, New York 10022.</w:t>
      </w:r>
    </w:p>
    <w:p>
      <w:pPr>
        <w:spacing w:after="0" w:line="10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75" w:lineRule="exact"/>
        <w:rPr>
          <w:rFonts w:ascii="Arial" w:cs="Arial" w:eastAsia="Arial" w:hAnsi="Arial"/>
          <w:sz w:val="18"/>
          <w:szCs w:val="18"/>
          <w:b w:val="1"/>
          <w:bCs w:val="1"/>
          <w:color w:val="auto"/>
        </w:rPr>
      </w:pPr>
    </w:p>
    <w:p>
      <w:pPr>
        <w:ind w:left="660" w:hanging="652"/>
        <w:spacing w:after="0" w:line="271" w:lineRule="auto"/>
        <w:tabs>
          <w:tab w:leader="none" w:pos="6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ARYA shareholders are being asked to consider and vote upon, among other proposals, a proposal to approve and adopt the Business Combination Agreement and approve the transactions contemplated thereby, including the Business Combination. In accordance with the terms and subject to the conditions of the Business Combination Agreement, among other things, in connection with the Domestication, on the Closing Date prior to the Effective Time, (i) ARYA will be renamed “Nautilus Biotechnology, Inc.”, and (ii)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See “</w:t>
      </w:r>
      <w:r>
        <w:rPr>
          <w:rFonts w:ascii="Arial" w:cs="Arial" w:eastAsia="Arial" w:hAnsi="Arial"/>
          <w:sz w:val="17"/>
          <w:szCs w:val="17"/>
          <w:i w:val="1"/>
          <w:iCs w:val="1"/>
          <w:color w:val="auto"/>
        </w:rPr>
        <w:t>Business Combination Proposal</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660" w:right="300"/>
        <w:spacing w:after="0" w:line="277" w:lineRule="auto"/>
        <w:rPr>
          <w:rFonts w:ascii="Arial" w:cs="Arial" w:eastAsia="Arial" w:hAnsi="Arial"/>
          <w:sz w:val="17"/>
          <w:szCs w:val="17"/>
          <w:color w:val="auto"/>
        </w:rPr>
      </w:pPr>
      <w:r>
        <w:rPr>
          <w:rFonts w:ascii="Arial" w:cs="Arial" w:eastAsia="Arial" w:hAnsi="Arial"/>
          <w:sz w:val="18"/>
          <w:szCs w:val="18"/>
          <w:color w:val="auto"/>
        </w:rPr>
        <w:t>A copy of the Business Combination Agreement is attached to this proxy statement/prospectus as Annex A and you are encouraged to read the Business Combination Agreement in its entirety.</w:t>
      </w:r>
    </w:p>
    <w:p>
      <w:pPr>
        <w:spacing w:after="0" w:line="116" w:lineRule="exact"/>
        <w:rPr>
          <w:rFonts w:ascii="Arial" w:cs="Arial" w:eastAsia="Arial" w:hAnsi="Arial"/>
          <w:sz w:val="17"/>
          <w:szCs w:val="17"/>
          <w:color w:val="auto"/>
        </w:rPr>
      </w:pPr>
    </w:p>
    <w:p>
      <w:pPr>
        <w:ind w:left="660" w:right="120"/>
        <w:spacing w:after="0" w:line="254" w:lineRule="auto"/>
        <w:rPr>
          <w:rFonts w:ascii="Arial" w:cs="Arial" w:eastAsia="Arial" w:hAnsi="Arial"/>
          <w:sz w:val="17"/>
          <w:szCs w:val="17"/>
          <w:color w:val="auto"/>
        </w:rPr>
      </w:pPr>
      <w:r>
        <w:rPr>
          <w:rFonts w:ascii="Arial" w:cs="Arial" w:eastAsia="Arial" w:hAnsi="Arial"/>
          <w:sz w:val="18"/>
          <w:szCs w:val="18"/>
          <w:color w:val="auto"/>
        </w:rPr>
        <w:t>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and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40" w:lineRule="exact"/>
        <w:rPr>
          <w:rFonts w:ascii="Arial" w:cs="Arial" w:eastAsia="Arial" w:hAnsi="Arial"/>
          <w:sz w:val="17"/>
          <w:szCs w:val="17"/>
          <w:color w:val="auto"/>
        </w:rPr>
      </w:pPr>
    </w:p>
    <w:p>
      <w:pPr>
        <w:ind w:left="660" w:right="280"/>
        <w:spacing w:after="0" w:line="263" w:lineRule="auto"/>
        <w:rPr>
          <w:rFonts w:ascii="Arial" w:cs="Arial" w:eastAsia="Arial" w:hAnsi="Arial"/>
          <w:sz w:val="17"/>
          <w:szCs w:val="17"/>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7"/>
          <w:szCs w:val="17"/>
          <w:color w:val="auto"/>
        </w:rPr>
      </w:pPr>
    </w:p>
    <w:p>
      <w:pPr>
        <w:ind w:left="660" w:right="80"/>
        <w:spacing w:after="0" w:line="277" w:lineRule="auto"/>
        <w:rPr>
          <w:rFonts w:ascii="Arial" w:cs="Arial" w:eastAsia="Arial" w:hAnsi="Arial"/>
          <w:sz w:val="17"/>
          <w:szCs w:val="17"/>
          <w:color w:val="auto"/>
        </w:rPr>
      </w:pPr>
      <w:r>
        <w:rPr>
          <w:rFonts w:ascii="Arial" w:cs="Arial" w:eastAsia="Arial" w:hAnsi="Arial"/>
          <w:sz w:val="18"/>
          <w:szCs w:val="18"/>
          <w:color w:val="auto"/>
        </w:rPr>
        <w:t>The provisions of the Proposed Governing Documents will differ in certain material respects from the Existing Governing Documents. Please see “</w:t>
      </w:r>
      <w:r>
        <w:rPr>
          <w:rFonts w:ascii="Arial" w:cs="Arial" w:eastAsia="Arial" w:hAnsi="Arial"/>
          <w:sz w:val="18"/>
          <w:szCs w:val="18"/>
          <w:i w:val="1"/>
          <w:iCs w:val="1"/>
          <w:color w:val="auto"/>
        </w:rPr>
        <w:t>What amendments will be made to the current constitutional documents of ARYA</w:t>
      </w:r>
      <w:r>
        <w:rPr>
          <w:rFonts w:ascii="Arial" w:cs="Arial" w:eastAsia="Arial" w:hAnsi="Arial"/>
          <w:sz w:val="18"/>
          <w:szCs w:val="18"/>
          <w:color w:val="auto"/>
        </w:rPr>
        <w:t>?” below.</w:t>
      </w:r>
    </w:p>
    <w:p>
      <w:pPr>
        <w:spacing w:after="0" w:line="112" w:lineRule="exact"/>
        <w:rPr>
          <w:rFonts w:ascii="Arial" w:cs="Arial" w:eastAsia="Arial" w:hAnsi="Arial"/>
          <w:sz w:val="17"/>
          <w:szCs w:val="17"/>
          <w:color w:val="auto"/>
        </w:rPr>
      </w:pPr>
    </w:p>
    <w:p>
      <w:pPr>
        <w:ind w:left="660" w:right="20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THE VOTE OF SHAREHOLDERS IS IMPORTANT. SHAREHOLDERS ARE ENCOURAGED TO VOTE AS SOON AS POSSIBLE AFTER CAREFULLY REVIEWING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are shareholders of ARYA being asked to vote upon?</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the extraordinary general meeting, ARYA is asking holders of its ordinary shares to consider and vote upon eleven (11) separate proposals:</w:t>
      </w:r>
    </w:p>
    <w:p>
      <w:pPr>
        <w:spacing w:after="0" w:line="194" w:lineRule="exact"/>
        <w:rPr>
          <w:rFonts w:ascii="Arial" w:cs="Arial" w:eastAsia="Arial" w:hAnsi="Arial"/>
          <w:sz w:val="16"/>
          <w:szCs w:val="16"/>
          <w:color w:val="auto"/>
        </w:rPr>
      </w:pPr>
    </w:p>
    <w:p>
      <w:pPr>
        <w:ind w:left="972" w:right="420" w:hanging="324"/>
        <w:spacing w:after="0" w:line="277" w:lineRule="auto"/>
        <w:tabs>
          <w:tab w:leader="none" w:pos="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by special resolutions the Proposed Certificate of Incorporation;</w:t>
      </w:r>
    </w:p>
    <w:p>
      <w:pPr>
        <w:spacing w:after="0" w:line="171" w:lineRule="exact"/>
        <w:rPr>
          <w:rFonts w:ascii="Arial" w:cs="Arial" w:eastAsia="Arial" w:hAnsi="Arial"/>
          <w:sz w:val="18"/>
          <w:szCs w:val="18"/>
          <w:color w:val="auto"/>
        </w:rPr>
      </w:pPr>
    </w:p>
    <w:p>
      <w:pPr>
        <w:ind w:left="972" w:right="400" w:hanging="324"/>
        <w:spacing w:after="0" w:line="277" w:lineRule="auto"/>
        <w:tabs>
          <w:tab w:leader="none" w:pos="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following governance proposals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1292" w:hanging="320"/>
        <w:spacing w:after="0" w:line="259" w:lineRule="auto"/>
        <w:tabs>
          <w:tab w:leader="none" w:pos="1287"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132" w:lineRule="exact"/>
        <w:rPr>
          <w:rFonts w:ascii="Arial" w:cs="Arial" w:eastAsia="Arial" w:hAnsi="Arial"/>
          <w:sz w:val="18"/>
          <w:szCs w:val="18"/>
          <w:color w:val="auto"/>
        </w:rPr>
      </w:pPr>
    </w:p>
    <w:p>
      <w:pPr>
        <w:ind w:left="1292" w:right="140" w:hanging="320"/>
        <w:spacing w:after="0" w:line="263" w:lineRule="auto"/>
        <w:tabs>
          <w:tab w:leader="none" w:pos="1287"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1292" w:hanging="320"/>
        <w:spacing w:after="0"/>
        <w:tabs>
          <w:tab w:leader="none" w:pos="1292"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1292" w:right="980" w:hanging="320"/>
        <w:spacing w:after="0" w:line="277" w:lineRule="auto"/>
        <w:tabs>
          <w:tab w:leader="none" w:pos="1287" w:val="left"/>
        </w:tabs>
        <w:numPr>
          <w:ilvl w:val="2"/>
          <w:numId w:val="15"/>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972" w:right="280" w:hanging="324"/>
        <w:spacing w:after="0" w:line="277" w:lineRule="auto"/>
        <w:tabs>
          <w:tab w:leader="none" w:pos="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in connection with the Business Combination and the PIPE Financing in compliance with the Nasdaq Listing Rules;</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972" w:right="40" w:hanging="324"/>
        <w:spacing w:after="0" w:line="263" w:lineRule="auto"/>
        <w:tabs>
          <w:tab w:leader="none" w:pos="9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p>
    <w:p>
      <w:pPr>
        <w:spacing w:after="0" w:line="130" w:lineRule="exact"/>
        <w:rPr>
          <w:sz w:val="20"/>
          <w:szCs w:val="20"/>
          <w:color w:val="auto"/>
        </w:rPr>
      </w:pPr>
    </w:p>
    <w:p>
      <w:pPr>
        <w:ind w:left="652" w:right="200"/>
        <w:spacing w:after="0" w:line="263" w:lineRule="auto"/>
        <w:rPr>
          <w:sz w:val="20"/>
          <w:szCs w:val="20"/>
          <w:color w:val="auto"/>
        </w:rPr>
      </w:pPr>
      <w:r>
        <w:rPr>
          <w:rFonts w:ascii="Arial" w:cs="Arial" w:eastAsia="Arial" w:hAnsi="Arial"/>
          <w:sz w:val="18"/>
          <w:szCs w:val="18"/>
          <w:color w:val="auto"/>
        </w:rPr>
        <w:t>If our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spacing w:after="0" w:line="130" w:lineRule="exact"/>
        <w:rPr>
          <w:sz w:val="20"/>
          <w:szCs w:val="20"/>
          <w:color w:val="auto"/>
        </w:rPr>
      </w:pPr>
    </w:p>
    <w:p>
      <w:pPr>
        <w:ind w:left="652" w:right="360"/>
        <w:spacing w:after="0" w:line="263" w:lineRule="auto"/>
        <w:rPr>
          <w:sz w:val="20"/>
          <w:szCs w:val="20"/>
          <w:color w:val="auto"/>
        </w:rPr>
      </w:pPr>
      <w:r>
        <w:rPr>
          <w:rFonts w:ascii="Arial" w:cs="Arial" w:eastAsia="Arial" w:hAnsi="Arial"/>
          <w:sz w:val="18"/>
          <w:szCs w:val="18"/>
          <w:color w:val="auto"/>
        </w:rPr>
        <w:t>For more information, please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w:t>
      </w:r>
      <w:r>
        <w:rPr>
          <w:rFonts w:ascii="Arial" w:cs="Arial" w:eastAsia="Arial" w:hAnsi="Arial"/>
          <w:sz w:val="18"/>
          <w:szCs w:val="18"/>
          <w:i w:val="1"/>
          <w:iCs w:val="1"/>
          <w:color w:val="auto"/>
        </w:rPr>
        <w:t>Domestication Proposal</w:t>
      </w:r>
      <w:r>
        <w:rPr>
          <w:rFonts w:ascii="Arial" w:cs="Arial" w:eastAsia="Arial" w:hAnsi="Arial"/>
          <w:sz w:val="18"/>
          <w:szCs w:val="18"/>
          <w:color w:val="auto"/>
        </w:rPr>
        <w:t>,” “</w:t>
      </w:r>
      <w:r>
        <w:rPr>
          <w:rFonts w:ascii="Arial" w:cs="Arial" w:eastAsia="Arial" w:hAnsi="Arial"/>
          <w:sz w:val="18"/>
          <w:szCs w:val="18"/>
          <w:i w:val="1"/>
          <w:iCs w:val="1"/>
          <w:color w:val="auto"/>
        </w:rPr>
        <w:t>Charter Proposal</w:t>
      </w:r>
      <w:r>
        <w:rPr>
          <w:rFonts w:ascii="Arial" w:cs="Arial" w:eastAsia="Arial" w:hAnsi="Arial"/>
          <w:sz w:val="18"/>
          <w:szCs w:val="18"/>
          <w:color w:val="auto"/>
        </w:rPr>
        <w:t>,” “</w:t>
      </w:r>
      <w:r>
        <w:rPr>
          <w:rFonts w:ascii="Arial" w:cs="Arial" w:eastAsia="Arial" w:hAnsi="Arial"/>
          <w:sz w:val="18"/>
          <w:szCs w:val="18"/>
          <w:i w:val="1"/>
          <w:iCs w:val="1"/>
          <w:color w:val="auto"/>
        </w:rPr>
        <w:t>Advisory Governing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Proposals</w:t>
      </w:r>
      <w:r>
        <w:rPr>
          <w:rFonts w:ascii="Arial" w:cs="Arial" w:eastAsia="Arial" w:hAnsi="Arial"/>
          <w:sz w:val="18"/>
          <w:szCs w:val="18"/>
          <w:color w:val="auto"/>
        </w:rPr>
        <w:t>,” “</w:t>
      </w:r>
      <w:r>
        <w:rPr>
          <w:rFonts w:ascii="Arial" w:cs="Arial" w:eastAsia="Arial" w:hAnsi="Arial"/>
          <w:sz w:val="18"/>
          <w:szCs w:val="18"/>
          <w:i w:val="1"/>
          <w:iCs w:val="1"/>
          <w:color w:val="auto"/>
        </w:rPr>
        <w:t>Nasdaq Proposal</w:t>
      </w:r>
      <w:r>
        <w:rPr>
          <w:rFonts w:ascii="Arial" w:cs="Arial" w:eastAsia="Arial" w:hAnsi="Arial"/>
          <w:sz w:val="18"/>
          <w:szCs w:val="18"/>
          <w:color w:val="auto"/>
        </w:rPr>
        <w:t>,”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w:t>
      </w:r>
      <w:r>
        <w:rPr>
          <w:rFonts w:ascii="Arial" w:cs="Arial" w:eastAsia="Arial" w:hAnsi="Arial"/>
          <w:sz w:val="18"/>
          <w:szCs w:val="18"/>
          <w:i w:val="1"/>
          <w:iCs w:val="1"/>
          <w:color w:val="auto"/>
        </w:rPr>
        <w:t>Employee Stock Purchase Plan Proposal</w:t>
      </w:r>
      <w:r>
        <w:rPr>
          <w:rFonts w:ascii="Arial" w:cs="Arial" w:eastAsia="Arial" w:hAnsi="Arial"/>
          <w:sz w:val="18"/>
          <w:szCs w:val="18"/>
          <w:color w:val="auto"/>
        </w:rPr>
        <w:t>” and “</w:t>
      </w:r>
      <w:r>
        <w:rPr>
          <w:rFonts w:ascii="Arial" w:cs="Arial" w:eastAsia="Arial" w:hAnsi="Arial"/>
          <w:sz w:val="18"/>
          <w:szCs w:val="18"/>
          <w:i w:val="1"/>
          <w:iCs w:val="1"/>
          <w:color w:val="auto"/>
        </w:rPr>
        <w:t>Adjournment Proposal</w:t>
      </w:r>
      <w:r>
        <w:rPr>
          <w:rFonts w:ascii="Arial" w:cs="Arial" w:eastAsia="Arial" w:hAnsi="Arial"/>
          <w:sz w:val="18"/>
          <w:szCs w:val="18"/>
          <w:color w:val="auto"/>
        </w:rPr>
        <w:t>.”</w:t>
      </w:r>
    </w:p>
    <w:p>
      <w:pPr>
        <w:spacing w:after="0" w:line="130" w:lineRule="exact"/>
        <w:rPr>
          <w:sz w:val="20"/>
          <w:szCs w:val="20"/>
          <w:color w:val="auto"/>
        </w:rPr>
      </w:pPr>
    </w:p>
    <w:p>
      <w:pPr>
        <w:ind w:left="652" w:right="60"/>
        <w:spacing w:after="0" w:line="263" w:lineRule="auto"/>
        <w:rPr>
          <w:sz w:val="20"/>
          <w:szCs w:val="20"/>
          <w:color w:val="auto"/>
        </w:rPr>
      </w:pPr>
      <w:r>
        <w:rPr>
          <w:rFonts w:ascii="Arial" w:cs="Arial" w:eastAsia="Arial" w:hAnsi="Arial"/>
          <w:sz w:val="18"/>
          <w:szCs w:val="18"/>
          <w:color w:val="auto"/>
        </w:rPr>
        <w:t>ARYA will hold the extraordinary general meeting to consider and vote upon these proposals. This proxy statement/prospectus contains important information about the Business Combination and the other matters to be acted upon at the extraordinary general meeting. Shareholders of ARYA should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2" w:name="page23"/>
    <w:bookmarkEnd w:id="22"/>
    <w:p>
      <w:pPr>
        <w:spacing w:after="0" w:line="140" w:lineRule="exact"/>
        <w:rPr>
          <w:sz w:val="20"/>
          <w:szCs w:val="20"/>
          <w:color w:val="auto"/>
        </w:rPr>
      </w:pPr>
    </w:p>
    <w:p>
      <w:pPr>
        <w:ind w:left="652" w:right="220"/>
        <w:spacing w:after="0" w:line="303" w:lineRule="auto"/>
        <w:rPr>
          <w:sz w:val="20"/>
          <w:szCs w:val="20"/>
          <w:color w:val="auto"/>
        </w:rPr>
      </w:pPr>
      <w:r>
        <w:rPr>
          <w:rFonts w:ascii="Arial" w:cs="Arial" w:eastAsia="Arial" w:hAnsi="Arial"/>
          <w:sz w:val="16"/>
          <w:szCs w:val="16"/>
          <w:b w:val="1"/>
          <w:bCs w:val="1"/>
          <w:color w:val="auto"/>
        </w:rPr>
        <w:t>After careful consideration, the ARYA Board has determined that the Business Combination Proposal, the Domestication Proposal, the Charter Proposal, each of the Advisory Governing Documents Proposals, the Nasdaq Proposal, the Incentive Award Plan Proposal, the Employee Stock Purchase Plan Proposal and the Adjournment Proposal are in the best interests of ARYA and its shareholders and unanimously recommends that you vote or give instruction to vote “FOR” each of those proposals.</w:t>
      </w:r>
    </w:p>
    <w:p>
      <w:pPr>
        <w:spacing w:after="0" w:line="101" w:lineRule="exact"/>
        <w:rPr>
          <w:sz w:val="20"/>
          <w:szCs w:val="20"/>
          <w:color w:val="auto"/>
        </w:rPr>
      </w:pPr>
    </w:p>
    <w:p>
      <w:pPr>
        <w:ind w:left="652" w:right="120"/>
        <w:spacing w:after="0" w:line="296"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r>
        <w:rPr>
          <w:rFonts w:ascii="Arial" w:cs="Arial" w:eastAsia="Arial" w:hAnsi="Arial"/>
          <w:sz w:val="16"/>
          <w:szCs w:val="16"/>
          <w:i w:val="1"/>
          <w:iCs w:val="1"/>
          <w:color w:val="auto"/>
        </w:rPr>
        <w:t>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Business Combination?</w:t>
      </w:r>
    </w:p>
    <w:p>
      <w:pPr>
        <w:spacing w:after="0" w:line="175" w:lineRule="exact"/>
        <w:rPr>
          <w:rFonts w:ascii="Arial" w:cs="Arial" w:eastAsia="Arial" w:hAnsi="Arial"/>
          <w:sz w:val="18"/>
          <w:szCs w:val="18"/>
          <w:b w:val="1"/>
          <w:bCs w:val="1"/>
          <w:color w:val="auto"/>
        </w:rPr>
      </w:pPr>
    </w:p>
    <w:p>
      <w:pPr>
        <w:ind w:left="652" w:right="20" w:hanging="652"/>
        <w:spacing w:after="0" w:line="255"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Although ARYA may pursue an acquisition opportunity in any business, industry, sector or geographical location for purposes of consummating an initial business combination, ARYA has focused on North American companies in the life sciences and medical technology sectors. ARYA is not permitted under its Existing Governing Documents to effect a business combination with a blank check company or a similar type of company with nominal operations.</w:t>
      </w:r>
    </w:p>
    <w:p>
      <w:pPr>
        <w:spacing w:after="0" w:line="138" w:lineRule="exact"/>
        <w:rPr>
          <w:rFonts w:ascii="Arial" w:cs="Arial" w:eastAsia="Arial" w:hAnsi="Arial"/>
          <w:sz w:val="18"/>
          <w:szCs w:val="18"/>
          <w:color w:val="auto"/>
        </w:rPr>
      </w:pPr>
    </w:p>
    <w:p>
      <w:pPr>
        <w:ind w:left="652" w:right="60"/>
        <w:spacing w:after="0" w:line="272" w:lineRule="auto"/>
        <w:rPr>
          <w:rFonts w:ascii="Arial" w:cs="Arial" w:eastAsia="Arial" w:hAnsi="Arial"/>
          <w:sz w:val="18"/>
          <w:szCs w:val="18"/>
          <w:color w:val="auto"/>
        </w:rPr>
      </w:pPr>
      <w:r>
        <w:rPr>
          <w:rFonts w:ascii="Arial" w:cs="Arial" w:eastAsia="Arial" w:hAnsi="Arial"/>
          <w:sz w:val="17"/>
          <w:szCs w:val="17"/>
          <w:color w:val="auto"/>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spacing w:after="0" w:line="123" w:lineRule="exact"/>
        <w:rPr>
          <w:rFonts w:ascii="Arial" w:cs="Arial" w:eastAsia="Arial" w:hAnsi="Arial"/>
          <w:sz w:val="18"/>
          <w:szCs w:val="18"/>
          <w:color w:val="auto"/>
        </w:rPr>
      </w:pPr>
    </w:p>
    <w:p>
      <w:pPr>
        <w:jc w:val="both"/>
        <w:ind w:left="652" w:right="80"/>
        <w:spacing w:after="0" w:line="311" w:lineRule="auto"/>
        <w:rPr>
          <w:rFonts w:ascii="Arial" w:cs="Arial" w:eastAsia="Arial" w:hAnsi="Arial"/>
          <w:sz w:val="18"/>
          <w:szCs w:val="18"/>
          <w:color w:val="auto"/>
        </w:rPr>
      </w:pPr>
      <w:r>
        <w:rPr>
          <w:rFonts w:ascii="Arial" w:cs="Arial" w:eastAsia="Arial" w:hAnsi="Arial"/>
          <w:sz w:val="16"/>
          <w:szCs w:val="16"/>
          <w:color w:val="auto"/>
        </w:rPr>
        <w:t>Based on its due diligence investigations of Nautilus and the industry in which it operates, including the financial and other information provided by Nautilus in the course of negotiations, the ARYA Board believes that Nautilus meets the criteria and guidelines listed above. However, there is no assurance of this. See “</w:t>
      </w:r>
      <w:r>
        <w:rPr>
          <w:rFonts w:ascii="Arial" w:cs="Arial" w:eastAsia="Arial" w:hAnsi="Arial"/>
          <w:sz w:val="16"/>
          <w:szCs w:val="16"/>
          <w:i w:val="1"/>
          <w:iCs w:val="1"/>
          <w:color w:val="auto"/>
        </w:rPr>
        <w:t>Business Combination Proposal—The ARYA Board’s Reasons for the Business Combination</w:t>
      </w:r>
      <w:r>
        <w:rPr>
          <w:rFonts w:ascii="Arial" w:cs="Arial" w:eastAsia="Arial" w:hAnsi="Arial"/>
          <w:sz w:val="16"/>
          <w:szCs w:val="16"/>
          <w:color w:val="auto"/>
        </w:rPr>
        <w:t>.”</w:t>
      </w:r>
    </w:p>
    <w:p>
      <w:pPr>
        <w:spacing w:after="0" w:line="94" w:lineRule="exact"/>
        <w:rPr>
          <w:rFonts w:ascii="Arial" w:cs="Arial" w:eastAsia="Arial" w:hAnsi="Arial"/>
          <w:sz w:val="18"/>
          <w:szCs w:val="18"/>
          <w:color w:val="auto"/>
        </w:rPr>
      </w:pPr>
    </w:p>
    <w:p>
      <w:pPr>
        <w:ind w:left="652"/>
        <w:spacing w:after="0" w:line="279" w:lineRule="auto"/>
        <w:rPr>
          <w:rFonts w:ascii="Arial" w:cs="Arial" w:eastAsia="Arial" w:hAnsi="Arial"/>
          <w:sz w:val="18"/>
          <w:szCs w:val="18"/>
          <w:color w:val="auto"/>
        </w:rPr>
      </w:pPr>
      <w:r>
        <w:rPr>
          <w:rFonts w:ascii="Arial" w:cs="Arial" w:eastAsia="Arial" w:hAnsi="Arial"/>
          <w:sz w:val="17"/>
          <w:szCs w:val="17"/>
          <w:color w:val="auto"/>
        </w:rPr>
        <w:t>Although the ARYA Board believes that the Business Combination with Nautilus presents a unique business combination opportunity and is in the best interests of ARYA and its shareholders, the board of directors did consider certain potentially material negative factors in arriving at that conclusion. These factors are discussed in greater detail in the sections entitled “</w:t>
      </w:r>
      <w:r>
        <w:rPr>
          <w:rFonts w:ascii="Arial" w:cs="Arial" w:eastAsia="Arial" w:hAnsi="Arial"/>
          <w:sz w:val="17"/>
          <w:szCs w:val="17"/>
          <w:i w:val="1"/>
          <w:iCs w:val="1"/>
          <w:color w:val="auto"/>
        </w:rPr>
        <w:t>Business Combination Proposal—The ARYA Board’s Reasons for</w:t>
      </w:r>
      <w:r>
        <w:rPr>
          <w:rFonts w:ascii="Arial" w:cs="Arial" w:eastAsia="Arial" w:hAnsi="Arial"/>
          <w:sz w:val="17"/>
          <w:szCs w:val="17"/>
          <w:color w:val="auto"/>
        </w:rPr>
        <w:t xml:space="preserve">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Risk Factors—Risks Related to the Business Combination and ARYA.</w:t>
      </w:r>
      <w:r>
        <w:rPr>
          <w:rFonts w:ascii="Arial" w:cs="Arial" w:eastAsia="Arial" w:hAnsi="Arial"/>
          <w:sz w:val="17"/>
          <w:szCs w:val="17"/>
          <w:color w:val="auto"/>
        </w:rPr>
        <w:t>”</w:t>
      </w:r>
    </w:p>
    <w:p>
      <w:pPr>
        <w:spacing w:after="0" w:line="113" w:lineRule="exact"/>
        <w:rPr>
          <w:rFonts w:ascii="Arial" w:cs="Arial" w:eastAsia="Arial" w:hAnsi="Arial"/>
          <w:sz w:val="18"/>
          <w:szCs w:val="18"/>
          <w:color w:val="auto"/>
        </w:rPr>
      </w:pPr>
    </w:p>
    <w:p>
      <w:pPr>
        <w:ind w:left="652" w:right="520" w:hanging="652"/>
        <w:spacing w:after="0" w:line="282"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Did the ARYA Board obtain a third-party valuation or fairness opinion in determining whether or not to proceed with the Business Combination?</w:t>
      </w:r>
    </w:p>
    <w:p>
      <w:pPr>
        <w:spacing w:after="0" w:line="111" w:lineRule="exact"/>
        <w:rPr>
          <w:rFonts w:ascii="Arial" w:cs="Arial" w:eastAsia="Arial" w:hAnsi="Arial"/>
          <w:sz w:val="18"/>
          <w:szCs w:val="18"/>
          <w:b w:val="1"/>
          <w:bCs w:val="1"/>
          <w:color w:val="auto"/>
        </w:rPr>
      </w:pPr>
    </w:p>
    <w:p>
      <w:pPr>
        <w:ind w:left="652" w:right="480" w:hanging="652"/>
        <w:spacing w:after="0" w:line="279" w:lineRule="auto"/>
        <w:tabs>
          <w:tab w:leader="none" w:pos="651"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The ARYA Board did not obtain a third-party valuation or fairness opinion in connection with its determination to approve the Business Combination. However, ARYA’s management, the members of the ARYA Board and the other representatives of ARYA have substantial experience in evaluating the operating and financial merits of companies similar to Nautilus, including in connection with the business combinations of ARYA Sciences Acquisition Corp. and ARYA Sciences Acquisition Corp II, and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3" w:name="page24"/>
    <w:bookmarkEnd w:id="23"/>
    <w:p>
      <w:pPr>
        <w:spacing w:after="0" w:line="144" w:lineRule="exact"/>
        <w:rPr>
          <w:sz w:val="20"/>
          <w:szCs w:val="20"/>
          <w:color w:val="auto"/>
        </w:rPr>
      </w:pPr>
    </w:p>
    <w:p>
      <w:pPr>
        <w:ind w:left="652"/>
        <w:spacing w:after="0" w:line="268" w:lineRule="auto"/>
        <w:rPr>
          <w:sz w:val="20"/>
          <w:szCs w:val="20"/>
          <w:color w:val="auto"/>
        </w:rPr>
      </w:pPr>
      <w:r>
        <w:rPr>
          <w:rFonts w:ascii="Arial" w:cs="Arial" w:eastAsia="Arial" w:hAnsi="Arial"/>
          <w:sz w:val="17"/>
          <w:szCs w:val="17"/>
          <w:color w:val="auto"/>
        </w:rPr>
        <w:t>certain financial information of Nautilus and compared it to certain publicly traded companies, particularly, similar life sciences research tools providers, selected based on the experience and the professional judgment of ARYA’s management team, which enabled them to value Nautilus, a development stage pre-commercial life sciences company, in the context of a business combination transaction with a special purpose acquisition company. Accordingly, investors will be relying solely on the judgment of the ARYA Board in valuing Nautilus’ business and assuming the risk that the ARYA Board may not have properly valued such business. Based on information that ARYA had received from Nautilus, the valuation of comparable companies in Nautilus’ industry and the valuation ascribed to Seer, Inc., in its recent initial public offering, a life sciences company with a focus on commercializing a new proteomics platform that ARYA’s management believed was a good market comparable for the potential valuation of Nautilus, ARYA and Nautilus ultimately agreed to a $900 million valuation of Nautilus. ARYA’s management believed this $900 million valuation to be an attractive valuation for a potential business combination with Nautilus in light of its evaluation and analysis of Nautilus, as well as the valuation of comparable companies and, in particular, the implied $923 million pre-IPO valuation ascribed to Seer, Inc. in its recent initial public offering. For a more detailed description of the process by which the parties to the transaction agreed to a $900 million valuation for Nautilus, and the projected financial information and comparable company analysis the ARYA Board reviewed in its valuation of Nautilus and its determination that the transaction satisfied the 80% test, see “</w:t>
      </w:r>
      <w:r>
        <w:rPr>
          <w:rFonts w:ascii="Arial" w:cs="Arial" w:eastAsia="Arial" w:hAnsi="Arial"/>
          <w:sz w:val="17"/>
          <w:szCs w:val="17"/>
          <w:i w:val="1"/>
          <w:iCs w:val="1"/>
          <w:color w:val="auto"/>
        </w:rPr>
        <w:t>Business Combination Proposal—Background to 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The ARYA Board’s Reasons for the Business Combination</w:t>
      </w:r>
      <w:r>
        <w:rPr>
          <w:rFonts w:ascii="Arial" w:cs="Arial" w:eastAsia="Arial" w:hAnsi="Arial"/>
          <w:sz w:val="17"/>
          <w:szCs w:val="17"/>
          <w:color w:val="auto"/>
        </w:rPr>
        <w:t>”.</w:t>
      </w:r>
    </w:p>
    <w:p>
      <w:pPr>
        <w:spacing w:after="0" w:line="126"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Nautilus’ equityholders receive in return for the Business Combination with ARYA?</w:t>
      </w:r>
    </w:p>
    <w:p>
      <w:pPr>
        <w:spacing w:after="0" w:line="175" w:lineRule="exact"/>
        <w:rPr>
          <w:rFonts w:ascii="Arial" w:cs="Arial" w:eastAsia="Arial" w:hAnsi="Arial"/>
          <w:sz w:val="18"/>
          <w:szCs w:val="18"/>
          <w:b w:val="1"/>
          <w:bCs w:val="1"/>
          <w:color w:val="auto"/>
        </w:rPr>
      </w:pPr>
    </w:p>
    <w:p>
      <w:pPr>
        <w:ind w:left="652" w:right="40" w:hanging="652"/>
        <w:spacing w:after="0" w:line="254" w:lineRule="auto"/>
        <w:tabs>
          <w:tab w:leader="none" w:pos="6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outstanding shares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combined company be managed following the business combination?</w:t>
      </w:r>
    </w:p>
    <w:p>
      <w:pPr>
        <w:spacing w:after="0" w:line="175" w:lineRule="exact"/>
        <w:rPr>
          <w:rFonts w:ascii="Arial" w:cs="Arial" w:eastAsia="Arial" w:hAnsi="Arial"/>
          <w:sz w:val="18"/>
          <w:szCs w:val="18"/>
          <w:b w:val="1"/>
          <w:bCs w:val="1"/>
          <w:color w:val="auto"/>
        </w:rPr>
      </w:pPr>
    </w:p>
    <w:p>
      <w:pPr>
        <w:ind w:left="652" w:right="40" w:hanging="652"/>
        <w:spacing w:after="0" w:line="272" w:lineRule="auto"/>
        <w:tabs>
          <w:tab w:leader="none" w:pos="6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designated by Nautilus prior to the mailing of this proxy statement to ARYA shareholders, all of whom are currently expected to be existing members of Nautilus’ board of directors, one individual determined by Sponsor prior to the effectiveness of the Registration Statement and one director that may be designated by Nautilus and that is reasonably acceptable to Sponsor prior to the effectiveness of the Registration Statement. Please see the section entitled “</w:t>
      </w:r>
      <w:r>
        <w:rPr>
          <w:rFonts w:ascii="Arial" w:cs="Arial" w:eastAsia="Arial" w:hAnsi="Arial"/>
          <w:sz w:val="17"/>
          <w:szCs w:val="17"/>
          <w:i w:val="1"/>
          <w:iCs w:val="1"/>
          <w:color w:val="auto"/>
        </w:rPr>
        <w:t>Management Following the Business Combination</w:t>
      </w:r>
      <w:r>
        <w:rPr>
          <w:rFonts w:ascii="Arial" w:cs="Arial" w:eastAsia="Arial" w:hAnsi="Arial"/>
          <w:sz w:val="17"/>
          <w:szCs w:val="17"/>
          <w:color w:val="auto"/>
        </w:rPr>
        <w:t>” for further information.</w:t>
      </w:r>
    </w:p>
    <w:p>
      <w:pPr>
        <w:spacing w:after="0" w:line="119" w:lineRule="exact"/>
        <w:rPr>
          <w:rFonts w:ascii="Arial" w:cs="Arial" w:eastAsia="Arial" w:hAnsi="Arial"/>
          <w:sz w:val="17"/>
          <w:szCs w:val="17"/>
          <w:color w:val="auto"/>
        </w:rPr>
      </w:pPr>
    </w:p>
    <w:p>
      <w:pPr>
        <w:ind w:left="652" w:right="360" w:hanging="652"/>
        <w:spacing w:after="0" w:line="282" w:lineRule="auto"/>
        <w:tabs>
          <w:tab w:leader="none" w:pos="6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ARYA shareholders and current equityholders of Nautilus hold in New Nautilus immediately after the consummation of the Business Combination?</w:t>
      </w:r>
    </w:p>
    <w:p>
      <w:pPr>
        <w:spacing w:after="0" w:line="111" w:lineRule="exact"/>
        <w:rPr>
          <w:rFonts w:ascii="Arial" w:cs="Arial" w:eastAsia="Arial" w:hAnsi="Arial"/>
          <w:sz w:val="18"/>
          <w:szCs w:val="18"/>
          <w:b w:val="1"/>
          <w:bCs w:val="1"/>
          <w:color w:val="auto"/>
        </w:rPr>
      </w:pPr>
    </w:p>
    <w:p>
      <w:pPr>
        <w:ind w:left="652" w:right="40" w:hanging="652"/>
        <w:spacing w:after="0" w:line="296" w:lineRule="auto"/>
        <w:tabs>
          <w:tab w:leader="none" w:pos="6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the date of this proxy statement/prospectus, there are (i) 14,950,000 Class A ordinary shares outstanding and issued in ARYA’s initial public offering, (ii) 499,000 Class A ordinary shares outstanding and issued in a private placement simultaneously with the closing of ARYA’s initial public offering, and (iii) 3,737,500 Class B ordinary shares outstanding and issued to ARYA’s initial shareholders.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4" w:name="page25"/>
    <w:bookmarkEnd w:id="24"/>
    <w:p>
      <w:pPr>
        <w:spacing w:after="0" w:line="144"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and preferred stock of Nautilus (including the Perceptive Shareholders)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76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redemptions</w:t>
            </w:r>
          </w:p>
        </w:tc>
        <w:tc>
          <w:tcPr>
            <w:tcW w:w="17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w w:val="95"/>
              </w:rPr>
              <w:t>Maximum redemptions</w:t>
            </w:r>
            <w:r>
              <w:rPr>
                <w:rFonts w:ascii="Arial" w:cs="Arial" w:eastAsia="Arial" w:hAnsi="Arial"/>
                <w:sz w:val="18"/>
                <w:szCs w:val="18"/>
                <w:b w:val="1"/>
                <w:bCs w:val="1"/>
                <w:color w:val="auto"/>
                <w:w w:val="95"/>
                <w:vertAlign w:val="superscript"/>
              </w:rPr>
              <w:t>(2)</w:t>
            </w:r>
          </w:p>
        </w:tc>
      </w:tr>
      <w:tr>
        <w:trPr>
          <w:trHeight w:val="129"/>
        </w:trPr>
        <w:tc>
          <w:tcPr>
            <w:tcW w:w="7760" w:type="dxa"/>
            <w:vAlign w:val="bottom"/>
          </w:tcPr>
          <w:p>
            <w:pPr>
              <w:spacing w:after="0"/>
              <w:rPr>
                <w:sz w:val="11"/>
                <w:szCs w:val="11"/>
                <w:color w:val="auto"/>
              </w:rPr>
            </w:pPr>
          </w:p>
        </w:tc>
        <w:tc>
          <w:tcPr>
            <w:tcW w:w="1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c>
          <w:tcPr>
            <w:tcW w:w="100" w:type="dxa"/>
            <w:vAlign w:val="bottom"/>
          </w:tcPr>
          <w:p>
            <w:pPr>
              <w:spacing w:after="0"/>
              <w:rPr>
                <w:sz w:val="11"/>
                <w:szCs w:val="11"/>
                <w:color w:val="auto"/>
              </w:rPr>
            </w:pPr>
          </w:p>
        </w:tc>
        <w:tc>
          <w:tcPr>
            <w:tcW w:w="1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76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tcPr>
          <w:p>
            <w:pPr>
              <w:jc w:val="right"/>
              <w:ind w:right="558"/>
              <w:spacing w:after="0"/>
              <w:rPr>
                <w:sz w:val="20"/>
                <w:szCs w:val="20"/>
                <w:color w:val="auto"/>
              </w:rPr>
            </w:pPr>
            <w:r>
              <w:rPr>
                <w:rFonts w:ascii="Arial" w:cs="Arial" w:eastAsia="Arial" w:hAnsi="Arial"/>
                <w:sz w:val="14"/>
                <w:szCs w:val="14"/>
                <w:b w:val="1"/>
                <w:bCs w:val="1"/>
                <w:color w:val="auto"/>
              </w:rPr>
              <w:t>Shares</w:t>
            </w:r>
          </w:p>
        </w:tc>
      </w:tr>
      <w:tr>
        <w:trPr>
          <w:trHeight w:val="224"/>
        </w:trPr>
        <w:tc>
          <w:tcPr>
            <w:tcW w:w="77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68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76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68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760" w:type="dxa"/>
            <w:vAlign w:val="bottom"/>
          </w:tcPr>
          <w:p>
            <w:pPr>
              <w:spacing w:after="0"/>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w:t>
      </w:r>
    </w:p>
    <w:p>
      <w:pPr>
        <w:spacing w:after="0" w:line="16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Domestication?</w:t>
      </w:r>
    </w:p>
    <w:p>
      <w:pPr>
        <w:spacing w:after="0" w:line="175" w:lineRule="exact"/>
        <w:rPr>
          <w:rFonts w:ascii="Arial" w:cs="Arial" w:eastAsia="Arial" w:hAnsi="Arial"/>
          <w:sz w:val="18"/>
          <w:szCs w:val="18"/>
          <w:b w:val="1"/>
          <w:bCs w:val="1"/>
          <w:color w:val="auto"/>
        </w:rPr>
      </w:pPr>
    </w:p>
    <w:p>
      <w:pPr>
        <w:ind w:left="660" w:right="300" w:hanging="652"/>
        <w:spacing w:after="0" w:line="254" w:lineRule="auto"/>
        <w:tabs>
          <w:tab w:leader="none" w:pos="6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transfer by way of continuation to Delaware is in the best interests of ARYA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the section entitled “</w:t>
      </w:r>
      <w:r>
        <w:rPr>
          <w:rFonts w:ascii="Arial" w:cs="Arial" w:eastAsia="Arial" w:hAnsi="Arial"/>
          <w:sz w:val="18"/>
          <w:szCs w:val="18"/>
          <w:i w:val="1"/>
          <w:iCs w:val="1"/>
          <w:color w:val="auto"/>
        </w:rPr>
        <w:t>Domestication Proposal—Reasons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Domestication.</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right="440"/>
        <w:spacing w:after="0" w:line="277" w:lineRule="auto"/>
        <w:rPr>
          <w:rFonts w:ascii="Arial" w:cs="Arial" w:eastAsia="Arial" w:hAnsi="Arial"/>
          <w:sz w:val="18"/>
          <w:szCs w:val="18"/>
          <w:color w:val="auto"/>
        </w:rPr>
      </w:pPr>
      <w:r>
        <w:rPr>
          <w:rFonts w:ascii="Arial" w:cs="Arial" w:eastAsia="Arial" w:hAnsi="Arial"/>
          <w:sz w:val="18"/>
          <w:szCs w:val="18"/>
          <w:color w:val="auto"/>
        </w:rPr>
        <w:t>To effect the Domestication, we will file an application for deregistration with the Cayman Islands Registrar of Companies, together with the necessary accompanying documents, and file 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left="652" w:right="920"/>
        <w:spacing w:after="0" w:line="277" w:lineRule="auto"/>
        <w:rPr>
          <w:sz w:val="20"/>
          <w:szCs w:val="20"/>
          <w:color w:val="auto"/>
        </w:rPr>
      </w:pPr>
      <w:r>
        <w:rPr>
          <w:rFonts w:ascii="Arial" w:cs="Arial" w:eastAsia="Arial" w:hAnsi="Arial"/>
          <w:sz w:val="18"/>
          <w:szCs w:val="18"/>
          <w:color w:val="auto"/>
        </w:rPr>
        <w:t>corporate domestication and a certificate of incorporation with the Secretary of State of the State of Delaware, under which we will be domesticated and continue as a Delaware corporation.</w:t>
      </w:r>
    </w:p>
    <w:p>
      <w:pPr>
        <w:spacing w:after="0" w:line="116" w:lineRule="exact"/>
        <w:rPr>
          <w:sz w:val="20"/>
          <w:szCs w:val="20"/>
          <w:color w:val="auto"/>
        </w:rPr>
      </w:pPr>
    </w:p>
    <w:p>
      <w:pPr>
        <w:ind w:left="652"/>
        <w:spacing w:after="0" w:line="296" w:lineRule="auto"/>
        <w:rPr>
          <w:sz w:val="20"/>
          <w:szCs w:val="20"/>
          <w:color w:val="auto"/>
        </w:rPr>
      </w:pPr>
      <w:r>
        <w:rPr>
          <w:rFonts w:ascii="Arial" w:cs="Arial" w:eastAsia="Arial" w:hAnsi="Arial"/>
          <w:sz w:val="16"/>
          <w:szCs w:val="16"/>
          <w:color w:val="auto"/>
        </w:rPr>
        <w:t>The approval of the Domestication Proposal is a condition to closing the Business Combination under the Business Combination Agreement.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w:t>
      </w:r>
    </w:p>
    <w:p>
      <w:pPr>
        <w:spacing w:after="0" w:line="10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amendments will be made to the current constitutional documents of ARYA?</w:t>
      </w:r>
    </w:p>
    <w:p>
      <w:pPr>
        <w:spacing w:after="0" w:line="175" w:lineRule="exact"/>
        <w:rPr>
          <w:rFonts w:ascii="Arial" w:cs="Arial" w:eastAsia="Arial" w:hAnsi="Arial"/>
          <w:sz w:val="18"/>
          <w:szCs w:val="18"/>
          <w:b w:val="1"/>
          <w:bCs w:val="1"/>
          <w:color w:val="auto"/>
        </w:rPr>
      </w:pPr>
    </w:p>
    <w:p>
      <w:pPr>
        <w:ind w:left="652" w:right="180" w:hanging="652"/>
        <w:spacing w:after="0" w:line="301" w:lineRule="auto"/>
        <w:tabs>
          <w:tab w:leader="none" w:pos="65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consummation of the Business Combination is conditional, among other things, on the Domestication. Accordingly, in addition to voting on the Business Combination, ARYA’s shareholders also are being asked to consider and vote upon a proposal to approve the Domestication, and replace ARYA’s Existing Governing Documents, in each case, under Cayman Islands law with the Proposed Certificate of Incorporation, in each case, under the DGCL, which differ from the Existing Governing Documents in the following material respects:</w:t>
      </w:r>
    </w:p>
    <w:p>
      <w:pPr>
        <w:sectPr>
          <w:pgSz w:w="11900" w:h="16838" w:orient="portrait"/>
          <w:cols w:equalWidth="0" w:num="1">
            <w:col w:w="11232"/>
          </w:cols>
          <w:pgMar w:left="328" w:top="1440" w:right="339" w:bottom="1440" w:gutter="0" w:footer="0" w:header="0"/>
        </w:sectPr>
      </w:pPr>
    </w:p>
    <w:p>
      <w:pPr>
        <w:spacing w:after="0" w:line="135" w:lineRule="exact"/>
        <w:rPr>
          <w:sz w:val="20"/>
          <w:szCs w:val="20"/>
          <w:color w:val="auto"/>
        </w:rPr>
      </w:pPr>
    </w:p>
    <w:p>
      <w:pPr>
        <w:ind w:left="4632"/>
        <w:spacing w:after="0"/>
        <w:rPr>
          <w:sz w:val="20"/>
          <w:szCs w:val="20"/>
          <w:color w:val="auto"/>
        </w:rPr>
      </w:pPr>
      <w:r>
        <w:rPr>
          <w:rFonts w:ascii="Arial" w:cs="Arial" w:eastAsia="Arial" w:hAnsi="Arial"/>
          <w:sz w:val="12"/>
          <w:szCs w:val="12"/>
          <w:b w:val="1"/>
          <w:bCs w:val="1"/>
          <w:color w:val="auto"/>
        </w:rPr>
        <w:t>Existing Governing Documents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Proposed Certificate of Incorporation</w:t>
      </w:r>
    </w:p>
    <w:p>
      <w:pPr>
        <w:spacing w:after="0" w:line="44" w:lineRule="exact"/>
        <w:rPr>
          <w:sz w:val="20"/>
          <w:szCs w:val="20"/>
          <w:color w:val="auto"/>
        </w:rPr>
      </w:pPr>
    </w:p>
    <w:p>
      <w:pPr>
        <w:sectPr>
          <w:pgSz w:w="11900" w:h="16838" w:orient="portrait"/>
          <w:cols w:equalWidth="0" w:num="2">
            <w:col w:w="7512" w:space="720"/>
            <w:col w:w="3000"/>
          </w:cols>
          <w:pgMar w:left="328" w:top="1440" w:right="339" w:bottom="1440" w:gutter="0" w:footer="0" w:header="0"/>
          <w:type w:val="continuous"/>
        </w:sectPr>
      </w:pPr>
    </w:p>
    <w:p>
      <w:pPr>
        <w:jc w:val="center"/>
        <w:ind w:left="212"/>
        <w:spacing w:after="0"/>
        <w:rPr>
          <w:sz w:val="20"/>
          <w:szCs w:val="20"/>
          <w:color w:val="auto"/>
        </w:rPr>
      </w:pPr>
      <w:r>
        <w:rPr>
          <w:rFonts w:ascii="Arial" w:cs="Arial" w:eastAsia="Arial" w:hAnsi="Arial"/>
          <w:sz w:val="18"/>
          <w:szCs w:val="18"/>
          <w:b w:val="1"/>
          <w:bCs w:val="1"/>
          <w:color w:val="auto"/>
        </w:rPr>
        <w:t>Authorized Shares</w:t>
      </w:r>
    </w:p>
    <w:p>
      <w:pPr>
        <w:jc w:val="center"/>
        <w:ind w:left="212"/>
        <w:spacing w:after="0"/>
        <w:rPr>
          <w:sz w:val="20"/>
          <w:szCs w:val="20"/>
          <w:color w:val="auto"/>
        </w:rPr>
      </w:pPr>
      <w:r>
        <w:rPr>
          <w:rFonts w:ascii="Arial" w:cs="Arial" w:eastAsia="Arial" w:hAnsi="Arial"/>
          <w:sz w:val="16"/>
          <w:szCs w:val="16"/>
          <w:color w:val="auto"/>
        </w:rPr>
        <w:t>(Advisory Governing Documents Proposal 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share capital under the Existing Governing Documents is US $50,000 divided into 479,000,000 Class A ordinary shares of par value US$0.0001 per share, 20,000,000 Class B ordinary shares of par value US$0.0001 per share and 1,000,000 preference shares of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-821690</wp:posOffset>
            </wp:positionV>
            <wp:extent cx="2339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i w:val="1"/>
          <w:iCs w:val="1"/>
          <w:color w:val="auto"/>
        </w:rPr>
        <w:t>See paragraph 8 of the Memorandum of Association.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-601345</wp:posOffset>
            </wp:positionV>
            <wp:extent cx="2348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8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50" w:lineRule="exact"/>
        <w:rPr>
          <w:sz w:val="20"/>
          <w:szCs w:val="20"/>
          <w:color w:val="auto"/>
        </w:rPr>
      </w:pPr>
    </w:p>
    <w:p>
      <w:pPr>
        <w:sectPr>
          <w:pgSz w:w="11900" w:h="16838" w:orient="portrait"/>
          <w:cols w:equalWidth="0" w:num="3">
            <w:col w:w="3532" w:space="240"/>
            <w:col w:w="3560" w:space="220"/>
            <w:col w:w="3680"/>
          </w:cols>
          <w:pgMar w:left="328" w:top="1440" w:right="339" w:bottom="1440" w:gutter="0" w:footer="0" w:header="0"/>
          <w:type w:val="continuous"/>
        </w:sectPr>
      </w:pPr>
    </w:p>
    <w:p>
      <w:pPr>
        <w:ind w:left="112" w:right="20" w:firstLine="192"/>
        <w:spacing w:after="0" w:line="241" w:lineRule="auto"/>
        <w:rPr>
          <w:sz w:val="20"/>
          <w:szCs w:val="20"/>
          <w:color w:val="auto"/>
        </w:rPr>
      </w:pPr>
      <w:r>
        <w:rPr>
          <w:rFonts w:ascii="Arial" w:cs="Arial" w:eastAsia="Arial" w:hAnsi="Arial"/>
          <w:sz w:val="16"/>
          <w:szCs w:val="16"/>
          <w:b w:val="1"/>
          <w:bCs w:val="1"/>
          <w:color w:val="auto"/>
        </w:rPr>
        <w:t xml:space="preserve">Authorize the Board of Directors to Issue </w:t>
      </w:r>
      <w:r>
        <w:rPr>
          <w:rFonts w:ascii="Arial" w:cs="Arial" w:eastAsia="Arial" w:hAnsi="Arial"/>
          <w:sz w:val="16"/>
          <w:szCs w:val="16"/>
          <w:color w:val="auto"/>
        </w:rPr>
        <w:t>The Existing Governing Documents authorize the</w:t>
      </w:r>
      <w:r>
        <w:rPr>
          <w:rFonts w:ascii="Arial" w:cs="Arial" w:eastAsia="Arial" w:hAnsi="Arial"/>
          <w:sz w:val="16"/>
          <w:szCs w:val="16"/>
          <w:b w:val="1"/>
          <w:bCs w:val="1"/>
          <w:color w:val="auto"/>
        </w:rPr>
        <w:t xml:space="preserve"> Preferred Stock Without Stockholder Consent </w:t>
      </w:r>
      <w:r>
        <w:rPr>
          <w:rFonts w:ascii="Arial" w:cs="Arial" w:eastAsia="Arial" w:hAnsi="Arial"/>
          <w:sz w:val="16"/>
          <w:szCs w:val="16"/>
          <w:color w:val="auto"/>
        </w:rPr>
        <w:t>issuance of 1,000,000 preference shares with such</w:t>
      </w:r>
    </w:p>
    <w:p>
      <w:pPr>
        <w:ind w:left="232"/>
        <w:spacing w:after="0"/>
        <w:tabs>
          <w:tab w:leader="none" w:pos="3752" w:val="left"/>
        </w:tabs>
        <w:rPr>
          <w:sz w:val="20"/>
          <w:szCs w:val="20"/>
          <w:color w:val="auto"/>
        </w:rPr>
      </w:pPr>
      <w:r>
        <w:rPr>
          <w:rFonts w:ascii="Arial" w:cs="Arial" w:eastAsia="Arial" w:hAnsi="Arial"/>
          <w:sz w:val="18"/>
          <w:szCs w:val="18"/>
          <w:color w:val="auto"/>
        </w:rPr>
        <w:t>(Advisory Governing Documents Proposal B)</w:t>
      </w:r>
      <w:r>
        <w:rPr>
          <w:sz w:val="20"/>
          <w:szCs w:val="20"/>
          <w:color w:val="auto"/>
        </w:rPr>
        <w:tab/>
      </w:r>
      <w:r>
        <w:rPr>
          <w:rFonts w:ascii="Arial" w:cs="Arial" w:eastAsia="Arial" w:hAnsi="Arial"/>
          <w:sz w:val="15"/>
          <w:szCs w:val="15"/>
          <w:color w:val="auto"/>
        </w:rPr>
        <w:t>designation, rights and preferences as may be</w:t>
      </w:r>
    </w:p>
    <w:p>
      <w:pPr>
        <w:ind w:left="3772"/>
        <w:spacing w:after="0" w:line="203" w:lineRule="auto"/>
        <w:rPr>
          <w:sz w:val="20"/>
          <w:szCs w:val="20"/>
          <w:color w:val="auto"/>
        </w:rPr>
      </w:pPr>
      <w:r>
        <w:rPr>
          <w:rFonts w:ascii="Arial" w:cs="Arial" w:eastAsia="Arial" w:hAnsi="Arial"/>
          <w:sz w:val="18"/>
          <w:szCs w:val="18"/>
          <w:color w:val="auto"/>
        </w:rPr>
        <w:t>determined from time to time by our board of</w:t>
      </w:r>
    </w:p>
    <w:p>
      <w:pPr>
        <w:ind w:left="3772"/>
        <w:spacing w:after="0" w:line="216" w:lineRule="auto"/>
        <w:rPr>
          <w:sz w:val="20"/>
          <w:szCs w:val="20"/>
          <w:color w:val="auto"/>
        </w:rPr>
      </w:pPr>
      <w:r>
        <w:rPr>
          <w:rFonts w:ascii="Arial" w:cs="Arial" w:eastAsia="Arial" w:hAnsi="Arial"/>
          <w:sz w:val="17"/>
          <w:szCs w:val="17"/>
          <w:color w:val="auto"/>
        </w:rPr>
        <w:t>directors. Accordingly, our board of directors is</w:t>
      </w:r>
    </w:p>
    <w:p>
      <w:pPr>
        <w:ind w:left="3772"/>
        <w:spacing w:after="0" w:line="203" w:lineRule="auto"/>
        <w:rPr>
          <w:sz w:val="20"/>
          <w:szCs w:val="20"/>
          <w:color w:val="auto"/>
        </w:rPr>
      </w:pPr>
      <w:r>
        <w:rPr>
          <w:rFonts w:ascii="Arial" w:cs="Arial" w:eastAsia="Arial" w:hAnsi="Arial"/>
          <w:sz w:val="18"/>
          <w:szCs w:val="18"/>
          <w:color w:val="auto"/>
        </w:rPr>
        <w:t>empowered under the Existing Governing</w:t>
      </w:r>
    </w:p>
    <w:p>
      <w:pPr>
        <w:ind w:left="3772"/>
        <w:spacing w:after="0" w:line="204" w:lineRule="auto"/>
        <w:rPr>
          <w:sz w:val="20"/>
          <w:szCs w:val="20"/>
          <w:color w:val="auto"/>
        </w:rPr>
      </w:pPr>
      <w:r>
        <w:rPr>
          <w:rFonts w:ascii="Arial" w:cs="Arial" w:eastAsia="Arial" w:hAnsi="Arial"/>
          <w:sz w:val="18"/>
          <w:szCs w:val="18"/>
          <w:color w:val="auto"/>
        </w:rPr>
        <w:t>Documents, without shareholder approval, to</w:t>
      </w:r>
    </w:p>
    <w:p>
      <w:pPr>
        <w:ind w:left="3772"/>
        <w:spacing w:after="0" w:line="229" w:lineRule="auto"/>
        <w:rPr>
          <w:sz w:val="20"/>
          <w:szCs w:val="20"/>
          <w:color w:val="auto"/>
        </w:rPr>
      </w:pPr>
      <w:r>
        <w:rPr>
          <w:rFonts w:ascii="Arial" w:cs="Arial" w:eastAsia="Arial" w:hAnsi="Arial"/>
          <w:sz w:val="16"/>
          <w:szCs w:val="16"/>
          <w:color w:val="auto"/>
        </w:rPr>
        <w:t>issue preference shares with dividend, liquidation,</w:t>
      </w:r>
    </w:p>
    <w:p>
      <w:pPr>
        <w:ind w:left="3772"/>
        <w:spacing w:after="0" w:line="215" w:lineRule="auto"/>
        <w:rPr>
          <w:sz w:val="20"/>
          <w:szCs w:val="20"/>
          <w:color w:val="auto"/>
        </w:rPr>
      </w:pPr>
      <w:r>
        <w:rPr>
          <w:rFonts w:ascii="Arial" w:cs="Arial" w:eastAsia="Arial" w:hAnsi="Arial"/>
          <w:sz w:val="17"/>
          <w:szCs w:val="17"/>
          <w:color w:val="auto"/>
        </w:rPr>
        <w:t>redemption, voting or other rights which could</w:t>
      </w:r>
    </w:p>
    <w:p>
      <w:pPr>
        <w:ind w:left="3772"/>
        <w:spacing w:after="0" w:line="216" w:lineRule="auto"/>
        <w:rPr>
          <w:sz w:val="20"/>
          <w:szCs w:val="20"/>
          <w:color w:val="auto"/>
        </w:rPr>
      </w:pPr>
      <w:r>
        <w:rPr>
          <w:rFonts w:ascii="Arial" w:cs="Arial" w:eastAsia="Arial" w:hAnsi="Arial"/>
          <w:sz w:val="17"/>
          <w:szCs w:val="17"/>
          <w:color w:val="auto"/>
        </w:rPr>
        <w:t>adversely affect the voting power or other rights</w:t>
      </w:r>
    </w:p>
    <w:p>
      <w:pPr>
        <w:ind w:left="3772"/>
        <w:spacing w:after="0"/>
        <w:rPr>
          <w:sz w:val="20"/>
          <w:szCs w:val="20"/>
          <w:color w:val="auto"/>
        </w:rPr>
      </w:pPr>
      <w:r>
        <w:rPr>
          <w:rFonts w:ascii="Arial" w:cs="Arial" w:eastAsia="Arial" w:hAnsi="Arial"/>
          <w:sz w:val="18"/>
          <w:szCs w:val="18"/>
          <w:color w:val="auto"/>
        </w:rPr>
        <w:t>of the holders of ordinary shares.</w:t>
      </w:r>
    </w:p>
    <w:p>
      <w:pPr>
        <w:spacing w:after="0" w:line="221" w:lineRule="exact"/>
        <w:rPr>
          <w:sz w:val="20"/>
          <w:szCs w:val="20"/>
          <w:color w:val="auto"/>
        </w:rPr>
      </w:pPr>
    </w:p>
    <w:p>
      <w:pPr>
        <w:ind w:left="3772"/>
        <w:spacing w:after="0"/>
        <w:rPr>
          <w:sz w:val="20"/>
          <w:szCs w:val="20"/>
          <w:color w:val="auto"/>
        </w:rPr>
      </w:pPr>
      <w:r>
        <w:rPr>
          <w:rFonts w:ascii="Arial" w:cs="Arial" w:eastAsia="Arial" w:hAnsi="Arial"/>
          <w:sz w:val="18"/>
          <w:szCs w:val="18"/>
          <w:i w:val="1"/>
          <w:iCs w:val="1"/>
          <w:color w:val="auto"/>
        </w:rPr>
        <w:t>See paragraph 8 of the Memorandum of</w:t>
      </w:r>
    </w:p>
    <w:p>
      <w:pPr>
        <w:ind w:left="3772"/>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772"/>
        <w:spacing w:after="0"/>
        <w:rPr>
          <w:sz w:val="20"/>
          <w:szCs w:val="20"/>
          <w:color w:val="auto"/>
        </w:rPr>
      </w:pPr>
      <w:r>
        <w:rPr>
          <w:rFonts w:ascii="Arial" w:cs="Arial" w:eastAsia="Arial" w:hAnsi="Arial"/>
          <w:sz w:val="18"/>
          <w:szCs w:val="18"/>
          <w:i w:val="1"/>
          <w:iCs w:val="1"/>
          <w:color w:val="auto"/>
        </w:rPr>
        <w:t>Association.</w:t>
      </w:r>
    </w:p>
    <w:p>
      <w:pPr>
        <w:spacing w:after="0" w:line="20" w:lineRule="exact"/>
        <w:rPr>
          <w:sz w:val="20"/>
          <w:szCs w:val="20"/>
          <w:color w:val="auto"/>
        </w:rPr>
      </w:pPr>
      <w:r>
        <w:rPr>
          <w:sz w:val="20"/>
          <w:szCs w:val="20"/>
          <w:color w:val="auto"/>
        </w:rPr>
        <w:br w:type="column"/>
      </w:r>
    </w:p>
    <w:p>
      <w:pPr>
        <w:ind w:right="40"/>
        <w:spacing w:after="0" w:line="234" w:lineRule="auto"/>
        <w:rPr>
          <w:sz w:val="20"/>
          <w:szCs w:val="20"/>
          <w:color w:val="auto"/>
        </w:rPr>
      </w:pPr>
      <w:r>
        <w:rPr>
          <w:rFonts w:ascii="Arial" w:cs="Arial" w:eastAsia="Arial" w:hAnsi="Arial"/>
          <w:sz w:val="16"/>
          <w:szCs w:val="16"/>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61" w:lineRule="exact"/>
        <w:rPr>
          <w:sz w:val="20"/>
          <w:szCs w:val="20"/>
          <w:color w:val="auto"/>
        </w:rPr>
      </w:pPr>
    </w:p>
    <w:p>
      <w:pPr>
        <w:ind w:right="78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353" w:lineRule="exact"/>
        <w:rPr>
          <w:sz w:val="20"/>
          <w:szCs w:val="20"/>
          <w:color w:val="auto"/>
        </w:rPr>
      </w:pPr>
    </w:p>
    <w:p>
      <w:pPr>
        <w:sectPr>
          <w:pgSz w:w="11900" w:h="16838" w:orient="portrait"/>
          <w:cols w:equalWidth="0" w:num="2">
            <w:col w:w="7392" w:space="160"/>
            <w:col w:w="3680"/>
          </w:cols>
          <w:pgMar w:left="328"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26" w:name="page27"/>
    <w:bookmarkEnd w:id="2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Existing Governing Documents</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Shareholder/Stockholder Written Consent In</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The Existing Governing Documents provide that</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 xml:space="preserve">Lieu of a Meeting </w:t>
            </w:r>
            <w:r>
              <w:rPr>
                <w:rFonts w:ascii="Arial" w:cs="Arial" w:eastAsia="Arial" w:hAnsi="Arial"/>
                <w:sz w:val="18"/>
                <w:szCs w:val="18"/>
                <w:color w:val="auto"/>
                <w:w w:val="93"/>
              </w:rPr>
              <w:t>(Advisory</w:t>
            </w:r>
            <w:r>
              <w:rPr>
                <w:rFonts w:ascii="Arial" w:cs="Arial" w:eastAsia="Arial" w:hAnsi="Arial"/>
                <w:sz w:val="18"/>
                <w:szCs w:val="18"/>
                <w:b w:val="1"/>
                <w:bCs w:val="1"/>
                <w:color w:val="auto"/>
                <w:w w:val="93"/>
              </w:rPr>
              <w:t xml:space="preserve"> </w:t>
            </w:r>
            <w:r>
              <w:rPr>
                <w:rFonts w:ascii="Arial" w:cs="Arial" w:eastAsia="Arial" w:hAnsi="Arial"/>
                <w:sz w:val="18"/>
                <w:szCs w:val="18"/>
                <w:i w:val="1"/>
                <w:iCs w:val="1"/>
                <w:color w:val="auto"/>
                <w:w w:val="93"/>
              </w:rPr>
              <w:t>Governing</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resolutions may be passed by a vote in person, by</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i w:val="1"/>
                <w:iCs w:val="1"/>
                <w:color w:val="auto"/>
                <w:w w:val="91"/>
              </w:rPr>
              <w:t>Documents Proposal C</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proxy at a general meeting, or by unanimous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written resolution.</w:t>
            </w:r>
          </w:p>
        </w:tc>
      </w:tr>
      <w:tr>
        <w:trPr>
          <w:trHeight w:val="40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 Name</w:t>
            </w:r>
          </w:p>
        </w:tc>
        <w:tc>
          <w:tcPr>
            <w:tcW w:w="3680" w:type="dxa"/>
            <w:vAlign w:val="bottom"/>
          </w:tcPr>
          <w:p>
            <w:pPr>
              <w:ind w:left="20"/>
              <w:spacing w:after="0"/>
              <w:rPr>
                <w:sz w:val="20"/>
                <w:szCs w:val="20"/>
                <w:color w:val="auto"/>
              </w:rPr>
            </w:pPr>
            <w:r>
              <w:rPr>
                <w:rFonts w:ascii="Arial" w:cs="Arial" w:eastAsia="Arial" w:hAnsi="Arial"/>
                <w:sz w:val="18"/>
                <w:szCs w:val="18"/>
                <w:color w:val="auto"/>
                <w:w w:val="96"/>
              </w:rPr>
              <w:t>The Existing Governing Documents provide the</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 xml:space="preserve">(Advisory </w:t>
            </w:r>
            <w:r>
              <w:rPr>
                <w:rFonts w:ascii="Arial" w:cs="Arial" w:eastAsia="Arial" w:hAnsi="Arial"/>
                <w:sz w:val="18"/>
                <w:szCs w:val="18"/>
                <w:i w:val="1"/>
                <w:iCs w:val="1"/>
                <w:color w:val="auto"/>
                <w:w w:val="92"/>
              </w:rPr>
              <w:t>Governing Documents Proposal D</w:t>
            </w:r>
            <w:r>
              <w:rPr>
                <w:rFonts w:ascii="Arial" w:cs="Arial" w:eastAsia="Arial" w:hAnsi="Arial"/>
                <w:sz w:val="18"/>
                <w:szCs w:val="18"/>
                <w:color w:val="auto"/>
                <w:w w:val="92"/>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Acquisition Corp III”</w:t>
            </w:r>
          </w:p>
        </w:tc>
      </w:tr>
      <w:tr>
        <w:trPr>
          <w:trHeight w:val="229"/>
        </w:trPr>
        <w:tc>
          <w:tcPr>
            <w:tcW w:w="36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Perpetual Existence</w:t>
            </w:r>
          </w:p>
        </w:tc>
        <w:tc>
          <w:tcPr>
            <w:tcW w:w="3680" w:type="dxa"/>
            <w:vAlign w:val="bottom"/>
          </w:tcPr>
          <w:p>
            <w:pPr>
              <w:ind w:left="20"/>
              <w:spacing w:after="0"/>
              <w:rPr>
                <w:sz w:val="20"/>
                <w:szCs w:val="20"/>
                <w:color w:val="auto"/>
              </w:rPr>
            </w:pPr>
            <w:r>
              <w:rPr>
                <w:rFonts w:ascii="Arial" w:cs="Arial" w:eastAsia="Arial" w:hAnsi="Arial"/>
                <w:sz w:val="18"/>
                <w:szCs w:val="18"/>
                <w:color w:val="auto"/>
                <w:w w:val="95"/>
              </w:rPr>
              <w:t>The Existing Governing Documents provide that</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 xml:space="preserve">(Advisory </w:t>
            </w:r>
            <w:r>
              <w:rPr>
                <w:rFonts w:ascii="Arial" w:cs="Arial" w:eastAsia="Arial" w:hAnsi="Arial"/>
                <w:sz w:val="18"/>
                <w:szCs w:val="18"/>
                <w:i w:val="1"/>
                <w:iCs w:val="1"/>
                <w:color w:val="auto"/>
                <w:w w:val="92"/>
              </w:rPr>
              <w:t>Governing Documents Proposal D</w:t>
            </w:r>
            <w:r>
              <w:rPr>
                <w:rFonts w:ascii="Arial" w:cs="Arial" w:eastAsia="Arial" w:hAnsi="Arial"/>
                <w:sz w:val="18"/>
                <w:szCs w:val="18"/>
                <w:color w:val="auto"/>
                <w:w w:val="92"/>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if we do not consummate a business combination</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(as defined in the Existing Governing Documents)</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3"/>
              </w:rPr>
              <w:t>by August 11, 2022 (twenty-four months after the</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8"/>
              </w:rPr>
              <w:t>closing of ARYA’s initial public offering), ARYA</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will cease all operations except for the purposes of</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winding up and will redeem the shares issued in</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ARYA’s initial public offering and liquidate its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trust account.</w:t>
            </w:r>
          </w:p>
        </w:tc>
      </w:tr>
      <w:tr>
        <w:trPr>
          <w:trHeight w:val="283"/>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See Article 38 of our Articles of Association.</w:t>
            </w:r>
          </w:p>
        </w:tc>
      </w:tr>
      <w:tr>
        <w:trPr>
          <w:trHeight w:val="405"/>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Takeovers by Interested Stockholders</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do not</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 xml:space="preserve">(Advisory </w:t>
            </w:r>
            <w:r>
              <w:rPr>
                <w:rFonts w:ascii="Arial" w:cs="Arial" w:eastAsia="Arial" w:hAnsi="Arial"/>
                <w:sz w:val="18"/>
                <w:szCs w:val="18"/>
                <w:i w:val="1"/>
                <w:iCs w:val="1"/>
                <w:color w:val="auto"/>
                <w:w w:val="92"/>
              </w:rPr>
              <w:t>Governing Documents Proposal D</w:t>
            </w:r>
            <w:r>
              <w:rPr>
                <w:rFonts w:ascii="Arial" w:cs="Arial" w:eastAsia="Arial" w:hAnsi="Arial"/>
                <w:sz w:val="18"/>
                <w:szCs w:val="18"/>
                <w:color w:val="auto"/>
                <w:w w:val="92"/>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provide restrictions on takeovers of ARYA by a</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combination.</w:t>
            </w:r>
          </w:p>
        </w:tc>
      </w:tr>
      <w:tr>
        <w:trPr>
          <w:trHeight w:val="688"/>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Provisions Related to Status as Blank Check</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set forth</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Company</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various provisions related to our status as a blank</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 xml:space="preserve">(Advisory </w:t>
            </w:r>
            <w:r>
              <w:rPr>
                <w:rFonts w:ascii="Arial" w:cs="Arial" w:eastAsia="Arial" w:hAnsi="Arial"/>
                <w:sz w:val="18"/>
                <w:szCs w:val="18"/>
                <w:i w:val="1"/>
                <w:iCs w:val="1"/>
                <w:color w:val="auto"/>
                <w:w w:val="92"/>
              </w:rPr>
              <w:t>Governing Documents Proposal D</w:t>
            </w:r>
            <w:r>
              <w:rPr>
                <w:rFonts w:ascii="Arial" w:cs="Arial" w:eastAsia="Arial" w:hAnsi="Arial"/>
                <w:sz w:val="18"/>
                <w:szCs w:val="18"/>
                <w:color w:val="auto"/>
                <w:w w:val="92"/>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check company prior to the consummation of a</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business combination.</w:t>
            </w:r>
          </w:p>
        </w:tc>
      </w:tr>
      <w:tr>
        <w:trPr>
          <w:trHeight w:val="63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 38 of our Articles of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prohibits the ability of stockholders to act by written consent in lieu of a meeting.</w:t>
      </w:r>
    </w:p>
    <w:p>
      <w:pPr>
        <w:spacing w:after="0" w:line="5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Proposed Certificate of Incorporation provides that the corporation will have perpetual existence, which is the default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Article VII, Section 1 of the 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of Incorporation.</w:t>
      </w:r>
    </w:p>
    <w:p>
      <w:pPr>
        <w:spacing w:after="0" w:line="5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pacing w:after="0" w:line="77"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2">
            <w:col w:w="7300" w:space="120"/>
            <w:col w:w="3620"/>
          </w:cols>
          <w:pgMar w:left="480" w:top="1440" w:right="379" w:bottom="1440" w:gutter="0" w:footer="0" w:header="0"/>
        </w:sectPr>
      </w:pPr>
    </w:p>
    <w:bookmarkStart w:id="27" w:name="page28"/>
    <w:bookmarkEnd w:id="27"/>
    <w:p>
      <w:pPr>
        <w:spacing w:after="0" w:line="140"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Domestication affect my ordinary shares?</w:t>
      </w:r>
    </w:p>
    <w:p>
      <w:pPr>
        <w:spacing w:after="0" w:line="175" w:lineRule="exact"/>
        <w:rPr>
          <w:rFonts w:ascii="Arial" w:cs="Arial" w:eastAsia="Arial" w:hAnsi="Arial"/>
          <w:sz w:val="18"/>
          <w:szCs w:val="18"/>
          <w:b w:val="1"/>
          <w:bCs w:val="1"/>
          <w:color w:val="auto"/>
        </w:rPr>
      </w:pPr>
    </w:p>
    <w:p>
      <w:pPr>
        <w:ind w:left="652" w:right="280" w:hanging="652"/>
        <w:spacing w:after="0" w:line="263" w:lineRule="auto"/>
        <w:tabs>
          <w:tab w:leader="none" w:pos="6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52" w:right="80"/>
        <w:spacing w:after="0" w:line="257" w:lineRule="auto"/>
        <w:rPr>
          <w:rFonts w:ascii="Arial" w:cs="Arial" w:eastAsia="Arial" w:hAnsi="Arial"/>
          <w:sz w:val="18"/>
          <w:szCs w:val="18"/>
          <w:color w:val="auto"/>
        </w:rPr>
      </w:pPr>
      <w:r>
        <w:rPr>
          <w:rFonts w:ascii="Arial" w:cs="Arial" w:eastAsia="Arial" w:hAnsi="Arial"/>
          <w:sz w:val="18"/>
          <w:szCs w:val="18"/>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the Domestication?</w:t>
      </w:r>
    </w:p>
    <w:p>
      <w:pPr>
        <w:spacing w:after="0" w:line="175" w:lineRule="exact"/>
        <w:rPr>
          <w:rFonts w:ascii="Arial" w:cs="Arial" w:eastAsia="Arial" w:hAnsi="Arial"/>
          <w:sz w:val="18"/>
          <w:szCs w:val="18"/>
          <w:b w:val="1"/>
          <w:bCs w:val="1"/>
          <w:color w:val="auto"/>
        </w:rPr>
      </w:pPr>
    </w:p>
    <w:p>
      <w:pPr>
        <w:ind w:left="652" w:hanging="652"/>
        <w:spacing w:after="0" w:line="272" w:lineRule="auto"/>
        <w:tabs>
          <w:tab w:leader="none" w:pos="65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As discussed more fully under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 the Domestication generally should constitute a tax-deferred reorganization within the meaning of Section 368(a)(l)(F)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However, due to the absence of direct guidance on the application of Section 368(a)(1)(F) to a statutory conversion of a corporation holding only investment-type assets such as ARYA, this result is not entirely free from doubt. In the case of a transaction, such as the Domestication, that should qualify as a tax-deferred reorganization within the meaning of Section 368(a)(1)(F), and subject to the discussion of the “passive foreign investment company” (“</w:t>
      </w:r>
      <w:r>
        <w:rPr>
          <w:rFonts w:ascii="Arial" w:cs="Arial" w:eastAsia="Arial" w:hAnsi="Arial"/>
          <w:sz w:val="17"/>
          <w:szCs w:val="17"/>
          <w:u w:val="single" w:color="auto"/>
          <w:color w:val="auto"/>
        </w:rPr>
        <w:t>PFIC</w:t>
      </w:r>
      <w:r>
        <w:rPr>
          <w:rFonts w:ascii="Arial" w:cs="Arial" w:eastAsia="Arial" w:hAnsi="Arial"/>
          <w:sz w:val="17"/>
          <w:szCs w:val="17"/>
          <w:color w:val="auto"/>
        </w:rPr>
        <w:t xml:space="preserve">”) rules below, U.S. Holders (as defined in “Material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below) generally will be subject to Section 367(b) of the Code and, as a result of the Domestication:</w:t>
      </w:r>
    </w:p>
    <w:p>
      <w:pPr>
        <w:spacing w:after="0" w:line="123" w:lineRule="exact"/>
        <w:rPr>
          <w:rFonts w:ascii="Arial" w:cs="Arial" w:eastAsia="Arial" w:hAnsi="Arial"/>
          <w:sz w:val="17"/>
          <w:szCs w:val="17"/>
          <w:color w:val="auto"/>
        </w:rPr>
      </w:pPr>
    </w:p>
    <w:p>
      <w:pPr>
        <w:ind w:left="972" w:right="580" w:hanging="324"/>
        <w:spacing w:after="0" w:line="308" w:lineRule="auto"/>
        <w:tabs>
          <w:tab w:leader="none" w:pos="96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less than $50,000 on the date of the Domestication generally should not recognize any gain or loss and will not be required to include any part of ARYA’s earnings in income;</w:t>
      </w:r>
    </w:p>
    <w:p>
      <w:pPr>
        <w:spacing w:after="0" w:line="92" w:lineRule="exact"/>
        <w:rPr>
          <w:rFonts w:ascii="Arial" w:cs="Arial" w:eastAsia="Arial" w:hAnsi="Arial"/>
          <w:sz w:val="17"/>
          <w:szCs w:val="17"/>
          <w:color w:val="auto"/>
        </w:rPr>
      </w:pPr>
    </w:p>
    <w:p>
      <w:pPr>
        <w:ind w:left="972" w:hanging="324"/>
        <w:spacing w:after="0" w:line="273" w:lineRule="auto"/>
        <w:tabs>
          <w:tab w:leader="none" w:pos="967"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$50,000 or more and who, on the date of the Domestication, owns (actually and constructively) less than 10% of the total combined voting power of all classes of our stock entitled to vote and less than 10% of the total value of all classes of our stock generally should recognize gain (but not loss) on the exchange of public shares for shares of New Nautilus Common Stock pursuant to the Domestication. As an alternative to recognizing gain, such U.S. Holder may file an election to include in income as a deemed dividend the “all earnings and profits amount” (as defined in the Treasury Regulations under Section 367(b) of the Code) attributable to its public shares provided certain other requirements are satisfied; and</w:t>
      </w:r>
    </w:p>
    <w:p>
      <w:pPr>
        <w:spacing w:after="0" w:line="123" w:lineRule="exact"/>
        <w:rPr>
          <w:rFonts w:ascii="Arial" w:cs="Arial" w:eastAsia="Arial" w:hAnsi="Arial"/>
          <w:sz w:val="17"/>
          <w:szCs w:val="17"/>
          <w:color w:val="auto"/>
        </w:rPr>
      </w:pPr>
    </w:p>
    <w:p>
      <w:pPr>
        <w:ind w:left="972" w:right="120" w:hanging="324"/>
        <w:spacing w:after="0" w:line="255" w:lineRule="auto"/>
        <w:tabs>
          <w:tab w:leader="none" w:pos="9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U.S. Holder whose public shares have a fair market value of $50,000 or more and who, on the date of the Domestication, owns (actually or constructively) 10% or more of the total combined voting power of all classes of our stock entitled to vote or 10% or more of the total value of all classes of our stock generally should be required to include in income as a deemed dividend the “all earnings and profits amount” attributable to its public shares provided certain other requirements are satisfied.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ARYA does not expect to have significant cumulative earnings and profits through the date of the Domestication.</w:t>
      </w:r>
    </w:p>
    <w:p>
      <w:pPr>
        <w:spacing w:after="0" w:line="171" w:lineRule="exact"/>
        <w:rPr>
          <w:sz w:val="20"/>
          <w:szCs w:val="20"/>
          <w:color w:val="auto"/>
        </w:rPr>
      </w:pPr>
    </w:p>
    <w:p>
      <w:pPr>
        <w:ind w:left="652" w:right="40"/>
        <w:spacing w:after="0" w:line="311" w:lineRule="auto"/>
        <w:rPr>
          <w:sz w:val="20"/>
          <w:szCs w:val="20"/>
          <w:color w:val="auto"/>
        </w:rPr>
      </w:pPr>
      <w:r>
        <w:rPr>
          <w:rFonts w:ascii="Arial" w:cs="Arial" w:eastAsia="Arial" w:hAnsi="Arial"/>
          <w:sz w:val="16"/>
          <w:szCs w:val="16"/>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the PFIC rules of the Code equal to the excess, if any, of the fair market value of the shares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8" w:name="page29"/>
    <w:bookmarkEnd w:id="28"/>
    <w:p>
      <w:pPr>
        <w:spacing w:after="0" w:line="144"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 xml:space="preserve">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see the discussion in the section entitled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w:t>
      </w:r>
    </w:p>
    <w:p>
      <w:pPr>
        <w:spacing w:after="0" w:line="117"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 xml:space="preserve">Additionally, the Domestication may cause non-U.S. Holders (as defined in “Material </w:t>
      </w:r>
      <w:r>
        <w:rPr>
          <w:rFonts w:ascii="Arial" w:cs="Arial" w:eastAsia="Arial" w:hAnsi="Arial"/>
          <w:sz w:val="18"/>
          <w:szCs w:val="18"/>
          <w:i w:val="1"/>
          <w:iCs w:val="1"/>
          <w:color w:val="auto"/>
        </w:rPr>
        <w:t>U.S. Federal Income Tax Considerations—Non-U.S.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 to become subject to U.S. federal income withholding taxes on any dividends paid in respect of such non-U.S. Holder’s shares of New</w:t>
      </w:r>
      <w:r>
        <w:rPr>
          <w:rFonts w:ascii="Arial" w:cs="Arial" w:eastAsia="Arial" w:hAnsi="Arial"/>
          <w:sz w:val="18"/>
          <w:szCs w:val="18"/>
          <w:i w:val="1"/>
          <w:iCs w:val="1"/>
          <w:color w:val="auto"/>
        </w:rPr>
        <w:t xml:space="preserve"> </w:t>
      </w:r>
      <w:r>
        <w:rPr>
          <w:rFonts w:ascii="Arial" w:cs="Arial" w:eastAsia="Arial" w:hAnsi="Arial"/>
          <w:sz w:val="18"/>
          <w:szCs w:val="18"/>
          <w:color w:val="auto"/>
        </w:rPr>
        <w:t>Nautilus Common Stock after the Domestication.</w:t>
      </w:r>
    </w:p>
    <w:p>
      <w:pPr>
        <w:spacing w:after="0" w:line="13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The tax consequences of the Domestication are complex and will depend on a holder’s particular circumstances. All holders are urged to consult their tax advisor on the tax consequences to them of the Domestication, including the applicability and effect of U.S. federal, state, local and foreign income and other tax laws. For a more complete discussion of the U.S. federal income tax considerations of the Domestication, see “Material </w:t>
      </w:r>
      <w:r>
        <w:rPr>
          <w:rFonts w:ascii="Arial" w:cs="Arial" w:eastAsia="Arial" w:hAnsi="Arial"/>
          <w:sz w:val="18"/>
          <w:szCs w:val="18"/>
          <w:i w:val="1"/>
          <w:iCs w:val="1"/>
          <w:color w:val="auto"/>
        </w:rPr>
        <w:t>U.S. Federal Income Tax Considerations.</w:t>
      </w:r>
      <w:r>
        <w:rPr>
          <w:rFonts w:ascii="Arial" w:cs="Arial" w:eastAsia="Arial" w:hAnsi="Arial"/>
          <w:sz w:val="18"/>
          <w:szCs w:val="18"/>
          <w:color w:val="auto"/>
        </w:rPr>
        <w:t>”</w:t>
      </w:r>
    </w:p>
    <w:p>
      <w:pPr>
        <w:spacing w:after="0" w:line="1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75" w:lineRule="exact"/>
        <w:rPr>
          <w:rFonts w:ascii="Arial" w:cs="Arial" w:eastAsia="Arial" w:hAnsi="Arial"/>
          <w:sz w:val="18"/>
          <w:szCs w:val="18"/>
          <w:b w:val="1"/>
          <w:bCs w:val="1"/>
          <w:color w:val="auto"/>
        </w:rPr>
      </w:pPr>
    </w:p>
    <w:p>
      <w:pPr>
        <w:ind w:left="660" w:right="100" w:hanging="652"/>
        <w:spacing w:after="0" w:line="301" w:lineRule="auto"/>
        <w:tabs>
          <w:tab w:leader="none" w:pos="6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you are a holder of public shares, you have the right to request that we redeem all or a portion of your public shares for cash provided that you follow the procedures and deadlines described elsewhere in this proxy statement/prospectus. </w:t>
      </w:r>
      <w:r>
        <w:rPr>
          <w:rFonts w:ascii="Arial" w:cs="Arial" w:eastAsia="Arial" w:hAnsi="Arial"/>
          <w:sz w:val="16"/>
          <w:szCs w:val="16"/>
          <w:b w:val="1"/>
          <w:bCs w:val="1"/>
          <w:color w:val="auto"/>
        </w:rPr>
        <w:t>Public shareholders may elect to redeem all or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portion of the public shares held by them regardless of if or how they vote in respect of the Business Combination Proposal. </w:t>
      </w:r>
      <w:r>
        <w:rPr>
          <w:rFonts w:ascii="Arial" w:cs="Arial" w:eastAsia="Arial" w:hAnsi="Arial"/>
          <w:sz w:val="16"/>
          <w:szCs w:val="16"/>
          <w:color w:val="auto"/>
        </w:rPr>
        <w:t>If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your redemption rights, please see the answer to the next question: “</w:t>
      </w:r>
      <w:r>
        <w:rPr>
          <w:rFonts w:ascii="Arial" w:cs="Arial" w:eastAsia="Arial" w:hAnsi="Arial"/>
          <w:sz w:val="16"/>
          <w:szCs w:val="16"/>
          <w:i w:val="1"/>
          <w:iCs w:val="1"/>
          <w:color w:val="auto"/>
        </w:rPr>
        <w:t>How do I exercise my redemption rights?</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left="660"/>
        <w:spacing w:after="0" w:line="301" w:lineRule="auto"/>
        <w:rPr>
          <w:rFonts w:ascii="Arial" w:cs="Arial" w:eastAsia="Arial" w:hAnsi="Arial"/>
          <w:sz w:val="16"/>
          <w:szCs w:val="16"/>
          <w:color w:val="auto"/>
        </w:rPr>
      </w:pPr>
      <w:r>
        <w:rPr>
          <w:rFonts w:ascii="Arial" w:cs="Arial" w:eastAsia="Arial" w:hAnsi="Arial"/>
          <w:sz w:val="16"/>
          <w:szCs w:val="16"/>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03" w:lineRule="exact"/>
        <w:rPr>
          <w:rFonts w:ascii="Arial" w:cs="Arial" w:eastAsia="Arial" w:hAnsi="Arial"/>
          <w:sz w:val="16"/>
          <w:szCs w:val="16"/>
          <w:color w:val="auto"/>
        </w:rPr>
      </w:pPr>
    </w:p>
    <w:p>
      <w:pPr>
        <w:ind w:left="660" w:right="820"/>
        <w:spacing w:after="0" w:line="263" w:lineRule="auto"/>
        <w:rPr>
          <w:rFonts w:ascii="Arial" w:cs="Arial" w:eastAsia="Arial" w:hAnsi="Arial"/>
          <w:sz w:val="16"/>
          <w:szCs w:val="16"/>
          <w:color w:val="auto"/>
        </w:rPr>
      </w:pPr>
      <w:r>
        <w:rPr>
          <w:rFonts w:ascii="Arial" w:cs="Arial" w:eastAsia="Arial" w:hAnsi="Arial"/>
          <w:sz w:val="18"/>
          <w:szCs w:val="18"/>
          <w:color w:val="auto"/>
        </w:rPr>
        <w:t>The initial shareholders have agreed to waive their redemption rights with respect to all of their ordinary shares in connection with the consummation of the Business Combination. Such shares will be excluded from the pro rata calculation used to determine the per-share redemption price.</w:t>
      </w:r>
    </w:p>
    <w:p>
      <w:pPr>
        <w:spacing w:after="0" w:line="125"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75" w:lineRule="exact"/>
        <w:rPr>
          <w:rFonts w:ascii="Arial" w:cs="Arial" w:eastAsia="Arial" w:hAnsi="Arial"/>
          <w:sz w:val="18"/>
          <w:szCs w:val="18"/>
          <w:b w:val="1"/>
          <w:bCs w:val="1"/>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 are a public shareholder and wish to exercise your right to redeem the public shares, you must:</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jc w:val="both"/>
        <w:ind w:left="1140" w:right="480" w:hanging="484"/>
        <w:spacing w:after="0" w:line="263" w:lineRule="auto"/>
        <w:tabs>
          <w:tab w:leader="none" w:pos="11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we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deliver your public shares to Continental, our transfer agent, physically or electronically through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w:t>
      </w:r>
    </w:p>
    <w:p>
      <w:pPr>
        <w:spacing w:after="0" w:line="190" w:lineRule="exact"/>
        <w:rPr>
          <w:sz w:val="20"/>
          <w:szCs w:val="20"/>
          <w:color w:val="auto"/>
        </w:rPr>
      </w:pPr>
    </w:p>
    <w:p>
      <w:pPr>
        <w:ind w:left="660" w:right="160"/>
        <w:spacing w:after="0" w:line="347" w:lineRule="auto"/>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 Eastern Time, on ________, 2021 (two business days before the extraordinary general meeting) in order for their shares to be redeemed.</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Continental, ARYA’s transfer agent, is listed under the question “</w:t>
      </w:r>
      <w:r>
        <w:rPr>
          <w:rFonts w:ascii="Arial" w:cs="Arial" w:eastAsia="Arial" w:hAnsi="Arial"/>
          <w:sz w:val="18"/>
          <w:szCs w:val="18"/>
          <w:i w:val="1"/>
          <w:iCs w:val="1"/>
          <w:color w:val="auto"/>
        </w:rPr>
        <w:t>Who can help answer my questions?</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left="652" w:right="100"/>
        <w:spacing w:after="0" w:line="288" w:lineRule="auto"/>
        <w:rPr>
          <w:sz w:val="20"/>
          <w:szCs w:val="20"/>
          <w:color w:val="auto"/>
        </w:rPr>
      </w:pPr>
      <w:r>
        <w:rPr>
          <w:rFonts w:ascii="Arial" w:cs="Arial" w:eastAsia="Arial" w:hAnsi="Arial"/>
          <w:sz w:val="16"/>
          <w:szCs w:val="16"/>
          <w:color w:val="auto"/>
        </w:rPr>
        <w:t>Public shareholders will be entitled to request that their public shares be redeemed for a pro rata portion of the amount then on deposit in the trust account as of two business days prior to the consummation of the Business Combination including interest earned on the funds held in the trust account and not previously released to us (net of taxes payable). For illustrative purposes, as of April 1, 2021, this would have amounted to approximately $10.00 per issued and outstanding public share. However, the proceeds deposited in the trust account could become subject to the claims of our creditors, if any, which could have priority over the claims of our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w:t>
      </w:r>
    </w:p>
    <w:p>
      <w:pPr>
        <w:spacing w:after="0" w:line="114" w:lineRule="exact"/>
        <w:rPr>
          <w:sz w:val="20"/>
          <w:szCs w:val="20"/>
          <w:color w:val="auto"/>
        </w:rPr>
      </w:pPr>
    </w:p>
    <w:p>
      <w:pPr>
        <w:ind w:left="652" w:right="40"/>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left="652" w:right="100"/>
        <w:spacing w:after="0" w:line="259" w:lineRule="auto"/>
        <w:rPr>
          <w:sz w:val="20"/>
          <w:szCs w:val="20"/>
          <w:color w:val="auto"/>
        </w:rPr>
      </w:pPr>
      <w:r>
        <w:rPr>
          <w:rFonts w:ascii="Arial" w:cs="Arial" w:eastAsia="Arial" w:hAnsi="Arial"/>
          <w:sz w:val="18"/>
          <w:szCs w:val="18"/>
          <w:color w:val="auto"/>
        </w:rPr>
        <w:t xml:space="preserve">Any corrected or changed written exercise of redemption rights must be received by Continental, our transfer agent, prior to the vote taken on the Business Combination Proposal at the extraordinary general meeting. </w:t>
      </w:r>
      <w:r>
        <w:rPr>
          <w:rFonts w:ascii="Arial" w:cs="Arial" w:eastAsia="Arial" w:hAnsi="Arial"/>
          <w:sz w:val="18"/>
          <w:szCs w:val="18"/>
          <w:b w:val="1"/>
          <w:bCs w:val="1"/>
          <w:color w:val="auto"/>
        </w:rPr>
        <w:t>No request for redemption will be honored unless the holder’s public</w:t>
      </w:r>
      <w:r>
        <w:rPr>
          <w:rFonts w:ascii="Arial" w:cs="Arial" w:eastAsia="Arial" w:hAnsi="Arial"/>
          <w:sz w:val="18"/>
          <w:szCs w:val="18"/>
          <w:color w:val="auto"/>
        </w:rPr>
        <w:t xml:space="preserve"> </w:t>
      </w:r>
      <w:r>
        <w:rPr>
          <w:rFonts w:ascii="Arial" w:cs="Arial" w:eastAsia="Arial" w:hAnsi="Arial"/>
          <w:sz w:val="18"/>
          <w:szCs w:val="18"/>
          <w:b w:val="1"/>
          <w:bCs w:val="1"/>
          <w:color w:val="auto"/>
        </w:rPr>
        <w:t>shares have been delivered (either physically or electronically) to Continental, our transfer agent, at least two business days prior to the vote at the extraordinary general meeting.</w:t>
      </w:r>
    </w:p>
    <w:p>
      <w:pPr>
        <w:spacing w:after="0" w:line="133" w:lineRule="exact"/>
        <w:rPr>
          <w:sz w:val="20"/>
          <w:szCs w:val="20"/>
          <w:color w:val="auto"/>
        </w:rPr>
      </w:pPr>
    </w:p>
    <w:p>
      <w:pPr>
        <w:jc w:val="both"/>
        <w:ind w:left="652" w:right="40"/>
        <w:spacing w:after="0" w:line="301" w:lineRule="auto"/>
        <w:rPr>
          <w:sz w:val="20"/>
          <w:szCs w:val="20"/>
          <w:color w:val="auto"/>
        </w:rPr>
      </w:pPr>
      <w:r>
        <w:rPr>
          <w:rFonts w:ascii="Arial" w:cs="Arial" w:eastAsia="Arial" w:hAnsi="Arial"/>
          <w:sz w:val="16"/>
          <w:szCs w:val="16"/>
          <w:color w:val="auto"/>
        </w:rPr>
        <w:t>If a holder of public shares properly makes a request for redemption and the public shares are delivered as described above, then, if the Business Combination is consummated, we will redeem the public shares for a pro rata portion of funds deposited in the trust account, calculated as of two business days prior to the consummation of the Business Combination. The redemption takes place following the Domestication and, accordingly, it is shares of New Nautilus Common Stock that will be redeemed immediately after consummation of the Business Combination.</w:t>
      </w:r>
    </w:p>
    <w:p>
      <w:pPr>
        <w:spacing w:after="0" w:line="99"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75" w:lineRule="exact"/>
        <w:rPr>
          <w:rFonts w:ascii="Arial" w:cs="Arial" w:eastAsia="Arial" w:hAnsi="Arial"/>
          <w:sz w:val="18"/>
          <w:szCs w:val="18"/>
          <w:b w:val="1"/>
          <w:bCs w:val="1"/>
          <w:color w:val="auto"/>
        </w:rPr>
      </w:pPr>
    </w:p>
    <w:p>
      <w:pPr>
        <w:ind w:left="652" w:hanging="652"/>
        <w:spacing w:after="0" w:line="293" w:lineRule="auto"/>
        <w:tabs>
          <w:tab w:leader="none" w:pos="6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We expect that a U.S. Holder (as defined in “Material </w:t>
      </w:r>
      <w:r>
        <w:rPr>
          <w:rFonts w:ascii="Arial" w:cs="Arial" w:eastAsia="Arial" w:hAnsi="Arial"/>
          <w:sz w:val="16"/>
          <w:szCs w:val="16"/>
          <w:i w:val="1"/>
          <w:iCs w:val="1"/>
          <w:color w:val="auto"/>
        </w:rPr>
        <w:t>U.S. Federal Income Tax Considerations—U.S. Holders</w:t>
      </w:r>
      <w:r>
        <w:rPr>
          <w:rFonts w:ascii="Arial" w:cs="Arial" w:eastAsia="Arial" w:hAnsi="Arial"/>
          <w:sz w:val="16"/>
          <w:szCs w:val="16"/>
          <w:color w:val="auto"/>
        </w:rPr>
        <w:t xml:space="preserve">”) that exercises its redemption rights to receive cash from the trust account in exchange for its shares of New Nautilus Common Stock generally should be treated as selling such shares of New Nautilus Common Stock resulting in the recognition of capital gain or capital loss. There may be certain circumstances in which the redemption may be treated as a distribution for U.S. federal income tax purposes depending on the amount of shares of New Nautilus Common Stock that such U.S. Holder owns or is deemed to own prior to and following the redemption. For a more complete discussion of the U.S. federal income tax considerations of an exercise of redemption rights, see “Material </w:t>
      </w:r>
      <w:r>
        <w:rPr>
          <w:rFonts w:ascii="Arial" w:cs="Arial" w:eastAsia="Arial" w:hAnsi="Arial"/>
          <w:sz w:val="16"/>
          <w:szCs w:val="16"/>
          <w:i w:val="1"/>
          <w:iCs w:val="1"/>
          <w:color w:val="auto"/>
        </w:rPr>
        <w:t>U.S. Federal Income Tax Considerations.</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652"/>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Additionally, because the Domestication will occur immediately prior to the redemption by any public shareholder, U.S. Holders exercising redemption rights will take into account the potential tax consequences of Section 367(b) of the Code as well as potential tax consequences of the U.S. federal income tax rules relating to PFICs. The tax consequences of the exercise of redemption rights, including pursuant to Section 367(b) of the Code and the PFIC rules, are discussed more fully below under “Material </w:t>
      </w:r>
      <w:r>
        <w:rPr>
          <w:rFonts w:ascii="Arial" w:cs="Arial" w:eastAsia="Arial" w:hAnsi="Arial"/>
          <w:sz w:val="18"/>
          <w:szCs w:val="18"/>
          <w:i w:val="1"/>
          <w:iCs w:val="1"/>
          <w:color w:val="auto"/>
        </w:rPr>
        <w:t>U.S. Federal Income Tax Considerations—U.S. Holders.</w:t>
      </w:r>
      <w:r>
        <w:rPr>
          <w:rFonts w:ascii="Arial" w:cs="Arial" w:eastAsia="Arial" w:hAnsi="Arial"/>
          <w:sz w:val="18"/>
          <w:szCs w:val="18"/>
          <w:color w:val="auto"/>
        </w:rPr>
        <w:t>” All holders of our public shares considering exercising their redemption rights are urged to consult their tax advisor on the tax consequences to them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0" w:name="page31"/>
    <w:bookmarkEnd w:id="30"/>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 exercise of redemption rights, including the applicability and effect of U.S. federal, state, local and foreign income and other tax laws.</w:t>
      </w:r>
    </w:p>
    <w:p>
      <w:pPr>
        <w:spacing w:after="0" w:line="16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consummation of the Business Combination?</w:t>
      </w:r>
    </w:p>
    <w:p>
      <w:pPr>
        <w:spacing w:after="0" w:line="175" w:lineRule="exact"/>
        <w:rPr>
          <w:rFonts w:ascii="Arial" w:cs="Arial" w:eastAsia="Arial" w:hAnsi="Arial"/>
          <w:sz w:val="18"/>
          <w:szCs w:val="18"/>
          <w:b w:val="1"/>
          <w:bCs w:val="1"/>
          <w:color w:val="auto"/>
        </w:rPr>
      </w:pPr>
    </w:p>
    <w:p>
      <w:pPr>
        <w:ind w:left="660" w:hanging="652"/>
        <w:spacing w:after="0" w:line="255"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Following the closing of our initial public offering, an amount equal to $149,500,000 ($10.00 per Class A ordinary share) of the net proceeds from our initial public offering and the sale of the private placement shares was placed in the trust account. As of April 1, 2021, funds in the trust account totaled approximately $149,563,975 and were held in money market funds. These funds will remain in the trust account, except for the withdrawal of interest to pay taxes, if any, until the earliest of (i) the completion of a business combination (including the closing of the Business Combination) or (ii) the redemption of all of the public shares if we are unable to complete a business combination by August 11, 2022, subject to applicable law.</w:t>
      </w:r>
    </w:p>
    <w:p>
      <w:pPr>
        <w:spacing w:after="0" w:line="138" w:lineRule="exact"/>
        <w:rPr>
          <w:rFonts w:ascii="Arial" w:cs="Arial" w:eastAsia="Arial" w:hAnsi="Arial"/>
          <w:sz w:val="18"/>
          <w:szCs w:val="18"/>
          <w:color w:val="auto"/>
        </w:rPr>
      </w:pPr>
    </w:p>
    <w:p>
      <w:pPr>
        <w:ind w:left="660" w:right="100"/>
        <w:spacing w:after="0" w:line="255" w:lineRule="auto"/>
        <w:rPr>
          <w:rFonts w:ascii="Arial" w:cs="Arial" w:eastAsia="Arial" w:hAnsi="Arial"/>
          <w:sz w:val="18"/>
          <w:szCs w:val="18"/>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or purchases of the public shares, we may apply the balance of the cash released to us from the trust account for general corporate purposes, including for maintenance or expansion of operations of New Nautilus, the payment of principal or interest due on indebtedness incurred in completing our Business Combination, to fund the purchase of other companies or for working capital. See “</w:t>
      </w:r>
      <w:r>
        <w:rPr>
          <w:rFonts w:ascii="Arial" w:cs="Arial" w:eastAsia="Arial" w:hAnsi="Arial"/>
          <w:sz w:val="18"/>
          <w:szCs w:val="18"/>
          <w:i w:val="1"/>
          <w:iCs w:val="1"/>
          <w:color w:val="auto"/>
        </w:rPr>
        <w:t>Summary of the Proxy Statement/Prospectus—Sources and Uses of Funds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660" w:right="220" w:hanging="652"/>
        <w:spacing w:after="0" w:line="282" w:lineRule="auto"/>
        <w:tabs>
          <w:tab w:leader="none" w:pos="6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substantial number of the public shareholders vote in favor of the Business Combination Proposal and exercise their redemption rights?</w:t>
      </w:r>
    </w:p>
    <w:p>
      <w:pPr>
        <w:spacing w:after="0" w:line="111" w:lineRule="exact"/>
        <w:rPr>
          <w:rFonts w:ascii="Arial" w:cs="Arial" w:eastAsia="Arial" w:hAnsi="Arial"/>
          <w:sz w:val="18"/>
          <w:szCs w:val="18"/>
          <w:b w:val="1"/>
          <w:bCs w:val="1"/>
          <w:color w:val="auto"/>
        </w:rPr>
      </w:pPr>
    </w:p>
    <w:p>
      <w:pPr>
        <w:ind w:left="660" w:right="220" w:hanging="652"/>
        <w:spacing w:after="0" w:line="263" w:lineRule="auto"/>
        <w:tabs>
          <w:tab w:leader="none" w:pos="6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public shareholders are not required to vote “FOR”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129" w:lineRule="exact"/>
        <w:rPr>
          <w:rFonts w:ascii="Arial" w:cs="Arial" w:eastAsia="Arial" w:hAnsi="Arial"/>
          <w:sz w:val="18"/>
          <w:szCs w:val="18"/>
          <w:color w:val="auto"/>
        </w:rPr>
      </w:pPr>
    </w:p>
    <w:p>
      <w:pPr>
        <w:ind w:left="660" w:right="60"/>
        <w:spacing w:after="0" w:line="286" w:lineRule="auto"/>
        <w:rPr>
          <w:rFonts w:ascii="Arial" w:cs="Arial" w:eastAsia="Arial" w:hAnsi="Arial"/>
          <w:sz w:val="18"/>
          <w:szCs w:val="18"/>
          <w:color w:val="auto"/>
        </w:rPr>
      </w:pPr>
      <w:r>
        <w:rPr>
          <w:rFonts w:ascii="Arial" w:cs="Arial" w:eastAsia="Arial" w:hAnsi="Arial"/>
          <w:sz w:val="17"/>
          <w:szCs w:val="17"/>
          <w:color w:val="auto"/>
        </w:rPr>
        <w:t>In no event will New Nautilus redeem public shares in an amount that would cause our net tangible assets (as determined in accordance with Rule 3a51-1(g)(1) of the Exchange Act) to be less than $5,000,001 after giving effect to the transactions contemplated by the Business Combination Agreement and the PIPE Financing or if we would not have funds legally available therefor.</w:t>
      </w:r>
    </w:p>
    <w:p>
      <w:pPr>
        <w:spacing w:after="0" w:line="111" w:lineRule="exact"/>
        <w:rPr>
          <w:rFonts w:ascii="Arial" w:cs="Arial" w:eastAsia="Arial" w:hAnsi="Arial"/>
          <w:sz w:val="18"/>
          <w:szCs w:val="18"/>
          <w:color w:val="auto"/>
        </w:rPr>
      </w:pPr>
    </w:p>
    <w:p>
      <w:pPr>
        <w:ind w:left="660" w:right="60"/>
        <w:spacing w:after="0" w:line="263" w:lineRule="auto"/>
        <w:rPr>
          <w:rFonts w:ascii="Arial" w:cs="Arial" w:eastAsia="Arial" w:hAnsi="Arial"/>
          <w:sz w:val="18"/>
          <w:szCs w:val="18"/>
          <w:color w:val="auto"/>
        </w:rPr>
      </w:pPr>
      <w:r>
        <w:rPr>
          <w:rFonts w:ascii="Arial" w:cs="Arial" w:eastAsia="Arial" w:hAnsi="Arial"/>
          <w:sz w:val="18"/>
          <w:szCs w:val="18"/>
          <w:color w:val="auto"/>
        </w:rPr>
        <w:t>Additionally, as a result of redemptions, the trading market for the New Nautilus Common Stock may be less liquid than the market for the public shares was prior to consummation of the Business Combination and we may not be able to meet the listing standards for Nasdaq or another national securities exchange.</w:t>
      </w:r>
    </w:p>
    <w:p>
      <w:pPr>
        <w:spacing w:after="0" w:line="1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75" w:lineRule="exact"/>
        <w:rPr>
          <w:rFonts w:ascii="Arial" w:cs="Arial" w:eastAsia="Arial" w:hAnsi="Arial"/>
          <w:sz w:val="18"/>
          <w:szCs w:val="18"/>
          <w:b w:val="1"/>
          <w:bCs w:val="1"/>
          <w:color w:val="auto"/>
        </w:rPr>
      </w:pPr>
    </w:p>
    <w:p>
      <w:pPr>
        <w:ind w:left="660" w:hanging="652"/>
        <w:spacing w:after="0" w:line="269" w:lineRule="auto"/>
        <w:tabs>
          <w:tab w:leader="none" w:pos="6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 Nasdaq may not list New Nautilus’ securities on its exchange, which could limit 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4" w:lineRule="exact"/>
        <w:rPr>
          <w:sz w:val="20"/>
          <w:szCs w:val="20"/>
          <w:color w:val="auto"/>
        </w:rPr>
      </w:pPr>
    </w:p>
    <w:p>
      <w:pPr>
        <w:ind w:left="652" w:right="420"/>
        <w:spacing w:after="0" w:line="277" w:lineRule="auto"/>
        <w:rPr>
          <w:sz w:val="20"/>
          <w:szCs w:val="20"/>
          <w:color w:val="auto"/>
        </w:rPr>
      </w:pPr>
      <w:r>
        <w:rPr>
          <w:rFonts w:ascii="Arial" w:cs="Arial" w:eastAsia="Arial" w:hAnsi="Arial"/>
          <w:sz w:val="18"/>
          <w:szCs w:val="18"/>
          <w:color w:val="auto"/>
        </w:rPr>
        <w:t>and by Nautilus in the case of (v) and (vii), the Business Combination Agreement could terminate and the Business Combination may not be consummated.</w:t>
      </w:r>
    </w:p>
    <w:p>
      <w:pPr>
        <w:spacing w:after="0" w:line="116" w:lineRule="exact"/>
        <w:rPr>
          <w:sz w:val="20"/>
          <w:szCs w:val="20"/>
          <w:color w:val="auto"/>
        </w:rPr>
      </w:pPr>
    </w:p>
    <w:p>
      <w:pPr>
        <w:ind w:left="652" w:right="180"/>
        <w:spacing w:after="0" w:line="277" w:lineRule="auto"/>
        <w:rPr>
          <w:sz w:val="20"/>
          <w:szCs w:val="20"/>
          <w:color w:val="auto"/>
        </w:rPr>
      </w:pPr>
      <w:r>
        <w:rPr>
          <w:rFonts w:ascii="Arial" w:cs="Arial" w:eastAsia="Arial" w:hAnsi="Arial"/>
          <w:sz w:val="18"/>
          <w:szCs w:val="18"/>
          <w:color w:val="auto"/>
        </w:rPr>
        <w:t>For more information about conditions to the consummation of the Business Combination, see “</w:t>
      </w:r>
      <w:r>
        <w:rPr>
          <w:rFonts w:ascii="Arial" w:cs="Arial" w:eastAsia="Arial" w:hAnsi="Arial"/>
          <w:sz w:val="18"/>
          <w:szCs w:val="18"/>
          <w:i w:val="1"/>
          <w:iCs w:val="1"/>
          <w:color w:val="auto"/>
        </w:rPr>
        <w:t>Business Combination Proposal—Conditions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652" w:hanging="652"/>
        <w:spacing w:after="0"/>
        <w:tabs>
          <w:tab w:leader="none" w:pos="6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Business Combination to be completed?</w:t>
      </w:r>
    </w:p>
    <w:p>
      <w:pPr>
        <w:spacing w:after="0" w:line="175" w:lineRule="exact"/>
        <w:rPr>
          <w:rFonts w:ascii="Arial" w:cs="Arial" w:eastAsia="Arial" w:hAnsi="Arial"/>
          <w:sz w:val="18"/>
          <w:szCs w:val="18"/>
          <w:b w:val="1"/>
          <w:bCs w:val="1"/>
          <w:color w:val="auto"/>
        </w:rPr>
      </w:pPr>
    </w:p>
    <w:p>
      <w:pPr>
        <w:ind w:left="652" w:hanging="652"/>
        <w:spacing w:after="0" w:line="287" w:lineRule="auto"/>
        <w:tabs>
          <w:tab w:leader="none" w:pos="6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It is currently expected that the Business Combination will be consummated in the second quarter of 2021. This date depends, among other things, on the approval of the proposals to be put to ARYA shareholders at the extraordinary general meeting. However, such extraordinary general meeting could be adjourned if the Adjournment Proposal is adopted by our shareholders at the extraordinary general meeting and we elect to adjourn the extraordinary general meeting to a later date or dates to consider and vote upon a proposal to approve by ordinary resolution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Aggregate Transaction Proceeds Condition would not be satisfied. For a description of the conditions for the completion of the Business Combination, see “</w:t>
      </w:r>
      <w:r>
        <w:rPr>
          <w:rFonts w:ascii="Arial" w:cs="Arial" w:eastAsia="Arial" w:hAnsi="Arial"/>
          <w:sz w:val="16"/>
          <w:szCs w:val="16"/>
          <w:i w:val="1"/>
          <w:iCs w:val="1"/>
          <w:color w:val="auto"/>
        </w:rPr>
        <w:t>Business Combination Proposal—Conditions to Closing of the Business Combination.</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652" w:hanging="652"/>
        <w:spacing w:after="0"/>
        <w:tabs>
          <w:tab w:leader="none" w:pos="6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75" w:lineRule="exact"/>
        <w:rPr>
          <w:rFonts w:ascii="Arial" w:cs="Arial" w:eastAsia="Arial" w:hAnsi="Arial"/>
          <w:sz w:val="18"/>
          <w:szCs w:val="18"/>
          <w:b w:val="1"/>
          <w:bCs w:val="1"/>
          <w:color w:val="auto"/>
        </w:rPr>
      </w:pPr>
    </w:p>
    <w:p>
      <w:pPr>
        <w:ind w:left="652" w:right="40" w:hanging="652"/>
        <w:spacing w:after="0" w:line="269" w:lineRule="auto"/>
        <w:tabs>
          <w:tab w:leader="none" w:pos="6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ARYA will not complete the Domestication to Delaware unless all other conditions to the consummation of the Business Combination have been satisfied or waived by the parties in accordance with the terms of the Business Combination Agreement. If ARYA is not able to consummate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laws.</w:t>
      </w:r>
    </w:p>
    <w:p>
      <w:pPr>
        <w:spacing w:after="0" w:line="123" w:lineRule="exact"/>
        <w:rPr>
          <w:rFonts w:ascii="Arial" w:cs="Arial" w:eastAsia="Arial" w:hAnsi="Arial"/>
          <w:sz w:val="17"/>
          <w:szCs w:val="17"/>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in connection with the proposed Business Combination and the proposed Domestication?</w:t>
      </w:r>
    </w:p>
    <w:p>
      <w:pPr>
        <w:spacing w:after="0" w:line="175" w:lineRule="exact"/>
        <w:rPr>
          <w:rFonts w:ascii="Arial" w:cs="Arial" w:eastAsia="Arial" w:hAnsi="Arial"/>
          <w:sz w:val="18"/>
          <w:szCs w:val="18"/>
          <w:b w:val="1"/>
          <w:bCs w:val="1"/>
          <w:color w:val="auto"/>
        </w:rPr>
      </w:pPr>
    </w:p>
    <w:p>
      <w:pPr>
        <w:ind w:left="652" w:right="760" w:hanging="652"/>
        <w:spacing w:after="0" w:line="277"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75" w:lineRule="exact"/>
        <w:rPr>
          <w:rFonts w:ascii="Arial" w:cs="Arial" w:eastAsia="Arial" w:hAnsi="Arial"/>
          <w:sz w:val="18"/>
          <w:szCs w:val="18"/>
          <w:b w:val="1"/>
          <w:bCs w:val="1"/>
          <w:color w:val="auto"/>
        </w:rPr>
      </w:pPr>
    </w:p>
    <w:p>
      <w:pPr>
        <w:ind w:left="652" w:right="180" w:hanging="652"/>
        <w:spacing w:after="0" w:line="286" w:lineRule="auto"/>
        <w:tabs>
          <w:tab w:leader="none" w:pos="6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urge you to read this proxy statement/prospectus, including the Annexes and the documents referred to herein, carefully and in their entirety and to consider how the Business Combination will affect you as a shareholder. Our shareholders should then vote as soon as possible in accordance with the instructions provided in this proxy statement/prospectus and on the enclosed proxy card.</w:t>
      </w:r>
    </w:p>
    <w:p>
      <w:pPr>
        <w:spacing w:after="0" w:line="107" w:lineRule="exact"/>
        <w:rPr>
          <w:rFonts w:ascii="Arial" w:cs="Arial" w:eastAsia="Arial" w:hAnsi="Arial"/>
          <w:sz w:val="17"/>
          <w:szCs w:val="17"/>
          <w:color w:val="auto"/>
        </w:rPr>
      </w:pPr>
    </w:p>
    <w:p>
      <w:pPr>
        <w:ind w:left="652" w:hanging="652"/>
        <w:spacing w:after="0"/>
        <w:tabs>
          <w:tab w:leader="none" w:pos="65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32" w:name="page33"/>
    <w:bookmarkEnd w:id="32"/>
    <w:p>
      <w:pPr>
        <w:spacing w:after="0" w:line="144" w:lineRule="exact"/>
        <w:rPr>
          <w:sz w:val="20"/>
          <w:szCs w:val="20"/>
          <w:color w:val="auto"/>
        </w:rPr>
      </w:pPr>
    </w:p>
    <w:p>
      <w:pPr>
        <w:ind w:left="652" w:hanging="652"/>
        <w:spacing w:after="0" w:line="254"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you are a holder of record of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 paid envelope. </w:t>
      </w:r>
      <w:r>
        <w:rPr>
          <w:rFonts w:ascii="Arial" w:cs="Arial" w:eastAsia="Arial" w:hAnsi="Arial"/>
          <w:sz w:val="18"/>
          <w:szCs w:val="18"/>
          <w:b w:val="1"/>
          <w:bCs w:val="1"/>
          <w:color w:val="auto"/>
        </w:rPr>
        <w:t>If you hold your shares in “street</w:t>
      </w:r>
      <w:r>
        <w:rPr>
          <w:rFonts w:ascii="Arial" w:cs="Arial" w:eastAsia="Arial" w:hAnsi="Arial"/>
          <w:sz w:val="18"/>
          <w:szCs w:val="18"/>
          <w:color w:val="auto"/>
        </w:rPr>
        <w:t xml:space="preserve"> </w:t>
      </w:r>
      <w:r>
        <w:rPr>
          <w:rFonts w:ascii="Arial" w:cs="Arial" w:eastAsia="Arial" w:hAnsi="Arial"/>
          <w:sz w:val="18"/>
          <w:szCs w:val="18"/>
          <w:b w:val="1"/>
          <w:bCs w:val="1"/>
          <w:color w:val="auto"/>
        </w:rPr>
        <w:t>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extraordinary general meeting and vote in person, obtain a proxy from your broker, bank or nominee.</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75" w:lineRule="exact"/>
        <w:rPr>
          <w:rFonts w:ascii="Arial" w:cs="Arial" w:eastAsia="Arial" w:hAnsi="Arial"/>
          <w:sz w:val="18"/>
          <w:szCs w:val="18"/>
          <w:b w:val="1"/>
          <w:bCs w:val="1"/>
          <w:color w:val="auto"/>
        </w:rPr>
      </w:pPr>
    </w:p>
    <w:p>
      <w:pPr>
        <w:ind w:left="652" w:right="20" w:hanging="652"/>
        <w:spacing w:after="0" w:line="290" w:lineRule="auto"/>
        <w:tabs>
          <w:tab w:leader="none" w:pos="65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If you decide to vote, you should provide instructions to your broker, bank or other nominee on how to vote in accordance with the information and procedures provided to you by your broker, bank or other nominee.</w:t>
      </w:r>
    </w:p>
    <w:p>
      <w:pPr>
        <w:spacing w:after="0" w:line="107" w:lineRule="exact"/>
        <w:rPr>
          <w:rFonts w:ascii="Arial" w:cs="Arial" w:eastAsia="Arial" w:hAnsi="Arial"/>
          <w:sz w:val="16"/>
          <w:szCs w:val="16"/>
          <w:color w:val="auto"/>
        </w:rPr>
      </w:pPr>
    </w:p>
    <w:p>
      <w:pPr>
        <w:ind w:left="652" w:hanging="652"/>
        <w:spacing w:after="0"/>
        <w:tabs>
          <w:tab w:leader="none" w:pos="65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extraordinary general meeting be held?</w:t>
      </w:r>
    </w:p>
    <w:p>
      <w:pPr>
        <w:spacing w:after="0" w:line="175" w:lineRule="exact"/>
        <w:rPr>
          <w:rFonts w:ascii="Arial" w:cs="Arial" w:eastAsia="Arial" w:hAnsi="Arial"/>
          <w:sz w:val="18"/>
          <w:szCs w:val="18"/>
          <w:b w:val="1"/>
          <w:bCs w:val="1"/>
          <w:color w:val="auto"/>
        </w:rPr>
      </w:pPr>
    </w:p>
    <w:p>
      <w:pPr>
        <w:ind w:left="652" w:right="20" w:hanging="652"/>
        <w:spacing w:after="0" w:line="277"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extraordinary general meeting will be held at 9.00 a.m., Eastern Time, on __________, 2021, at the offices of Kirkland &amp; Ellis LLP, located at 601 Lexington Avenue, New York, New York 10022, unless the extraordinary general meeting is adjourned.</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COVID-19 pandemic impact in-person voting at the general meeting?</w:t>
      </w:r>
    </w:p>
    <w:p>
      <w:pPr>
        <w:spacing w:after="0" w:line="175" w:lineRule="exact"/>
        <w:rPr>
          <w:rFonts w:ascii="Arial" w:cs="Arial" w:eastAsia="Arial" w:hAnsi="Arial"/>
          <w:sz w:val="18"/>
          <w:szCs w:val="18"/>
          <w:b w:val="1"/>
          <w:bCs w:val="1"/>
          <w:color w:val="auto"/>
        </w:rPr>
      </w:pPr>
    </w:p>
    <w:p>
      <w:pPr>
        <w:ind w:left="652" w:right="20" w:hanging="652"/>
        <w:spacing w:after="0" w:line="301" w:lineRule="auto"/>
        <w:tabs>
          <w:tab w:leader="none" w:pos="6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intend to hold the extraordinary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We plan to announce any such updates in a press release filed with the SEC and on our proxy website at _________________, and we encourage you to check this website prior to the meeting if you plan to attend.</w:t>
      </w:r>
    </w:p>
    <w:p>
      <w:pPr>
        <w:spacing w:after="0" w:line="99" w:lineRule="exact"/>
        <w:rPr>
          <w:rFonts w:ascii="Arial" w:cs="Arial" w:eastAsia="Arial" w:hAnsi="Arial"/>
          <w:sz w:val="16"/>
          <w:szCs w:val="16"/>
          <w:color w:val="auto"/>
        </w:rPr>
      </w:pPr>
    </w:p>
    <w:p>
      <w:pPr>
        <w:ind w:left="652" w:hanging="652"/>
        <w:spacing w:after="0"/>
        <w:tabs>
          <w:tab w:leader="none" w:pos="6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Will shareholders of ARYA be able to ask questions during the general meeting?</w:t>
      </w:r>
    </w:p>
    <w:p>
      <w:pPr>
        <w:spacing w:after="0" w:line="175" w:lineRule="exact"/>
        <w:rPr>
          <w:rFonts w:ascii="Arial" w:cs="Arial" w:eastAsia="Arial" w:hAnsi="Arial"/>
          <w:sz w:val="18"/>
          <w:szCs w:val="18"/>
          <w:b w:val="1"/>
          <w:bCs w:val="1"/>
          <w:color w:val="auto"/>
        </w:rPr>
      </w:pPr>
    </w:p>
    <w:p>
      <w:pPr>
        <w:ind w:left="652" w:right="280" w:hanging="652"/>
        <w:spacing w:after="0" w:line="277" w:lineRule="auto"/>
        <w:tabs>
          <w:tab w:leader="none" w:pos="65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Shareholders of ARYA will be able to ask questions about the Business Combination during the general meeting, as time and restrictions to the meeting format due to the evolving coronavirus (COVID-19) situation permit.</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COVID-19 Pandemic have on the Business Combination?</w:t>
      </w:r>
    </w:p>
    <w:p>
      <w:pPr>
        <w:spacing w:after="0" w:line="175" w:lineRule="exact"/>
        <w:rPr>
          <w:rFonts w:ascii="Arial" w:cs="Arial" w:eastAsia="Arial" w:hAnsi="Arial"/>
          <w:sz w:val="18"/>
          <w:szCs w:val="18"/>
          <w:b w:val="1"/>
          <w:bCs w:val="1"/>
          <w:color w:val="auto"/>
        </w:rPr>
      </w:pPr>
    </w:p>
    <w:p>
      <w:pPr>
        <w:ind w:left="652" w:right="380" w:hanging="652"/>
        <w:spacing w:after="0" w:line="293" w:lineRule="auto"/>
        <w:tabs>
          <w:tab w:leader="none" w:pos="6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Given the ongoing and dynamic nature of the circumstances, it is difficult to predict the impact of the coronavirus outbreak on the business of ARYA and Nautilus, and there is no guarantee that efforts by ARYA and Nautilus to address the adverse impacts of the coronavirus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Nautilus is unable to recover from a business disruption on a timely basis, the Business Combination and New Nautilus’ business, financial condition and results of operations following the completion of the Business Combination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3" w:name="page34"/>
    <w:bookmarkEnd w:id="33"/>
    <w:p>
      <w:pPr>
        <w:spacing w:after="0" w:line="144" w:lineRule="exact"/>
        <w:rPr>
          <w:sz w:val="20"/>
          <w:szCs w:val="20"/>
          <w:color w:val="auto"/>
        </w:rPr>
      </w:pPr>
    </w:p>
    <w:p>
      <w:pPr>
        <w:jc w:val="both"/>
        <w:ind w:left="652" w:right="120"/>
        <w:spacing w:after="0" w:line="263" w:lineRule="auto"/>
        <w:rPr>
          <w:sz w:val="20"/>
          <w:szCs w:val="20"/>
          <w:color w:val="auto"/>
        </w:rPr>
      </w:pPr>
      <w:r>
        <w:rPr>
          <w:rFonts w:ascii="Arial" w:cs="Arial" w:eastAsia="Arial" w:hAnsi="Arial"/>
          <w:sz w:val="18"/>
          <w:szCs w:val="18"/>
          <w:color w:val="auto"/>
        </w:rPr>
        <w:t>The Business Combination may also be delayed and adversely affected by the coronavirus outbreak and become more costly. Each of ARYA and Nautilus may also incur additional costs to remedy damages caused by any such disruptions, which could adversely affect its financial condition and results of operations.</w:t>
      </w:r>
    </w:p>
    <w:p>
      <w:pPr>
        <w:spacing w:after="0" w:line="126" w:lineRule="exact"/>
        <w:rPr>
          <w:sz w:val="20"/>
          <w:szCs w:val="20"/>
          <w:color w:val="auto"/>
        </w:rPr>
      </w:pPr>
    </w:p>
    <w:p>
      <w:pPr>
        <w:ind w:left="652" w:hanging="652"/>
        <w:spacing w:after="0"/>
        <w:tabs>
          <w:tab w:leader="none" w:pos="6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extraordinary general meeting?</w:t>
      </w:r>
    </w:p>
    <w:p>
      <w:pPr>
        <w:spacing w:after="0" w:line="175" w:lineRule="exact"/>
        <w:rPr>
          <w:rFonts w:ascii="Arial" w:cs="Arial" w:eastAsia="Arial" w:hAnsi="Arial"/>
          <w:sz w:val="18"/>
          <w:szCs w:val="18"/>
          <w:b w:val="1"/>
          <w:bCs w:val="1"/>
          <w:color w:val="auto"/>
        </w:rPr>
      </w:pPr>
    </w:p>
    <w:p>
      <w:pPr>
        <w:jc w:val="both"/>
        <w:ind w:left="652" w:right="120" w:hanging="652"/>
        <w:spacing w:after="0" w:line="311" w:lineRule="auto"/>
        <w:tabs>
          <w:tab w:leader="none" w:pos="6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have fixed April 1, 2021 as the record date for the extraordinary general meeting. If you were a shareholder of ARYA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spacing w:after="0" w:line="90" w:lineRule="exact"/>
        <w:rPr>
          <w:rFonts w:ascii="Arial" w:cs="Arial" w:eastAsia="Arial" w:hAnsi="Arial"/>
          <w:sz w:val="16"/>
          <w:szCs w:val="16"/>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75" w:lineRule="exact"/>
        <w:rPr>
          <w:rFonts w:ascii="Arial" w:cs="Arial" w:eastAsia="Arial" w:hAnsi="Arial"/>
          <w:sz w:val="18"/>
          <w:szCs w:val="18"/>
          <w:b w:val="1"/>
          <w:bCs w:val="1"/>
          <w:color w:val="auto"/>
        </w:rPr>
      </w:pPr>
    </w:p>
    <w:p>
      <w:pPr>
        <w:ind w:left="652" w:right="40" w:hanging="652"/>
        <w:spacing w:after="0" w:line="263"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ARYA shareholders are entitled to one vote at the extraordinary general meeting for each ordinary share held of record as of the record date. As of the close of business on the record date for the extraordinary general meeting, there were 19,186,500 ordinary shares issued and outstanding, of which 14,950,000 were issued and outstanding public shares.</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75" w:lineRule="exact"/>
        <w:rPr>
          <w:rFonts w:ascii="Arial" w:cs="Arial" w:eastAsia="Arial" w:hAnsi="Arial"/>
          <w:sz w:val="18"/>
          <w:szCs w:val="18"/>
          <w:b w:val="1"/>
          <w:bCs w:val="1"/>
          <w:color w:val="auto"/>
        </w:rPr>
      </w:pPr>
    </w:p>
    <w:p>
      <w:pPr>
        <w:jc w:val="both"/>
        <w:ind w:left="652" w:right="300" w:hanging="652"/>
        <w:spacing w:after="0" w:line="259" w:lineRule="auto"/>
        <w:tabs>
          <w:tab w:leader="none" w:pos="6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8"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at the extraordinary general meeting?</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votes are required for each proposal at the extraordinary general meeting:</w:t>
      </w:r>
    </w:p>
    <w:p>
      <w:pPr>
        <w:spacing w:after="0" w:line="171" w:lineRule="exact"/>
        <w:rPr>
          <w:rFonts w:ascii="Arial" w:cs="Arial" w:eastAsia="Arial" w:hAnsi="Arial"/>
          <w:sz w:val="18"/>
          <w:szCs w:val="18"/>
          <w:color w:val="auto"/>
        </w:rPr>
      </w:pPr>
    </w:p>
    <w:p>
      <w:pPr>
        <w:ind w:left="1132" w:right="140" w:hanging="484"/>
        <w:spacing w:after="0" w:line="286" w:lineRule="auto"/>
        <w:tabs>
          <w:tab w:leader="none" w:pos="1126"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Business Combination Proposal</w:t>
      </w:r>
      <w:r>
        <w:rPr>
          <w:rFonts w:ascii="Arial" w:cs="Arial" w:eastAsia="Arial" w:hAnsi="Arial"/>
          <w:sz w:val="17"/>
          <w:szCs w:val="17"/>
          <w:color w:val="auto"/>
        </w:rPr>
        <w:t>: The approval of the Business Combination Proposal requires an ordinary resolution under Cayman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Islands law, being the 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ind w:left="1132" w:right="280" w:hanging="484"/>
        <w:spacing w:after="0" w:line="263" w:lineRule="auto"/>
        <w:tabs>
          <w:tab w:leader="none" w:pos="1122"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Domestication Proposal</w:t>
      </w:r>
      <w:r>
        <w:rPr>
          <w:rFonts w:ascii="Arial" w:cs="Arial" w:eastAsia="Arial" w:hAnsi="Arial"/>
          <w:sz w:val="18"/>
          <w:szCs w:val="18"/>
          <w:color w:val="auto"/>
        </w:rPr>
        <w:t>: The approval of the Domestication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hanging="484"/>
        <w:spacing w:after="0" w:line="286" w:lineRule="auto"/>
        <w:tabs>
          <w:tab w:leader="none" w:pos="1132"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Charter Proposal</w:t>
      </w:r>
      <w:r>
        <w:rPr>
          <w:rFonts w:ascii="Arial" w:cs="Arial" w:eastAsia="Arial" w:hAnsi="Arial"/>
          <w:sz w:val="17"/>
          <w:szCs w:val="17"/>
          <w:color w:val="auto"/>
        </w:rPr>
        <w:t>: The approval of the Charter Proposal requires a special resolution under Cayman Islands law, being the affirmative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11" w:lineRule="exact"/>
        <w:rPr>
          <w:rFonts w:ascii="Arial" w:cs="Arial" w:eastAsia="Arial" w:hAnsi="Arial"/>
          <w:sz w:val="17"/>
          <w:szCs w:val="17"/>
          <w:color w:val="auto"/>
        </w:rPr>
      </w:pPr>
    </w:p>
    <w:p>
      <w:pPr>
        <w:ind w:left="1132" w:right="40" w:hanging="484"/>
        <w:spacing w:after="0" w:line="311" w:lineRule="auto"/>
        <w:tabs>
          <w:tab w:leader="none" w:pos="1122"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Advisory Governing Documents Proposals</w:t>
      </w:r>
      <w:r>
        <w:rPr>
          <w:rFonts w:ascii="Arial" w:cs="Arial" w:eastAsia="Arial" w:hAnsi="Arial"/>
          <w:sz w:val="16"/>
          <w:szCs w:val="16"/>
          <w:color w:val="auto"/>
        </w:rPr>
        <w:t>: The approval, on a non-binding advisory basis, of each of the Advisory Governing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1132" w:right="260" w:hanging="484"/>
        <w:spacing w:after="0" w:line="263" w:lineRule="auto"/>
        <w:tabs>
          <w:tab w:leader="none" w:pos="1126"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Nasdaq Proposal</w:t>
      </w:r>
      <w:r>
        <w:rPr>
          <w:rFonts w:ascii="Arial" w:cs="Arial" w:eastAsia="Arial" w:hAnsi="Arial"/>
          <w:sz w:val="18"/>
          <w:szCs w:val="18"/>
          <w:color w:val="auto"/>
        </w:rPr>
        <w:t>: The approval of the Nasdaq Proposal requires an ordinary resolution under Cayman Islands law, being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at least a majority of the votes cast by the holders of the issued ordinary shares present in person or represented by proxy at the extraordinary general meeting and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4" w:name="page35"/>
    <w:bookmarkEnd w:id="34"/>
    <w:p>
      <w:pPr>
        <w:spacing w:after="0" w:line="144" w:lineRule="exact"/>
        <w:rPr>
          <w:sz w:val="20"/>
          <w:szCs w:val="20"/>
          <w:color w:val="auto"/>
        </w:rPr>
      </w:pPr>
    </w:p>
    <w:p>
      <w:pPr>
        <w:ind w:left="1132" w:right="80" w:hanging="484"/>
        <w:spacing w:after="0" w:line="263" w:lineRule="auto"/>
        <w:tabs>
          <w:tab w:leader="none" w:pos="1122"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Award Plan Proposal</w:t>
      </w:r>
      <w:r>
        <w:rPr>
          <w:rFonts w:ascii="Arial" w:cs="Arial" w:eastAsia="Arial" w:hAnsi="Arial"/>
          <w:sz w:val="18"/>
          <w:szCs w:val="18"/>
          <w:color w:val="auto"/>
        </w:rPr>
        <w:t>: The approval of the Incentive Award Plan Proposal requires an ordinary resolution under Cayman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being the affirmative vote of at least a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right="320" w:hanging="484"/>
        <w:spacing w:after="0" w:line="311" w:lineRule="auto"/>
        <w:tabs>
          <w:tab w:leader="none" w:pos="1131"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Employee Stock Purchase Plan Proposal</w:t>
      </w:r>
      <w:r>
        <w:rPr>
          <w:rFonts w:ascii="Arial" w:cs="Arial" w:eastAsia="Arial" w:hAnsi="Arial"/>
          <w:sz w:val="16"/>
          <w:szCs w:val="16"/>
          <w:color w:val="auto"/>
        </w:rPr>
        <w:t>: The approval of the Employee Stock Purchase Plan Proposal requires an ordinary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1132" w:hanging="484"/>
        <w:spacing w:after="0" w:line="263" w:lineRule="auto"/>
        <w:tabs>
          <w:tab w:leader="none" w:pos="1127"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 Proposal</w:t>
      </w:r>
      <w:r>
        <w:rPr>
          <w:rFonts w:ascii="Arial" w:cs="Arial" w:eastAsia="Arial" w:hAnsi="Arial"/>
          <w:sz w:val="18"/>
          <w:szCs w:val="18"/>
          <w:color w:val="auto"/>
        </w:rPr>
        <w:t>: The approval of the Adjournment Proposal requires an ordinary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ARYA Board?</w:t>
      </w:r>
    </w:p>
    <w:p>
      <w:pPr>
        <w:spacing w:after="0" w:line="175" w:lineRule="exact"/>
        <w:rPr>
          <w:rFonts w:ascii="Arial" w:cs="Arial" w:eastAsia="Arial" w:hAnsi="Arial"/>
          <w:sz w:val="18"/>
          <w:szCs w:val="18"/>
          <w:b w:val="1"/>
          <w:bCs w:val="1"/>
          <w:color w:val="auto"/>
        </w:rPr>
      </w:pPr>
    </w:p>
    <w:p>
      <w:pPr>
        <w:ind w:left="652" w:right="220" w:hanging="652"/>
        <w:spacing w:after="0" w:line="275" w:lineRule="auto"/>
        <w:tabs>
          <w:tab w:leader="none" w:pos="6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rFonts w:ascii="Arial" w:cs="Arial" w:eastAsia="Arial" w:hAnsi="Arial"/>
          <w:sz w:val="17"/>
          <w:szCs w:val="17"/>
          <w:color w:val="auto"/>
        </w:rPr>
      </w:pPr>
    </w:p>
    <w:p>
      <w:pPr>
        <w:ind w:left="652" w:right="140"/>
        <w:spacing w:after="0" w:line="296" w:lineRule="auto"/>
        <w:rPr>
          <w:rFonts w:ascii="Arial" w:cs="Arial" w:eastAsia="Arial" w:hAnsi="Arial"/>
          <w:sz w:val="17"/>
          <w:szCs w:val="17"/>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rFonts w:ascii="Arial" w:cs="Arial" w:eastAsia="Arial" w:hAnsi="Arial"/>
          <w:sz w:val="17"/>
          <w:szCs w:val="17"/>
          <w:color w:val="auto"/>
        </w:rPr>
      </w:pPr>
    </w:p>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How do Sponsor and the other initial shareholders intend to vote their shares?</w:t>
      </w:r>
    </w:p>
    <w:p>
      <w:pPr>
        <w:spacing w:after="0" w:line="175" w:lineRule="exact"/>
        <w:rPr>
          <w:rFonts w:ascii="Arial" w:cs="Arial" w:eastAsia="Arial" w:hAnsi="Arial"/>
          <w:sz w:val="18"/>
          <w:szCs w:val="18"/>
          <w:b w:val="1"/>
          <w:bCs w:val="1"/>
          <w:color w:val="auto"/>
        </w:rPr>
      </w:pPr>
    </w:p>
    <w:p>
      <w:pPr>
        <w:ind w:left="652" w:right="100" w:hanging="652"/>
        <w:spacing w:after="0" w:line="279" w:lineRule="auto"/>
        <w:tabs>
          <w:tab w:leader="none" w:pos="6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Unlike some other blank check companies in which the initial shareholders agree to vote their shares in accordance with the majority of the votes cast by the public shareholders in connection with an initial business combination, our initial shareholders have agreed to vote all their shares in favor of all the proposals being presented at the extraordinary general meeting. As of the date of this proxy statement/prospectus, our initial shareholders own approximately 22.1% of the issued and outstanding ordinary shares.</w:t>
      </w:r>
    </w:p>
    <w:p>
      <w:pPr>
        <w:spacing w:after="0" w:line="117" w:lineRule="exact"/>
        <w:rPr>
          <w:rFonts w:ascii="Arial" w:cs="Arial" w:eastAsia="Arial" w:hAnsi="Arial"/>
          <w:sz w:val="17"/>
          <w:szCs w:val="17"/>
          <w:color w:val="auto"/>
        </w:rPr>
      </w:pPr>
    </w:p>
    <w:p>
      <w:pPr>
        <w:ind w:left="652" w:right="40"/>
        <w:spacing w:after="0" w:line="269" w:lineRule="auto"/>
        <w:rPr>
          <w:rFonts w:ascii="Arial" w:cs="Arial" w:eastAsia="Arial" w:hAnsi="Arial"/>
          <w:sz w:val="17"/>
          <w:szCs w:val="17"/>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5" w:name="page36"/>
    <w:bookmarkEnd w:id="35"/>
    <w:p>
      <w:pPr>
        <w:spacing w:after="0" w:line="144" w:lineRule="exact"/>
        <w:rPr>
          <w:sz w:val="20"/>
          <w:szCs w:val="20"/>
          <w:color w:val="auto"/>
        </w:rPr>
      </w:pPr>
    </w:p>
    <w:p>
      <w:pPr>
        <w:ind w:left="652"/>
        <w:spacing w:after="0" w:line="254" w:lineRule="auto"/>
        <w:rPr>
          <w:sz w:val="20"/>
          <w:szCs w:val="20"/>
          <w:color w:val="auto"/>
        </w:rPr>
      </w:pPr>
      <w:r>
        <w:rPr>
          <w:rFonts w:ascii="Arial" w:cs="Arial" w:eastAsia="Arial" w:hAnsi="Arial"/>
          <w:sz w:val="18"/>
          <w:szCs w:val="18"/>
          <w:color w:val="auto"/>
        </w:rPr>
        <w:t>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38" w:lineRule="exact"/>
        <w:rPr>
          <w:sz w:val="20"/>
          <w:szCs w:val="20"/>
          <w:color w:val="auto"/>
        </w:rPr>
      </w:pPr>
    </w:p>
    <w:p>
      <w:pPr>
        <w:ind w:left="652" w:right="360"/>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left="652" w:right="60"/>
        <w:spacing w:after="0" w:line="255"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w:t>
      </w:r>
    </w:p>
    <w:p>
      <w:pPr>
        <w:spacing w:after="0" w:line="1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Any such report will include descriptions of any arrangements entered into or significant purchases by any of the aforementioned persons.</w:t>
      </w:r>
    </w:p>
    <w:p>
      <w:pPr>
        <w:spacing w:after="0" w:line="167" w:lineRule="exact"/>
        <w:rPr>
          <w:sz w:val="20"/>
          <w:szCs w:val="20"/>
          <w:color w:val="auto"/>
        </w:rPr>
      </w:pPr>
    </w:p>
    <w:p>
      <w:pPr>
        <w:ind w:left="652" w:hanging="652"/>
        <w:spacing w:after="0"/>
        <w:tabs>
          <w:tab w:leader="none" w:pos="6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ARYA ordinary shares before the extraordinary general meeting?</w:t>
      </w:r>
    </w:p>
    <w:p>
      <w:pPr>
        <w:spacing w:after="0" w:line="175" w:lineRule="exact"/>
        <w:rPr>
          <w:rFonts w:ascii="Arial" w:cs="Arial" w:eastAsia="Arial" w:hAnsi="Arial"/>
          <w:sz w:val="18"/>
          <w:szCs w:val="18"/>
          <w:b w:val="1"/>
          <w:bCs w:val="1"/>
          <w:color w:val="auto"/>
        </w:rPr>
      </w:pPr>
    </w:p>
    <w:p>
      <w:pPr>
        <w:jc w:val="both"/>
        <w:ind w:left="652" w:right="40" w:hanging="652"/>
        <w:spacing w:after="0" w:line="286" w:lineRule="auto"/>
        <w:tabs>
          <w:tab w:leader="none" w:pos="65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such general meeting.</w:t>
      </w:r>
    </w:p>
    <w:p>
      <w:pPr>
        <w:spacing w:after="0" w:line="107" w:lineRule="exact"/>
        <w:rPr>
          <w:rFonts w:ascii="Arial" w:cs="Arial" w:eastAsia="Arial" w:hAnsi="Arial"/>
          <w:sz w:val="17"/>
          <w:szCs w:val="17"/>
          <w:color w:val="auto"/>
        </w:rPr>
      </w:pPr>
    </w:p>
    <w:p>
      <w:pPr>
        <w:ind w:left="652" w:hanging="652"/>
        <w:spacing w:after="0"/>
        <w:tabs>
          <w:tab w:leader="none" w:pos="6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75" w:lineRule="exact"/>
        <w:rPr>
          <w:rFonts w:ascii="Arial" w:cs="Arial" w:eastAsia="Arial" w:hAnsi="Arial"/>
          <w:sz w:val="18"/>
          <w:szCs w:val="18"/>
          <w:b w:val="1"/>
          <w:bCs w:val="1"/>
          <w:color w:val="auto"/>
        </w:rPr>
      </w:pPr>
    </w:p>
    <w:p>
      <w:pPr>
        <w:ind w:left="652" w:right="80" w:hanging="652"/>
        <w:spacing w:after="0" w:line="296" w:lineRule="auto"/>
        <w:tabs>
          <w:tab w:leader="none" w:pos="6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Yes. Shareholders may send a later-dated, signed proxy card to our general counsel at our address set forth below so that it is received by our general counsel prior to the vote at the extraordinary general meeting (which is scheduled to take place on __________, 2021) or attend the extraordinary general meeting in person and vote. Shareholders also may revoke their proxy by sending a notice of revocation to our general counsel, which must be received by our general counsel prior to the vote at the extraordinary general meeting. However, if your shares are held in “street name” by your broker, bank or another nominee, you must contact your broker, bank or other nominee to change your vote.</w:t>
      </w:r>
    </w:p>
    <w:p>
      <w:pPr>
        <w:spacing w:after="0" w:line="103" w:lineRule="exact"/>
        <w:rPr>
          <w:rFonts w:ascii="Arial" w:cs="Arial" w:eastAsia="Arial" w:hAnsi="Arial"/>
          <w:sz w:val="16"/>
          <w:szCs w:val="16"/>
          <w:color w:val="auto"/>
        </w:rPr>
      </w:pPr>
    </w:p>
    <w:p>
      <w:pPr>
        <w:ind w:left="652" w:hanging="652"/>
        <w:spacing w:after="0"/>
        <w:tabs>
          <w:tab w:leader="none" w:pos="6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fail to take any action with respect to the extraordinary general meeting?</w:t>
      </w:r>
    </w:p>
    <w:p>
      <w:pPr>
        <w:spacing w:after="0" w:line="175" w:lineRule="exact"/>
        <w:rPr>
          <w:rFonts w:ascii="Arial" w:cs="Arial" w:eastAsia="Arial" w:hAnsi="Arial"/>
          <w:sz w:val="18"/>
          <w:szCs w:val="18"/>
          <w:b w:val="1"/>
          <w:bCs w:val="1"/>
          <w:color w:val="auto"/>
        </w:rPr>
      </w:pPr>
    </w:p>
    <w:p>
      <w:pPr>
        <w:ind w:left="652" w:right="180" w:hanging="652"/>
        <w:spacing w:after="0" w:line="301" w:lineRule="auto"/>
        <w:tabs>
          <w:tab w:leader="none" w:pos="65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you fail to vote with respect to the extraordinary general meeting and the Business Combination is approved by shareholders and the Business Combination is consummated, you will become a stockholder of New Nautilus. If you fail to vote with respect to the extraordinary general meeting and the Business Combination is not approved, you will remain a shareholder of ARYA. However, if you fail to vote with respect to the extraordinary general meeting, you will nonetheless be able to elect to redeem your public shares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36" w:name="page37"/>
    <w:bookmarkEnd w:id="36"/>
    <w:p>
      <w:pPr>
        <w:spacing w:after="0" w:line="140"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75" w:lineRule="exact"/>
        <w:rPr>
          <w:rFonts w:ascii="Arial" w:cs="Arial" w:eastAsia="Arial" w:hAnsi="Arial"/>
          <w:sz w:val="18"/>
          <w:szCs w:val="18"/>
          <w:b w:val="1"/>
          <w:bCs w:val="1"/>
          <w:color w:val="auto"/>
        </w:rPr>
      </w:pPr>
    </w:p>
    <w:p>
      <w:pPr>
        <w:ind w:left="660" w:right="40" w:hanging="652"/>
        <w:spacing w:after="0" w:line="257" w:lineRule="auto"/>
        <w:tabs>
          <w:tab w:leader="none" w:pos="6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ordinary shares.</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extraordinary general meeting?</w:t>
      </w:r>
    </w:p>
    <w:p>
      <w:pPr>
        <w:spacing w:after="0" w:line="175" w:lineRule="exact"/>
        <w:rPr>
          <w:rFonts w:ascii="Arial" w:cs="Arial" w:eastAsia="Arial" w:hAnsi="Arial"/>
          <w:sz w:val="18"/>
          <w:szCs w:val="18"/>
          <w:b w:val="1"/>
          <w:bCs w:val="1"/>
          <w:color w:val="auto"/>
        </w:rPr>
      </w:pPr>
    </w:p>
    <w:p>
      <w:pPr>
        <w:ind w:left="660" w:hanging="652"/>
        <w:spacing w:after="0" w:line="272" w:lineRule="auto"/>
        <w:tabs>
          <w:tab w:leader="none" w:pos="659" w:val="left"/>
        </w:tabs>
        <w:numPr>
          <w:ilvl w:val="0"/>
          <w:numId w:val="89"/>
        </w:numPr>
        <w:rPr>
          <w:rFonts w:ascii="Arial" w:cs="Arial" w:eastAsia="Arial" w:hAnsi="Arial"/>
          <w:sz w:val="17"/>
          <w:szCs w:val="17"/>
          <w:color w:val="auto"/>
        </w:rPr>
      </w:pPr>
      <w:r>
        <w:rPr>
          <w:rFonts w:ascii="Arial" w:cs="Arial" w:eastAsia="Arial" w:hAnsi="Arial"/>
          <w:sz w:val="17"/>
          <w:szCs w:val="17"/>
          <w:color w:val="auto"/>
        </w:rPr>
        <w:t>ARYA will pay the cost of soliciting proxies for the extraordinary general meeting. ARYA has engaged Morrow Sodali LLC (“</w:t>
      </w:r>
      <w:r>
        <w:rPr>
          <w:rFonts w:ascii="Arial" w:cs="Arial" w:eastAsia="Arial" w:hAnsi="Arial"/>
          <w:sz w:val="17"/>
          <w:szCs w:val="17"/>
          <w:u w:val="single" w:color="auto"/>
          <w:color w:val="auto"/>
        </w:rPr>
        <w:t>Morrow</w:t>
      </w:r>
      <w:r>
        <w:rPr>
          <w:rFonts w:ascii="Arial" w:cs="Arial" w:eastAsia="Arial" w:hAnsi="Arial"/>
          <w:sz w:val="17"/>
          <w:szCs w:val="17"/>
          <w:color w:val="auto"/>
        </w:rPr>
        <w:t>”) to assist in the solicitation of proxies for the extraordinary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ARYA’s directors and officers may also solicit proxies by telephone, by facsimile, by mail, on the Internet or in person. They will not be paid any additional amounts for soliciting proxies.</w:t>
      </w:r>
    </w:p>
    <w:p>
      <w:pPr>
        <w:spacing w:after="0" w:line="119" w:lineRule="exact"/>
        <w:rPr>
          <w:rFonts w:ascii="Arial" w:cs="Arial" w:eastAsia="Arial" w:hAnsi="Arial"/>
          <w:sz w:val="17"/>
          <w:szCs w:val="17"/>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extraordinary general meeting?</w:t>
      </w:r>
    </w:p>
    <w:p>
      <w:pPr>
        <w:spacing w:after="0" w:line="175" w:lineRule="exact"/>
        <w:rPr>
          <w:rFonts w:ascii="Arial" w:cs="Arial" w:eastAsia="Arial" w:hAnsi="Arial"/>
          <w:sz w:val="18"/>
          <w:szCs w:val="18"/>
          <w:b w:val="1"/>
          <w:bCs w:val="1"/>
          <w:color w:val="auto"/>
        </w:rPr>
      </w:pPr>
    </w:p>
    <w:p>
      <w:pPr>
        <w:ind w:left="660" w:right="40" w:hanging="652"/>
        <w:spacing w:after="0" w:line="277" w:lineRule="auto"/>
        <w:tabs>
          <w:tab w:leader="none" w:pos="6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extraordinary general meeting. ARYA will publish final voting results of the extraordinary general meeting in a Current Report on Form 8-K within four business days after the extraordinary general meeting.</w:t>
      </w:r>
    </w:p>
    <w:p>
      <w:pPr>
        <w:spacing w:after="0" w:line="112"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75" w:lineRule="exact"/>
        <w:rPr>
          <w:rFonts w:ascii="Arial" w:cs="Arial" w:eastAsia="Arial" w:hAnsi="Arial"/>
          <w:sz w:val="18"/>
          <w:szCs w:val="18"/>
          <w:b w:val="1"/>
          <w:bCs w:val="1"/>
          <w:color w:val="auto"/>
        </w:rPr>
      </w:pPr>
    </w:p>
    <w:p>
      <w:pPr>
        <w:ind w:left="660" w:right="260" w:hanging="652"/>
        <w:spacing w:after="0" w:line="277" w:lineRule="auto"/>
        <w:tabs>
          <w:tab w:leader="none" w:pos="65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have questions about the Business Combination or if you need additional copies of the proxy statement/prospectus or the enclosed proxy card you should contact: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You also may obtain additional information about ARYA from documents filed with the SEC by following the instructions in the section entitled “</w:t>
      </w:r>
      <w:r>
        <w:rPr>
          <w:rFonts w:ascii="Arial" w:cs="Arial" w:eastAsia="Arial" w:hAnsi="Arial"/>
          <w:sz w:val="16"/>
          <w:szCs w:val="16"/>
          <w:i w:val="1"/>
          <w:iCs w:val="1"/>
          <w:color w:val="auto"/>
        </w:rPr>
        <w:t>Where You Can Find More Information; Incorporation by Reference.</w:t>
      </w:r>
      <w:r>
        <w:rPr>
          <w:rFonts w:ascii="Arial" w:cs="Arial" w:eastAsia="Arial" w:hAnsi="Arial"/>
          <w:sz w:val="16"/>
          <w:szCs w:val="16"/>
          <w:color w:val="auto"/>
        </w:rPr>
        <w:t xml:space="preserve">” If you are a holder of public shares and you intend to seek redemption of your public shares, you will need to deliver your public shares (either physically or electronically) to Continental, ARYA’s transfer agent, at the address below prior to the extraordinary general meeting. </w:t>
      </w:r>
      <w:r>
        <w:rPr>
          <w:rFonts w:ascii="Arial" w:cs="Arial" w:eastAsia="Arial" w:hAnsi="Arial"/>
          <w:sz w:val="16"/>
          <w:szCs w:val="16"/>
          <w:b w:val="1"/>
          <w:bCs w:val="1"/>
          <w:color w:val="auto"/>
        </w:rPr>
        <w:t>Holders must complete the procedures for electing to redeem their public shares in the manner described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above prior to 5:00 p.m., Eastern Time, on ___________, 2021 (two business days before the extraordinary general meeting) in order for their shares to be redeemed. </w:t>
      </w:r>
      <w:r>
        <w:rPr>
          <w:rFonts w:ascii="Arial" w:cs="Arial" w:eastAsia="Arial" w:hAnsi="Arial"/>
          <w:sz w:val="16"/>
          <w:szCs w:val="16"/>
          <w:color w:val="auto"/>
        </w:rPr>
        <w:t>If you have questions regarding the certification of your position or delivery of your stock, please contact:</w:t>
      </w:r>
    </w:p>
    <w:p>
      <w:pPr>
        <w:spacing w:after="0" w:line="11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proxy statement/prospectus, including the Annexes and other documents referred to herein, carefully and in their entirety. The Business Combination Agreement is the legal document that governs the Business Combination and the other transactions that will be undertaken in connection with the Business Combination. The Business Combination Agreement is also described in detail in this proxy statement/prospectus in the section entitled “Business Combination Proposal—The Business Combination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“we,” “us,” “our” and other similar terms refer to Nautilus and its subsidiaries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111" w:lineRule="exact"/>
        <w:rPr>
          <w:sz w:val="20"/>
          <w:szCs w:val="20"/>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80"/>
        <w:spacing w:after="0" w:line="277" w:lineRule="auto"/>
        <w:rPr>
          <w:sz w:val="20"/>
          <w:szCs w:val="20"/>
          <w:color w:val="auto"/>
        </w:rPr>
      </w:pPr>
      <w:r>
        <w:rPr>
          <w:rFonts w:ascii="Arial" w:cs="Arial" w:eastAsia="Arial" w:hAnsi="Arial"/>
          <w:sz w:val="18"/>
          <w:szCs w:val="18"/>
          <w:color w:val="auto"/>
        </w:rPr>
        <w:t>organization is driven by the pursuit of deep, hard science, and our Scientific Advisory Board is comprised of world-renowned scientific leaders that support our vision.</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Parties to the Business Combination</w:t>
      </w:r>
    </w:p>
    <w:p>
      <w:pPr>
        <w:spacing w:after="0" w:line="175"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ARYA</w:t>
      </w:r>
    </w:p>
    <w:p>
      <w:pPr>
        <w:spacing w:after="0" w:line="171" w:lineRule="exact"/>
        <w:rPr>
          <w:sz w:val="20"/>
          <w:szCs w:val="20"/>
          <w:color w:val="auto"/>
        </w:rPr>
      </w:pPr>
    </w:p>
    <w:p>
      <w:pPr>
        <w:ind w:left="6" w:right="40" w:firstLine="324"/>
        <w:spacing w:after="0" w:line="257" w:lineRule="auto"/>
        <w:rPr>
          <w:sz w:val="20"/>
          <w:szCs w:val="20"/>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ARYA has neither engaged in any operations nor generated any revenue to date. Based on ARYA’s business activities, it is a “shell company” as defined under the Exchange Act because it has no operations and nominal assets consisting almost entirely of cash.</w:t>
      </w:r>
    </w:p>
    <w:p>
      <w:pPr>
        <w:spacing w:after="0" w:line="134" w:lineRule="exact"/>
        <w:rPr>
          <w:sz w:val="20"/>
          <w:szCs w:val="20"/>
          <w:color w:val="auto"/>
        </w:rPr>
      </w:pPr>
    </w:p>
    <w:p>
      <w:pPr>
        <w:ind w:left="6" w:right="300" w:firstLine="324"/>
        <w:spacing w:after="0" w:line="342" w:lineRule="auto"/>
        <w:rPr>
          <w:sz w:val="20"/>
          <w:szCs w:val="20"/>
          <w:color w:val="auto"/>
        </w:rPr>
      </w:pPr>
      <w:r>
        <w:rPr>
          <w:rFonts w:ascii="Arial" w:cs="Arial" w:eastAsia="Arial" w:hAnsi="Arial"/>
          <w:sz w:val="16"/>
          <w:szCs w:val="16"/>
          <w:color w:val="auto"/>
        </w:rPr>
        <w:t>On August 11, 2020, ARYA consummated an initial public offering of 14,950,000 Class A ordinary shares at an offering price of $10.00 per share, and a private placement with Sponsor of 499,000 private placement shares at an offering price of $10.00 per share.</w:t>
      </w:r>
    </w:p>
    <w:p>
      <w:pPr>
        <w:spacing w:after="0" w:line="70" w:lineRule="exact"/>
        <w:rPr>
          <w:sz w:val="20"/>
          <w:szCs w:val="20"/>
          <w:color w:val="auto"/>
        </w:rPr>
      </w:pPr>
    </w:p>
    <w:p>
      <w:pPr>
        <w:ind w:left="6" w:right="140" w:firstLine="324"/>
        <w:spacing w:after="0" w:line="284" w:lineRule="auto"/>
        <w:rPr>
          <w:sz w:val="20"/>
          <w:szCs w:val="20"/>
          <w:color w:val="auto"/>
        </w:rPr>
      </w:pPr>
      <w:r>
        <w:rPr>
          <w:rFonts w:ascii="Arial" w:cs="Arial" w:eastAsia="Arial" w:hAnsi="Arial"/>
          <w:sz w:val="16"/>
          <w:szCs w:val="16"/>
          <w:color w:val="auto"/>
        </w:rPr>
        <w:t>Following the closing of ARYA’s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w:t>
      </w:r>
    </w:p>
    <w:p>
      <w:pPr>
        <w:spacing w:after="0" w:line="4" w:lineRule="exact"/>
        <w:rPr>
          <w:sz w:val="20"/>
          <w:szCs w:val="20"/>
          <w:color w:val="auto"/>
        </w:rPr>
      </w:pPr>
    </w:p>
    <w:p>
      <w:pPr>
        <w:ind w:left="6" w:right="40" w:hanging="6"/>
        <w:spacing w:after="0" w:line="273" w:lineRule="auto"/>
        <w:tabs>
          <w:tab w:leader="none" w:pos="2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completion of ARYA’s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 subject to applicable law.</w:t>
      </w:r>
    </w:p>
    <w:p>
      <w:pPr>
        <w:spacing w:after="0" w:line="122" w:lineRule="exact"/>
        <w:rPr>
          <w:sz w:val="20"/>
          <w:szCs w:val="20"/>
          <w:color w:val="auto"/>
        </w:rPr>
      </w:pPr>
    </w:p>
    <w:p>
      <w:pPr>
        <w:ind w:left="326"/>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ARYA’s principal executive office is located at 51 Astor Place, 10th Floor, New York, NY 10003, and its telephone number is (212) 284-2300. ARYA’s corporate website address is https://www.perceptivelife.com/arya3. ARYA’s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Nautilus</w:t>
      </w:r>
    </w:p>
    <w:p>
      <w:pPr>
        <w:spacing w:after="0" w:line="171" w:lineRule="exact"/>
        <w:rPr>
          <w:sz w:val="20"/>
          <w:szCs w:val="20"/>
          <w:color w:val="auto"/>
        </w:rPr>
      </w:pPr>
    </w:p>
    <w:p>
      <w:pPr>
        <w:ind w:left="326"/>
        <w:spacing w:after="0"/>
        <w:rPr>
          <w:sz w:val="20"/>
          <w:szCs w:val="20"/>
          <w:color w:val="auto"/>
        </w:rPr>
      </w:pPr>
      <w:r>
        <w:rPr>
          <w:rFonts w:ascii="Arial" w:cs="Arial" w:eastAsia="Arial" w:hAnsi="Arial"/>
          <w:sz w:val="18"/>
          <w:szCs w:val="18"/>
          <w:color w:val="auto"/>
        </w:rPr>
        <w:t>Nautilus is a Delaware corporation.</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Nautilus’ principal executive office is located at 425 Pontius Ave N, Ste 202, Seattle, WA 98109, and its telephone number is (206) 333-2001. Nautilus’ corporate website address is http://www.nautilus.bio. Nautilus’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ind w:left="6" w:right="420" w:firstLine="324"/>
        <w:spacing w:after="0" w:line="277" w:lineRule="auto"/>
        <w:rPr>
          <w:sz w:val="20"/>
          <w:szCs w:val="20"/>
          <w:color w:val="auto"/>
        </w:rPr>
      </w:pPr>
      <w:r>
        <w:rPr>
          <w:rFonts w:ascii="Arial" w:cs="Arial" w:eastAsia="Arial" w:hAnsi="Arial"/>
          <w:sz w:val="18"/>
          <w:szCs w:val="18"/>
          <w:color w:val="auto"/>
        </w:rPr>
        <w:t>Merger Sub is a Delaware corporation and wholly-owned subsidiary of ARYA formed for the purpose of effecting the Business Combination. Merger Sub owns no material assets and does not operate any business.</w:t>
      </w:r>
    </w:p>
    <w:p>
      <w:pPr>
        <w:spacing w:after="0" w:line="116" w:lineRule="exact"/>
        <w:rPr>
          <w:sz w:val="20"/>
          <w:szCs w:val="20"/>
          <w:color w:val="auto"/>
        </w:rPr>
      </w:pPr>
    </w:p>
    <w:p>
      <w:pPr>
        <w:ind w:left="6" w:right="140" w:firstLine="324"/>
        <w:spacing w:after="0" w:line="277" w:lineRule="auto"/>
        <w:rPr>
          <w:sz w:val="20"/>
          <w:szCs w:val="20"/>
          <w:color w:val="auto"/>
        </w:rPr>
      </w:pPr>
      <w:r>
        <w:rPr>
          <w:rFonts w:ascii="Arial" w:cs="Arial" w:eastAsia="Arial" w:hAnsi="Arial"/>
          <w:sz w:val="18"/>
          <w:szCs w:val="18"/>
          <w:color w:val="auto"/>
        </w:rPr>
        <w:t>Merger Sub’s principal executive office is located at 51 Astor Place, 10th Floor, New York, NY 10003, and its telephone number is (646) 205-5300.</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Put to the Shareholders of ARYA at the Extraordinary General Meeting</w:t>
      </w:r>
    </w:p>
    <w:p>
      <w:pPr>
        <w:spacing w:after="0" w:line="17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following is a summary of the proposals to be put to the extraordinary general meeting of ARYA and certain transactions contemplated by the Business Combination Agreement. Each of the proposals below, except the Adjournment Proposal, is cross-conditioned on the approval of each other. The Adjournment Proposal is not conditioned upon the approval of any other proposal set forth in this proxy statement/prospectus. The transactions contemplated by the Business Combination Agreement will be consummated only if the Condition Precedent Proposals are approved at the extraordinary general meeting.</w:t>
      </w:r>
    </w:p>
    <w:p>
      <w:pPr>
        <w:spacing w:after="0" w:line="12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discussed in this proxy statement/prospectus, ARYA is asking its shareholders to approve by ordinary resolution the Business Combination Agreement, pursuant to which, among other things, 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4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After consideration of the factors identified and discussed in the section entitled “</w:t>
      </w:r>
      <w:r>
        <w:rPr>
          <w:rFonts w:ascii="Arial" w:cs="Arial" w:eastAsia="Arial" w:hAnsi="Arial"/>
          <w:sz w:val="16"/>
          <w:szCs w:val="16"/>
          <w:i w:val="1"/>
          <w:iCs w:val="1"/>
          <w:color w:val="auto"/>
        </w:rPr>
        <w:t>Business Combination Proposal—The ARYA</w:t>
      </w:r>
      <w:r>
        <w:rPr>
          <w:rFonts w:ascii="Arial" w:cs="Arial" w:eastAsia="Arial" w:hAnsi="Arial"/>
          <w:sz w:val="16"/>
          <w:szCs w:val="16"/>
          <w:color w:val="auto"/>
        </w:rPr>
        <w:t xml:space="preserve"> </w:t>
      </w:r>
      <w:r>
        <w:rPr>
          <w:rFonts w:ascii="Arial" w:cs="Arial" w:eastAsia="Arial" w:hAnsi="Arial"/>
          <w:sz w:val="16"/>
          <w:szCs w:val="16"/>
          <w:i w:val="1"/>
          <w:iCs w:val="1"/>
          <w:color w:val="auto"/>
        </w:rPr>
        <w:t>Board’s Reasons for the Business Combination</w:t>
      </w:r>
      <w:r>
        <w:rPr>
          <w:rFonts w:ascii="Arial" w:cs="Arial" w:eastAsia="Arial" w:hAnsi="Arial"/>
          <w:sz w:val="16"/>
          <w:szCs w:val="16"/>
          <w:color w:val="auto"/>
        </w:rPr>
        <w:t>,” the ARYA Board concluded that the Business Combination met all of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disclosed in the prospectus for ARYA’s initial public offering, including that the businesses of Nautilus had a fair market value of at least 80% of the balance of the funds in the trust account at the time of execution of the Business Combination Agreement. For more information about the transactions contemplated by the Business Combination Agreement, see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Consideration to Nautilus Equityholders in the Business Combination</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2" w:lineRule="exact"/>
        <w:rPr>
          <w:sz w:val="20"/>
          <w:szCs w:val="20"/>
          <w:color w:val="auto"/>
        </w:rPr>
      </w:pPr>
    </w:p>
    <w:p>
      <w:pPr>
        <w:ind w:left="320" w:right="254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Proposal—Business Combination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Arial" w:cs="Arial" w:eastAsia="Arial" w:hAnsi="Arial"/>
          <w:sz w:val="17"/>
          <w:szCs w:val="17"/>
          <w:i w:val="1"/>
          <w:iCs w:val="1"/>
          <w:color w:val="auto"/>
        </w:rPr>
        <w:t>Risk Factors—Nasdaq may not list New Nautilus’ securities on its exchange, which could limit</w:t>
      </w:r>
      <w:r>
        <w:rPr>
          <w:rFonts w:ascii="Arial" w:cs="Arial" w:eastAsia="Arial" w:hAnsi="Arial"/>
          <w:sz w:val="17"/>
          <w:szCs w:val="17"/>
          <w:color w:val="auto"/>
        </w:rPr>
        <w:t xml:space="preserve"> </w:t>
      </w:r>
      <w:r>
        <w:rPr>
          <w:rFonts w:ascii="Arial" w:cs="Arial" w:eastAsia="Arial" w:hAnsi="Arial"/>
          <w:sz w:val="17"/>
          <w:szCs w:val="17"/>
          <w:i w:val="1"/>
          <w:iCs w:val="1"/>
          <w:color w:val="auto"/>
        </w:rPr>
        <w:t>investors’ ability to make transactions in New Nautilus’ securities and subject New Nautilus to additional trading restrictions.</w:t>
      </w:r>
      <w:r>
        <w:rPr>
          <w:rFonts w:ascii="Arial" w:cs="Arial" w:eastAsia="Arial" w:hAnsi="Arial"/>
          <w:sz w:val="17"/>
          <w:szCs w:val="17"/>
          <w:color w:val="auto"/>
        </w:rPr>
        <w:t>”); (vii)</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the registration statement of which this registration statement/proxy statement forms a part; and (viii) the consummation of the Domestication. Therefore, unless these conditions are waived by both ARYA and Nautilus in the case of (i), (ii), (iii), (iv), (vi), (vii) and by Nautilus in the case of (v) and (vii), the Business Combination Agreement could terminate and the Business Combination may not be consummated. For further details, see “</w:t>
      </w:r>
      <w:r>
        <w:rPr>
          <w:rFonts w:ascii="Arial" w:cs="Arial" w:eastAsia="Arial" w:hAnsi="Arial"/>
          <w:sz w:val="17"/>
          <w:szCs w:val="17"/>
          <w:i w:val="1"/>
          <w:iCs w:val="1"/>
          <w:color w:val="auto"/>
        </w:rPr>
        <w:t>Business Combination Proposal—Conditions to Closing of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Domestication Proposal</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discussed in this proxy statement/prospectus, ARYA will ask its shareholders to approve by special resolution the Domestication Proposal. As a condition to closing the Business Combination pursuant to the terms of the Business Combination Agreement, the board of directors of ARYA has unanimously approved the Domestication Proposal. The Domestication Proposal, if approved, will authorize a change of ARYA’s jurisdiction of incorporation from the Cayman Islands to the State of Delaware. Accordingly, while ARYA is currently incorporated as an exempted company under the Cayman Islands Companies Act, upon Domestication, New Nautilus will be governed by the DGCL. There are differences between Cayman Islands corporate law and Delaware corporate law as well as the Existing Governing Documents and the Proposed Certificate of Incorporation. The approval of each of the Domestication Proposal and the Charter Proposal requires a special resolution under Cayman Islands law, being the affirmative vote of holders at least a two-thirds (2/3) majority of the votes cast by the holders of the issued ordinary shares present in person or represented by proxy at the extraordinary general meeting and entitled to vote on such matter. Accordingly, we encourage shareholders to carefully consult the information set out below under “</w:t>
      </w:r>
      <w:r>
        <w:rPr>
          <w:rFonts w:ascii="Arial" w:cs="Arial" w:eastAsia="Arial" w:hAnsi="Arial"/>
          <w:sz w:val="16"/>
          <w:szCs w:val="16"/>
          <w:i w:val="1"/>
          <w:iCs w:val="1"/>
          <w:color w:val="auto"/>
        </w:rPr>
        <w:t>Comparison of Corporate Governance and Shareholder Rights</w:t>
      </w:r>
      <w:r>
        <w:rPr>
          <w:rFonts w:ascii="Arial" w:cs="Arial" w:eastAsia="Arial" w:hAnsi="Arial"/>
          <w:sz w:val="16"/>
          <w:szCs w:val="16"/>
          <w:color w:val="auto"/>
        </w:rPr>
        <w:t>.”</w:t>
      </w:r>
    </w:p>
    <w:p>
      <w:pPr>
        <w:spacing w:after="0" w:line="118" w:lineRule="exact"/>
        <w:rPr>
          <w:sz w:val="20"/>
          <w:szCs w:val="20"/>
          <w:color w:val="auto"/>
        </w:rPr>
      </w:pPr>
    </w:p>
    <w:p>
      <w:pPr>
        <w:ind w:left="320" w:right="78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Domestication Proposal,” “Charter Proposal” and “Advisory Governing Documents Proposals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Charter Proposal</w:t>
      </w:r>
    </w:p>
    <w:p>
      <w:pPr>
        <w:spacing w:after="0" w:line="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ARYA will ask its shareholders to approve the amendment and restatement of the Existing Governing Documents, under Cayman Islands law, with the Proposed Certificate of Incorporation, under the DGCL, including the authorization of the change in authorized share capital as indicated therein and the change of name of ARYA to “Nautilus Biotechnology, Inc.” We encourage shareholders to carefully consult the information set out below under “The Charter Proposal” of this proxy statement/prospectus and a complete copy of the Proposed Certificate of Incorporation that is attached hereto as Annex C.</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Advisory Governing Documents Proposals</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ARYA will ask its shareholders to approve, on a non-binding advisory basis, the following governance proposals in connection with the replacement of the Existing Governing Documents, under Cayman Islands law, with the Proposed Certificate of Incorporation, under the DGCL. The ARYA Board has unanimously approved each of the Advisory Governing Documents Proposals and believes such proposals are necessary to adequately address the needs of New Nautilus after the Business Combination. A brief summary of each of the Advisory Governing Documents Proposals is set forth below. These summaries are qualified in their entirety by reference to the complete text of the Proposed Certificate of Incorporation.</w:t>
      </w:r>
    </w:p>
    <w:p>
      <w:pPr>
        <w:spacing w:after="0" w:line="124" w:lineRule="exact"/>
        <w:rPr>
          <w:sz w:val="20"/>
          <w:szCs w:val="20"/>
          <w:color w:val="auto"/>
        </w:rPr>
      </w:pPr>
    </w:p>
    <w:p>
      <w:pPr>
        <w:ind w:left="640" w:hanging="322"/>
        <w:spacing w:after="0"/>
        <w:tabs>
          <w:tab w:leader="none" w:pos="6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Advisory Governing Documents Proposal A</w:t>
      </w:r>
      <w:r>
        <w:rPr>
          <w:rFonts w:ascii="Arial" w:cs="Arial" w:eastAsia="Arial" w:hAnsi="Arial"/>
          <w:sz w:val="17"/>
          <w:szCs w:val="17"/>
          <w:color w:val="auto"/>
        </w:rPr>
        <w:t>—an amendment to change in the authorized share capital of ARYA from</w:t>
      </w:r>
    </w:p>
    <w:p>
      <w:pPr>
        <w:spacing w:after="0" w:line="34" w:lineRule="exact"/>
        <w:rPr>
          <w:rFonts w:ascii="Arial" w:cs="Arial" w:eastAsia="Arial" w:hAnsi="Arial"/>
          <w:sz w:val="17"/>
          <w:szCs w:val="17"/>
          <w:color w:val="auto"/>
        </w:rPr>
      </w:pPr>
    </w:p>
    <w:p>
      <w:pPr>
        <w:ind w:left="640" w:right="360"/>
        <w:spacing w:after="0" w:line="253" w:lineRule="auto"/>
        <w:rPr>
          <w:rFonts w:ascii="Arial" w:cs="Arial" w:eastAsia="Arial" w:hAnsi="Arial"/>
          <w:sz w:val="17"/>
          <w:szCs w:val="17"/>
          <w:color w:val="auto"/>
        </w:rPr>
      </w:pPr>
      <w:r>
        <w:rPr>
          <w:rFonts w:ascii="Arial" w:cs="Arial" w:eastAsia="Arial" w:hAnsi="Arial"/>
          <w:sz w:val="18"/>
          <w:szCs w:val="18"/>
          <w:color w:val="auto"/>
        </w:rPr>
        <w:t>US$50,000 divided into (i) 479,000,000 Class A ordinary shares, par value $0.0001 per share, 20,000,000 Class B ordinary shares, par value $0.0001 per share and 1,000,000 preference shares, par value $0.0001 to (ii) 1,000,000,000 shares of New Nautilus Common Stock, par value $0.0001 per share and 200,000,000 shares of New Nautilus Preferred Stock, par value $0.0001 per share.</w:t>
      </w:r>
    </w:p>
    <w:p>
      <w:pPr>
        <w:spacing w:after="0" w:line="138" w:lineRule="exact"/>
        <w:rPr>
          <w:rFonts w:ascii="Arial" w:cs="Arial" w:eastAsia="Arial" w:hAnsi="Arial"/>
          <w:sz w:val="17"/>
          <w:szCs w:val="17"/>
          <w:color w:val="auto"/>
        </w:rPr>
      </w:pPr>
    </w:p>
    <w:p>
      <w:pPr>
        <w:jc w:val="both"/>
        <w:ind w:left="640" w:right="120" w:hanging="322"/>
        <w:spacing w:after="0" w:line="263" w:lineRule="auto"/>
        <w:tabs>
          <w:tab w:leader="none" w:pos="63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B</w:t>
      </w:r>
      <w:r>
        <w:rPr>
          <w:rFonts w:ascii="Arial" w:cs="Arial" w:eastAsia="Arial" w:hAnsi="Arial"/>
          <w:sz w:val="18"/>
          <w:szCs w:val="18"/>
          <w:color w:val="auto"/>
        </w:rPr>
        <w:t>—an amendment to authorize the New Nautilus Board to issue any or all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C</w:t>
      </w:r>
      <w:r>
        <w:rPr>
          <w:rFonts w:ascii="Arial" w:cs="Arial" w:eastAsia="Arial" w:hAnsi="Arial"/>
          <w:sz w:val="18"/>
          <w:szCs w:val="18"/>
          <w:color w:val="auto"/>
        </w:rPr>
        <w:t>—an amendment to remove the ability of New Nautilus stockholders to take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in lieu of a meeting.</w:t>
      </w:r>
    </w:p>
    <w:p>
      <w:pPr>
        <w:spacing w:after="0" w:line="116" w:lineRule="exact"/>
        <w:rPr>
          <w:rFonts w:ascii="Arial" w:cs="Arial" w:eastAsia="Arial" w:hAnsi="Arial"/>
          <w:sz w:val="18"/>
          <w:szCs w:val="18"/>
          <w:color w:val="auto"/>
        </w:rPr>
      </w:pPr>
    </w:p>
    <w:p>
      <w:pPr>
        <w:ind w:left="640" w:right="220" w:hanging="322"/>
        <w:spacing w:after="0" w:line="259" w:lineRule="auto"/>
        <w:tabs>
          <w:tab w:leader="none" w:pos="63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D</w:t>
      </w:r>
      <w:r>
        <w:rPr>
          <w:rFonts w:ascii="Arial" w:cs="Arial" w:eastAsia="Arial" w:hAnsi="Arial"/>
          <w:sz w:val="18"/>
          <w:szCs w:val="18"/>
          <w:color w:val="auto"/>
        </w:rPr>
        <w:t>—certain other changes in connection with the replacement of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Documents with the Proposed Certificate of Incorporation as part of the Domestication, including (i) changing the post-Business Combination corporate name from “ARYA Sciences Acquisition Corp III” to “Nautilus Biotechnology, Inc.” (which is expected to occur after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line="275" w:lineRule="auto"/>
        <w:rPr>
          <w:sz w:val="20"/>
          <w:szCs w:val="20"/>
          <w:color w:val="auto"/>
        </w:rPr>
      </w:pPr>
      <w:r>
        <w:rPr>
          <w:rFonts w:ascii="Arial" w:cs="Arial" w:eastAsia="Arial" w:hAnsi="Arial"/>
          <w:sz w:val="17"/>
          <w:szCs w:val="17"/>
          <w:color w:val="auto"/>
        </w:rPr>
        <w:t>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and we encourage shareholders to carefully consult the information set out in the section entitled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and the full text of the Proposed Certificate of Incorporation of New Nautilus, attached hereto as Annex 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Nasdaq Proposal</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shareholders are also being asked to approve, by ordinary resolution, the Nasdaq Proposal. Our public shares are listed on Nasdaq and, as such, we are seeking shareholder approval for issuance of New Nautilus Common Stock in connection with the Business Combination and the PIPE Financing pursuant to Nasdaq Listing Rule 5635.</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Nasdaq Proposal</w:t>
      </w:r>
      <w:r>
        <w:rPr>
          <w:rFonts w:ascii="Arial" w:cs="Arial" w:eastAsia="Arial" w:hAnsi="Arial"/>
          <w:sz w:val="18"/>
          <w:szCs w:val="18"/>
          <w:color w:val="auto"/>
        </w:rPr>
        <w: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Award Plan Proposal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shareholders are also being asked to approve, by ordinary resolution, the Incentive Award Plan Proposal. Pursuant to the 2021 Plan, a number of shares of New Nautilus Common Stock equal to 16,182,600 shares of New Nautilus Common Stock that are outstanding on an as-converted and as-redeemed basis as of the date immediately following the consummation of the Business Combination will be reserved for issuance under the 2021 Plan. The 2021 Plan provides that the number of shares reserved and available for issuance under the plan will automatically increase each January 1, beginning on January 1, 2022, by 5% of the outstanding number of shares of New Nautilus Common Stock on the immediately preceding December 31, or such lesser amount as determined by the Board of New Nautilus. For additional information, see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The full text of the 2021 Plan is attached hereto as Annex I.</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 Proposal</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shareholders are also being asked to approve, by ordinary resolution, the Employee Stock Purchase Plan Proposal. A total of 1,244,900 shares of New Nautilus Common Stock will be reserved for issuance under the ESPP. Based upon a price per share of $10.00, the maximum aggregate market value of the New Nautilus Common Stock that could potentially be issued under the ESPP at Closing is $12,449,000. The ESPP provides that the number of shares reserved and available for issuance under the ESPP will automatically increase each January 1, beginning on January 1, 2022, by 1% of the outstanding number of shares of New Nautilus Common Stock on the immediately preceding December 31, or such lesser amount as determined by the New Nautilus Board. For additional information, see “</w:t>
      </w:r>
      <w:r>
        <w:rPr>
          <w:rFonts w:ascii="Arial" w:cs="Arial" w:eastAsia="Arial" w:hAnsi="Arial"/>
          <w:sz w:val="16"/>
          <w:szCs w:val="16"/>
          <w:i w:val="1"/>
          <w:iCs w:val="1"/>
          <w:color w:val="auto"/>
        </w:rPr>
        <w:t>Employee Stock Purchase Plan Proposal</w:t>
      </w:r>
      <w:r>
        <w:rPr>
          <w:rFonts w:ascii="Arial" w:cs="Arial" w:eastAsia="Arial" w:hAnsi="Arial"/>
          <w:sz w:val="16"/>
          <w:szCs w:val="16"/>
          <w:color w:val="auto"/>
        </w:rPr>
        <w:t>.” The full text of the ESPP is attached hereto as Annex J.</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Adjournment Proposal</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based on the tabulated vote, there are not sufficient votes at the time of the extraordinary general meeting to authorize ARYA to consummate the Business Combination, the ARYA Board may submit a proposal to adjourn the extraordinary general meeting to a later date or dates to consider and vote upon a proposal to approve by ordinary resolution the adjournment of the extraordinary general meeting to a later date or dates. For additional information, see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Proposals are conditioned on the approval of the Condition Precedent Proposals. The Adjournment Proposal is not conditioned on any other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the Sponsor and the ARYA Board and management to identify, acquire and operate one or more businesses. The members of the ARYA Board and management have extensive transactional experience, particularly in the healthcare and life sciences industries.</w:t>
      </w:r>
    </w:p>
    <w:p>
      <w:pPr>
        <w:spacing w:after="0" w:line="13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particular, the ARYA Board considered the following positive factors, although not weighted or in any order of significance, in deciding to approve the Business Combination Proposal:</w:t>
      </w:r>
    </w:p>
    <w:p>
      <w:pPr>
        <w:spacing w:after="0" w:line="116" w:lineRule="exact"/>
        <w:rPr>
          <w:sz w:val="20"/>
          <w:szCs w:val="20"/>
          <w:color w:val="auto"/>
        </w:rPr>
      </w:pPr>
    </w:p>
    <w:p>
      <w:pPr>
        <w:ind w:left="680" w:hanging="36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single molecule proteomics platform with integrated machine learning software;</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leadership in commercial proteomics detection technology and targeted product development plan;</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potential clinical applications of the Nautilus Platform;</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continuously self-improving data driven technology;</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experienced and multidisciplinary management team;</w:t>
      </w:r>
    </w:p>
    <w:p>
      <w:pPr>
        <w:spacing w:after="0" w:line="171" w:lineRule="exact"/>
        <w:rPr>
          <w:rFonts w:ascii="Arial" w:cs="Arial" w:eastAsia="Arial" w:hAnsi="Arial"/>
          <w:sz w:val="18"/>
          <w:szCs w:val="18"/>
          <w:color w:val="auto"/>
        </w:rPr>
      </w:pPr>
    </w:p>
    <w:p>
      <w:pPr>
        <w:ind w:left="620" w:hanging="302"/>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advancement of the Nautilus Platform through a strong commitment to R&amp;D and new partnerships and collaborations;</w:t>
      </w:r>
    </w:p>
    <w:p>
      <w:pPr>
        <w:spacing w:after="0" w:line="182" w:lineRule="exact"/>
        <w:rPr>
          <w:rFonts w:ascii="Arial" w:cs="Arial" w:eastAsia="Arial" w:hAnsi="Arial"/>
          <w:sz w:val="17"/>
          <w:szCs w:val="17"/>
          <w:color w:val="auto"/>
        </w:rPr>
      </w:pPr>
    </w:p>
    <w:p>
      <w:pPr>
        <w:ind w:left="680" w:hanging="36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efficient and scalable sourcing and manufacturing processes; and</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results of due diligence and attractive valuation.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40" w:hanging="32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risk that the potential benefits of the Business Combination may not be fully achieved;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risks and costs to ARYA if the Business Combination is not completed;</w:t>
      </w:r>
    </w:p>
    <w:p>
      <w:pPr>
        <w:spacing w:after="0" w:line="171" w:lineRule="exact"/>
        <w:rPr>
          <w:rFonts w:ascii="Arial" w:cs="Arial" w:eastAsia="Arial" w:hAnsi="Arial"/>
          <w:sz w:val="18"/>
          <w:szCs w:val="18"/>
          <w:color w:val="auto"/>
        </w:rPr>
      </w:pPr>
    </w:p>
    <w:p>
      <w:pPr>
        <w:ind w:left="640" w:right="120" w:hanging="322"/>
        <w:spacing w:after="0" w:line="277" w:lineRule="auto"/>
        <w:tabs>
          <w:tab w:leader="none" w:pos="6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fact that the Business Combination Agreement includes an exclusivity provision that prohibits ARYA from soliciting other business combination proposals;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risk that ARYA’s shareholders may fail to provide the respective votes necessary to effect the Business Combination;</w:t>
      </w:r>
    </w:p>
    <w:p>
      <w:pPr>
        <w:spacing w:after="0" w:line="182" w:lineRule="exact"/>
        <w:rPr>
          <w:rFonts w:ascii="Arial" w:cs="Arial" w:eastAsia="Arial" w:hAnsi="Arial"/>
          <w:sz w:val="17"/>
          <w:szCs w:val="17"/>
          <w:color w:val="auto"/>
        </w:rPr>
      </w:pPr>
    </w:p>
    <w:p>
      <w:pPr>
        <w:ind w:left="640" w:right="20" w:hanging="322"/>
        <w:spacing w:after="0" w:line="277" w:lineRule="auto"/>
        <w:tabs>
          <w:tab w:leader="none" w:pos="6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post-business combination corporate governance and the terms of the Amended and Restated Registration Rights and Lock-Up Agreement;</w:t>
      </w:r>
    </w:p>
    <w:p>
      <w:pPr>
        <w:spacing w:after="0" w:line="116" w:lineRule="exact"/>
        <w:rPr>
          <w:rFonts w:ascii="Arial" w:cs="Arial" w:eastAsia="Arial" w:hAnsi="Arial"/>
          <w:sz w:val="18"/>
          <w:szCs w:val="18"/>
          <w:color w:val="auto"/>
        </w:rPr>
      </w:pPr>
    </w:p>
    <w:p>
      <w:pPr>
        <w:ind w:left="620" w:hanging="302"/>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limited review undertaken by the ARYA Board;</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fact that the completion of the Business Combination is conditioned on the satisfaction of certain closing conditions that are not within ARYA’s control;</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potential litigation challenging the Business Combination;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fees and expenses associated with completing the Business Combination; and</w:t>
      </w:r>
    </w:p>
    <w:p>
      <w:pPr>
        <w:spacing w:after="0" w:line="171" w:lineRule="exact"/>
        <w:rPr>
          <w:rFonts w:ascii="Arial" w:cs="Arial" w:eastAsia="Arial" w:hAnsi="Arial"/>
          <w:sz w:val="18"/>
          <w:szCs w:val="18"/>
          <w:color w:val="auto"/>
        </w:rPr>
      </w:pPr>
    </w:p>
    <w:p>
      <w:pPr>
        <w:ind w:left="640" w:right="300" w:hanging="322"/>
        <w:spacing w:after="0" w:line="277" w:lineRule="auto"/>
        <w:tabs>
          <w:tab w:leader="none" w:pos="6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various other risks associated with the Business Combination, the business of ARYA and the business of Nautilus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133"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For more information about the ARYA Board’s decision-making process concerning the Business Combination, please see the section entitled “</w:t>
      </w:r>
      <w:r>
        <w:rPr>
          <w:rFonts w:ascii="Arial" w:cs="Arial" w:eastAsia="Arial" w:hAnsi="Arial"/>
          <w:sz w:val="17"/>
          <w:szCs w:val="17"/>
          <w:i w:val="1"/>
          <w:iCs w:val="1"/>
          <w:color w:val="auto"/>
        </w:rPr>
        <w:t>The Business Combination Proposal—the ARYA Board’s Reasons for the Business Combination</w:t>
      </w: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section describes certain additional agreements entered into or to be entered into in connection with the Business Combination Agreement. For additional information, see “</w:t>
      </w:r>
      <w:r>
        <w:rPr>
          <w:rFonts w:ascii="Arial" w:cs="Arial" w:eastAsia="Arial" w:hAnsi="Arial"/>
          <w:sz w:val="18"/>
          <w:szCs w:val="18"/>
          <w:i w:val="1"/>
          <w:iCs w:val="1"/>
          <w:color w:val="auto"/>
        </w:rPr>
        <w:t>Business Combination Proposal—Related Agreements</w:t>
      </w:r>
      <w:r>
        <w:rPr>
          <w:rFonts w:ascii="Arial" w:cs="Arial" w:eastAsia="Arial" w:hAnsi="Arial"/>
          <w:sz w:val="18"/>
          <w:szCs w:val="18"/>
          <w:color w:val="auto"/>
        </w:rPr>
        <w: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ARYA entered into Subscription Agreements with the PIPE Investors to consummate the PIPE Financing, pursuant to which the PIPE Investors have agreed to subscribe for and purchase, and ARYA has agreed to issue and sell to the PIPE Investors,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For additional information, see “</w:t>
      </w:r>
      <w:r>
        <w:rPr>
          <w:rFonts w:ascii="Arial" w:cs="Arial" w:eastAsia="Arial" w:hAnsi="Arial"/>
          <w:sz w:val="16"/>
          <w:szCs w:val="16"/>
          <w:i w:val="1"/>
          <w:iCs w:val="1"/>
          <w:color w:val="auto"/>
        </w:rPr>
        <w:t>Business Combination Proposal—Related Agreements—PIPE Financing</w:t>
      </w:r>
      <w:r>
        <w:rPr>
          <w:rFonts w:ascii="Arial" w:cs="Arial" w:eastAsia="Arial" w:hAnsi="Arial"/>
          <w:sz w:val="16"/>
          <w:szCs w:val="16"/>
          <w:color w:val="auto"/>
        </w:rPr>
        <w: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signing of the Business Combination Agreement, ARYA, ARYA’s initial shareholders, the Perceptive PIPE Investor, the current Nautilus directors and certain additional Nautilus Shareholders entered into an Amended and Restated Registration Rights and Lock-Up Agreement (the “</w:t>
      </w:r>
      <w:r>
        <w:rPr>
          <w:rFonts w:ascii="Arial" w:cs="Arial" w:eastAsia="Arial" w:hAnsi="Arial"/>
          <w:sz w:val="18"/>
          <w:szCs w:val="18"/>
          <w:u w:val="single" w:color="auto"/>
          <w:color w:val="auto"/>
        </w:rPr>
        <w:t>Amended and Restated Registration Rights and Lock-Up Agreement</w:t>
      </w:r>
      <w:r>
        <w:rPr>
          <w:rFonts w:ascii="Arial" w:cs="Arial" w:eastAsia="Arial" w:hAnsi="Arial"/>
          <w:sz w:val="18"/>
          <w:szCs w:val="18"/>
          <w:color w:val="auto"/>
        </w:rPr>
        <w:t>”), pursuant to which, among other things, the holders party thereto will be granted certain customary registration rights with respect to their respective shares of New Nautilus Common Stock and such holders agreed to a 180-day lock up, in each case effective upon the Closing. 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Shareholder Transaction Support Agreements</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Pursuant to the Business Combination Agreement, certain major Nautilus Shareholders entered into Transaction Support Agreements with ARYA (collectively, the “</w:t>
      </w:r>
      <w:r>
        <w:rPr>
          <w:rFonts w:ascii="Arial" w:cs="Arial" w:eastAsia="Arial" w:hAnsi="Arial"/>
          <w:sz w:val="16"/>
          <w:szCs w:val="16"/>
          <w:u w:val="single" w:color="auto"/>
          <w:color w:val="auto"/>
        </w:rPr>
        <w:t>Nautilus Shareholder Transaction Support Agreements</w:t>
      </w:r>
      <w:r>
        <w:rPr>
          <w:rFonts w:ascii="Arial" w:cs="Arial" w:eastAsia="Arial" w:hAnsi="Arial"/>
          <w:sz w:val="16"/>
          <w:szCs w:val="16"/>
          <w:color w:val="auto"/>
        </w:rPr>
        <w:t>”), pursuant to which such Nautilus Shareholders have agreed to, among other things, (i) vote in favor of the Business Combination Agreement and the transactions contemplated thereby and (ii) be bound by certain other covenants and agreements related to the Business Combination. For additional information, see “</w:t>
      </w:r>
      <w:r>
        <w:rPr>
          <w:rFonts w:ascii="Arial" w:cs="Arial" w:eastAsia="Arial" w:hAnsi="Arial"/>
          <w:sz w:val="16"/>
          <w:szCs w:val="16"/>
          <w:i w:val="1"/>
          <w:iCs w:val="1"/>
          <w:color w:val="auto"/>
        </w:rPr>
        <w:t>Business Combination Proposal—Related Agreements—Transaction Support Agreements</w:t>
      </w:r>
      <w:r>
        <w:rPr>
          <w:rFonts w:ascii="Arial" w:cs="Arial" w:eastAsia="Arial" w:hAnsi="Arial"/>
          <w:sz w:val="16"/>
          <w:szCs w:val="16"/>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61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left="20" w:right="20" w:firstLine="324"/>
        <w:spacing w:after="0" w:line="271" w:lineRule="auto"/>
        <w:rPr>
          <w:sz w:val="20"/>
          <w:szCs w:val="20"/>
          <w:color w:val="auto"/>
        </w:rPr>
      </w:pPr>
      <w:r>
        <w:rPr>
          <w:rFonts w:ascii="Arial" w:cs="Arial" w:eastAsia="Arial" w:hAnsi="Arial"/>
          <w:sz w:val="17"/>
          <w:szCs w:val="17"/>
          <w:color w:val="auto"/>
        </w:rPr>
        <w:t>Pursuant to the Business Combination Agreement, ARYA, Sponsor, Todd Wider, Bradley L. Campbell and Saqib Islam and Nautilus entered into the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and be bound by certain transfer restrictions with respect to his, her or its shares in ARYA prior to the closing of the Business Combination, in each case, on the terms and subject to the conditions set forth in the Sponsor Letter Agreement.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Ownership of New Nautilus</w:t>
      </w:r>
    </w:p>
    <w:p>
      <w:pPr>
        <w:spacing w:after="0" w:line="175" w:lineRule="exact"/>
        <w:rPr>
          <w:sz w:val="20"/>
          <w:szCs w:val="20"/>
          <w:color w:val="auto"/>
        </w:rPr>
      </w:pPr>
    </w:p>
    <w:p>
      <w:pPr>
        <w:ind w:left="20" w:right="220" w:firstLine="324"/>
        <w:spacing w:after="0" w:line="301" w:lineRule="auto"/>
        <w:rPr>
          <w:sz w:val="20"/>
          <w:szCs w:val="20"/>
          <w:color w:val="auto"/>
        </w:rPr>
      </w:pPr>
      <w:r>
        <w:rPr>
          <w:rFonts w:ascii="Arial" w:cs="Arial" w:eastAsia="Arial" w:hAnsi="Arial"/>
          <w:sz w:val="16"/>
          <w:szCs w:val="16"/>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103" w:lineRule="exact"/>
        <w:rPr>
          <w:sz w:val="20"/>
          <w:szCs w:val="20"/>
          <w:color w:val="auto"/>
        </w:rPr>
      </w:pPr>
    </w:p>
    <w:p>
      <w:pPr>
        <w:ind w:left="20" w:right="160"/>
        <w:spacing w:after="0" w:line="269"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No redemptions</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redemptions</w:t>
            </w:r>
            <w:r>
              <w:rPr>
                <w:rFonts w:ascii="Arial" w:cs="Arial" w:eastAsia="Arial" w:hAnsi="Arial"/>
                <w:sz w:val="9"/>
                <w:szCs w:val="9"/>
                <w:b w:val="1"/>
                <w:bCs w:val="1"/>
                <w:color w:val="auto"/>
                <w:w w:val="90"/>
              </w:rPr>
              <w:t>(2)</w:t>
            </w:r>
          </w:p>
        </w:tc>
        <w:tc>
          <w:tcPr>
            <w:tcW w:w="0" w:type="dxa"/>
            <w:vAlign w:val="bottom"/>
          </w:tcPr>
          <w:p>
            <w:pPr>
              <w:spacing w:after="0"/>
              <w:rPr>
                <w:sz w:val="1"/>
                <w:szCs w:val="1"/>
                <w:color w:val="auto"/>
              </w:rPr>
            </w:pPr>
          </w:p>
        </w:tc>
      </w:tr>
      <w:tr>
        <w:trPr>
          <w:trHeight w:val="130"/>
        </w:trPr>
        <w:tc>
          <w:tcPr>
            <w:tcW w:w="6780" w:type="dxa"/>
            <w:vAlign w:val="bottom"/>
          </w:tcPr>
          <w:p>
            <w:pPr>
              <w:spacing w:after="0"/>
              <w:rPr>
                <w:sz w:val="11"/>
                <w:szCs w:val="11"/>
                <w:color w:val="auto"/>
              </w:rPr>
            </w:pPr>
          </w:p>
        </w:tc>
        <w:tc>
          <w:tcPr>
            <w:tcW w:w="15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Outstanding Shares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224"/>
        </w:trPr>
        <w:tc>
          <w:tcPr>
            <w:tcW w:w="6780" w:type="dxa"/>
            <w:vAlign w:val="bottom"/>
            <w:tcBorders>
              <w:top w:val="single" w:sz="8" w:color="CCEEFF"/>
            </w:tcBorders>
            <w:shd w:val="clear" w:color="auto" w:fill="CCEEFF"/>
          </w:tcPr>
          <w:p>
            <w:pPr>
              <w:ind w:left="4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6780" w:type="dxa"/>
            <w:vAlign w:val="bottom"/>
          </w:tcPr>
          <w:p>
            <w:pPr>
              <w:ind w:left="4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50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1"/>
        </w:trPr>
        <w:tc>
          <w:tcPr>
            <w:tcW w:w="6780" w:type="dxa"/>
            <w:vAlign w:val="bottom"/>
          </w:tcPr>
          <w:p>
            <w:pPr>
              <w:ind w:left="4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50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71.2 %</w:t>
            </w:r>
          </w:p>
        </w:tc>
        <w:tc>
          <w:tcPr>
            <w:tcW w:w="0" w:type="dxa"/>
            <w:vAlign w:val="bottom"/>
          </w:tcPr>
          <w:p>
            <w:pPr>
              <w:spacing w:after="0"/>
              <w:rPr>
                <w:sz w:val="1"/>
                <w:szCs w:val="1"/>
                <w:color w:val="auto"/>
              </w:rPr>
            </w:pPr>
          </w:p>
        </w:tc>
      </w:tr>
      <w:tr>
        <w:trPr>
          <w:trHeight w:val="174"/>
        </w:trPr>
        <w:tc>
          <w:tcPr>
            <w:tcW w:w="678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26"/>
        <w:spacing w:after="0" w:line="241"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40" w:hanging="326"/>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Excludes shares acquired by the Perceptive PIPE Investor in the PIPE Financing. Includes shares acquired by existing Nautilus Stockholders in the PIPE Financing.</w:t>
      </w:r>
    </w:p>
    <w:p>
      <w:pPr>
        <w:spacing w:after="0" w:line="12" w:lineRule="exact"/>
        <w:rPr>
          <w:rFonts w:ascii="Arial" w:cs="Arial" w:eastAsia="Arial" w:hAnsi="Arial"/>
          <w:sz w:val="13"/>
          <w:szCs w:val="13"/>
          <w:color w:val="auto"/>
        </w:rPr>
      </w:pPr>
    </w:p>
    <w:p>
      <w:pPr>
        <w:ind w:left="340" w:right="400" w:hanging="326"/>
        <w:spacing w:after="0" w:line="255"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160" w:firstLine="324"/>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 Time and Place of Extraordinary General Meeting of ARYA’s Shareholders</w:t>
      </w:r>
    </w:p>
    <w:p>
      <w:pPr>
        <w:spacing w:after="0" w:line="1" w:lineRule="exact"/>
        <w:rPr>
          <w:sz w:val="20"/>
          <w:szCs w:val="20"/>
          <w:color w:val="auto"/>
        </w:rPr>
      </w:pPr>
    </w:p>
    <w:p>
      <w:pPr>
        <w:ind w:left="326"/>
        <w:spacing w:after="0"/>
        <w:rPr>
          <w:sz w:val="20"/>
          <w:szCs w:val="20"/>
          <w:color w:val="auto"/>
        </w:rPr>
      </w:pPr>
      <w:r>
        <w:rPr>
          <w:rFonts w:ascii="Arial" w:cs="Arial" w:eastAsia="Arial" w:hAnsi="Arial"/>
          <w:sz w:val="16"/>
          <w:szCs w:val="16"/>
          <w:color w:val="auto"/>
        </w:rPr>
        <w:t>The extraordinary general meeting of ARYA, will be held at 9:00 a.m., Eastern Time, on ________, 2021, at the offices of Kirkland</w:t>
      </w:r>
    </w:p>
    <w:p>
      <w:pPr>
        <w:spacing w:after="0" w:line="46" w:lineRule="exact"/>
        <w:rPr>
          <w:sz w:val="20"/>
          <w:szCs w:val="20"/>
          <w:color w:val="auto"/>
        </w:rPr>
      </w:pPr>
    </w:p>
    <w:p>
      <w:pPr>
        <w:jc w:val="both"/>
        <w:ind w:left="6" w:right="60" w:hanging="6"/>
        <w:spacing w:after="0" w:line="253" w:lineRule="auto"/>
        <w:tabs>
          <w:tab w:leader="none" w:pos="19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Ellis LLP, located at 601 Lexington Avenue, New York, New York 10022, to consider and vote upon the proposals to be put to the extraordinary general meeting, including if necessary, the Adjournment Proposal, to permit further solicitation and vote of proxies if, based upon the tabulated vote at the time of the extraordinary general meeting, each of the Condition Precedent Proposals have not been approved.</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ind w:left="6" w:right="40" w:firstLine="324"/>
        <w:spacing w:after="0" w:line="255" w:lineRule="auto"/>
        <w:rPr>
          <w:sz w:val="20"/>
          <w:szCs w:val="20"/>
          <w:color w:val="auto"/>
        </w:rPr>
      </w:pPr>
      <w:r>
        <w:rPr>
          <w:rFonts w:ascii="Arial" w:cs="Arial" w:eastAsia="Arial" w:hAnsi="Arial"/>
          <w:sz w:val="18"/>
          <w:szCs w:val="18"/>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Quorum and Vote of ARYA Shareholders</w:t>
      </w:r>
    </w:p>
    <w:p>
      <w:pPr>
        <w:spacing w:after="0" w:line="175" w:lineRule="exact"/>
        <w:rPr>
          <w:sz w:val="20"/>
          <w:szCs w:val="20"/>
          <w:color w:val="auto"/>
        </w:rPr>
      </w:pPr>
    </w:p>
    <w:p>
      <w:pPr>
        <w:ind w:left="6" w:right="120" w:firstLine="324"/>
        <w:spacing w:after="0" w:line="279" w:lineRule="auto"/>
        <w:rPr>
          <w:sz w:val="20"/>
          <w:szCs w:val="20"/>
          <w:color w:val="auto"/>
        </w:rPr>
      </w:pPr>
      <w:r>
        <w:rPr>
          <w:rFonts w:ascii="Arial" w:cs="Arial" w:eastAsia="Arial" w:hAnsi="Arial"/>
          <w:sz w:val="17"/>
          <w:szCs w:val="17"/>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17" w:lineRule="exact"/>
        <w:rPr>
          <w:sz w:val="20"/>
          <w:szCs w:val="20"/>
          <w:color w:val="auto"/>
        </w:rPr>
      </w:pPr>
    </w:p>
    <w:p>
      <w:pPr>
        <w:ind w:left="6" w:right="40" w:firstLine="324"/>
        <w:spacing w:after="0" w:line="257"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Letter Agreement.</w:t>
      </w:r>
    </w:p>
    <w:p>
      <w:pPr>
        <w:spacing w:after="0" w:line="134" w:lineRule="exact"/>
        <w:rPr>
          <w:sz w:val="20"/>
          <w:szCs w:val="20"/>
          <w:color w:val="auto"/>
        </w:rPr>
      </w:pPr>
    </w:p>
    <w:p>
      <w:pPr>
        <w:ind w:left="326"/>
        <w:spacing w:after="0"/>
        <w:rPr>
          <w:sz w:val="20"/>
          <w:szCs w:val="20"/>
          <w:color w:val="auto"/>
        </w:rPr>
      </w:pPr>
      <w:r>
        <w:rPr>
          <w:rFonts w:ascii="Arial" w:cs="Arial" w:eastAsia="Arial" w:hAnsi="Arial"/>
          <w:sz w:val="18"/>
          <w:szCs w:val="18"/>
          <w:color w:val="auto"/>
        </w:rPr>
        <w:t>The proposals presented at the extraordinary general meeting require the following votes:</w:t>
      </w:r>
    </w:p>
    <w:p>
      <w:pPr>
        <w:spacing w:after="0" w:line="171" w:lineRule="exact"/>
        <w:rPr>
          <w:sz w:val="20"/>
          <w:szCs w:val="20"/>
          <w:color w:val="auto"/>
        </w:rPr>
      </w:pPr>
    </w:p>
    <w:p>
      <w:pPr>
        <w:ind w:left="646" w:right="260" w:hanging="322"/>
        <w:spacing w:after="0" w:line="311" w:lineRule="auto"/>
        <w:tabs>
          <w:tab w:leader="none" w:pos="64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Combination Proposal: </w:t>
      </w:r>
      <w:r>
        <w:rPr>
          <w:rFonts w:ascii="Arial" w:cs="Arial" w:eastAsia="Arial" w:hAnsi="Arial"/>
          <w:sz w:val="16"/>
          <w:szCs w:val="16"/>
          <w:color w:val="auto"/>
        </w:rPr>
        <w:t>The approval of the Business Combination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6" w:right="120" w:hanging="322"/>
        <w:spacing w:after="0" w:line="311" w:lineRule="auto"/>
        <w:tabs>
          <w:tab w:leader="none" w:pos="636"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Domestication Proposal: </w:t>
      </w:r>
      <w:r>
        <w:rPr>
          <w:rFonts w:ascii="Arial" w:cs="Arial" w:eastAsia="Arial" w:hAnsi="Arial"/>
          <w:sz w:val="16"/>
          <w:szCs w:val="16"/>
          <w:color w:val="auto"/>
        </w:rPr>
        <w:t>The approval of the Domestication Proposal requires a special resolution under Cayman Islands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the affirmative vote of at least a two-thirds (2/3)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6" w:right="240" w:hanging="322"/>
        <w:spacing w:after="0" w:line="259" w:lineRule="auto"/>
        <w:tabs>
          <w:tab w:leader="none" w:pos="646"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Proposal: </w:t>
      </w:r>
      <w:r>
        <w:rPr>
          <w:rFonts w:ascii="Arial" w:cs="Arial" w:eastAsia="Arial" w:hAnsi="Arial"/>
          <w:sz w:val="18"/>
          <w:szCs w:val="18"/>
          <w:color w:val="auto"/>
        </w:rPr>
        <w:t>The approval of the Charter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2" w:lineRule="exact"/>
        <w:rPr>
          <w:rFonts w:ascii="Arial" w:cs="Arial" w:eastAsia="Arial" w:hAnsi="Arial"/>
          <w:sz w:val="18"/>
          <w:szCs w:val="18"/>
          <w:color w:val="auto"/>
        </w:rPr>
      </w:pPr>
    </w:p>
    <w:p>
      <w:pPr>
        <w:ind w:left="646" w:hanging="322"/>
        <w:spacing w:after="0" w:line="259" w:lineRule="auto"/>
        <w:tabs>
          <w:tab w:leader="none" w:pos="636"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Advisory Governing Documents Proposals: </w:t>
      </w:r>
      <w:r>
        <w:rPr>
          <w:rFonts w:ascii="Arial" w:cs="Arial" w:eastAsia="Arial" w:hAnsi="Arial"/>
          <w:sz w:val="18"/>
          <w:szCs w:val="18"/>
          <w:color w:val="auto"/>
        </w:rPr>
        <w:t>The approval, on a non-binding advisory basis, of each of the Advisory Governing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187960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6"/>
          </w:cols>
          <w:pgMar w:left="994" w:top="1440" w:right="103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240" w:hanging="322"/>
        <w:spacing w:after="0" w:line="286" w:lineRule="auto"/>
        <w:tabs>
          <w:tab w:leader="none" w:pos="634"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Nasdaq Proposal: </w:t>
      </w:r>
      <w:r>
        <w:rPr>
          <w:rFonts w:ascii="Arial" w:cs="Arial" w:eastAsia="Arial" w:hAnsi="Arial"/>
          <w:sz w:val="17"/>
          <w:szCs w:val="17"/>
          <w:color w:val="auto"/>
        </w:rPr>
        <w:t>The approval of the Nasdaq Proposal requires an ordinary resolution under Cayman Islands law, being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jc w:val="both"/>
        <w:ind w:left="640" w:right="440" w:hanging="322"/>
        <w:spacing w:after="0" w:line="311" w:lineRule="auto"/>
        <w:tabs>
          <w:tab w:leader="none" w:pos="630"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Award Plan Proposal: </w:t>
      </w:r>
      <w:r>
        <w:rPr>
          <w:rFonts w:ascii="Arial" w:cs="Arial" w:eastAsia="Arial" w:hAnsi="Arial"/>
          <w:sz w:val="16"/>
          <w:szCs w:val="16"/>
          <w:color w:val="auto"/>
        </w:rPr>
        <w:t>The approval of the Incentive Award Plan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180" w:hanging="322"/>
        <w:spacing w:after="0" w:line="259" w:lineRule="auto"/>
        <w:tabs>
          <w:tab w:leader="none" w:pos="684"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Stock Purchase Plan Proposal: </w:t>
      </w:r>
      <w:r>
        <w:rPr>
          <w:rFonts w:ascii="Arial" w:cs="Arial" w:eastAsia="Arial" w:hAnsi="Arial"/>
          <w:sz w:val="18"/>
          <w:szCs w:val="18"/>
          <w:color w:val="auto"/>
        </w:rPr>
        <w:t>The approval of the Employee Stock Purchase Plan Proposal requires an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2" w:lineRule="exact"/>
        <w:rPr>
          <w:rFonts w:ascii="Arial" w:cs="Arial" w:eastAsia="Arial" w:hAnsi="Arial"/>
          <w:sz w:val="18"/>
          <w:szCs w:val="18"/>
          <w:color w:val="auto"/>
        </w:rPr>
      </w:pPr>
    </w:p>
    <w:p>
      <w:pPr>
        <w:jc w:val="both"/>
        <w:ind w:left="640" w:hanging="322"/>
        <w:spacing w:after="0" w:line="286" w:lineRule="auto"/>
        <w:tabs>
          <w:tab w:leader="none" w:pos="721"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The approval of the Adjournment Proposal requires an ordinary resolution under Cayman Islands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being the affirmative vote of at least a majority of the votes cast by the holders of the issued ordinary shares present in person or represented by proxy at the extraordinary general meeting and entitled to vote on such matter.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11" w:lineRule="exact"/>
        <w:rPr>
          <w:sz w:val="20"/>
          <w:szCs w:val="20"/>
          <w:color w:val="auto"/>
        </w:rPr>
      </w:pPr>
    </w:p>
    <w:p>
      <w:pPr>
        <w:ind w:left="640" w:hanging="32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40" w:right="240" w:hanging="322"/>
        <w:spacing w:after="0" w:line="263" w:lineRule="auto"/>
        <w:tabs>
          <w:tab w:leader="none" w:pos="6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640" w:hanging="32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Holders must complete the procedures for electing to redeem their public shares in the manner described above prior to 5:00 p.m. Eastern Time on __________, 2021 (two business days before the extraordinary general meeting) in order for their shares to be redeemed.</w:t>
      </w:r>
    </w:p>
    <w:p>
      <w:pPr>
        <w:spacing w:after="0" w:line="12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 consummated, the public shares will be returned to the respective holder, broker or bank. If</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this proxy statement/prospectus for a detailed description of the procedures to be followed if you wish to redeem your public shares for cash.</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ARYA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Proxies may be solicited by mail, telephone or in person. ARYA has engaged Morrow to assist in the solicitation of proxies.</w:t>
      </w:r>
    </w:p>
    <w:p>
      <w:pPr>
        <w:spacing w:after="0" w:line="18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Arial" w:cs="Arial" w:eastAsia="Arial" w:hAnsi="Arial"/>
          <w:sz w:val="18"/>
          <w:szCs w:val="18"/>
          <w:i w:val="1"/>
          <w:iCs w:val="1"/>
          <w:color w:val="auto"/>
        </w:rPr>
        <w:t>Extraordinary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of ARYA—Revoking Your 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 Directors and Executive Officers in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3" w:lineRule="exact"/>
        <w:rPr>
          <w:sz w:val="20"/>
          <w:szCs w:val="20"/>
          <w:color w:val="auto"/>
        </w:rPr>
      </w:pPr>
    </w:p>
    <w:p>
      <w:pPr>
        <w:ind w:left="640" w:right="18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92" w:lineRule="exact"/>
        <w:rPr>
          <w:rFonts w:ascii="Arial" w:cs="Arial" w:eastAsia="Arial" w:hAnsi="Arial"/>
          <w:sz w:val="17"/>
          <w:szCs w:val="17"/>
          <w:color w:val="auto"/>
        </w:rPr>
      </w:pPr>
    </w:p>
    <w:p>
      <w:pPr>
        <w:ind w:left="640" w:right="64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 ;</w:t>
      </w:r>
    </w:p>
    <w:p>
      <w:pPr>
        <w:spacing w:after="0" w:line="116" w:lineRule="exact"/>
        <w:rPr>
          <w:rFonts w:ascii="Arial" w:cs="Arial" w:eastAsia="Arial" w:hAnsi="Arial"/>
          <w:sz w:val="18"/>
          <w:szCs w:val="18"/>
          <w:color w:val="auto"/>
        </w:rPr>
      </w:pPr>
    </w:p>
    <w:p>
      <w:pPr>
        <w:ind w:left="640" w:right="300" w:hanging="322"/>
        <w:spacing w:after="0" w:line="263"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40" w:right="34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Amended and Restated Registration Rights and Lock-Up Agreement will be entered into by Messrs. Wider, Campbell and Islam;</w:t>
      </w:r>
    </w:p>
    <w:p>
      <w:pPr>
        <w:spacing w:after="0" w:line="116" w:lineRule="exact"/>
        <w:rPr>
          <w:rFonts w:ascii="Arial" w:cs="Arial" w:eastAsia="Arial" w:hAnsi="Arial"/>
          <w:sz w:val="18"/>
          <w:szCs w:val="18"/>
          <w:color w:val="auto"/>
        </w:rPr>
      </w:pPr>
    </w:p>
    <w:p>
      <w:pPr>
        <w:ind w:left="640" w:right="260" w:hanging="322"/>
        <w:spacing w:after="0" w:line="277" w:lineRule="auto"/>
        <w:tabs>
          <w:tab w:leader="none" w:pos="6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fact that the Perceptive PIPE Investor has entered into a subscription agreement to purchase 5,500,000 shares in the PIPE Financing;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6" w:right="160" w:hanging="322"/>
        <w:spacing w:after="0" w:line="263"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46" w:right="4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46" w:right="700" w:hanging="322"/>
        <w:spacing w:after="0" w:line="342" w:lineRule="auto"/>
        <w:tabs>
          <w:tab w:leader="none" w:pos="64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69" w:lineRule="exact"/>
        <w:rPr>
          <w:rFonts w:ascii="Arial" w:cs="Arial" w:eastAsia="Arial" w:hAnsi="Arial"/>
          <w:sz w:val="16"/>
          <w:szCs w:val="16"/>
          <w:color w:val="auto"/>
        </w:rPr>
      </w:pPr>
    </w:p>
    <w:p>
      <w:pPr>
        <w:ind w:left="646" w:right="20" w:hanging="322"/>
        <w:spacing w:after="0" w:line="273" w:lineRule="auto"/>
        <w:tabs>
          <w:tab w:leader="none" w:pos="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3" w:lineRule="exact"/>
        <w:rPr>
          <w:rFonts w:ascii="Arial" w:cs="Arial" w:eastAsia="Arial" w:hAnsi="Arial"/>
          <w:sz w:val="17"/>
          <w:szCs w:val="17"/>
          <w:color w:val="auto"/>
        </w:rPr>
      </w:pPr>
    </w:p>
    <w:p>
      <w:pPr>
        <w:ind w:left="646" w:right="18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116" w:lineRule="exact"/>
        <w:rPr>
          <w:rFonts w:ascii="Arial" w:cs="Arial" w:eastAsia="Arial" w:hAnsi="Arial"/>
          <w:sz w:val="18"/>
          <w:szCs w:val="18"/>
          <w:color w:val="auto"/>
        </w:rPr>
      </w:pPr>
    </w:p>
    <w:p>
      <w:pPr>
        <w:ind w:left="646" w:right="560" w:hanging="322"/>
        <w:spacing w:after="0" w:line="277" w:lineRule="auto"/>
        <w:tabs>
          <w:tab w:leader="none" w:pos="6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left="6" w:right="6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left="6" w:firstLine="324"/>
        <w:spacing w:after="0" w:line="283"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w:t>
      </w:r>
    </w:p>
    <w:p>
      <w:pPr>
        <w:spacing w:after="0" w:line="1" w:lineRule="exact"/>
        <w:rPr>
          <w:sz w:val="20"/>
          <w:szCs w:val="20"/>
          <w:color w:val="auto"/>
        </w:rPr>
      </w:pPr>
    </w:p>
    <w:p>
      <w:pPr>
        <w:ind w:left="6" w:right="40" w:hanging="6"/>
        <w:spacing w:after="0" w:line="273" w:lineRule="auto"/>
        <w:tabs>
          <w:tab w:leader="none" w:pos="27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187960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6"/>
          </w:cols>
          <w:pgMar w:left="994" w:top="1440" w:right="103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30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least $5,000,001 after giving effect to the transactions contemplated by the Business Combination Agreement and the PIPE Financing.</w:t>
      </w:r>
    </w:p>
    <w:p>
      <w:pPr>
        <w:spacing w:after="0" w:line="19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Shareholders of ARYA</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between what he or they may believe is in the best interests of ARYA and its shareholders and what he or they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is best for himself or themselves in determining to recommend that shareholders vote for the proposals. In addition, ARYA’s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officers have interests in the Business Combination that may conflict with your interests as a shareholder. See the section entitled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Proposal— Interests of ARYA’s Directors and Executive Officers in the Business Combination</w:t>
      </w:r>
      <w:r>
        <w:rPr>
          <w:rFonts w:ascii="Arial" w:cs="Arial" w:eastAsia="Arial" w:hAnsi="Arial"/>
          <w:sz w:val="17"/>
          <w:szCs w:val="17"/>
          <w:color w:val="auto"/>
        </w:rPr>
        <w:t>” for a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discussion of these considerations.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Funds for the Business Combination</w:t>
      </w:r>
    </w:p>
    <w:p>
      <w:pPr>
        <w:spacing w:after="0" w:line="17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following tables summarize the sources and uses for funding the Business Combination assuming a Closing Date of April 1, 2021, and (i) assuming that none of ARYA’s outstanding public shares are redeemed in connection with the Business Combination and (ii) assuming that all of ARYA’s outstanding public shares are redeemed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07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1" w:lineRule="exact"/>
              <w:rPr>
                <w:sz w:val="20"/>
                <w:szCs w:val="20"/>
                <w:color w:val="auto"/>
              </w:rPr>
            </w:pPr>
            <w:r>
              <w:rPr>
                <w:rFonts w:ascii="Arial" w:cs="Arial" w:eastAsia="Arial" w:hAnsi="Arial"/>
                <w:sz w:val="15"/>
                <w:szCs w:val="15"/>
                <w:color w:val="auto"/>
              </w:rPr>
              <w:t>Existing Cash held in trust account</w:t>
            </w:r>
            <w:r>
              <w:rPr>
                <w:rFonts w:ascii="Arial" w:cs="Arial" w:eastAsia="Arial" w:hAnsi="Arial"/>
                <w:sz w:val="19"/>
                <w:szCs w:val="19"/>
                <w:color w:val="auto"/>
                <w:vertAlign w:val="superscript"/>
              </w:rPr>
              <w:t>(2)</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149,500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of December 31,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Maximum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Existing Cash held in trust account</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10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8"/>
          <w:szCs w:val="18"/>
          <w:color w:val="auto"/>
        </w:rPr>
        <w:t>For a discussion summarizing the U.S. federal income tax considerations of the Domestication and exercise of redemption rights, please see “</w:t>
      </w:r>
      <w:r>
        <w:rPr>
          <w:rFonts w:ascii="Arial" w:cs="Arial" w:eastAsia="Arial" w:hAnsi="Arial"/>
          <w:sz w:val="18"/>
          <w:szCs w:val="18"/>
          <w:i w:val="1"/>
          <w:iCs w:val="1"/>
          <w:color w:val="auto"/>
        </w:rPr>
        <w:t>Material U.S. Federal Income Tax Considerations</w:t>
      </w:r>
      <w:r>
        <w:rPr>
          <w:rFonts w:ascii="Arial" w:cs="Arial" w:eastAsia="Arial" w:hAnsi="Arial"/>
          <w:sz w:val="18"/>
          <w:szCs w:val="18"/>
          <w:color w:val="auto"/>
        </w:rPr>
        <w: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Expected Accounting Treatment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Domestication</w:t>
      </w:r>
    </w:p>
    <w:p>
      <w:pPr>
        <w:spacing w:after="0" w:line="171" w:lineRule="exact"/>
        <w:rPr>
          <w:sz w:val="20"/>
          <w:szCs w:val="20"/>
          <w:color w:val="auto"/>
        </w:rPr>
      </w:pPr>
    </w:p>
    <w:p>
      <w:pPr>
        <w:ind w:left="20"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ind w:left="20" w:right="320" w:firstLine="324"/>
        <w:spacing w:after="0" w:line="279" w:lineRule="auto"/>
        <w:rPr>
          <w:sz w:val="20"/>
          <w:szCs w:val="20"/>
          <w:color w:val="auto"/>
        </w:rPr>
      </w:pPr>
      <w:r>
        <w:rPr>
          <w:rFonts w:ascii="Arial" w:cs="Arial" w:eastAsia="Arial" w:hAnsi="Arial"/>
          <w:sz w:val="17"/>
          <w:szCs w:val="17"/>
          <w:color w:val="auto"/>
        </w:rPr>
        <w:t>The Business Combination will be accounted for as a reverse recapitalization in conformity with accounting principles generally accepted in the United States of America, or GAAP. Under this method of accounting, ARYA has been treated as the “acquired” company for financial reporting purposes. The determination is primarily based on the evaluation of the following facts and circumstances taking into consideration both the no redemption and maximum redemption scenario:</w:t>
      </w:r>
    </w:p>
    <w:p>
      <w:pPr>
        <w:spacing w:after="0" w:line="117" w:lineRule="exact"/>
        <w:rPr>
          <w:sz w:val="20"/>
          <w:szCs w:val="20"/>
          <w:color w:val="auto"/>
        </w:rPr>
      </w:pPr>
    </w:p>
    <w:p>
      <w:pPr>
        <w:ind w:left="660" w:hanging="32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hold the majority of voting rights in New Nautilus;</w:t>
      </w:r>
    </w:p>
    <w:p>
      <w:pPr>
        <w:spacing w:after="0" w:line="171" w:lineRule="exact"/>
        <w:rPr>
          <w:rFonts w:ascii="Arial" w:cs="Arial" w:eastAsia="Arial" w:hAnsi="Arial"/>
          <w:sz w:val="18"/>
          <w:szCs w:val="18"/>
          <w:color w:val="auto"/>
        </w:rPr>
      </w:pPr>
    </w:p>
    <w:p>
      <w:pPr>
        <w:ind w:left="660" w:right="160" w:hanging="322"/>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have the right to appoint the majority of the directors on the New Nautilus Board;</w:t>
      </w:r>
    </w:p>
    <w:p>
      <w:pPr>
        <w:spacing w:after="0" w:line="116" w:lineRule="exact"/>
        <w:rPr>
          <w:rFonts w:ascii="Arial" w:cs="Arial" w:eastAsia="Arial" w:hAnsi="Arial"/>
          <w:sz w:val="18"/>
          <w:szCs w:val="18"/>
          <w:color w:val="auto"/>
        </w:rPr>
      </w:pPr>
    </w:p>
    <w:p>
      <w:pPr>
        <w:ind w:left="660" w:hanging="32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ectPr>
          <w:pgSz w:w="11900" w:h="16838" w:orient="portrait"/>
          <w:cols w:equalWidth="0" w:num="1">
            <w:col w:w="9920"/>
          </w:cols>
          <w:pgMar w:left="980" w:top="1440" w:right="999"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980" w:top="1440" w:right="999" w:bottom="885"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22"/>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will be stated at historical costs, with no goodwill or other intangible assets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Under the HSR Act and the rules that have been promulgated thereunder by the U.S. Federal Trade Commission (“</w:t>
      </w:r>
      <w:r>
        <w:rPr>
          <w:rFonts w:ascii="Arial" w:cs="Arial" w:eastAsia="Arial" w:hAnsi="Arial"/>
          <w:sz w:val="17"/>
          <w:szCs w:val="17"/>
          <w:u w:val="single" w:color="auto"/>
          <w:color w:val="auto"/>
        </w:rPr>
        <w:t>FTC</w:t>
      </w:r>
      <w:r>
        <w:rPr>
          <w:rFonts w:ascii="Arial" w:cs="Arial" w:eastAsia="Arial" w:hAnsi="Arial"/>
          <w:sz w:val="17"/>
          <w:szCs w:val="17"/>
          <w:color w:val="auto"/>
        </w:rPr>
        <w:t>”), certain transactions may not be consummated unless information has been furnished to the Antitrust Division of the Department of Justice (“</w:t>
      </w:r>
      <w:r>
        <w:rPr>
          <w:rFonts w:ascii="Arial" w:cs="Arial" w:eastAsia="Arial" w:hAnsi="Arial"/>
          <w:sz w:val="17"/>
          <w:szCs w:val="17"/>
          <w:u w:val="single" w:color="auto"/>
          <w:color w:val="auto"/>
        </w:rPr>
        <w:t>Antitrust Division</w:t>
      </w:r>
      <w:r>
        <w:rPr>
          <w:rFonts w:ascii="Arial" w:cs="Arial" w:eastAsia="Arial" w:hAnsi="Arial"/>
          <w:sz w:val="17"/>
          <w:szCs w:val="17"/>
          <w:color w:val="auto"/>
        </w:rPr>
        <w:t>”) and the FTC and certain waiting period requirements have been satisfied. The ARYA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2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any time before or after consummation of the Business Combination, notwithstanding termination of the waiting period under the HSR Act, the applicable competition authorities in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2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None of ARYA and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ARYA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ARYA has elected not to opt out of such extended transition period, which means that when a standard is issued or revised and it has different application dates for public or private companies, ARYA, as an emerging growth company, can adopt the new or revised standard at the time private companies adopt the new or revised standard. This may make comparison of ARYA’s financial statements with certain other public companies difficult or impossible because of the potential differences in accounting standards used.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ARYA’s initial public offering,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In evaluating the proposals to be presented at the ARYA extraordinary general meeting, a shareholder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references to Nautilus below will apply to New Nautilus upon Closing.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particular, such risks include, but are not limited to, the following:</w:t>
      </w:r>
    </w:p>
    <w:p>
      <w:pPr>
        <w:spacing w:after="0" w:line="171" w:lineRule="exact"/>
        <w:rPr>
          <w:sz w:val="20"/>
          <w:szCs w:val="20"/>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has incurred net losses in every period to date, has not yet commercialized any products, and expects to continue to incur significant losses as it develops its business.</w:t>
      </w:r>
    </w:p>
    <w:p>
      <w:pPr>
        <w:spacing w:after="0" w:line="116" w:lineRule="exact"/>
        <w:rPr>
          <w:rFonts w:ascii="Arial" w:cs="Arial" w:eastAsia="Arial" w:hAnsi="Arial"/>
          <w:sz w:val="18"/>
          <w:szCs w:val="18"/>
          <w:color w:val="auto"/>
        </w:rPr>
      </w:pPr>
    </w:p>
    <w:p>
      <w:pPr>
        <w:ind w:left="640" w:right="24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is entirely dependent on the success of its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40" w:right="140" w:hanging="322"/>
        <w:spacing w:after="0" w:line="342" w:lineRule="auto"/>
        <w:tabs>
          <w:tab w:leader="none" w:pos="6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69" w:lineRule="exact"/>
        <w:rPr>
          <w:rFonts w:ascii="Arial" w:cs="Arial" w:eastAsia="Arial" w:hAnsi="Arial"/>
          <w:sz w:val="16"/>
          <w:szCs w:val="16"/>
          <w:color w:val="auto"/>
        </w:rPr>
      </w:pPr>
    </w:p>
    <w:p>
      <w:pPr>
        <w:jc w:val="both"/>
        <w:ind w:left="640" w:right="180" w:hanging="322"/>
        <w:spacing w:after="0" w:line="263"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w:t>
      </w:r>
    </w:p>
    <w:p>
      <w:pPr>
        <w:spacing w:after="0" w:line="129" w:lineRule="exact"/>
        <w:rPr>
          <w:rFonts w:ascii="Arial" w:cs="Arial" w:eastAsia="Arial" w:hAnsi="Arial"/>
          <w:sz w:val="18"/>
          <w:szCs w:val="18"/>
          <w:color w:val="auto"/>
        </w:rPr>
      </w:pPr>
    </w:p>
    <w:p>
      <w:pPr>
        <w:ind w:left="640" w:right="86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Even if Nautilus is able to complete development of its Nautilus Platform, it may not achieve or maintain significant commercial market acceptance.</w:t>
      </w:r>
    </w:p>
    <w:p>
      <w:pPr>
        <w:spacing w:after="0" w:line="116"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life sciences technology market is highly competitive. If Nautilus fails to compete effectively, its business and results of operation will suffer.</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Nautilus has a limited operating history, which may make it difficult to evaluate its current business and the prospects for its future viability, and to predict its future performance.</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size of the markets for the Nautilus Platform may be smaller than estimated, and new market opportunities may not develop as quickly as Nautilus expects, or at all, limiting Nautilus’ ability to successfully sell its products.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187960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18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line="311" w:lineRule="auto"/>
        <w:tabs>
          <w:tab w:leader="none" w:pos="31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94" w:lineRule="exact"/>
        <w:rPr>
          <w:rFonts w:ascii="Arial" w:cs="Arial" w:eastAsia="Arial" w:hAnsi="Arial"/>
          <w:sz w:val="16"/>
          <w:szCs w:val="16"/>
          <w:color w:val="auto"/>
        </w:rPr>
      </w:pPr>
    </w:p>
    <w:p>
      <w:pPr>
        <w:ind w:left="322" w:right="20" w:hanging="322"/>
        <w:spacing w:after="0" w:line="277" w:lineRule="auto"/>
        <w:tabs>
          <w:tab w:leader="none" w:pos="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Nautilus’ business and operations.</w:t>
      </w:r>
    </w:p>
    <w:p>
      <w:pPr>
        <w:spacing w:after="0" w:line="116" w:lineRule="exact"/>
        <w:rPr>
          <w:rFonts w:ascii="Arial" w:cs="Arial" w:eastAsia="Arial" w:hAnsi="Arial"/>
          <w:sz w:val="18"/>
          <w:szCs w:val="18"/>
          <w:color w:val="auto"/>
        </w:rPr>
      </w:pPr>
    </w:p>
    <w:p>
      <w:pPr>
        <w:ind w:left="322" w:right="180" w:hanging="322"/>
        <w:spacing w:after="0" w:line="277" w:lineRule="auto"/>
        <w:tabs>
          <w:tab w:leader="none" w:pos="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Nautilus will incur significant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2"/>
          </w:cols>
          <w:pgMar w:left="1318" w:top="1440" w:right="121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SELECTED HISTORICAL FINANCIAL INFORMATION OF ARYA</w:t>
      </w:r>
    </w:p>
    <w:p>
      <w:pPr>
        <w:spacing w:after="0" w:line="175" w:lineRule="exact"/>
        <w:rPr>
          <w:sz w:val="20"/>
          <w:szCs w:val="20"/>
          <w:color w:val="auto"/>
        </w:rPr>
      </w:pPr>
    </w:p>
    <w:p>
      <w:pPr>
        <w:ind w:left="20" w:firstLine="324"/>
        <w:spacing w:after="0" w:line="255" w:lineRule="auto"/>
        <w:rPr>
          <w:sz w:val="20"/>
          <w:szCs w:val="20"/>
          <w:color w:val="auto"/>
        </w:rPr>
      </w:pPr>
      <w:r>
        <w:rPr>
          <w:rFonts w:ascii="Arial" w:cs="Arial" w:eastAsia="Arial" w:hAnsi="Arial"/>
          <w:sz w:val="18"/>
          <w:szCs w:val="18"/>
          <w:color w:val="auto"/>
        </w:rPr>
        <w:t>ARYA is providing the following selected historical financial data to assist you in your analysis of the financial aspects of the Business Combination. Such data as of August 11, 2020 (the closing date of our initial public offering), and for the period from March 27, 2020 (inception) through December 31, 2020, are derived from ARYA’s audited financial statements included elsewhere in this proxy statement/prospectus. The selected historical financial data as of December 31, 2020, and for the period from March 27, 2020 (inception) through December 31, 2020, are derived from ARYA’s audited financial statements included elsewhere in this proxy statement/prospectus.</w:t>
      </w:r>
    </w:p>
    <w:p>
      <w:pPr>
        <w:spacing w:after="0" w:line="138"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The information is only a summary and should be read in conjunction with ARYA’s consolidated financial statements and related notes and “</w:t>
      </w:r>
      <w:r>
        <w:rPr>
          <w:rFonts w:ascii="Arial" w:cs="Arial" w:eastAsia="Arial" w:hAnsi="Arial"/>
          <w:sz w:val="17"/>
          <w:szCs w:val="17"/>
          <w:i w:val="1"/>
          <w:iCs w:val="1"/>
          <w:color w:val="auto"/>
        </w:rPr>
        <w:t>ARYA’s Management’s Discussion and Analysis of Financial Condition and Results of Operations</w:t>
      </w:r>
      <w:r>
        <w:rPr>
          <w:rFonts w:ascii="Arial" w:cs="Arial" w:eastAsia="Arial" w:hAnsi="Arial"/>
          <w:sz w:val="17"/>
          <w:szCs w:val="17"/>
          <w:color w:val="auto"/>
        </w:rPr>
        <w:t>” contained elsewhere in this proxy statement/prospectus. ARYA’s historical results are not necessarily indicative of future results, and the results for any interim period are not necessarily indicative of the results that may be expected for a full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576,035</w:t>
            </w:r>
          </w:p>
        </w:tc>
      </w:tr>
      <w:tr>
        <w:trPr>
          <w:trHeight w:val="230"/>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A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income per share, Class A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B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3,764,852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loss per share, Class B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65"/>
        </w:trPr>
        <w:tc>
          <w:tcPr>
            <w:tcW w:w="77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Balance Sheet Data (At Period End):</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916,284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150,857,743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5,621,007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ordinary shares (14,023,673 shares subject to possible redemption at $10.00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140,236,730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w w:val="92"/>
              </w:rPr>
              <w:t>Class A ordinary shares (1,425,327 shares excluding 14,023,673 shares subject to possible redemption)</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ordinary shares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5,000,006</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12"/>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(549,570)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151,050,602</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187960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8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NAUTILUS</w:t>
      </w:r>
    </w:p>
    <w:p>
      <w:pPr>
        <w:spacing w:after="0" w:line="175" w:lineRule="exact"/>
        <w:rPr>
          <w:sz w:val="20"/>
          <w:szCs w:val="20"/>
          <w:color w:val="auto"/>
        </w:rPr>
      </w:pPr>
    </w:p>
    <w:p>
      <w:pPr>
        <w:ind w:left="20" w:right="80" w:firstLine="324"/>
        <w:spacing w:after="0" w:line="263" w:lineRule="auto"/>
        <w:rPr>
          <w:sz w:val="20"/>
          <w:szCs w:val="20"/>
          <w:color w:val="auto"/>
        </w:rPr>
      </w:pPr>
      <w:r>
        <w:rPr>
          <w:rFonts w:ascii="Arial" w:cs="Arial" w:eastAsia="Arial" w:hAnsi="Arial"/>
          <w:sz w:val="18"/>
          <w:szCs w:val="18"/>
          <w:color w:val="auto"/>
        </w:rPr>
        <w:t>The selected historical statements of operations data of Nautilus for the years ended December 31, 2020 and 2019 and historical balance sheet data as of December 31, 2020 and 2019 are derived from Nautilus’ audited financial statements included elsewhere in this proxy statement/prospectus/consent solicitation statement.</w:t>
      </w:r>
    </w:p>
    <w:p>
      <w:pPr>
        <w:spacing w:after="0" w:line="130"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Nautilus’ historical results are not necessarily indicative of the results that may be expected in the future. The information below is only a summary and should be read in conjunction with the sections entitled “</w:t>
      </w:r>
      <w:r>
        <w:rPr>
          <w:rFonts w:ascii="Arial" w:cs="Arial" w:eastAsia="Arial" w:hAnsi="Arial"/>
          <w:sz w:val="17"/>
          <w:szCs w:val="17"/>
          <w:i w:val="1"/>
          <w:iCs w:val="1"/>
          <w:color w:val="auto"/>
        </w:rPr>
        <w:t>Nautilus’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the financial statements, and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thereto, which are included elsewhere in this proxy statement/prospectus/consent solicitation statement.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7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74,641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33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UNAUDITED PRO FORMA COMBINED FINANCIAL INFORMATION</w:t>
      </w:r>
    </w:p>
    <w:p>
      <w:pPr>
        <w:spacing w:after="0" w:line="175" w:lineRule="exact"/>
        <w:rPr>
          <w:sz w:val="20"/>
          <w:szCs w:val="20"/>
          <w:color w:val="auto"/>
        </w:rPr>
      </w:pPr>
    </w:p>
    <w:p>
      <w:pPr>
        <w:ind w:left="20" w:right="400" w:firstLine="324"/>
        <w:spacing w:after="0" w:line="263" w:lineRule="auto"/>
        <w:rPr>
          <w:sz w:val="20"/>
          <w:szCs w:val="20"/>
          <w:color w:val="auto"/>
        </w:rPr>
      </w:pPr>
      <w:r>
        <w:rPr>
          <w:rFonts w:ascii="Arial" w:cs="Arial" w:eastAsia="Arial" w:hAnsi="Arial"/>
          <w:sz w:val="18"/>
          <w:szCs w:val="18"/>
          <w:color w:val="auto"/>
        </w:rPr>
        <w:t>The following selected unaudited pro forma combined financial information has been derived from the unaudited pro forma combined balance sheet as of December 31, 2020 and the unaudited pro forma combined statement of operations for the year ended December 31, 2020 included in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30" w:lineRule="exact"/>
        <w:rPr>
          <w:sz w:val="20"/>
          <w:szCs w:val="20"/>
          <w:color w:val="auto"/>
        </w:rPr>
      </w:pPr>
    </w:p>
    <w:p>
      <w:pPr>
        <w:ind w:left="20" w:right="120" w:firstLine="324"/>
        <w:spacing w:after="0" w:line="301" w:lineRule="auto"/>
        <w:rPr>
          <w:sz w:val="20"/>
          <w:szCs w:val="20"/>
          <w:color w:val="auto"/>
        </w:rPr>
      </w:pPr>
      <w:r>
        <w:rPr>
          <w:rFonts w:ascii="Arial" w:cs="Arial" w:eastAsia="Arial" w:hAnsi="Arial"/>
          <w:sz w:val="16"/>
          <w:szCs w:val="16"/>
          <w:color w:val="auto"/>
        </w:rPr>
        <w:t>The selected unaudited pro forma combined financial information should be read in conjunction with the unaudited pro forma combined balance sheet and the unaudited pro forma combined statement of operations, and the accompanying notes. In addition, the unaudited combined pro forma financial information was based on and should be read in conjunction with the historical financial statements of ARYA and Nautilus, including the accompanying notes, which are included elsewhere in this proxy statement/prospectus.</w:t>
      </w:r>
    </w:p>
    <w:p>
      <w:pPr>
        <w:spacing w:after="0" w:line="103" w:lineRule="exact"/>
        <w:rPr>
          <w:sz w:val="20"/>
          <w:szCs w:val="20"/>
          <w:color w:val="auto"/>
        </w:rPr>
      </w:pPr>
    </w:p>
    <w:p>
      <w:pPr>
        <w:ind w:left="20" w:firstLine="324"/>
        <w:spacing w:after="0" w:line="273" w:lineRule="auto"/>
        <w:rPr>
          <w:sz w:val="20"/>
          <w:szCs w:val="20"/>
          <w:color w:val="auto"/>
        </w:rPr>
      </w:pPr>
      <w:r>
        <w:rPr>
          <w:rFonts w:ascii="Arial" w:cs="Arial" w:eastAsia="Arial" w:hAnsi="Arial"/>
          <w:sz w:val="17"/>
          <w:szCs w:val="17"/>
          <w:color w:val="auto"/>
        </w:rPr>
        <w:t>The Business Combination will be accounted for as a reverse recapitalization, with no goodwill or other intangible assets recorded, in accordance with GAAP. Under this method of accounting, ARYA is treated as the “acquired” company for financial reporting purposes. 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are stated at historical cost, with no goodwill or other intangible assets recorded. Operations prior to the Business Combination are those of Nautilus.</w:t>
      </w:r>
    </w:p>
    <w:p>
      <w:pPr>
        <w:spacing w:after="0" w:line="124" w:lineRule="exact"/>
        <w:rPr>
          <w:sz w:val="20"/>
          <w:szCs w:val="20"/>
          <w:color w:val="auto"/>
        </w:rPr>
      </w:pPr>
    </w:p>
    <w:p>
      <w:pPr>
        <w:ind w:left="20" w:right="40" w:firstLine="324"/>
        <w:spacing w:after="0" w:line="277" w:lineRule="auto"/>
        <w:rPr>
          <w:sz w:val="20"/>
          <w:szCs w:val="20"/>
          <w:color w:val="auto"/>
        </w:rPr>
      </w:pPr>
      <w:r>
        <w:rPr>
          <w:rFonts w:ascii="Arial" w:cs="Arial" w:eastAsia="Arial" w:hAnsi="Arial"/>
          <w:sz w:val="18"/>
          <w:szCs w:val="18"/>
          <w:color w:val="auto"/>
        </w:rPr>
        <w:t>The unaudited pro forma combined financial information has been prepared assuming two alternative levels of redemption into cash of ARYA’s ordinary shares:</w:t>
      </w:r>
    </w:p>
    <w:p>
      <w:pPr>
        <w:spacing w:after="0" w:line="116" w:lineRule="exact"/>
        <w:rPr>
          <w:sz w:val="20"/>
          <w:szCs w:val="20"/>
          <w:color w:val="auto"/>
        </w:rPr>
      </w:pPr>
    </w:p>
    <w:p>
      <w:pPr>
        <w:ind w:left="660" w:right="320" w:hanging="322"/>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Assuming No Redemption</w:t>
      </w:r>
      <w:r>
        <w:rPr>
          <w:rFonts w:ascii="Arial" w:cs="Arial" w:eastAsia="Arial" w:hAnsi="Arial"/>
          <w:sz w:val="18"/>
          <w:szCs w:val="18"/>
          <w:color w:val="auto"/>
        </w:rPr>
        <w:t>: This presentation assumes that no ARYA shareholders exercise redemption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public shares.</w:t>
      </w:r>
    </w:p>
    <w:p>
      <w:pPr>
        <w:spacing w:after="0" w:line="116" w:lineRule="exact"/>
        <w:rPr>
          <w:rFonts w:ascii="Arial" w:cs="Arial" w:eastAsia="Arial" w:hAnsi="Arial"/>
          <w:sz w:val="18"/>
          <w:szCs w:val="18"/>
          <w:color w:val="auto"/>
        </w:rPr>
      </w:pPr>
    </w:p>
    <w:p>
      <w:pPr>
        <w:ind w:left="660" w:right="40" w:hanging="322"/>
        <w:spacing w:after="0" w:line="293" w:lineRule="auto"/>
        <w:tabs>
          <w:tab w:leader="none" w:pos="65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Assuming Maximum Redemption</w:t>
      </w:r>
      <w:r>
        <w:rPr>
          <w:rFonts w:ascii="Arial" w:cs="Arial" w:eastAsia="Arial" w:hAnsi="Arial"/>
          <w:sz w:val="16"/>
          <w:szCs w:val="16"/>
          <w:color w:val="auto"/>
        </w:rPr>
        <w:t>: This presentation assumes that 8,752,100 ARYA’s public shareholders exercise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with 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Pro forma</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No</w:t>
            </w:r>
          </w:p>
        </w:tc>
        <w:tc>
          <w:tcPr>
            <w:tcW w:w="360" w:type="dxa"/>
            <w:vAlign w:val="bottom"/>
          </w:tcPr>
          <w:p>
            <w:pPr>
              <w:spacing w:after="0"/>
              <w:rPr>
                <w:sz w:val="11"/>
                <w:szCs w:val="11"/>
                <w:color w:val="auto"/>
              </w:rPr>
            </w:pPr>
          </w:p>
        </w:tc>
        <w:tc>
          <w:tcPr>
            <w:tcW w:w="1220" w:type="dxa"/>
            <w:vAlign w:val="bottom"/>
          </w:tcPr>
          <w:p>
            <w:pPr>
              <w:jc w:val="center"/>
              <w:ind w:right="257"/>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redemption</w:t>
            </w:r>
          </w:p>
        </w:tc>
        <w:tc>
          <w:tcPr>
            <w:tcW w:w="360" w:type="dxa"/>
            <w:vAlign w:val="bottom"/>
          </w:tcPr>
          <w:p>
            <w:pPr>
              <w:spacing w:after="0"/>
              <w:rPr>
                <w:sz w:val="11"/>
                <w:szCs w:val="11"/>
                <w:color w:val="auto"/>
              </w:rPr>
            </w:pPr>
          </w:p>
        </w:tc>
        <w:tc>
          <w:tcPr>
            <w:tcW w:w="1220" w:type="dxa"/>
            <w:vAlign w:val="bottom"/>
          </w:tcPr>
          <w:p>
            <w:pPr>
              <w:jc w:val="center"/>
              <w:ind w:right="277"/>
              <w:spacing w:after="0" w:line="135" w:lineRule="exact"/>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scenario</w:t>
            </w:r>
          </w:p>
        </w:tc>
        <w:tc>
          <w:tcPr>
            <w:tcW w:w="360" w:type="dxa"/>
            <w:vAlign w:val="bottom"/>
          </w:tcPr>
          <w:p>
            <w:pPr>
              <w:spacing w:after="0"/>
              <w:rPr>
                <w:sz w:val="16"/>
                <w:szCs w:val="16"/>
                <w:color w:val="auto"/>
              </w:rPr>
            </w:pPr>
          </w:p>
        </w:tc>
        <w:tc>
          <w:tcPr>
            <w:tcW w:w="1220" w:type="dxa"/>
            <w:vAlign w:val="bottom"/>
          </w:tcPr>
          <w:p>
            <w:pPr>
              <w:jc w:val="center"/>
              <w:ind w:right="277"/>
              <w:spacing w:after="0"/>
              <w:rPr>
                <w:sz w:val="20"/>
                <w:szCs w:val="20"/>
                <w:color w:val="auto"/>
              </w:rPr>
            </w:pPr>
            <w:r>
              <w:rPr>
                <w:rFonts w:ascii="Arial" w:cs="Arial" w:eastAsia="Arial" w:hAnsi="Arial"/>
                <w:sz w:val="14"/>
                <w:szCs w:val="14"/>
                <w:b w:val="1"/>
                <w:bCs w:val="1"/>
                <w:color w:val="auto"/>
                <w:w w:val="86"/>
              </w:rPr>
              <w:t>scenario</w:t>
            </w:r>
          </w:p>
        </w:tc>
        <w:tc>
          <w:tcPr>
            <w:tcW w:w="0" w:type="dxa"/>
            <w:vAlign w:val="bottom"/>
          </w:tcPr>
          <w:p>
            <w:pPr>
              <w:spacing w:after="0"/>
              <w:rPr>
                <w:sz w:val="1"/>
                <w:szCs w:val="1"/>
                <w:color w:val="auto"/>
              </w:rPr>
            </w:pPr>
          </w:p>
        </w:tc>
      </w:tr>
      <w:tr>
        <w:trPr>
          <w:trHeight w:val="211"/>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Weighted-average Common Stock outstanding - basic and diluted</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115,729,962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8670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No</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9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ARYA</w:t>
            </w:r>
          </w:p>
        </w:tc>
        <w:tc>
          <w:tcPr>
            <w:tcW w:w="30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Nautilus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redemption</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4"/>
              </w:rPr>
              <w:t>redemption</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scenario</w:t>
            </w:r>
          </w:p>
        </w:tc>
        <w:tc>
          <w:tcPr>
            <w:tcW w:w="160" w:type="dxa"/>
            <w:vAlign w:val="bottom"/>
          </w:tcPr>
          <w:p>
            <w:pPr>
              <w:spacing w:after="0"/>
              <w:rPr>
                <w:sz w:val="16"/>
                <w:szCs w:val="16"/>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scenario</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Data—As of December 31, 2020</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406,484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318,963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326,103</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ordinary shares, subject to possible redemption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407,134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sectPr>
      </w:pPr>
    </w:p>
    <w:bookmarkStart w:id="59" w:name="page60"/>
    <w:bookmarkEnd w:id="5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COMPARATIVE PER SHARE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historical per share information of ARYA for the period from March 27, 2020 (inception) through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historical per share information of Nautilus for the year ended December 31, 2020;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for the year ended December 31, 2020 after giving effect to the Business Combination and PIPE Financing, assuming two redemption scenarios as follows:</w:t>
      </w:r>
    </w:p>
    <w:p>
      <w:pPr>
        <w:spacing w:after="0" w:line="116" w:lineRule="exact"/>
        <w:rPr>
          <w:rFonts w:ascii="Arial" w:cs="Arial" w:eastAsia="Arial" w:hAnsi="Arial"/>
          <w:sz w:val="18"/>
          <w:szCs w:val="18"/>
          <w:color w:val="auto"/>
        </w:rPr>
      </w:pPr>
    </w:p>
    <w:p>
      <w:pPr>
        <w:ind w:left="980" w:right="400" w:hanging="324"/>
        <w:spacing w:after="0" w:line="277" w:lineRule="auto"/>
        <w:tabs>
          <w:tab w:leader="none" w:pos="975" w:val="left"/>
        </w:tabs>
        <w:numPr>
          <w:ilvl w:val="1"/>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 </w:t>
      </w:r>
      <w:r>
        <w:rPr>
          <w:rFonts w:ascii="Arial" w:cs="Arial" w:eastAsia="Arial" w:hAnsi="Arial"/>
          <w:sz w:val="18"/>
          <w:szCs w:val="18"/>
          <w:color w:val="auto"/>
        </w:rPr>
        <w:t>This presentation assumes that no ARYA shareholders exercise redemption rights with respect to their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shares.</w:t>
      </w:r>
    </w:p>
    <w:p>
      <w:pPr>
        <w:spacing w:after="0" w:line="116" w:lineRule="exact"/>
        <w:rPr>
          <w:rFonts w:ascii="Arial" w:cs="Arial" w:eastAsia="Arial" w:hAnsi="Arial"/>
          <w:sz w:val="18"/>
          <w:szCs w:val="18"/>
          <w:color w:val="auto"/>
        </w:rPr>
      </w:pPr>
    </w:p>
    <w:p>
      <w:pPr>
        <w:ind w:left="980" w:right="120" w:hanging="324"/>
        <w:spacing w:after="0" w:line="286" w:lineRule="auto"/>
        <w:tabs>
          <w:tab w:leader="none" w:pos="975" w:val="left"/>
        </w:tabs>
        <w:numPr>
          <w:ilvl w:val="1"/>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Assuming Maximum Redemption: </w:t>
      </w:r>
      <w:r>
        <w:rPr>
          <w:rFonts w:ascii="Arial" w:cs="Arial" w:eastAsia="Arial" w:hAnsi="Arial"/>
          <w:sz w:val="16"/>
          <w:szCs w:val="16"/>
          <w:color w:val="auto"/>
        </w:rPr>
        <w:t>This presentation assumes that 8,752,100 ARYA’s public shareholders exercise redemption rights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w:t>
      </w:r>
    </w:p>
    <w:p>
      <w:pPr>
        <w:spacing w:after="0" w:line="1" w:lineRule="exact"/>
        <w:rPr>
          <w:rFonts w:ascii="Arial" w:cs="Arial" w:eastAsia="Arial" w:hAnsi="Arial"/>
          <w:sz w:val="16"/>
          <w:szCs w:val="16"/>
          <w:color w:val="auto"/>
        </w:rPr>
      </w:pPr>
    </w:p>
    <w:p>
      <w:pPr>
        <w:ind w:left="980" w:right="520"/>
        <w:spacing w:after="0" w:line="260" w:lineRule="auto"/>
        <w:rPr>
          <w:rFonts w:ascii="Arial" w:cs="Arial" w:eastAsia="Arial" w:hAnsi="Arial"/>
          <w:sz w:val="16"/>
          <w:szCs w:val="16"/>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3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following table is also based on the assumption that 20,000,000 shares of New Nautilus Common Stock are issued to the PIPE Investors upon the consummation of the PIPE Financing pursuant to its Subscription Agreement. If the actual facts are different than this assumption, the below numbers will be different.</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The historical information should be read in conjunction with </w:t>
      </w:r>
      <w:r>
        <w:rPr>
          <w:rFonts w:ascii="Arial" w:cs="Arial" w:eastAsia="Arial" w:hAnsi="Arial"/>
          <w:sz w:val="17"/>
          <w:szCs w:val="17"/>
          <w:i w:val="1"/>
          <w:iCs w:val="1"/>
          <w:color w:val="auto"/>
        </w:rPr>
        <w:t>“Selected Historical Financial Information of Nautilus,” “Selected Historical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of ARYA,” “Nautilus’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“ARYA’s Management’s Discussion and Analysis of Financial Condition and Results of Operations” </w:t>
      </w:r>
      <w:r>
        <w:rPr>
          <w:rFonts w:ascii="Arial" w:cs="Arial" w:eastAsia="Arial" w:hAnsi="Arial"/>
          <w:sz w:val="17"/>
          <w:szCs w:val="17"/>
          <w:color w:val="auto"/>
        </w:rPr>
        <w:t>contained elsewhere in this proxy statement/prospectus and the audited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related notes of Nautilus and ARYA contained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0" w:name="page61"/>
    <w:bookmarkEnd w:id="60"/>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unaudited pro forma per share information is derived from, and should be read in conjunction with, the unaudited pro forma combined financial information and related notes included elsewhere in this proxy statement/prospectus. The unaudited pro forma combined net loss per share information below does not purport to represent what the actual results of operations of New Nautilus would have been had the Business Combination been completed or to project New Nautilus results of operations that may be achieved after the Business Combination. The unaudited pro forma book value per share information below does not purport to represent what the book value of New Nautilus would have been had the Business Combination been completed nor the book value per share for any future date or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Pro Forma Combined</w:t>
            </w:r>
          </w:p>
        </w:tc>
        <w:tc>
          <w:tcPr>
            <w:tcW w:w="80" w:type="dxa"/>
            <w:vAlign w:val="bottom"/>
          </w:tcPr>
          <w:p>
            <w:pPr>
              <w:spacing w:after="0"/>
              <w:rPr>
                <w:sz w:val="13"/>
                <w:szCs w:val="13"/>
                <w:color w:val="auto"/>
              </w:rPr>
            </w:pPr>
          </w:p>
        </w:tc>
        <w:tc>
          <w:tcPr>
            <w:tcW w:w="2280" w:type="dxa"/>
            <w:vAlign w:val="bottom"/>
            <w:gridSpan w:val="4"/>
          </w:tcPr>
          <w:p>
            <w:pPr>
              <w:jc w:val="center"/>
              <w:ind w:right="17"/>
              <w:spacing w:after="0"/>
              <w:rPr>
                <w:sz w:val="20"/>
                <w:szCs w:val="20"/>
                <w:color w:val="auto"/>
              </w:rPr>
            </w:pPr>
            <w:r>
              <w:rPr>
                <w:rFonts w:ascii="Arial" w:cs="Arial" w:eastAsia="Arial" w:hAnsi="Arial"/>
                <w:sz w:val="13"/>
                <w:szCs w:val="13"/>
                <w:b w:val="1"/>
                <w:bCs w:val="1"/>
                <w:color w:val="auto"/>
                <w:w w:val="87"/>
              </w:rPr>
              <w:t>Nautilus equivalent pro forma per share</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left="817"/>
              <w:spacing w:after="0" w:line="175" w:lineRule="exact"/>
              <w:rPr>
                <w:sz w:val="20"/>
                <w:szCs w:val="20"/>
                <w:color w:val="auto"/>
              </w:rPr>
            </w:pPr>
            <w:r>
              <w:rPr>
                <w:rFonts w:ascii="Arial" w:cs="Arial" w:eastAsia="Arial" w:hAnsi="Arial"/>
                <w:sz w:val="13"/>
                <w:szCs w:val="13"/>
                <w:b w:val="1"/>
                <w:bCs w:val="1"/>
                <w:color w:val="auto"/>
                <w:w w:val="80"/>
              </w:rPr>
              <w:t>data</w:t>
            </w:r>
            <w:r>
              <w:rPr>
                <w:rFonts w:ascii="Arial" w:cs="Arial" w:eastAsia="Arial" w:hAnsi="Arial"/>
                <w:sz w:val="16"/>
                <w:szCs w:val="16"/>
                <w:b w:val="1"/>
                <w:bCs w:val="1"/>
                <w:color w:val="auto"/>
                <w:w w:val="80"/>
                <w:vertAlign w:val="superscript"/>
              </w:rPr>
              <w:t>(4)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ARYA</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5"/>
              </w:rPr>
              <w:t>Nautilus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No Redemption</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7"/>
              <w:spacing w:after="0" w:line="115"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No Redemptions</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93"/>
              </w:rPr>
              <w:t>Maximum</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(Historical)</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Redemption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84"/>
              </w:rPr>
              <w:t>Redemptions</w:t>
            </w:r>
          </w:p>
        </w:tc>
        <w:tc>
          <w:tcPr>
            <w:tcW w:w="0" w:type="dxa"/>
            <w:vAlign w:val="bottom"/>
          </w:tcPr>
          <w:p>
            <w:pPr>
              <w:spacing w:after="0"/>
              <w:rPr>
                <w:sz w:val="1"/>
                <w:szCs w:val="1"/>
                <w:color w:val="auto"/>
              </w:rPr>
            </w:pPr>
          </w:p>
        </w:tc>
      </w:tr>
      <w:tr>
        <w:trPr>
          <w:trHeight w:val="161"/>
        </w:trPr>
        <w:tc>
          <w:tcPr>
            <w:tcW w:w="39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As of and for the Year Ended December 31, 2020</w:t>
            </w:r>
            <w:r>
              <w:rPr>
                <w:rFonts w:ascii="Arial" w:cs="Arial" w:eastAsia="Arial" w:hAnsi="Arial"/>
                <w:sz w:val="16"/>
                <w:szCs w:val="16"/>
                <w:color w:val="auto"/>
                <w:vertAlign w:val="superscript"/>
              </w:rPr>
              <w:t>(1)</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5" w:lineRule="exact"/>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(2)</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0.97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ind w:left="720"/>
              <w:spacing w:after="0"/>
              <w:rPr>
                <w:sz w:val="20"/>
                <w:szCs w:val="20"/>
                <w:color w:val="auto"/>
              </w:rPr>
            </w:pPr>
            <w:r>
              <w:rPr>
                <w:rFonts w:ascii="Arial" w:cs="Arial" w:eastAsia="Arial" w:hAnsi="Arial"/>
                <w:sz w:val="13"/>
                <w:szCs w:val="13"/>
                <w:color w:val="auto"/>
                <w:w w:val="98"/>
              </w:rPr>
              <w:t>11.86</w:t>
            </w:r>
          </w:p>
        </w:tc>
        <w:tc>
          <w:tcPr>
            <w:tcW w:w="8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Pr>
          <w:p>
            <w:pPr>
              <w:ind w:left="620"/>
              <w:spacing w:after="0"/>
              <w:rPr>
                <w:sz w:val="20"/>
                <w:szCs w:val="20"/>
                <w:color w:val="auto"/>
              </w:rPr>
            </w:pPr>
            <w:r>
              <w:rPr>
                <w:rFonts w:ascii="Arial" w:cs="Arial" w:eastAsia="Arial" w:hAnsi="Arial"/>
                <w:sz w:val="13"/>
                <w:szCs w:val="13"/>
                <w:color w:val="auto"/>
                <w:w w:val="98"/>
              </w:rPr>
              <w:t>10.02</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Net income (loss) per share of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3"/>
                <w:szCs w:val="13"/>
                <w:color w:val="auto"/>
                <w:w w:val="94"/>
              </w:rPr>
              <w:t>(0.47)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4"/>
              </w:rPr>
              <w:t>(0.51)</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Arial" w:cs="Arial" w:eastAsia="Arial" w:hAnsi="Arial"/>
                <w:sz w:val="13"/>
                <w:szCs w:val="13"/>
                <w:color w:val="auto"/>
                <w:w w:val="90"/>
              </w:rPr>
              <w:t>Weighted average shares outstanding of Common Stock - basic and diluted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124,482,062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115,729,962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Net income (loss) per share of Class A Common Stock - basic and diluted</w:t>
            </w:r>
            <w:r>
              <w:rPr>
                <w:rFonts w:ascii="Arial" w:cs="Arial" w:eastAsia="Arial" w:hAnsi="Arial"/>
                <w:sz w:val="16"/>
                <w:szCs w:val="16"/>
                <w:color w:val="auto"/>
                <w:w w:val="90"/>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A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14,950,000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share of Class B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B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3,764,852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Nautilus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8"/>
              </w:rPr>
              <w:t>Weighted average shares outstanding of Nautilus Common Stock - basic and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8,017,976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There were no cash dividends declared in the period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Book value per share is calculated as total equity divided by:</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Class A and B ordinary shares outstanding at December 31, 2020 for ARYA (excluding Class A shares subject to redemption);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the pro forma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Net income (loss) per common share are based 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Class A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Class B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the pro forma information.</w:t>
      </w:r>
    </w:p>
    <w:p>
      <w:pPr>
        <w:spacing w:after="0" w:line="1" w:lineRule="exact"/>
        <w:rPr>
          <w:rFonts w:ascii="Arial" w:cs="Arial" w:eastAsia="Arial" w:hAnsi="Arial"/>
          <w:sz w:val="14"/>
          <w:szCs w:val="14"/>
          <w:color w:val="auto"/>
        </w:rPr>
      </w:pPr>
    </w:p>
    <w:p>
      <w:pPr>
        <w:ind w:left="340" w:right="120" w:hanging="332"/>
        <w:spacing w:after="0" w:line="248" w:lineRule="auto"/>
        <w:tabs>
          <w:tab w:leader="none" w:pos="33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equivalent pro forma per share data for Nautilus (columns five and six in the table above) are calculated by multiplying the pro forma combined per share data (columns three and four in the table above) by the Exchange Ratio (as defined elsewhere in this proxy statement/prospectus). For purposes of calculating the equivalent pro forma per share data for Nautilus in columns five and six in the table above, we have assumed an Exchange Ratio of 3.6275.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statements in this proxy statement/prospectus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The information included in this proxy statement/prospectus in relation to Nautilus has been provided by Nautilus and its respective management, and forward-looking statements include statements relating to our and its respective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122" w:lineRule="exact"/>
        <w:rPr>
          <w:sz w:val="20"/>
          <w:szCs w:val="20"/>
          <w:color w:val="auto"/>
        </w:rPr>
      </w:pPr>
    </w:p>
    <w:p>
      <w:pPr>
        <w:ind w:left="660" w:right="64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ability to complete the Business Combination with Nautilus or, if we do not consummate such Business Combination, any other initial business combination;</w:t>
      </w:r>
    </w:p>
    <w:p>
      <w:pPr>
        <w:spacing w:after="0" w:line="116"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satisfaction or waiver of the conditions to the Business Combination including, among others: (i) the approval by our shareholders of the Condition Precedent Proposals being obtained; (ii) approval of the Business Combination Agreement and the Merger by the Nautilus stockholders; (iii) the applicable waiting period under the Hart-Scott-Rodino Act of 1976 (the “</w:t>
      </w:r>
      <w:r>
        <w:rPr>
          <w:rFonts w:ascii="Arial" w:cs="Arial" w:eastAsia="Arial" w:hAnsi="Arial"/>
          <w:sz w:val="16"/>
          <w:szCs w:val="16"/>
          <w:u w:val="single" w:color="auto"/>
          <w:color w:val="auto"/>
        </w:rPr>
        <w:t>HSR Act</w:t>
      </w:r>
      <w:r>
        <w:rPr>
          <w:rFonts w:ascii="Arial" w:cs="Arial" w:eastAsia="Arial" w:hAnsi="Arial"/>
          <w:sz w:val="16"/>
          <w:szCs w:val="16"/>
          <w:color w:val="auto"/>
        </w:rPr>
        <w:t>”) relating to the Business Combination Agreement having expired or been terminated; (iv) ARYA having at least $5,000,001 of net tangible assets (as determined in accordance with Rule 3a51-1(g)</w:t>
      </w:r>
    </w:p>
    <w:p>
      <w:pPr>
        <w:spacing w:after="0" w:line="1" w:lineRule="exact"/>
        <w:rPr>
          <w:rFonts w:ascii="Arial" w:cs="Arial" w:eastAsia="Arial" w:hAnsi="Arial"/>
          <w:sz w:val="16"/>
          <w:szCs w:val="16"/>
          <w:color w:val="auto"/>
        </w:rPr>
      </w:pPr>
    </w:p>
    <w:p>
      <w:pPr>
        <w:ind w:left="660" w:right="40"/>
        <w:spacing w:after="0" w:line="292" w:lineRule="auto"/>
        <w:rPr>
          <w:rFonts w:ascii="Arial" w:cs="Arial" w:eastAsia="Arial" w:hAnsi="Arial"/>
          <w:sz w:val="16"/>
          <w:szCs w:val="16"/>
          <w:color w:val="auto"/>
        </w:rPr>
      </w:pPr>
      <w:r>
        <w:rPr>
          <w:rFonts w:ascii="Arial" w:cs="Arial" w:eastAsia="Arial" w:hAnsi="Arial"/>
          <w:sz w:val="16"/>
          <w:szCs w:val="16"/>
          <w:color w:val="auto"/>
        </w:rPr>
        <w:t>(1)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Arial" w:cs="Arial" w:eastAsia="Arial" w:hAnsi="Arial"/>
          <w:sz w:val="16"/>
          <w:szCs w:val="16"/>
          <w:i w:val="1"/>
          <w:iCs w:val="1"/>
          <w:color w:val="auto"/>
        </w:rPr>
        <w:t>Risk Factors—Nasdaq may not list New Nautilus’ securities on its exchange, which could limit investors’ ability to make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in New Nautilus’ securities and subject New Nautilus to additional trading restrictions.</w:t>
      </w:r>
      <w:r>
        <w:rPr>
          <w:rFonts w:ascii="Arial" w:cs="Arial" w:eastAsia="Arial" w:hAnsi="Arial"/>
          <w:sz w:val="16"/>
          <w:szCs w:val="16"/>
          <w:color w:val="auto"/>
        </w:rPr>
        <w:t>”); (vii) the effectiveness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which this registration statement/proxy statement forms a part; and (viii) the consummation of the Domestication;</w:t>
      </w:r>
    </w:p>
    <w:p>
      <w:pPr>
        <w:spacing w:after="0" w:line="108" w:lineRule="exact"/>
        <w:rPr>
          <w:rFonts w:ascii="Arial" w:cs="Arial" w:eastAsia="Arial" w:hAnsi="Arial"/>
          <w:sz w:val="16"/>
          <w:szCs w:val="16"/>
          <w:color w:val="auto"/>
        </w:rPr>
      </w:pPr>
    </w:p>
    <w:p>
      <w:pPr>
        <w:jc w:val="both"/>
        <w:ind w:left="660" w:right="10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including the outcome of any legal proceedings that may be instituted against ARYA and Nautilus following the announcement of the Business Combination Agreement and the transactions contemplated therein, that could give rise to the termination of the Business Combination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projected financial information, growth rate and market opportunity of Nautilus and New Nautilus;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to obtain and/or maintain the listing of the New Nautilus Common Stock on the Nasdaq, and the potential liquidity and trading of such securities;</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proposed Business Combination disrupts current plans and operations of Nautilus as a result of the announcement and consummation of the proposed Business Combination;</w:t>
      </w:r>
    </w:p>
    <w:p>
      <w:pPr>
        <w:spacing w:after="0" w:line="116"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proposed Business Combination, which may be affected by, among other things, competition, the ability of New Nautilus to grow and manage growth profitably and retain its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the Business Combination;</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estimates of Nautilus’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hire and retain key personnel and to manage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manage and grow its business and commercialize its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successfully implement its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implementation of Nautilus’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volatility of the trading price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establish and maintain intellectual property protection for its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regarding use of proceeds following the closing of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effect of COVID-19 on the foregoing, including our ability to consummate the Business Combination due to the uncertainty resulting from the recent COVID-19 pandemic;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forward-looking statements contained in this proxy statement/prospectus are based on current expectations and beliefs concerning future developments and their potential effects on us and/or Nautilus. There can be no assurance that future developments affecting us and/or Nautilus will be those that we and/or Nautilus have anticipated. These forward-looking statements involve a number of risks, uncertainties (some of which are beyond our control or the control of Nautilus) or other assumptions that may cause actual results or performance to be materially different from those expressed or implied by these forward-looking statements. These risks and</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63" w:name="page64"/>
    <w:bookmarkEnd w:id="63"/>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Neither we nor Nautilus undertake any obligation to update or revise any forward-looking statements, whether as a result of new information, future events or otherwise, except as may be required under applicable securities laws.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Before any shareholder grants its proxy or instructs how its vote should be cast or vote on the proposals to be put to the extraordinary general meeting, such stockholder should be aware that the occurrence of the events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elsewhere in this proxy statement/prospectus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760" w:firstLine="324"/>
        <w:spacing w:after="0" w:line="263" w:lineRule="auto"/>
        <w:rPr>
          <w:sz w:val="20"/>
          <w:szCs w:val="20"/>
          <w:color w:val="auto"/>
        </w:rPr>
      </w:pPr>
      <w:r>
        <w:rPr>
          <w:rFonts w:ascii="Arial" w:cs="Arial" w:eastAsia="Arial" w:hAnsi="Arial"/>
          <w:sz w:val="18"/>
          <w:szCs w:val="18"/>
          <w:i w:val="1"/>
          <w:iCs w:val="1"/>
          <w:color w:val="auto"/>
        </w:rPr>
        <w:t>ARYA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Unless the context otherwise requires, any reference in the below sections of this proxy statement/prospectus to the “we,” “us” or “our” refers to ARYA and its consolidated subsidiaries prior to the consummation of the Business Combination and to New Nautilus and its consolidated subsidiaries following the Business Combination. The references to Nautilus in this “Risk Factors” section will apply to New Nautilus upon Closing. The following discussion and analysis of our financial condition and results of operations should be read in conjunction with the financial statements and accompanying notes, and other financial information included elsewhere within this proxy statement/prospectus. This discussion includes forward-looking information regarding our business, results of operations and cash flows and contractual obligations and arrangements that involves risks, uncertainties and assumptions. Our actual results may differ materially from any future results expressed or implied by such forward-looking statements as a result of various factors, including, but not limited to, those discussed in the sections of this proxy statement/prospectus entitled “Cautionary Note Regarding Forward-Looking Statements,” “Nautilus Management’s Discussion and Analysis of Financial Condition and Results of Operations,” and “ARYA’s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Business Following the Business Combination</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Nautilus is a development stage company that has incurred net losses in every period to date, has not yet commercialized any products, and expects to continue to incur significant losses as it develops its business. Nautilus may never achieve profitability.</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is a development stage company that has incurred net losses in each quarterly and annual period since inception and that has not yet generated any revenue. It expects to incur increasing costs as it continues to devote substantially all of its resources towards the development and anticipated future commercialization of its Nautilus Platform, which includes its end-to-end solution comprised of instruments, consumables, and software analysis. Nautilus cannot be certain if it will ever generate revenue or if or when it will produce sufficient revenue from operations to support its costs. Even if profitability is achieved, Nautilus may not be able to sustain profitability. Nautilus incurred net losses of $15.6 million and $9.6 million in 2020 and 2019, respectively. As of December 31, 2020, it had an accumulated deficit of $30.3 million. These losses and accumulated deficit were primarily due to the substantial investments Nautilus has made in the scientific and technological development of its Nautilus Platform. Nautilus expects to incur substantial losses and negative cash flows for the foreseeable future. In addition, as a public company, Nautilus will incur significant legal, accounting, and other expenses that it did not incur as a private company. These increased expenses will make it harder for Nautilus to achieve and sustain future profitability. Nautilus may incur significant losses in the future for a number of reasons, many of which are beyond its control, including the other risks described in this proxy statement/prospectus.</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Nautilus is entirely dependent on the success of its Nautilus Platform, which remains in the development stage and subject to scientific and technical validation. If Nautilus is unable to develop and commercialize its platform successfully and in a manner that provides currently anticipated functionality and levels of performance, Nautilus may never be able to recognize any revenue, and its business, operating results, and financial condition will suffer.</w:t>
      </w:r>
    </w:p>
    <w:p>
      <w:pPr>
        <w:spacing w:after="0" w:line="13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Nautilus’ future success is entirely dependent on its ability to successfully develop and commercialize its Nautilus Platform, which is based on innovative yet complex and unproven technologies and which is anticipated to be used in demanding scientific research that requires substantial levels of accuracy and precision. Nautilus is investing substantially all of its management efforts and financial resources in the development and commercialization of this platform. While Nautilus’ goal is to leverage its Nautilus Platform to comprehensively measure the human proteome by the end of 2023, the human proteome is dynamic and far more complex and diverse in structure, composition and number of variants than either the genome or transcriptome. If Nautilus cannot successfully complete platform development, if Nautilus is unable to achieve its goals for mapping the proteome,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Nautilus’ products fail to deliver currently anticipated functionality and levels of performance, if Nautilus’ products are found by a court of law to infringe the intellectual property of another party, or if Nautilus is unable to obtain broad scientific and market acceptance of its products and technologies, it may never recognize material revenue and may be unable to continue its operations.</w:t>
      </w:r>
    </w:p>
    <w:p>
      <w:pPr>
        <w:spacing w:after="0" w:line="13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anticipates commercializing its Nautilus Platform in three phases involving first collaboration with biopharmaceutical companies and key opinion leaders to validate the performance and utility of Nautilus’ product, during which Nautilus does not expect to recognize significant revenue, if any; secondly an early access limited release phase in which Nautilus expects to recognize limited revenue; and finally a broader commercial launch phase. Nautilus is currently in the collaboration phase during which it is seeking to enter collaborations with a small number of research customers, including with biopharmaceutical companies and key opinion leaders in proteomics whose assessment and validation of Nautilus’ products can significantly influence other researchers in their respective markets and/or fields. During this phase, Nautilus plans to provide early access program partners with broad-scale analysis and profiling of samples analyzed in its facility and shared via a cloud platform. Nautilus does not anticipate that the second phase will begin any earlier than the second half of 2022 and does not anticipate that it will result in any material revenue. During this phase, Nautilus expects to work closely with early access customers to demonstrate a unique value proposition for its Nautilus Platform. Nautilus expects this second phase to continue through the end of 2023 and lead into the third phase of broad commercialization at the end of 2023 and the beginning of 2024. Nautilus does not expect to realize any material revenue prior to the second half of 2023.</w:t>
      </w:r>
    </w:p>
    <w:p>
      <w:pPr>
        <w:spacing w:after="0" w:line="12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Nautilus’ technologies and in the underlying science. Scientific and technological development of the nature being undertaken by Nautilus is extraordinarily complex, and there can be no assurances that any of these phases of commercial development will be successful or that they will be completed within the timelines currently anticipated. Given the scientific and technical complexity of Nautilus’ products, Nautilus could experience material delays in product development and commercial launch. If Nautilus’ research and product development efforts do not result in commercially viable products within the anticipated timelines, its business, operating results, and financial condition will be adversely affected.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 Nautilus may be unable to establish sufficient collaborations of this nature, and collaborations could result in agreements that limit or otherwise impair Nautilus’ flexibility to pursue other strategic opportunities.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Nautilus’ commercialization strategy. While early collaborations are expected to focus on the assessment and validation of the Nautilus Platform with a focus in part on publication of results in peer-reviewed scientific journals, Nautilus also intends to pursue additional, potentially revenue-generating collaborations in areas of biological interest. Among other examples, Nautilus may pursue collaborations relating to the development and commercialization of therapeutic product candidates targeting proteins identified by the Nautilus Platform.</w:t>
      </w:r>
    </w:p>
    <w:p>
      <w:pPr>
        <w:spacing w:after="0" w:line="12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can be no assurance that Nautilus will be successful in developing or maintaining collaborations or that, if established, that these collaborations will achieve the desired objectives. Establishing collaborations is difficult and time-consuming. Discussions may not lead to collaborations on favorable terms, if at all, and particularly where Nautilus is negotiating against major pharmaceutical companies, Nautilus may have relatively less leverage in negotiating favorable terms. To the extent Nautilus agrees to work exclusively with a party in a given field, its opportunities to collaborate with others in that field would be limited. Certain parties may seek to partner with other companies in addition to Nautilus in connection with a project. This, in turn, may limit the commercial potential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products that are the subject of such collaborations. Potential collaborators may elect not to work with Nautilus based upon their assessment of Nautilus’ financial, regulatory, commercial or intellectual property position.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Nautilus is successful in entering into collaborations, their success will depend heavily on the efforts and activities of Nautilus’ collaborators.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Nautilus proposes to pursue are subject to numerous risks, including that:</w:t>
      </w:r>
    </w:p>
    <w:p>
      <w:pPr>
        <w:spacing w:after="0" w:line="15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right="760" w:hanging="328"/>
        <w:spacing w:after="0" w:line="311" w:lineRule="auto"/>
        <w:tabs>
          <w:tab w:leader="none" w:pos="65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4"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Nautilus’ collaboration with them, and in such cases, Nautilus would not have the right to develop or commercialize such intellectual property;</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Nautilus’ collaboration with them, and in such cases, Nautilus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Nautilus;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Nautilus could grant exclusive rights to its collaborators that would prevent Nautilus from collaborating with others;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Nautilus’ intellectual property rights or may use Nautilus’ intellectual property or proprietary information in a way that gives rise to actual or threatened litigation that could jeopardize or invalidate Nautilus’ intellectual property or proprietary information or expose Nautilus to potential liability;</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disputes may arise between Nautilus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Nautilus’ revenue, may reduce exposure to research and clinical trials that facilitate the collection and incorporation of new information into Nautilus’ platform;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addition, before obtaining marketing approval from regulatory authorities for the sale of product candidates subject to future collaborations, Nautilus’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Nautilus is able to complete development of its Nautilus Platform, it may not achieve or maintain significant commercial market acceptance.</w:t>
      </w:r>
    </w:p>
    <w:p>
      <w:pPr>
        <w:spacing w:after="0" w:line="19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Even if Nautilus is able to complete development of its Nautilus Platform, the platform will be subject to market forces and adoption curves common to new technologies. The market for novel proteomics technologies and products like those being developed by Nautilus is in the early stages of development. While these technologies present the potential to displace legacy products, changing long-standing scientific workflows with new instruments requiring substantial capital expenditures will require Nautilus to invest substantial financial and management resources to educate potential customers on the benefits of its platform relative to existing technologies and to validate the platform’s ability to meet customer requirements. In that regard, Nautilus anticipates that its initial market focus will be pharmaceutical development and associated research, which are characterized by demanding and exacting requirements for product performance and accuracy. If widespread adoption of the Nautilus Platform takes longer than anticipated or does not occur, Nautilus’ business will be materially and adversely affected.</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Nautilus expects that references to the use of its platform in peer-reviewed journal publications will be critical to its ability to obtain widespread acceptance within the scientific community. In addition, continuing collaborative relationships with key opinion leaders will be vital to maintaining any market acceptance Nautilus achieves. If too few researchers describe the use of Nautilus’ products, too many researchers shift to a competing product and publish research outlining their use of that product, or too many researchers negatively describe the use of Nautilus’ products in publications, customers may be less willing to engage with Nautilus concerning its products, which could materially delay its commercialization plan and/or substantially extend its sales cycles. Moreover, these customers may ultimately be less willing to purchase Nautilus’ products, which would adversely affect its business and future revenue.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Nautilus’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ability of Nautilus’ marketing and engagement initiatives to increase awareness of the capabilities of the Nautilus Platform;</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ability of the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Nautilus’ ability to demonstrate that the functionality and performance of its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ease of use of the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rate of adoption of the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Nautilus’ ability to develop new products, workflows, and solutions that meet customer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impact of Nautilus’ investments in product innovation and commercial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Nautilus cannot assure you that it will be successful in addressing any of these criteria or any additional criteria that might affect the market acceptance of its products. If Nautilus is unsuccessful in achieving and maintaining market acceptance of its Nautilus Platform, its business, financial condition and results of operations would be adversely affected.</w:t>
      </w:r>
    </w:p>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Nautilus has no experience in manufacturing its products at commercial scale. If Nautilus is unable to establish manufacturing capacity by itself or with partners in a timely manner after completing development, commercialization of its Nautilus Platform would be delayed, which would result in lost revenue and harm its business.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order for Nautilus to commercialize its Nautilus Platform in volume, Nautilus will need to establish internal manufacturing capacity or to contract with one or more manufacturing partners, or both. Nautilus’ technology is complex, and the manufacturing process for its products will be similarly complex, involving a large number of unique precision parts in addition to the production of various reagents and antibodies. Nautilus may encounter unexpected difficulties in manufacturing its Nautilus Platform, including its Proteomic Analysis System and related consumables. Among other factors, it will need to develop reliable supply chains for the various components in its platform and consumables to support large-scale commercial production. In connection with its Nautilus Platform, Nautilus intends to utilize over 300 complex reagents and various antibodies in order to generate deep proteomic information at the speed and scale which Nautilus expects its platform to perform. Such reagents and antibodies are expected to be more difficult to manufacture and more expensive to procure. There is no assurance that Nautilus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Nautilus may incur costs that are higher than currently expected and that may adversely affect Nautilus gross margins and operating results following commercialization. Assuming Nautilus completes development of its platform, it may experience manufacturing and product quality issues as it increases the scale of its production. Any delay or inability in establishing or expanding Nautilus’ manufacturing capacity could diminish its ability to develop or sell its products, result in increased or unanticipated costs, result in lost revenue, and seriously harm its business, results of operations and financial condition.</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establish an effective commercial organization, including effective distribution channels and sales and marketing functions, it may not be successful in commercializing its platform.</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Nautilus is only beginning to establish an internal organization focused specifically on the commercialization of its Nautilus Platform. Nautilus’ initial hiring has focused on senior commercial leadership, and although this leadership has considerable industry experience, in order to achieve substantial revenue growth and profitability, Nautilus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Nautilus will be required to expend substantial financial resources to hire personnel and develop its commercial operations prior to commercial launch of its Nautilus Platform. Accordingly, these initiatives will adversely affect Nautilus’ operating expenses prior to Nautilus’ having material off-setting revenue, if any.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Nautilus will face a number of additional risks, including:</w:t>
      </w:r>
    </w:p>
    <w:p>
      <w:pPr>
        <w:spacing w:after="0" w:line="171" w:lineRule="exact"/>
        <w:rPr>
          <w:sz w:val="20"/>
          <w:szCs w:val="20"/>
          <w:color w:val="auto"/>
        </w:rPr>
      </w:pPr>
    </w:p>
    <w:p>
      <w:pPr>
        <w:ind w:left="660" w:right="140" w:hanging="328"/>
        <w:spacing w:after="0" w:line="263"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its ability to attract, retain, and manage the sales, marketing, customer service, and customer support force necessary to commercialize and gain market acceptance for its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to its internal organization, Nautilus may seek to enlist one or more third parties to assist with sales, distribution, and customer service and support globally or in certain regions of the world. In certain markets, Nautilus could seek to establish partnerships with larger market participants to provide access to their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channels and which could also involve scientific or technological collaboration. There is no guarantee, if Nautilus does seek to enter into any of these arrangements, that it will be successful in attracting desirable partners or that it will be able to enter into such arrangements on commercially favorable terms. If Nautilus’ commercialization efforts, or those of any third-party partners, are not successful, its Nautilus Platform may not gain market acceptance, which could materially impact its business and results of operations.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Nautilus’ quarterly and annual operating results may fluctuate significantly, which makes it difficult for Nautilus to predict its future operating results. In the near term, as Nautilus devotes substantially all of its resources towards the development and anticipated future commercialization of its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the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Nautilus’ ability to successfully establish and successfully maintain appropriate collaborations and derive revenue from those collaborations;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Nautilus’ ability to successfully develop and commercialize its Nautilus Platform on its anticipated timeline.</w:t>
      </w:r>
    </w:p>
    <w:p>
      <w:pPr>
        <w:spacing w:after="0" w:line="17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As Nautilus transitions from a company with a focus on research and development to a company capable of supporting manufacturing, these fluctuations may also occur due to a variety of other factors, many of which are outside of Nautilus’ control, including, but not limited to:</w:t>
      </w:r>
    </w:p>
    <w:p>
      <w:pPr>
        <w:spacing w:after="0" w:line="70" w:lineRule="exact"/>
        <w:rPr>
          <w:sz w:val="20"/>
          <w:szCs w:val="20"/>
          <w:color w:val="auto"/>
        </w:rPr>
      </w:pPr>
    </w:p>
    <w:p>
      <w:pPr>
        <w:ind w:left="660" w:right="4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level of demand for any products Nautilus is able to commercialize, particularly its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Nautilus’ ability to drive adoption of its Nautilus Platform in its target markets and its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prices at which Nautilus will be able to sell its Nautilus Platform;</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volume and mix of Nautilus’ sales between the consumables, instruments and software, or changes in the manufacturing or sales costs related to its products;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timing and amount of expenditures that Nautilus may incur to develop, commercialize or acquire additional products and technologies or for other purposes, such as the expansion of its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seasonal spending patterns of Nautilus’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timing of when Nautilus recognizes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future accounting pronouncements or changes in Nautilus’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Nautilus’ business operations, and resources and operations of Nautilus’ customers, suppliers, and distributors;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left="660" w:righ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Nautilus’ operating performance or the operating performance of its competitors.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Nautilus’ quarterly and annual operating results. As a result, comparing Nautilus’ operating results on a period-to-period basis may not be meaningful. Investors should not rely on Nautilus’ past results as an indication of its future performance.</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Nautilus failing to meet the expectations of industry or financial analysts or investors for any period. If Nautilus is unable to commercialize products or generate revenue, or if Nautilus’ operating results fall below the expectations of analysts or investors or below any guidance Nautilus may provide, or if the guidance Nautilus provides is below the expectations of analysts or investors, it could cause the market price of Nautilus’ common stock to decline.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Nautilus fails to compete effectively, its business and results of operation will suffer.</w:t>
      </w:r>
    </w:p>
    <w:p>
      <w:pPr>
        <w:spacing w:after="0" w:line="1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faces significant competition in the life sciences technology market.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Some of Nautilus’ current competitors are large publicly-traded companies, or are divisions of large publicly-traded companies, and enjoy a number of competitive advantages over Nautilus, including:</w:t>
      </w:r>
    </w:p>
    <w:p>
      <w:pPr>
        <w:spacing w:after="0" w:line="11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Nautilus cannot assure investors that its products will compete favorably or that it will be successful in the face of increasing competition from products and technologies introduced by its existing or future competitors or by companies entering its markets or that are developed by its customers internally. In addition, Nautilus cannot assure investors that its competitors do not have or will not develop products or technologies that currently or in the future will enable them to produce competitive products with superior functionality or performance or at lower costs than Nautilus’ or that are able to run comparable experiments at a lower total experiment cost. Any failure to compete effectively could materially and adversely affect Nautilus’ business, financial condition and operating results.</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business will depend significantly on research and development spending by pharmaceutical companies as well as by academic institutions and other research institutions. Any reduction in spending could limit demand for Nautilus’ products and adversely affect its business, results of operations, financial condition and prospects.</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expects that its revenue in the foreseeable future will be derived primarily from sales of its Nautilus Platform to biotechnology companies and life science laboratories worldwide, and to a lesser extent, academic institutions and non-profit organizations. Nautilus’ success will depend upon demand for and use of its products. Accordingly, the spending policies of these customers could have a significant effect on the demand for Nautilus’ technology. These policies may be based on a wide variety of factors, including the resources available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Nautilus’ products. Nautilus’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its Nautilus Platform. These reductions and delays may result from factors that are not within Nautilus’ control, such as:</w:t>
      </w:r>
    </w:p>
    <w:p>
      <w:pPr>
        <w:spacing w:after="0" w:line="123"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Any decrease in Nautilus’ customers’ budgets or expenditures or in the size, scope or frequency of capital or operating expenditures as a result of the foregoing or other factors could materially and adversely affect its business, results of operations, financial condition, and prospects.</w:t>
      </w:r>
    </w:p>
    <w:p>
      <w:pPr>
        <w:spacing w:after="0" w:line="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the Nautilus Platform is commercialized and achieves broad scientific and market acceptance, if Nautilus fails to improve it or introduce compelling new products, its revenue and its prospects could be harmed.</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Nautilus is able to commercialize its Nautilus Platform and achieve broad scientific and market acceptance, its ability to attract new customers and increase revenue from existing customers will depend in large part on its ability to enhance and improve its Nautilus Platform and to introduce compelling new products. The success of any enhancement to the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the Nautilus Platform that Nautilus develops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Nautilus does not achieve the required technical specifications or successfully manage new product development processes, or if development work is not performed according to schedule, then such new technologies or products may be adversely impacted. If Nautilus is unable to successfully develop new products, enhance its proteomics product platform to meet customer requirements, compete with alternative products, or otherwise gain and maintain market acceptance, its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Nautilus has a limited operating history, which may make it difficult to evaluate its current business and the prospects for its future viability, and to predict its future performance.</w:t>
      </w:r>
    </w:p>
    <w:p>
      <w:pPr>
        <w:spacing w:after="0" w:line="11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Nautilus is a life sciences technology company with a limited operating history. Nautilus has not completed development of its Nautilus Platform or any other products and has not generated any revenue to date. Nautilus’ operations to date have been limited to developing its Nautilus Platform. Nautilus’ prospects must be considered in light of the uncertainties, risks, expenses, and difficulties frequently encountered by companies in their early stages of operations. Consequently, predictions about Nautilus’ future success or viability are highly uncertain and may not be as accurate as they could be if Nautilus had a longer operating history or a company history of successfully developing and commercializing products.</w:t>
      </w:r>
    </w:p>
    <w:p>
      <w:pPr>
        <w:spacing w:after="0" w:line="12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In addition, as a business with a limited operating history, Nautilus may encounter unforeseen expenses, difficulties, complications, delays and other known and unknown obstacles. Nautilus will eventually need to transition from a company with a focus on research and development to a company capable of supporting manufacturing and commercial activities as well, and it may not be successful in such a transition. Nautilus has encountered in the past, and will encounter in the future, risks and uncertainties frequently experienced by growing companies with limited operating histories in emerging and rapidly changing industries. If its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need to raise additional capital to fund its development and commercialization plans.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Nautilus’ current plans, it believes that the net proceeds from the Business Combination and PIPE Financing, together with its available resources and existing cash and cash equivalents, will be sufficient to meet its anticipated cash requirements for at least 12 months from the date of this proxy statement/prospectus. If Nautilus’ available cash resources, the net proceeds from the Business Combination and PIPE Financing are insufficient to satisfy Nautilus’ liquidity requirements including because the realization of other risks described in this proxy statement/prospectus, Nautilus may be required to raise additional capital prior to such time through issuances of equity or convertible debt securities, enter into a credit facility or another form of third-party funding or seek other debt financing.</w:t>
      </w:r>
    </w:p>
    <w:p>
      <w:pPr>
        <w:spacing w:after="0" w:line="1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Nautilus may consider raising additional capital in the future to expand its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funding development and marketing efforts of its proteomics product platform or any other future products;</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increasing its sales and marketing and other commercialization efforts to drive market adoption of its proteomics product platform,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expanding its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delays in execution of Nautilus’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scope and timing of Nautilus’ investment in its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changes Nautilus may make to the business that affect ongoing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changes Nautilus may make in its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changes Nautilus may make in its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Nautilus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various ways Nautilus could raise additional capital carry potential risks. If Nautilus raises funds by issuing equity securities, dilution to its stockholders could result. If Nautilus raises funds by issuing debt securities, those debt securities could have rights, preferences and privileges senior to those of holders of Nautilus’ common stock. The terms of debt securities issued or borrowings pursuant to a credit agreement could impose significant restrictions on Nautilus’ operations. If Nautilus raises funds through collaborations or licensing arrangements, it might be required to relinquish significant rights to its technologies or products or grant licenses on terms that are not favorable to Nautilus.</w:t>
      </w:r>
    </w:p>
    <w:p>
      <w:pPr>
        <w:spacing w:after="0" w:line="12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Nautilus is unable to obtain adequate financing or financing on terms satisfactory to Nautilus, if Nautilus requires it, its ability to continue to pursue its business objectives and to respond to business opportunities, challenges, or unforeseen circumstances could be significantly limited, and could have a material adverse effect on its business, financial condition, results of operations and prospects.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size of the markets for the Nautilus Platform may be smaller than estimated, and new market opportunities may not develop as quickly as Nautilus expects, or at all, limiting Nautilus’ ability to successfully sell its products.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Nautilus’ current and future products, including its Nautilus Platform. Nautilus’ estimates of the total addressable market for its current and future products, including with respect to the proteomics market, the diagnostic market, and the mass spectrometry market, are based on a number of internal and third-party estimates and assumptions. In particular, its estimates are based on its expectations that researchers in the market for certain life sciences research tools and technologies will view its products as competitive alternatives to, or better options than, existing tools and technologies. Nautilus also expects researchers will recognize the ability of its products to complement, enhance and enable new applications of their current tools and technologies. Nautilus expects them to recognize the value proposition offered by its products, enough to purchase its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Nautilus’ products and that researchers have sufficient samples and an unmet need for performing proteomics studies at scale across thousands of samples. In addition, sales of new products into new market opportunities may take years to develop and mature and Nautilus cannot be certain that these market opportunities will develop as it expects. New life sciences technology may not be adopted until the consistency and accuracy of such technology, method or device has been proven. As a result, the sizes of the annual total addressable market for new markets and new products are even more difficult to predict. Nautilus’ product is an innovative new product, and while Nautilus draws comparisons between the evolution and growth of the genomics market, the proteomics market may develop more slowly or differently. In addition, the Nautilus Platform may not impact the field of proteomics in the same manner or degree, or within the same time frame, that NGS technologies have impacted the field of genomics, or at all. While Nautilus believes its assumptions and the data underlying its estimates of the total addressable market for its products are reasonable, these assumptions and estimates may not be correct and the conditions supporting its assumptions or estimates, or those underlying the third-party data it has used, may change at any time, thereby reducing the accuracy of Nautilus’ estimates. As a result, Nautilus’ estimates of the total addressable market for Nautilus’ products may be incorrect.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future growth of the market for Nautilus’ current and future products depends on many factors beyond its control, including recognition and acceptance of its products by the scientific community and the growth, prevalence and costs of competing products and solutions. Such recognition and acceptance may not occur in the near term, or at all. If the markets for Nautilus’ current and future products are smaller than estimated or do not develop as Nautilus expects, Nautilus’ growth may be limited and its business, financial condition and operational results of operations could be adversely affected.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Nautilus is dependent on single source suppliers for some of the components and materials used in the Nautilus Platform, and the loss of any of these suppliers could harm its business.</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relies on single source suppliers for certain components and materials used in the Nautilus Platform, including its click-reagent modified oligos, glass that is nano-fabricated into our biochips and high-speed stage used in the instrument. Of these single source suppliers, the loss of any of the following would require significant time and effort to locate and qualify an alternative source of supply. Though Nautilus does not currently have contracts for third parties to provide manufacturing capabilities for its Nautilus Platform, if it is successful in reaching the point of manufacturing its products for commercialization, it may rely on a single company for such manufacturing. Any contractual disputes between Nautilus and such manufacturer or loss of manufacturing ability by such manufacturer could similarly require significant time, effort and expense to locate and qualify an alternative source of manufacturing, which could materially harm Nautilus’ business.</w:t>
      </w:r>
    </w:p>
    <w:p>
      <w:pPr>
        <w:spacing w:after="0" w:line="12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also relies, and expects to continue to rely, on third-party manufacturers and in many cases, single third party manufacturers for the production of certain reagents and antibodies needed to generate the deep proteomic information at the speed and scale which Nautilus expects its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Nautilus may not be able to obtain favorable terms in agreements with suppliers. Given their complexity, Nautilus suppliers may not be able to provide these reagents and antibodies in a cost-effective manner or in a time frame that is consistent with Nautilus’ expected future needs. If Nautilus’ suppliers cease or interrupt production or if suppliers fail to supply materials, products or services to Nautilus for any reason, such interruption could delay development, or interrupt the commercial supply, with the potential for additional costs and lost revenue. If this were to occur, Nautilus might also need to seek alternative means to fulfill its manufacturing needs. Any such transition would require significant efforts in testing and validation and could result in delays or other issues, which could materially harm Nautilus’ business.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Nautilus experiences a significant disruption in its information technology systems or breaches of data security, its business could be adversely affected.</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relies, or will rely, on information technology systems to keep financial records, facilitate its research and development initiatives, manage its manufacturing operations, maintain quality control, fulfill customer orders, maintain corporate records, communicate with staff and external parties and operate other critical functions. Nautilus’ information technology systems and those of its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Nautilus’ efforts to create security barriers to such threats, it is virtually impossible for Nautilus to entirely mitigate these risks. In addition, Nautilus has not finalized its information technology and data security procedures and therefore, its information technology systems may be more susceptible to cybersecurity attacks than if such security procedures were finalized. Despite any of its current or future efforts to protect against cybersecurity attacks and data security breaches, there is no guarantee that Nautilus’ efforts are adequate to safeguard against all such attacks and breaches. Moreover,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5" w:name="page76"/>
    <w:bookmarkEnd w:id="75"/>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possible that Nautilus may not be able to anticipate, detect, appropriately react and respond to, or implement effective preventative measures against, all cybersecurity incidents.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Nautilus’ security measures, or those of its vendors and partners, are compromised due to any cybersecurity attacks or data security breaches, including as a result of third-party action, employee or customer error, malfeasance, stolen or fraudulently obtained log-in credentials or otherwise, Nautilus’ reputation could be damaged, its business and reputation may be harmed, it could become subject to litigation and it could incur significant liability. If Nautilus was to experience a prolonged system disruption in its information technology systems or those of certain of its vendors and partners, it could negatively impact its ability to serve its customers, which could adversely impact its business, financial condition, results of operations and prospects. If operations at Nautilus’ facilities were disrupted, it may cause a material disruption in Nautilus’ business if it is not capable of restoring functionality on an acceptable timeframe. In addition, Nautilus’ information technology systems, and those of its vendors and partners, are potentially vulnerable to data security breaches, whether by internal bad actors, such as employees or other third parties with legitimate access to its or its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Nautilus’ employees, customers and others, any of which could have a material adverse effect on Nautilus’ business, reputation, financial condition and results of operations.</w:t>
      </w:r>
    </w:p>
    <w:p>
      <w:pPr>
        <w:spacing w:after="0" w:line="1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Nautilus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Nautilus’ reputation. In addition, although Nautilus seeks to detect and investigate data security incidents, security breaches and other incidents of unauthorized access to its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Nautilus takes to respond to or remediate such incidents, and if securities analysts or investors perceive these announcements to be negative, it could, among other things, have a material adverse effect on the price of Nautilus’ common stock.</w:t>
      </w:r>
    </w:p>
    <w:p>
      <w:pPr>
        <w:spacing w:after="0" w:line="132"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The cost of protecting against, investigating, mitigating and responding to potential breaches of Nautilus’ information technology systems and data security breaches and complying with applicable breach notification obligations to individuals, regulators, partners and others can be significant. As cybersecurity incidents continue to evolve, Nautilus may be required to expend significant additional resources to continue to modify or enhance its protective measures or to investigate and remediate any information security vulnerabilities. The inability to implement, maintain and upgrade adequate safeguards could have a material adverse effect on Nautilus’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unable to manage its anticipated growth effectively.</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Nautilus’ anticipated growth will place significant strains on its management, operational and manufacturing systems and processes, sales and marketing team, financial systems and internal controls and other aspects of its business. Nautilus must upgrade its internal business processes and capabilities to create the scalability that a growing business demands. As of December 31, 2020, Nautilus had 57 employees. To execute its anticipated growth successfully, it must continue to attract and retain qualified personnel and manage and train them effectively. Developing and commercializing the Nautilus Platform will require Nautilus to hire and retain scientific, sales and marketing, software, manufacturing, customer service, distribution and quality assurance personnel.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Nautilus expects that it will need to hire additional accounting, finance and other personnel as a public company. As a public company, Nautilus’ management and other personnel will need to devote a substantial amount of time towards maintaining compliance with these requirements and effectively manage these growth activities. Nautilus may face challenges integrating, developing and motivating its rapidly growing employee base.</w:t>
      </w:r>
    </w:p>
    <w:p>
      <w:pPr>
        <w:spacing w:after="0" w:line="11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Further, Nautilus’ anticipated growth will place additional strain on its suppliers and manufacturing facilities, resulting in an increased need for it to carefully monitor quality assurance. Any failure by Nautilus to manage its growth effectively could have an adverse effect on its ability to achieve its development and commercialization goals.</w:t>
      </w:r>
    </w:p>
    <w:p>
      <w:pPr>
        <w:spacing w:after="0" w:line="13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ability to successfully manage its expected growth is uncertain given the fact that it has been in operation only since 2016. As Nautilus continues to grow, it will be required to implement more complex organizational management structures, and may find it increasingly difficult to maintain the benefits of its corporate culture, including its ability to quickly develop and launch new and innovative products. If Nautilus does not successfully manage its anticipated growth, its business, results of operations, financial condition and prospects will be harmed.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Nautilus may acquire other companies or technologies, which could divert its management’s attention, result in additional dilution to its stockholders and otherwise disrupt its operations and harm its operating results.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Nautilus may in the future seek to acquire or invest in businesses, applications or technologies that it believes could complement or expand its Nautilus Platform or future products, enhance its technical capabilities or otherwise offer growth opportunities. The pursuit of potential acquisitions may divert the attention of Nautilus’ management and cause it to incur various costs and expenses in identifying, investigating and pursuing suitable acquisitions, whether or not they are consummated. Nautilus may not be able to identify desirable acquisition targets or be successful in entering into an agreement with any particular target or obtain the expected benefits of any acquisition or investment.</w:t>
      </w:r>
    </w:p>
    <w:p>
      <w:pPr>
        <w:spacing w:after="0" w:line="1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date, the growth of Nautilus’ operations has been organic, and it has limited experience in acquiring other businesses or technologies. Nautilus may not be able to successfully integrate acquired personnel, operations and technologies, or effectively manage the combined business following an acquisition. Acquisitions could also result in dilutive issuances of equity securities, the use of Nautilus’ available cash, or the incurrence of debt, which could harm Nautilus’ operating results. In addition, if an acquired business fails to meet Nautilus’ expectations, its operating results, business and financial condition may suffer.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unable to recruit and retain key executives and scientists, it may be unable to achieve its goals.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Nautilus’ performance is substantially dependent on the performance of its senior management and key scientific and technical personnel, particularly Sujal Patel, one of its founders and its Chief Executive Officer, and Parag Mallick, one of its founders and its Chief Scientist.</w:t>
      </w:r>
    </w:p>
    <w:p>
      <w:pPr>
        <w:spacing w:after="0" w:line="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loss of the services of any member of its senior management or its scientific or technical staff might significantly delay or prevent the development of its products or achievement of other business objectives by diverting management’s attention to transition matters and identification of suitable replacements, if any, and could have a material adverse effect on Nautilus’ business. Nautilus does not maintain fixed term employment contracts with any of its employees and does not maintain key man life insurance on any of its employees.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Nautilus’ research and product development efforts could be delayed or curtailed if it is unable to attract, train and retain highly skilled employees, particularly, senior scientists and engineers. To expand Nautilus’ research and product development efforts, it needs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Nautilus’ system and the dynamic market in which it competes, any failure to attract and retain a sufficient number of qualified employees could materially harm Nautilus’ ability to develop and commercialize its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Nautilus’ products could have unknown defects or errors, which may give rise to claims against it and adversely affect market adoption of the Nautilus Platform.</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Nautilus cannot assure you that material performance problems, defects or errors will not arise, and as Nautilus increases the density and integration of its Nautilus Platform, these risks may increase. Nautilus expects to provide warranties that its Nautilus Platform will meet performance expectations or be free from defects. The costs incurred in correcting any defects or errors may be substantial and could adversely affect Nautilus’ operating margins.</w:t>
      </w:r>
    </w:p>
    <w:p>
      <w:pPr>
        <w:spacing w:after="0" w:line="10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In manufacturing the Nautilus Platform, Nautilus depends upon third parties for the supply of various components. Many of these components require a significant degree of technical expertise to produce. If Nautilus’ suppliers fail to produce components to specification, or if the suppliers, or Nautilus, use defective materials or workmanship in the manufacturing process, the reliability and performance of Nautilus’ products will be compromised.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Nautilus’ products contain defects, it may experience:</w:t>
      </w:r>
    </w:p>
    <w:p>
      <w:pPr>
        <w:spacing w:after="0" w:line="17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its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damage to its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increased cost of its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diversion of resources from its manufacturing and research and development departments into its service department; and</w:t>
      </w:r>
    </w:p>
    <w:p>
      <w:pPr>
        <w:spacing w:after="0" w:line="171" w:lineRule="exact"/>
        <w:rPr>
          <w:rFonts w:ascii="Arial" w:cs="Arial" w:eastAsia="Arial" w:hAnsi="Arial"/>
          <w:sz w:val="18"/>
          <w:szCs w:val="18"/>
          <w:color w:val="auto"/>
        </w:rPr>
      </w:pPr>
    </w:p>
    <w:p>
      <w:pPr>
        <w:ind w:left="340" w:right="160" w:hanging="8"/>
        <w:spacing w:after="0" w:line="493" w:lineRule="auto"/>
        <w:tabs>
          <w:tab w:leader="none" w:pos="65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legal claims against it, including product liability claims, which could be costly and time consuming to defend and result in substantial damages. The occurrence of any one or more of the foregoing could negatively affect Nautilus’ business, financial condition and results of operations.</w:t>
      </w:r>
    </w:p>
    <w:p>
      <w:pPr>
        <w:spacing w:after="0" w:line="308" w:lineRule="auto"/>
        <w:rPr>
          <w:sz w:val="20"/>
          <w:szCs w:val="20"/>
          <w:color w:val="auto"/>
        </w:rPr>
      </w:pPr>
      <w:r>
        <w:rPr>
          <w:rFonts w:ascii="Arial" w:cs="Arial" w:eastAsia="Arial" w:hAnsi="Arial"/>
          <w:sz w:val="17"/>
          <w:szCs w:val="17"/>
          <w:b w:val="1"/>
          <w:bCs w:val="1"/>
          <w:i w:val="1"/>
          <w:iCs w:val="1"/>
          <w:color w:val="auto"/>
        </w:rPr>
        <w:t>If Nautilus commercializes its Nautilus Platform outside of the United States, its international business could expose it to business, regulatory, political, operational, financial, and economic risks associated with doing business outside of the United States.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Nautilus commercializes its Nautilus Platform outside of the United States, its international business may be adversely affected by changing economic, political and regulatory conditions in foreign countries. Engaging in international business inherently involves a number of difficulties and risks, including:</w:t>
      </w:r>
    </w:p>
    <w:p>
      <w:pPr>
        <w:spacing w:after="0" w:line="130"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4" w:lineRule="exact"/>
        <w:rPr>
          <w:sz w:val="20"/>
          <w:szCs w:val="20"/>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Nautilus operates and into which Nautilus may sell Nautilus’ products including as a result of the separation of the United Kingdom from the European Union (Brexit);</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one or more of these risks occurs, it could require Nautilus to dedicate significant resources to remedy such occurrence, and if it is unsuccessful in finding a solution, its financial results will suffer.</w:t>
      </w:r>
    </w:p>
    <w:p>
      <w:pPr>
        <w:spacing w:after="0" w:line="11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addition, if Nautilus commercializes its Nautilus Platform outside of the United States, it intends to rely on distributors for sales of its Nautilus Platform and related products. To do so Nautilus must attract distributors and maintain distributors to maximize the commercial opportunity for its platform. There is no guarantee that Nautilus will be successful in attracting or retaining desirable sales and distribution partners or that Nautilus will be able to enter into such arrangements on favorable terms. Distributors may not commit the necessary resources to market and sell Nautilus’ platform and related products to the level of Nautilus expectations or may choose to favor marketing the products of Nautilus’ competitors. If current or future distributors do not perform adequately, or Nautilus is unable to enter into effective arrangements with distributors in particular geographic areas, Nautilus may not realize long-term international revenue growth and its financial results will suffer.</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Nautilus’ business and operations.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Nautilus’ operations, particularly as a result of preventive and precautionary measures that Nautilus, other businesses, and governments are taking. Governmental mandates related to COVID-19 or other infectious diseases, or public health crises, have impacted, and Nautilus expects them to continue to impact, its personnel and personnel at its suppliers in the United States and other countries, and the availability or cost of materials, which would disrupt or delay Nautilus’ receipt of instruments, components and supplies from the third parties it relies on. For instance, “stay-at-home” orders have been imposed in California, where Nautilus’ primary research and development facility is located, and in Washington state, where Nautilus’ primary corporate facility is located, that require reductions in capacity or shutdowns of businesses as well as the implementation of social distancing protocols and other plans and measures. During March and April of 2020, the volume of ongoing lab work was reduced, and only critical program work in the lab has continued with staggered lab employee work shifts to minimize risk of exposure to COVID-19, which has and may continue to disrupt or delay Nautilus’ ability to conduct development activities. Additionally, Nautilus’ suppliers have also been impacted by the COVID-19 pandemic. For example, Nautilus has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To the extent that any governmental authority imposes additional regulatory requirements or changes existing laws, regulations, and policies that apply to Nautilus’ business and operations, such as additional workplace safety measures, Nautilus’ product development may be delayed, and it may incur further costs in bringing its business and operations into compliance with changing or new laws, regulations,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While Nautilus is currently in the development stage, it expects that substantially all of its revenue will be derived from sales of its Nautilus Platform, including its instruments and consumables, to biopharmaceutical companies and academic and research institutions. As Nautilus leaves the development stage and enters the next stage of its commercialization plan, the research and development budgets of these customers, the ability of such customers to receive funding for research, and the ability of such customers to receive instrument installations and visitors to their facilities and to travel to Nautilus’ facilities, other laboratories and industry events, will become increasingly important to the adoption of the Nautilus Platform. All of these considerations are impacted by factors beyond Nautilus’ control, such as:</w:t>
      </w:r>
    </w:p>
    <w:p>
      <w:pPr>
        <w:spacing w:after="0" w:line="138"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the Nautilus Platform;</w:t>
      </w:r>
    </w:p>
    <w:p>
      <w:pPr>
        <w:spacing w:after="0" w:line="171" w:lineRule="exact"/>
        <w:rPr>
          <w:rFonts w:ascii="Arial" w:cs="Arial" w:eastAsia="Arial" w:hAnsi="Arial"/>
          <w:sz w:val="18"/>
          <w:szCs w:val="18"/>
          <w:color w:val="auto"/>
        </w:rPr>
      </w:pPr>
    </w:p>
    <w:p>
      <w:pPr>
        <w:ind w:left="660" w:right="60" w:hanging="328"/>
        <w:spacing w:after="0" w:line="311" w:lineRule="auto"/>
        <w:tabs>
          <w:tab w:leader="none" w:pos="65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Nautilus’ instruments or consumables;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Nautilus’ customers and potential customers and their funding sources.</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Nautilus’ liquidity, capital resources, operations and business and those of the third parties on which Nautilus relies and could worsen over time. The extent to which the COVID-19 pandemic impacts Nautilus’ results will depend on future developments, which are highly uncertain and cannot be predicted, including new information which may emerge concerning the severity of COVID-19 and the actions to contain COVID-19 or treat its impact, among others. While Nautilus does not yet know the full extent of potential impacts on its business, any of these occurrences could significantly harm its business, results of operations and financial condition.</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Nautilus’ ability to raise capital and its business, results of operations and financial condition.</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Nautilus’ ability to raise additional capital through equity, equity-linked or debt financings, which could negatively impact Nautilus’ short-term and long-term liquidity and its ability to operate in accordance with its operating plan, or at all. Additionally, Nautilus’ results of operations could be adversely affected by general conditions in the global economy and financial markets. A severe or prolonged economic downturn could result in a variety of risks to Nautilus’ business, including weakened demand for its proteomics product platform and its ability to raise additional capital when needed on favorable terms, if at all. A weak or declining economy could strain Nautilus’ customers’ budgets or cause delays in their payments to us. Any of the foregoing could harm Nautilus’ business, and Nautilus cannot anticipate all of the ways in which the current economic climate and financial market conditions could adversely impact its ability to raise capital, business, results of operations and financial condition.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New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Effective internal controls over financial reporting are necessary for New Nautilus to provide reliable financial reports and, together with adequate disclosure controls and procedures, are designed to prevent fraud. Any failure to implement required new or improved controls, or difficulties encountered in their implementation, could cause New Nautilus to fail to meet its reporting obligations in a timely manner, or at all. In addition, any testing by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Nautilus conducted in connection with Section 404(a) of SOX or any subsequent testing by New Nautilus’ independent registered public accounting firm in connection with Section 404(b) of SOX, may reveal deficiencies in New Nautilus’ internal controls over financial reporting that are deemed to be significant deficiencies or material weaknesses or that may require prospective or retroactive changes to New Nautilus’ financial statements or identify other areas for further attention or improvement. Ineffective internal controls could also cause investors to lose confidence in New Nautilus’ reported financial information, which could have a negative effect on the trading price of its common stock.</w:t>
      </w:r>
    </w:p>
    <w:p>
      <w:pPr>
        <w:spacing w:after="0" w:line="12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New Nautilus will be required to disclose material changes made in its internal controls over financing reporting and procedures on a quarterly basis and its management will be required to assess the effectiveness of these controls annually. New Nautilus will be required to make a formal assessment of the effectiveness of its internal control over financial reporting, and once it ceases to be an “emerging growth company” under the JOBS Act, it will be required to include an attestation report on internal control over financial reporting issued by its independent registered public accounting firm. However, for as long as New Nautilus is an “emerging growth company”, its independent registered public accounting firm will not be required to attest to the effectiveness of New Nautilus’ internal controls over financial reporting pursuant to Section 404(b).</w:t>
      </w:r>
    </w:p>
    <w:p>
      <w:pPr>
        <w:spacing w:after="0" w:line="12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To achieve compliance with Section 404(a) within the prescribed period, New Nautilus will be engaging in a process to document and evaluate its internal control over financial reporting, which is both costly and challenging. In this regard, New Nautilus will need to continue to dedicate internal resources, potentially engage outside consultants and adopt a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New Nautilus could be an “emerging growth company” for up to five years from the date of ARYA’s initial public offering. An independent assessment of the effectiveness of New Nautilus’ internal controls could detect problems that New Nautilus’ management’s assessment might not identify. Undetected material weaknesses in New Nautilus’ internal controls could lead to financial statement restatements and require it to incur the expense of remediation.</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Nautilus’ estimates or judgments relating to its critical accounting policies are based on assumptions that change or prove to be incorrect, its results of operation could fall below its publicly announced guidance or the expectations of securities analysts and investors, resulting in a decline in the market price of its common stock.</w:t>
      </w:r>
    </w:p>
    <w:p>
      <w:pPr>
        <w:spacing w:after="0" w:line="13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Nautilus’ financial statements and accompanying notes. Nautilus bases its estimates on historical experience and estimates and on various other assumptions that it believes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Nautilus has product sales, management makes judgments and assumptions based on its interpretation of the new standard. The new revenue standard is principle-based and interpretation of those principles may vary from company to company based on their unique circumstances. It is possible that interpretation, industry practice and guidance may evolve as Nautilus applies the new standard. If Nautilus’ assumptions underlying Nautilus’ estimates and judgements relating to its critical accounting policies change or if actual circumstances differ from Nautilus’ assumptions, estimates or judgements, its operating results may be adversely affected and could fall below Nautilus’ publicly announced guidance or the expectations of securities analysts and investors, resulting in a decline in the market price of its common stock.</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Demand for Nautilus’ technology could be reduced by legal, social and ethical concerns surrounding the use of genetic information and biological materials.</w:t>
      </w:r>
    </w:p>
    <w:p>
      <w:pPr>
        <w:spacing w:after="0" w:line="11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Nautilus’ products may be used to provide genetic information or analyze biological materials from humans and other living organisms. The information obtained from Nautilus’ products could be used in a variety of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Nautilus’ products, which could have a material adverse effect on its business, financial condition and results of operations.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Nautilus’ facilities become unavailable or inoperable, Nautilus’ research and development program and commercialization launch plan could be adversely impacted and manufacturing of its instruments and consumables could be interrupted.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Nautilus’ Seattle, Washington, facility houses its corporate executive team and its software development operations, while its San Carlos, California, facility houses its research and development team.</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Nautilus’ facilities in Seattle and San Carlos are vulnerable to natural disasters, public health crises, including the impact of the COVID-19 pandemic, and catastrophic events. For example, Nautilus’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Nautilus’ ability to operate its business would be seriously, or potentially completely, impaired. If Nautilus’ facilities become unavailable for any reason, Nautilus cannot provide assurances that it will be able to secure alternative facilities with the necessary capabilities and equipment on acceptable terms, if at all. Nautilus may encounter particular difficulties in replacing its San Carlos facilities given the specialized equipment housed within it. The inability to manufacture Nautilus’ instruments or consumables, combined with its limited inventory of manufactured instruments and consumables, may result in the loss of future customers or harm Nautilus’ reputation, and it may be unable to re-establish relationships with those customers in the future.</w:t>
      </w:r>
    </w:p>
    <w:p>
      <w:pPr>
        <w:spacing w:after="0" w:line="1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Nautilus’ research and development program or planned commercialization program were disrupted by a disaster or catastrophe, the launch of new products, including the Nautilus Platform, and the timing of improvements to its products could be significantly delayed and could adversely impact Nautilus’ ability to compete with other available products and solutions. If Nautilus’ capabilities are impaired, Nautilus may not be able to manufacture and ship its products in a timely manner, which would adversely impact its business. Although Nautilus possesses insurance for damage to its property and the disruption of its business, this insurance may not be sufficient to cover all of its potential losses and may not continue to be available to Nautilus on acceptable terms, or at all.</w:t>
      </w:r>
    </w:p>
    <w:p>
      <w:pPr>
        <w:spacing w:after="0" w:line="1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Nautilus uses hazardous chemicals and biological materials in its business. Any claims relating to improper handling, storage or disposal of these materials could be time consuming and costly.</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Nautilus’ research and development processes involve the controlled use of hazardous materials, including select chemicals that may be flammables, toxic or corrosives. We do not currently have research processes involving biohazard materials. Nautilus cannot eliminate the risk of accidental contamination or discharge and any resultant injury from these materials. In addition, the Nautilus Platform involves the use of a high-powered laser system, which could result in injury. Nautilus may be sued for any injury or contamination that results from its use or the use by third parties of these materials. Nautilus does not currently maintain separate environmental liability coverage and any such contamination or discharge could result in significant cost to Nautilus in penalties, damages and suspension of Nautilus’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sued for product liability, it could face substantial liabilities that exceed its resources.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marketing, sale and use of Nautilus products could lead to the filing of product liability claims were someone to allege that Nautilus’ products identified inaccurate or incomplete information regarding the proteins analyzed or otherwise failed to perform as designed. Nautilus may also be subject to liability for errors in, a misunderstanding of or inappropriate reliance upon, the information it provides in the ordinary course of Nautilus’ business activities. A product liability claim could result in substantial damages and be costly and time-consuming for Nautilus to defend. Nautilus maintains/expects to maintain product liability insurance, but this insurance may not fully protect Nautilus from the financial impact of defending against product liability claims. Any product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4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claim brought against Nautilus, with or without merit, could increase Nautilus’ insurance rates or prevent Nautilus from securing insurance coverage in the future. Additionally, any product liability lawsuit could damage Nautilus’ reputation, or cause current customers to terminate existing agreements and potential partners to seek other partners, any of which could adversely impact Nautilus’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Intellectual Property</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commercial success depends in part on its ability to protect its intellectual property and proprietary technologies. Nautilus relies on patent protection, where appropriate and available, as well as a combination of copyright, trade secret and trademark laws, and nondisclosure, confidentiality and other contractual restrictions to protect its proprietary technology. However, these legal means afford only limited protection and may not adequately protect Nautilus’ rights or permit it to gain or keep any competitive advantage. If Nautilus fails to obtain, maintain and protect its intellectual property, third parties may be able to compete more effectively against Nautilus. In addition, Nautilus may incur substantial costs related to litigation or other patent proceedings in its attempts to recover or restrict use of its intellectual property.</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the extent Nautilus’ intellectual property offers inadequate protection, or is found to be invalid or unenforceable, Nautilus would be exposed to a greater risk of direct competition. If Nautilus’ intellectual property does not provide adequate coverage of its competitors’ products, its competitive position could be adversely affected, as could Nautilus’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success depends in large part on its and any future licensor’s ability to obtain and maintain protection of the intellectual property Nautilus may own or license, whether solely or jointly, particularly patents, in the United States and other countries with respect to Nautilus’ products and technologies. Nautilus applies for patents to protect its products, technologies and commercial activities, as it deems appropriate. However, obtaining and enforcing patents is costly, time-consuming and complex, and Nautilus may fail to apply for patents on important products and technologies in a timely fashion or at all, or it may fail to apply for patents in potentially relevant jurisdictions. Nautilus may not be able to file and prosecute all necessary or desirable patent applications, or maintain, enforce and license any patents that may issue from such patent applications, at a reasonable cost or in a timely manner or in all jurisdictions. It is also possible that Nautilus will fail to identify patentable aspects of its research and development output before it is too late to obtain patent protection. Moreover, Nautilus may not develop additional proprietary products, methods and technologies that are patentable. Nautilus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Nautilus’ business.</w:t>
      </w:r>
    </w:p>
    <w:p>
      <w:pPr>
        <w:spacing w:after="0" w:line="11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Nautilus’ intellectual property. As a result, the issuance, scope, validity, enforceability, and commercial value of Nautilus’ patent rights are highly uncertain. It is possible that none of Nautilus’ pending patent applications will result in issued patents in a timely fashion or at all, and even if issued, the patents may not provide a basis for intellectual property protection of commercially viable products or services, may not provide Nautilus with any competitive advantages, or may be challenged, narrowed or invalidated by third parties. Nautilus cannot predict the breadth of claims that may be allowed or enforced in its patents or in third-party patents. It is possible that third parties will design around Nautilus’ current or future patents such that Nautilus cannot prevent such third parties from using similar technologies and commercializing similar products to compete with Nautilus. Some of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owned or any future licensed patents or patent applications may be challenged at a future point in time and Nautilus may not be successful in defending any such challenges made against its patents or patent applications. Any successful third-party challenge to Nautilus’ patents could result in diminished or lost rights, for example, due to narrowing, unenforceability or invalidity of such patents and increased competition to Nautilus’ business. The outcome of patent litigation or other proceedings is generally uncertain, and any attempt by Nautilus to enforce its patent rights against others or to challenge the patent rights of others may not be successful, or, regardless of success, may take substantial time and result in substantial cost, and may divert Nautilus’ efforts and attention from other aspects of its business. Any of the foregoing events could have a material adverse effect on Nautilus’ business, financial condition and results of operations.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Nautilus’ existing patents or its ability to obtain patents in the future.</w:t>
      </w:r>
    </w:p>
    <w:p>
      <w:pPr>
        <w:spacing w:after="0" w:line="11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Nautilus’ patent applications and the enforcement or defense of its issued patents, all of which could have a material adverse effect on Nautilus’ business, financial condition, results of operations and prospects.</w:t>
      </w:r>
    </w:p>
    <w:p>
      <w:pPr>
        <w:spacing w:after="0" w:line="12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Nautilus’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Nautilus technology and commercial goals are impacted by these changes.</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Nautilus’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Nautilus’ ability to obtain new patents and to defend and enforce its existing patents and patents that it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Nautilus cannot assure you that its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Nautilus’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not be able to protect its intellectual property rights throughout the world.</w:t>
      </w:r>
    </w:p>
    <w:p>
      <w:pPr>
        <w:spacing w:after="0" w:line="171"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Filing, prosecuting and defending patents on the Nautilus Platform in all countries throughout the world would be prohibitively expensive, and Nautilus’ intellectual property rights in some countries outside the United States can be less extensive than those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Nautilus and any future licensor may encounter difficulties in protecting and defending such rights in foreign jurisdictions. Consequently, Nautilus and any future licensor may not be able to prevent third parties from practicing its inventions in some or all countries outside the United States, or from selling or importing products made using Nautilus’ or any future licensor’s inventions in and into the United States or other jurisdictions. Competitors and other third parties may be able to use Nautilus’ technologies in jurisdictions where Nautilus has not obtained patent protection to develop their own products and technologies and may also export infringing products to territories where Nautilus has patent protection, but enforcement is not as strong as that in the United States. These products may compete with Nautilus’ products. Nautilus’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Nautilus to stop the misappropriation or other violations of its intellectual property rights including infringement of its patents in such countries. The legal systems in certain countries may also favor state-sponsored companies or companies headquartered in particular jurisdictions over Nautilus’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Nautilus will not be able to enforce its rights against third parties that misappropriate its proprietary technology in those countries.</w:t>
      </w:r>
    </w:p>
    <w:p>
      <w:pPr>
        <w:spacing w:after="0" w:line="12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Proceedings to enforce Nautilus’ or any future licensor’s patent rights in foreign jurisdictions could result in substantial cost and divert Nautilus’ efforts and attention from other aspects of its business, could put its and any future licensor’s patents at risk of being invalidated or interpreted narrowly and its and any future licensor’s patent applications at risk of not issuing, and could provoke third parties to assert claims against Nautilus. Nautilus and any future licensor may not prevail in any lawsuits that it and any future licensor initiates, or that are initiated against it or any future licensor, and the damages or other remedies awarded, if any, may not be commercially meaningful. In addition, changes in the law and legal decisions by courts in the United States and foreign countries may affect Nautilus’ ability to obtain adequate protection for its products, services and other technologies and the enforcement of intellectual property. Accordingly, Nautilus’ efforts to enforce its intellectual property rights around the world may be inadequate to obtain a significant commercial advantage from the intellectual property that Nautilus develops or licenses. Any of the foregoing events could have a material adverse effect on Nautilus’ business, financial condition, results of operations and prospects.</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may become involved in lawsuits to defend against third-party claims of infringement, misappropriation or other violations of intellectual property or to protect or enforce Nautilus’ intellectual property, any of which could be expensive, time consuming and unsuccessful, and may prevent or delay its development and commercialization efforts.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Litigation may be necessary for Nautilus to enforce its patent and proprietary rights and/or to determine the scope, coverage and validity of others’ proprietary rights. Litigation on these matters has been prevalent in Nautilus’ industry and it expects that this will continue. To determine the priority of inventions, Nautilus may have to initiate and participate in interference proceedings declared by the U.S. Patent and Trademark Office that could result in substantial legal fees and could substantially affect the scope of Nautilus’ patent protection. Also, Nautilus’ intellectual property may be subject to significant administrative and litigation proceedings such as invalidity, unenforceability, re-examination and opposition proceedings against Nautilus’ patents. The outcome of any litigation or other proceeding is inherently uncertain and might not be favorable to Nautilus, and it might not be able to obtain licenses to technology that it requires or a competitor may have already obtained an exclusive license to such technology in all fields. Even if such licenses are obtainable, they may not be available at a reasonable cost. Nautilus could therefore incur substantial costs related to royalty payments for licenses obtained from third parties, which could negatively affect its gross margins. In some cases, the outcome of litigation may be to enjoin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commercializing a patent protected technology. Nautilus could encounter delays in product introductions, or interruptions in product sales, as it develops alternative methods or products.</w:t>
      </w:r>
    </w:p>
    <w:p>
      <w:pPr>
        <w:spacing w:after="0" w:line="1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addition, if Nautilus resorts to legal proceedings to enforce its intellectual property rights or to determine the validity, scope and coverage of the intellectual property or other proprietary rights of others, the proceedings could be burdensome and expensive, even if Nautilus were to prevail.</w:t>
      </w:r>
    </w:p>
    <w:p>
      <w:pPr>
        <w:spacing w:after="0" w:line="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Nautilus’ commercial success may depend in part on its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Nautilus’ products infringe their intellectual property rights as part of a business strategy to impede Nautilus’ successful entry into those markets. Third parties may assert that Nautilus is employing their proprietary technology without authorization. Nautilus is aware that there are issued third party patents that are in the general proteomics field. Specifically, Nautilus is aware of various U.S. patents and U.S. non-provisional applications assigned to Washington University and the National Institute of Health, with claims directed to characterizing and identifying a polypeptide strand.</w:t>
      </w:r>
    </w:p>
    <w:p>
      <w:pPr>
        <w:spacing w:after="0" w:line="14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addition, Nautilus’ competitors and others may have patents or may in the future obtain patents and may claim that use of Nautilus’ products infringes these patents. As Nautilus moves into new markets and applications for its products, incumbent participants in such markets may assert their patents and other proprietary rights against Nautilus as a means of slowing or preventing its entry into such markets, or as a means to extract substantial license and royalty payments from Nautilus.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Nautilus’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Nautilus’ owned and any future licensed patents and patent applications may be subject to validity, enforceability and priority disputes. The issuance of a patent is not conclusive as to its inventorship, scope, validity or enforceability. Some of Nautilus’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Nautilus’ patents in this or any other proceeding could result in the unenforceability or invalidity of such patents, which may lead to increased competition to Nautilus’ business, which could have a material adverse effect on its business, financial condition, results of operations and prospects. In addition, if Nautilus or any future licensor initiates legal proceedings against a third party to enforce a patent covering Nautilus’ products, the defendant could counterclaim that such patent covering Nautilus’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Nautilus’ patents in such a way that they no longer cover and protect its products. With respect to the validity of Nautilus’ patents, for example, Nautilus cannot be certain that there is no invalidating prior art of which Nautilus, any future licensor, Nautilus’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Nautilus would lose at least part, and perhaps all, of the patent protection for its products and technologies, which could have a material adverse effect on its business, financial condition, results of operations and prospects. In addition, if the breadth or strength of protection provided by Nautilus’ patents and patent applications is threatened, regardless of the outcome, it could dissuade companies from collaborating with Nautilus to license intellectual property or develop or commercialize current or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Nautilus may not be aware of all third-party intellectual property rights potentially relating to its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Nautilus might not have been the first to make the inventions covered by each of its pending patent applications and it might not have been the first to file patent applications for these inventions. To determine the priority of these inventions, Nautilus may have to participate in interference proceedings, derivation proceedings or other post-grant proceedings declared by the USPTO, or other similar proceedings in non-U.S. jurisdictions, that could result in substantial cost to Nautilus and the loss of valuable patent protection. The outcome of such proceedings is uncertain. No assurance can be given that other patent applications will not have priority over Nautilus’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Nautilus’ patents, regardless of the merit of such proceedings and regardless of whether Nautilus is successful, it could experience significant costs and its management may be distracted. Any of the foregoing events could have a material adverse effect on Nautilus’ business, financial condition, results of operations and prospects.</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protect the confidentiality of its trade secrets, the value of its technology could be materially adversely affected and its business could be harmed.</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Nautilus relies heavily on trade secrets and confidentiality agreements to protect its unpatented know-how, technology and other proprietary information, including parts of the Nautilus Platform, and to maintain its competitive position. However, trade secrets and know-how can be difficult to protect. In particular, Nautilus anticipates that with respect to its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pursuing patents on Nautilus’ technology, Nautilus takes steps to protect its intellectual property and proprietary technology by entering into agreements, including confidentiality agreements, non-disclosure agreements and intellectual property assignment agreements, with its employees, consultants, academic institutions, corporate partners and, when needed, its advisers. However, Nautilus cannot be certain that such agreements have been entered into with all relevant parties, and it cannot be certain that its trade secrets and other confidential proprietary information will not be disclosed or that competitors or other third parties will not otherwise gain access to Nautilus’ trade secrets or independently develop substantially equivalent information and techniques. For example, any of these parties may breach the agreements and disclose Nautilus’ proprietary information, including Nautilus’ trade secrets, and it may not be able to obtain adequate remedies for such breaches. Such agreements may not be enforceable or may not provide meaningful protection for Nautilus’ trade secrets or other proprietary information in the event of unauthorized use or disclosure or other breaches of the agreements, and Nautilus may not be able to prevent such unauthorized disclosure, which could adversely impact its ability to establish or maintain a competitive advantage in the market, business, financial condition, results of operations and prospects.</w:t>
      </w:r>
    </w:p>
    <w:p>
      <w:pPr>
        <w:spacing w:after="0" w:line="114"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Monitoring unauthorized disclosure is difficult, and Nautilus does not know whether the steps it has taken to prevent such disclosure are, or will be, adequate. If Nautilus was to enforce a claim that a third party had wrongfully obtained and was using Nautilus’ trade secrets, it would be expensive and time-consuming, it could distract Nautilus’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also seeks to preserve the integrity and confidentiality of its confidential proprietary information by maintaining physical security of its premises and physical and electronic security of its information technology systems, but it is possible that these security measures could be breached. If any of Nautilus’ confidential proprietary information were to be lawfully obtained or independently developed by a competitor or other third party, absent patent protection, Nautilus would have no right to prevent such competitor from using that technology or information to compete with Nautilus, which could harm Nautilus’ competitive position. Competitors or third parties could purchase Nautilus’ products and attempt to replicate some or all of the competitive advantages Nautilus derives from its development efforts, design around its protected technology, develop their own competitive technologies that fall outside the scope of Nautilus’ intellectual property rights or independently develop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technologies without reference to its trade secrets. If any of Nautilus’ trade secrets were to be disclosed to or independently discovered by a competitor or other third party, it could materially and adversely affect Nautilus’ business, financial condition, results of operations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subject to claims challenging the inventorship of its patents and other intellectual property.</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or any future licensor may be subject to claims that former employees, collaborators or other third parties have an interest in Nautilus’ patents, trade secrets or other intellectual property. For example, Nautilus or any future licensor may have inventorship disputes arise from conflicting obligations of employees, consultants or others who are involved in developing Nautilus’ products. In addition, counterparties to Nautilus’ consulting, software development, and other agreements may assert that they have an ownership interest in intellectual property developed under such arrangements. Litigation may be necessary to defend against claims challenging ownership or inventorship of Nautilus’ or any future licensor’s ownership of Nautilus’ patents, trade secrets or other intellectual property. If Nautilus or any future licensor fails in defending any such claims, in addition to paying monetary damages, Nautilus may lose valuable intellectual property rights, such as exclusive ownership of, or right to use, intellectual property that is important to the Nautilus Platform, including Nautilus’ software, workflows, consumables and reagent kits. In such an event, Nautilus may be required to obtain licenses from third parties and such licenses may not be available on commercially reasonable terms or at all, or may be non-exclusive. If Nautilus is unable to obtain and maintain such licenses, it may need to cease the development, manufacture or commercialization of its products and technologies. Even if Nautilus is successful in defending against such claims, litigation could result in substantial costs and be a distraction to management and other employees, and certain customers or partners may defer engaging with Nautilus until the particular dispute is resolved. Any of the foregoing could have a material adverse effect on Nautilus’ business, financial condition, results of operations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Nautilus may not be able to protect and enforce its trademarks and trade names, or build name recognition in its markets of interest thereby harming its competitive position.</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registered or unregistered trademarks or trade names that Nautilus owns may be challenged, infringed, circumvented, declared generic, lapsed or determined to be infringing on or dilutive of other marks. Nautilus may not be able to protect its rights in these trademarks and trade names, which it needs in order to build name recognition. In addition, third parties have filed, and may in the future file, for registration of trademarks similar or identical to Nautilus’ trademarks, thereby impeding Nautilus’ ability to build brand identity and possibly leading to market confusion. In addition, there could be potential trade name or trademark infringement claims brought by owners of other registered trademarks or trademarks that incorporate variations of Nautilus’ registered or unregistered trademarks or trade names. Further, Nautilus has and may in the future enter into agreements with owners of such third party trade names or trademarks to avoid potential trademark litigation which may limit Nautilus’ ability to use its trade names or trademarks in certain fields of business. Over the long term, if Nautilus is unable to establish name recognition based on its trademarks and trade names, then it may not be able to compete effectively, and its business, financial condition, results of operations and prospects may be adversely affected. Nautilus’ efforts to enforce or protect its proprietary rights related to trademarks, domain names, copyrights or other intellectual property may be ineffective and could result in substantial costs and diversion of resources. Any of the foregoing events could have a material adverse effect on Nautilus’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Nautilus’ competitive position on the Nautilus Platform for an adequate amount of time.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Nautilus’ products are obtained, once the patent life has expired, Nautilus may be open to competition from competitive products. If one of Nautilus’ products requires extended development, testing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regulatory review, patents protecting such products might expire before or shortly after such products are commercialized. As a result, Nautilus’ owned and licensed patent portfolio may not provide it with sufficient rights to exclude others from commercializing products similar or identical to Nautilus’, which could have a material adverse effect on its business, financial condition and results of operations.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Obtaining and maintaining Nautilus’ patent protection depends on compliance with various required procedures, document submissions, fee payments and other requirements imposed by governmental patent agencies, and Nautilus’ patent protection could be reduced or eliminated for non-compliance with these requirements.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Nautilus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Nautilus’ competitors may be able to enter the market without infringing its patents and this circumstance would have a material adverse effect on its business, financial condition, results of operations and prospects.</w:t>
      </w:r>
    </w:p>
    <w:p>
      <w:pPr>
        <w:spacing w:after="0" w:line="112"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Nautilus may be subject to claims that its employees, consultants or independent contractors have wrongfully used or disclosed confidential information of third parties or that its employees have wrongfully used or disclosed trade secrets of their former employers.</w:t>
      </w:r>
    </w:p>
    <w:p>
      <w:pPr>
        <w:spacing w:after="0" w:line="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Nautilus has employed and expects to employ individuals who were previously employed at universities or other companies, including, for example, Nautilus’ competitors or potential competitors. Although Nautilus tries to ensure that its employees, consultants, advisors and independent contractors do not use the proprietary information or know-how of others in their work for Nautilus, it may be subject to claims that its employees, advisors, consultants or independent contractors have inadvertently or otherwise used or disclosed intellectual property, including trade secrets or other proprietary information of their former employers or other third parties, or to claims that Nautilus have improperly used or obtained such trade secrets. Litigation may be necessary to defend against these claims. If Nautilus fails in defending such claims, in addition to paying monetary damages, it may lose valuable intellectual property rights and face increased competition to its business. Any such litigation or the threat thereof may adversely affect Nautilus’ ability to hire employees or contract with advisors, contractors and consultants. A loss of key research personnel work product could hamper or prevent Nautilus’ ability to commercialize potential products, which could harm its business. Even if Nautilus is successful in defending against these claims, litigation could result in substantial costs and be a distraction to management. This type of litigation or proceeding could substantially increase Nautilus’ operating losses and reduce its resources available for development activities. Some of Nautilus’ competitors may be able to sustain the costs of this type of litigation or proceedings more effectively than Nautilus can because of their substantially greater financial resources.</w:t>
      </w:r>
    </w:p>
    <w:p>
      <w:pPr>
        <w:spacing w:after="0" w:line="1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while it is Nautilus’ policy to require its employees and contractors who may be involved in the conception or development of intellectual property to execute agreements assigning such intellectual property to Nautilus, Nautilus may be unsuccessful in executing such an agreement with each party who, in fact, conceives or develops intellectual property that Nautilus regards as its own. The assignment of intellectual property rights may not be self-executing, or the assignment agreements may be breached, and Nautilus may be forced to bring claims against third parties, or defend claims that they may bring against Nautilus, to determine the ownership of what Nautilus regards as its intellectual property. Furthermore, individuals executing agreements with Nautilus may have pre-existing or competing obligations to a third party, such as an academic institution, and thus an agreement with Nautilus may be ineffective in perfecting ownership of inventions developed by that individual, which could have a material adverse effect on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Furthermore, Nautilus or any future licensor may in the future be subject to claims by former or current employees, consultants or other third parties asserting an ownership right or inventorship in Nautilus’ owned, or any future licensed, patents or patent applications. For example, Nautilus’ Founder and Chief Scientist is employed by Stanford University and a member of the Stanford Cancer Institute. Stanford University and the Stanford Cancer Institute may assert an ownership right in any of Nautilus’ owned patents or patent applications. Nautilus may have other consultants that are or have been employed by third parties, which may assert an ownership right in any of Nautilus’ owned patents or patent applications. In addition, Nautilus is aware that it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Nautilus’ ability to stop others from using or commercializing similar technology, without payment to Nautilus, or could limit the duration of the patent protection covering Nautilus’ technology and products. Such challenges may also result in Nautilus’ inability to develop, manufacture or commercialize its products without infringing third-party patent rights. Any of the foregoing could harm Nautilus’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Nautilus cannot license rights to use technologies on reasonable terms, it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identify third-party technology that it may need to license or acquire in order to develop or commercialize its products or technologies, including the Nautilus Platform. However, Nautilus may be unable to secure such licenses or acquisitions. The licensing or acquisition of third-party intellectual property rights is a competitive area, and several more established companies may pursue strategies to license or acquire third-party intellectual property rights that Nautilus may consider attractive or necessary. These established companies may have a competitive advantage over Nautilus due to their size, capital resources, or greater development and commercialization capabilities. In addition, companies that perceive Nautilus to be a competitor may be unwilling to assign or license rights to Nautilus.</w:t>
      </w:r>
    </w:p>
    <w:p>
      <w:pPr>
        <w:spacing w:after="0" w:line="13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Nautilus also may be unable to license or acquire third-party intellectual property rights on terms that would allow it to make an appropriate return on its investment or at all. In return for the use of a third party’s technology, Nautilus may agree to pay the licensor royalties based on sales of Nautilus’ products or services. Royalties are a component of cost of products or technologies and affect the margins on Nautilus’ products. Nautilus may also need to negotiate licenses to patents or patent applications before or after introducing a commercial product. Nautilus may not be able to obtain necessary licenses to patents or patent applications, and its business may suffer if it is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Nautilus’ use of open source software and failure to comply with the terms of the underlying open source software licenses could impose limitations on its ability to commercialize its products and provide third parties to its proprietary software.</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Nautilus combines its proprietary software with open source software in a certain manner, Nautilus could, under certain open source software licenses, be required to release the source code of its proprietary software to the public for free. This would allow Nautilus’ competitors and other third parties to create similar products with less development effort and time and ultimately could result in a loss of Nautilus’ product sales and revenue, which could have a material adverse effect on Nautilus’ business, financial condition, results of operations and prospects. In addition, some companies that use third-party open source software have faced claims challenging their use of such open source software and their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the terms of the applicable open source license. Nautilus may be subject to suits by third parties claiming ownership of what Nautilus believes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Although Nautilus reviews and monitors its use of open source software to avoid subjecting its proprietary software to conditions Nautilus does not intend, the terms of many open source software licenses have not been interpreted by United States courts, and there is a risk that these licenses could be construed in a way that could impose unanticipated conditions or restrictions on our ability to commercialize Nautilus’ products and proprietary software. Moreover, Nautilus cannot assure investors that Nautilus’ processes for monitoring and controlling its use of open source software in its products will be effective. If Nautilus is held to have breached the terms of an open source software license, Nautilus could be subject to damages, required to seek licenses from third parties to continue offering its products on terms that are not economically feasible, to re-engineer our products, to discontinue the sale of its products if re-engineering could not be accomplished on a timely basis, or to make generally available, in source code form, its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degree of future protection afforded by Nautilus’ intellectual property rights is uncertain because intellectual property rights have limitations, and may not adequately protect Nautilus’ business or permit it to maintain its competitive advantage. For example:</w:t>
      </w:r>
    </w:p>
    <w:p>
      <w:pPr>
        <w:spacing w:after="0" w:line="116" w:lineRule="exact"/>
        <w:rPr>
          <w:sz w:val="20"/>
          <w:szCs w:val="20"/>
          <w:color w:val="auto"/>
        </w:rPr>
      </w:pPr>
    </w:p>
    <w:p>
      <w:pPr>
        <w:ind w:left="660" w:right="68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Nautilus may develop or may be able to utilize similar technologies that are not covered by the claims of the patents that Nautilus owns or licenses now or in the future;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or any future licensor(s), might not have been the first to make the inventions covered by the issued patent or pending patent application that Nautilus licenses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Nautilus, or any future licensor(s), might not have been the first to file patent applications covering certain of Nautilus’ or their inventions;</w:t>
      </w:r>
    </w:p>
    <w:p>
      <w:pPr>
        <w:spacing w:after="0" w:line="182" w:lineRule="exact"/>
        <w:rPr>
          <w:rFonts w:ascii="Arial" w:cs="Arial" w:eastAsia="Arial" w:hAnsi="Arial"/>
          <w:sz w:val="17"/>
          <w:szCs w:val="17"/>
          <w:color w:val="auto"/>
        </w:rPr>
      </w:pPr>
    </w:p>
    <w:p>
      <w:pPr>
        <w:ind w:left="660" w:right="106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Nautilus’ technologies without infringing, misappropriating or otherwise violating Nautilus’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it is possible that Nautilus’ pending patent applications or those that it may license or own in the future will not lead to issued patents;</w:t>
      </w:r>
    </w:p>
    <w:p>
      <w:pPr>
        <w:spacing w:after="0" w:line="182" w:lineRule="exact"/>
        <w:rPr>
          <w:rFonts w:ascii="Arial" w:cs="Arial" w:eastAsia="Arial" w:hAnsi="Arial"/>
          <w:sz w:val="17"/>
          <w:szCs w:val="17"/>
          <w:color w:val="auto"/>
        </w:rPr>
      </w:pPr>
    </w:p>
    <w:p>
      <w:pPr>
        <w:ind w:left="660" w:right="86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issued patents that Nautilus holds rights to may be held invalid or unenforceable, including as a result of legal challenges by Nautilus’ competitors;</w:t>
      </w:r>
    </w:p>
    <w:p>
      <w:pPr>
        <w:spacing w:after="0" w:line="116"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Nautilus’ competitors might conduct research and development activities in countries where Nautilus does not have patent rights and then use the information learned from such activities to develop competitive products for sale in Nautilus’ major commercial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patents of others may harm Nautilus’ business;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Nautilus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these events occur, they could materially adversely affect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1" w:name="page92"/>
    <w:bookmarkEnd w:id="9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i w:val="1"/>
          <w:iCs w:val="1"/>
          <w:color w:val="auto"/>
        </w:rPr>
        <w:t>Although Nautilus’ products currently are not labeled or intended for any use which would subject it to regulation by the FDA or other regulatory authorities, if Nautilus elects to label and promote any of its products as clinical or medical device products, it would be subject to regulation in the future and would be required to obtain prior approval or clearance by the FDA or other regulatory authorities, which could take significant time and expense and could fail to result in FDA clearance or approval for the intended uses Nautilus believes are commercially attractive.</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Nautilus’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Nautilus elects to label and market Nautilus’ products for use as, or in the performance of, clinical diagnostics in the United States, thereby subjecting them to U.S. Food and Drug Administration (FDA) regulation as medical devices, Nautilus would be required to obtain premarket 510(k) clearance or premarket approval from the FDA, unless an exception applies.</w:t>
      </w:r>
    </w:p>
    <w:p>
      <w:pPr>
        <w:spacing w:after="0" w:line="13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in the future register with the FDA as a medical device manufacturer and list some of its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(QSRs), Nautilus would be subject to ongoing FDA “general controls,” which include compliance with FDA regulations for labeling, inspections by the FDA, complaint evaluation, corrections and removals reporting, promotional restrictions, reporting adverse events or malfunctions for Nautilus’ products, and general prohibitions against misbranding and adulteration.</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Nautilus may in the future submit 510(k) premarket notification applications to the FDA to obtain FDA clearance of certain of its products on a selective basis. It is possible, in the event Nautilus elects to submit 510(k) applications for certain of its products, that the FDA would take the position that a more burdensome premarket application, such as a premarket approval application (PMA) or a de novo application is required for some of Nautilus’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Nautilus’ products, and several months to years for the FDA to review a submission. Notwithstanding the effort and expense, FDA clearance or approval could be denied for some or all of Nautilus’ products for which it chooses to market as a medical device or a clinical diagnostic device. Even if Nautilus was to seek and obtain regulatory approval or clearance, it may not be for the intended uses it requests or that it believes are important or commercially attractive. There can be no assurance that future products for which Nautilus may seek premarket clearance or approval will be cleared or approved by the FDA or a comparable foreign regulatory authority on a timely basis, if at all, nor can there be assurance that labeling claims will be consistent with Nautilus’ anticipated claims or adequate to support continued adoption of such products. Compliance with FDA or comparable foreign regulatory authority regulations will require substantial costs, and subject Nautilus to heightened scrutiny by regulators and substantial penalties for failure to comply with such requirements or the inability to market Nautilus’ products. The lengthy and unpredictable premarket clearance or approval process, as well as the unpredictability of the results of any required clinical studies, may result in Nautilus’ failing to obtain regulatory clearance or approval to market such products, which would significantly harm Nautilus’ business, results of operations, reputation, and prospects.</w:t>
      </w:r>
    </w:p>
    <w:p>
      <w:pPr>
        <w:spacing w:after="0" w:line="11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Nautilus sought and received regulatory clearance or approval for certain of its products, Nautilus would be subject to ongoing FDA obligations and continued regulatory oversight and review, including the general controls listed above and the FDA’s QSRs for Nautilus’ development and manufacturing operations. In addition, Nautilus may be required to obtain a new 510(k) clearance before it could introduce subsequent modifications or improvements to such products. Nautilus could also be subject to additional FDA post-marketing obligations for such products, any or all of which would increase Nautilus’ costs and divert resources away from other projects. If Nautilus sought and received regulatory clearance or approval and are not able to maintain regulatory compliance with applicable laws, Nautilus could be prohibited from marketing its products for use as, or in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clinical diagnostics and/or could be subject to enforcement actions, including warning letters and adverse publicity, fines, injunctions, and civil penalties; recall or seizure of products; operating restrictions; and criminal prosecution.</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Nautilus could decide to seek regulatory clearance or approval for certain of Nautilus’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Nautilus may not be able to obtain foreign regulatory approvals on a timely basis or at all. Once the Brexit transition period ends, for medical device products the Nautilus intends to market in the U.K., Nautilus will be subject to regulatory requirements of the Medicines and Healthcare products Regulatory Agency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Nautilus’ ability to commercialize its products for diagnostic use outside of the United States.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Nautilus’ products could become subject to government regulation as medical devices by the FDA and other regulatory agencies even if it does not elect to seek regulatory clearance or approval to market Nautilus’ products for diagnostic purposes, which would adversely impact Nautilus’ ability to market and sell its products and harm its business. If Nautilus’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does not currently expect the Nautilus Platform to be subject to the clearance or approval of the FDA, as it is not intended to be used for the diagnosis, treatment or prevention of disease. However, as Nautilus expands its product line and the applications and uses of Nautilus’ current or products into new fields, certain of Nautilus’ future products could become subject to regulation by the FDA, or comparable international agencies, including requirements for regulatory clearance or approval of such products before they can be marketed. Also, even if Nautilus’ products are labeled, promoted, and intended as research use only (RUO), the FDA or comparable agencies of other countries could disagree with Nautilus’ conclusion that Nautilus’ products are intended for research use only or deem Nautilus’ sales, marketing and promotional efforts as being inconsistent with RUO products. For example, Nautilus’ customers may independently elect to use Nautilus’ RUO labeled products in their own laboratory developed tests (LDTs) for clinical diagnostic use. While the FDA has traditionally exercised enforcement discretion with LDTs, the FDA could take the view that Nautilus’ sale of its RUO labeled products were made with the knowledge that the products will be used as medical devices, and could therefore subject Nautilus’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Nautilus’ RUO products by Nautilus’ customers were done without Nautilus’ consent. If the FDA or other regulatory authorities assert that any of Nautilus’ RUO products are subject to regulatory clearance or approval, Nautilus’ business, financial condition, or results of operations could be adversely affected.</w:t>
      </w:r>
    </w:p>
    <w:p>
      <w:pPr>
        <w:spacing w:after="0" w:line="120"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Nautilus’ business and that of its customers. Such HHS measure may compel the FDA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Nautilus’ products. The adoption of new restrictions on RUO products, whether by the FDA or Congress, could adversely affect demand for Nautilus’ specialized reagents and instruments. Further, Nautilus could be required to obtain premarket clearance or approval before Nautilus can sell its products to certain customers.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sales of devices for diagnostic purposes may subject Nautilus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Nautilus is currently subject to, and may in the future become subject to additional, U.S. federal and state laws and regulations imposing obligations on how Nautilus collects, stores and processes personal information. Nautilus’ actual or perceived failure to comply with such obligations could harm its business. Ensuring compliance with such laws could also impair Nautilus’ efforts to maintain and expand its future customer base, and thereby decrease its revenue.</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ordinary course of Nautilus’ business, it currently, and, in the future, will, collect, store, transfer, use or process sensitive data, including personally identifiable information of employees, and intellectual property and proprietary business information owned or controlled by Nautilus and other parties. The secure processing, storage, maintenance, and transmission of this critical information are vital to Nautilus’ operations and business strategy. Nautilus is, and may increasingly become, subject to various laws and regulations, as well as contractual obligations, relating to data privacy and security in the jurisdictions in which it operates. The regulatory environment related to data privacy and security is increasingly rigorous, with new and constantly changing requirements applicable to Nautilus’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Nautilus’ business, financial condition, results of operations and prospects.</w:t>
      </w:r>
    </w:p>
    <w:p>
      <w:pPr>
        <w:spacing w:after="0" w:line="11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Act (CPRA), which amends and expands the CCPA. While most of the substantive provisions in CPRA will not take effect until 2023 and although the CCPA includes exemptions for certain clinical trial data, the law may increase Nautilus’ compliance costs and potential liability with respect to other personal information Nautilus collects about California customers. It is possible that these consumer, health-related and data protection laws may be interpreted and applied in a manner that is inconsistent with Nautilus’ practices. If so, this could result in government-imposed fines or orders requiring that Nautilus changes its practices, which could adversely affect its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Nautilus would become subject if it is enacted.</w:t>
      </w:r>
    </w:p>
    <w:p>
      <w:pPr>
        <w:spacing w:after="0" w:line="12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Nautilus’ contractual obligations can require complex factual and statistical analyses and may be subject to changing interpretation. Although Nautilus takes measures to protect sensitive data from unauthorized access, use or disclosure, Nautilus’ information technology and infrastructure may be vulnerable to attacks by hackers or viruses or breached due to employee error, malfeasance or other malicious or inadvertent disruptions. Any such breach or interruption could compromise Nautilus’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Nautilus’ reputation and its ability to compete.</w:t>
      </w:r>
    </w:p>
    <w:p>
      <w:pPr>
        <w:spacing w:after="0" w:line="13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is in the process of evaluating compliance needs but does not currently have in place formal policies and procedures related to the storage, collection and processing of information, and has not conducted any internal or external data privacy audits, to ensure Nautilus’ compliance with all applicable data protection laws and regulations. Additionally, Nautilus does not currently have policies and procedures in place for assessing its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Nautilus to modify its data processing practices and policies, distract management or divert resources from other initiatives and projects, all of which could have a material adverse effect on Nautilus’ business, financial condition, results of operations and prospects. Any failure or perceived failure by Nautilus or its third-party vendors, collaborators, contractors and consultants to comply with any applicable federal, state or similar foreign laws and regulations relating to data privacy and security, or could result in damage to Nautilus’ reputation, as well as proceedings or litigation by governmental agencies or other third parties, including class action privacy litigation in certain jurisdictions, which would subject Nautilus to significant fines, sanctions, awards, penalties or judgments, all of which could have a material adverse effect on Nautilus’ business, financial condition, results of operations and prospects.</w:t>
      </w:r>
    </w:p>
    <w:p>
      <w:pPr>
        <w:spacing w:after="0" w:line="114"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If Nautilus expands its development and commercialization activities outside of the United States, it will be subject to an increased risk of inadvertently conducting activities in a manner that violates the U.S. Foreign Corrupt Practices Act and similar laws. If that occurs, Nautilus may be subject to civil or criminal penalties which could have a material adverse effect on its business, financial condition, results of operations and growth prospects.</w:t>
      </w:r>
    </w:p>
    <w:p>
      <w:pPr>
        <w:spacing w:after="0" w:line="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Nautilus is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otherwise influence a person working in an official capacity. Nautilus is also subject to the UK Anti-Bribery Act, which prohibits both domestic and international bribery, as well as bribery across both public and private sectors.</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Nautilus chooses to establish and expand its commercial operations outside of the United States it will need to comply with non-U.S. regulatory requirements, will need to establish and expand business relationships with various third parties, and it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Nautilus’ business. Furthermore, any finding of a violation under one country’s laws may increase the likelihood that Nautilus will be prosecuted and be found to have violated another country’s laws. If Nautilus’ business practices outside the United States are found to be in violation of the FCPA, UK Anti-Bribery Act or other similar laws, Nautilus may be subject to significant civil and criminal penalties which could have a material adverse effect on Nautilus’ financial condition and results of operations.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Nautilus’ operations. Failure to comply with environmental laws and regulations could subject Nautilus to significant liability.</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Nautilus’ business. Nautilus’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its operations exposes Nautilus to the risk of accidental injury, contamination or other liability from the use, storage, importation, handling or disposal of hazardous materials. If Nautilus’ or its suppliers’ operations result in the contamination of the environment or expose individuals to hazardous substances, Nautilus could be liable for damages and fines, and any liability could significantly exceed Nautilus’ insurance coverage and have a material adverse effect on Nautilus’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Nautilus cannot assure you that violations of these laws and regulations will not occur in the future or have not occurred in the past as a result of human error, accidents, equipment failure or other causes. The expense associated with environmental regulation and remediation could harm Nautilus’ financial condition and operating results.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Nautilus’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Nautilus is exposed to the risk that its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Nautilus’ reputation. It is not always possible to identify and deter misconduct by these parties, and the precautions Nautilus takes to detect and prevent such misconduct may not be effective in controlling unknown or unmanaged risks or losses or in protecting Nautilus from governmental investigations or other actions or lawsuits stemming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failure to comply with these laws or regulations. If any such actions are instituted against Nautilus, and it is not successful in defending itself or asserting its rights, those actions could have a significant impact on Nautilus’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Nautilus’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New Nautilus’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New Nautilus’ common stock may never develop or be sustained.</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cannot assure you that an active trading market for New Nautilus’ common stock will develop on the Nasdaq or elsewhere. If an active trading market does not develop, or develops but is not maintained, you may have difficulty selling any of New Nautilus’ common stock due to the limited public float. Accordingly, we cannot assure you of your ability to sell your shares of New Nautilus’ common stock when desired or the prices that you may obtain for your shares.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Upon consummation of the Business Combination, the market price of New Nautilus’ common stock may be volatile, which could result in substantial losses for investors.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consummation of the Business Combination, the price of New Nautilus’ common stock may fluctuate due to a variety of factors, including:</w:t>
      </w:r>
    </w:p>
    <w:p>
      <w:pPr>
        <w:spacing w:after="0" w:line="183" w:lineRule="exact"/>
        <w:rPr>
          <w:sz w:val="20"/>
          <w:szCs w:val="20"/>
          <w:color w:val="auto"/>
        </w:rPr>
      </w:pPr>
    </w:p>
    <w:p>
      <w:pPr>
        <w:ind w:left="660" w:right="36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New Nautilus’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actual or anticipated fluctuations in New Nautilus’ operating results, including fluctuations in its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failure or discontinuation of any of New Nautilus’ product development and research programs;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New Nautilus’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New Nautilus’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New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investor perceptions of New Nautilus or its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level of expenses related to any of New Nautilus’ research and development programs or products;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actual or anticipated changes in New Nautilus’ estimates as to its financial results or development timelines, variations in its financial results or those of companies that are perceived to be similar to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7" w:name="page98"/>
    <w:bookmarkEnd w:id="97"/>
    <w:p>
      <w:pPr>
        <w:spacing w:after="0" w:line="14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Nautilus or changes in estimates or recommendations by securities analysts, if any, that cover New Nautilus’ common stock or companies that are perceived to be similar to New Nautilus;</w:t>
      </w:r>
    </w:p>
    <w:p>
      <w:pPr>
        <w:spacing w:after="0" w:line="116"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whether New Nautilus’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sales of New Nautilus’ common stock by New Nautilus or by its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New Nautilus’ common stock, regardless of New Nautilus’ actual operating performance. These fluctuations may be even more pronounced in the trading market for New Nautilus’ common stock. Following periods of such volatility in the market price of a company’s securities, securities class action litigation has often been brought against that company. Because of the potential volatility of New Nautilus’ common stock price, it may become the target of securities litigation in the future. Securities litigation could result in substantial costs and divert management’s attention and resources from its business.</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New Nautilus’ actual results, could adversely affect the price and trading volume of its common shares.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New Nautilus following consummation of the Business Combination. These projections may vary widely and may not accurately predict the results we actually achieve. The share price of New Nautilus’ common stock may decline if New Nautilus’ actual results do not match the projections of these securities research analysts. Similarly, if one or more of the analysts who write reports on New Nautilus downgrades its stock or publishes inaccurate or unfavorable research about its business, the share price of New Nautilus’ common stock could decline. If one or more of these analysts ceases coverage of New Nautilus or fails to publish reports on it regularly, the share price or trading volume of New Nautilus’ common stock could decline. While New Nautilus expects research analyst coverage following consummation of the Business Combination, if no analysts commence coverage of New Nautilus, the market price and volume for New Nautilus’ common shares could be adversely affected.</w:t>
      </w:r>
    </w:p>
    <w:p>
      <w:pPr>
        <w:spacing w:after="0" w:line="1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 significant portion of New Nautilus’ total outstanding shares will be restricted from immediate resale upon the closing of the Business Combination but may be sold into the market in the near future. This could cause the market price of New Nautilus’ common stock to drop significantly, even if New Nautilus’ business is doing well.</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Sales of a substantial number of shares of New Nautilus’ common stock in the public market could occur at any time. These sales, or the perception in the market that the holders of a large number of shares intend to sell shares, could reduce the market price of New Nautilus’ common stock.</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anticipated that, upon completion of the Business Combination, (i) the Nautilus stockholders (excluding the Perceptive Shareholders) will own, in respect of their existing Nautilus shares, collectively, approximately 66.2% of the outstanding New Nautilus common stock, (ii) ARYA’s initial shareholders and the Perceptive Shareholders will own approximately 10.2% of the outstanding New Nautilus common stock and (iii) the PIPE Investors other than the Perceptive PIPE Investor will own approximately 11.6% of the outstanding New Nautilus common stock, in each case, assuming that none of ARYA’s outstanding public shares are redeemed in connection with the Business Combination, or approximately 71.2%, 10.9% and 12.5%, respectively, assuming that 8,752,100 of ARYA’s outstanding public shares are redeemed in connection with the Business Combination, which is the estimated maximum number of shares that may be redeemed while still enabling the Aggregate Transaction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condition to be met. These percentages assume that 85,295,562 shares of New Nautilus’ common stock are issued to the holders of shares of common stock and preferred stock of Nautilus (including the Perceptive Shareholders) in respect of their existing Nautilus shares at Closing, which would be the number of shares of New Nautilus’ common stock issued to these holders if Closing were to occur on April 1, 2021. 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outstanding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 In addition, these percentages take into account the 20,000,000 shares of New Nautilus’ common stock to be issued in the PIPE Financing and do not take into account any shares of New Nautilus’ common stock underlying vested and unvested options that will be held by equityholders of New Nautilus immediately following Closing.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the Amended and Restated Registration Rights and Lock-Up Agreement and the Proposed Bylaws, after the consummation of the Business Combination and subject to certain exceptions, ARYA’s initial shareholders, the Perceptive Shareholders and the Nautilus Shareholders will be restricted from selling or transferring any shares of New Nautilus Common Stock. However, these shares may be sold after the expiration of the respective applicable lock-up under the Amended and Restated Registration Rights and Lock-Up Agreement and the Proposed Bylaws, as applicable. Pursuant to the Amended and Restated Registration Rights and Lock-Up Agreement and the Subscription Agreements, New Nautilus will be required to file one or more registration statements shortly after the closing of the Business Combination to provide for the resale of the shares issued in the PIPE Financing and the shares of New Nautilus Common Stock held by the parties to the Amended and Restated Registration Right and Lock-Up Agreement. As restrictions on resale end and the registration statements are available for use, the market price of New Nautilus Common Stock could decline if the holders of currently restricted shares sell them or are perceived by the market as intending to sell them.</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New Nautilus has broad discretion in the use of the net proceeds from the Business Combination and the PIPE Financing and may not use them effectively.</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New Nautilus cannot specify with certainty the particular uses of the net proceeds it will receive from the Business Combination and the PIPE Financing. New Nautilus’ management will have broad discretion in the application of the net proceeds. New Nautilus’ management may spend a portion or all of the net proceeds in ways that its stockholders may not desire or that may not yield a favorable return. The failure by New Nautilus’ management to apply these funds effectively could harm its business, financial condition, results of operations and prospects. Pending their use, New Nautilus may invest the net proceeds from the Business Combination and the PIPE Financing in a manner that does not produce income or that loses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Nautilus does not expect to pay any dividends for the foreseeable future. Investors may never obtain a return on their investment.</w:t>
      </w:r>
    </w:p>
    <w:p>
      <w:pPr>
        <w:spacing w:after="0" w:line="18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You should not rely on an investment in New Nautilus Common Stock to provide dividend income. New Nautilus does not anticipate that it will pay any dividends to holders of its common stock in the foreseeable future. Instead, New Nautilus plans to retain any earnings to maintain and expand its existing operations, fund its research and development programs and continue to invest in its commercial infrastructure. In addition, any future credit facility or financing New Nautilus obtains may contain terms prohibiting or limiting the amount of dividends that may be declared or paid on New Nautilus Common Stock. Accordingly, investors must rely on sales of their common stock after price appreciation, which may never occur, as the only way to realize any return on their investment. As a result, investors seeking cash dividends should not purchase New Nautilus Common Stock.</w:t>
      </w:r>
    </w:p>
    <w:p>
      <w:pPr>
        <w:spacing w:after="0" w:line="1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New Nautilus’ bylaws designate a state or federal court located within the State of Delaware as the exclusive forum for substantially all disputes between New Nautilus and its stockholders, and also provide that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district courts will be the exclusive forum for resolving any complaint asserting a cause of action arising under the Securities Act of 1933, as amended, each of which could limit New Nautilus’ stockholders’ ability to choose the judicial forum for disputes with New Nautilus or its directors, officers, stockholders, or employees.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3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New Nautilus’ bylaws also provide that, unless New Nautilus consents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New Nautilus’ securities shall be deemed to have notice of and consented to the foregoing bylaw provisions. Although New Nautilus believes these exclusive forum provisions benefit it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New Nautilus or any of its directors, officers, stockholders, or other employees, which may discourage lawsuits with respect to such claims against New Nautilus and its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New Nautilus’ stockholders will not be deemed to have waived New Nautilus’ compliance with the federal securities laws and the rules and regulations thereunder as a result of New Nautilus’ exclusive forum provisions. Further, in the event a court finds either exclusive forum provision contained in New Nautilus’ bylaws to be unenforceable or inapplicable in an action, New Nautilus may incur additional costs associated with resolving such action in other jurisdictions, which could harm its results of operations.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Delaware law and provisions in New Nautilus’ certificate of incorporation and bylaws that will be in effect as of the closing of the Business Combination might discourage, delay or prevent a change in control of New Nautilus’ company or changes in its management and, therefore, depress the trading price of New Nautilus’ common stock.</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New Nautilus’ status as a Delaware corporation and the anti-takeover provisions of the Delaware General Corporation Law may discourage, delay or prevent a change in control by prohibiting New Nautilus from engaging in a business combination with an interested stockholder for a period of three years after the person becomes an interested stockholder without the approval of holders of 66 2/3% of the voting power of New Nautilus’ stockholders other than the interested stockholder, even if a change of control would be beneficial to New Nautilus’ existing stockholders. In addition, New Nautilus’ certificate of incorporation and bylaws contain provisions that may make the acquisition of New Nautilus’ company more difficult, including the following:</w:t>
      </w:r>
    </w:p>
    <w:p>
      <w:pPr>
        <w:spacing w:after="0" w:line="107" w:lineRule="exact"/>
        <w:rPr>
          <w:sz w:val="20"/>
          <w:szCs w:val="20"/>
          <w:color w:val="auto"/>
        </w:rPr>
      </w:pPr>
    </w:p>
    <w:p>
      <w:pPr>
        <w:ind w:left="660" w:right="8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New Nautilus’ board of directors will be classified into three classes of directors with staggered three-year terms and directors will only be able to be removed from office for cause by the affirmative vote of holders of at least two-thirds of the voting power of New Nautilus’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left="660" w:right="4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amendments to New Nautilus’ certificate of incorporation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New Nautilus’ bylaws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New Nautilus’ stockholders will only be able to take action at a meeting of stockholders and will not be able to take action by written consent for any matter;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vacancies on New Nautilus’ board of directors will be able to be filled only by New Nautilus’ board of directors and not by stockholders;</w:t>
      </w:r>
    </w:p>
    <w:p>
      <w:pPr>
        <w:spacing w:after="0" w:line="18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only the chair of New Nautilus’ board of directors, its chief executive officer, its president or a majority of the New Nautilus’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litigation against New Nautilus can only be brought in Delaware;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New Nautilus’ certificate of incorporation authorizes undesignated preferred stock, the terms of which may be established by the New Nautilus Board and shares of which may be issued, without the approval of the holders of New Nautilus’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New Nautilus’ company. These provisions could also discourage proxy contests and make it more difficult for stockholders to elect directors of their choosing and to cause us to take other corporate actions they desire, any of which, under certain circumstances, could limit the opportunity for New Nautilus’ stockholders to receive a premium for their shares of New Nautilus’ capital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ability to use net operating losses to offset future taxable income may be subject to certain limitations.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of December 31, 2020, Nautilus had U.S. federal and state net operating loss carryforwards, or NOLs, of $21.3 million, which if not utilized will expire in 2037 for state purposes. New Nautilus may use these NOLs to offset against taxable income for U.S. federal and state income tax purposes. However, Section 382 of the Internal Revenue Code of 1986, as amended, may limit the NOLs New Nautilus may use in any year for U.S. federal income tax purposes in the event of certain changes in ownership of New Nautilus’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New Nautilus has not conducted a 382 study to determine whether the use of New Nautilus’ NOLs is impaired. New Nautilus may have previously undergone an “ownership change.” In addition, the Business Combination and PIPE Financing, or future issuances or sales of New Nautilus’ stock, including certain transactions involving New Nautilus’ stock that are outside of its control, could result in future “ownership changes.” “Ownership changes” that have occurred in the past or that may occur in the future, including in connection with the Business Combination and PIPE Financing, could result in the imposition of an annual limit on the amount of pre-ownership change NOLs and other tax attributes New Nautilus can use to reduce its taxable income, potentially increasing and accelerating its liability for income taxes, and also potentially causing those tax attributes to expire unused. States may impose other limitations on the use of New Nautilus’ NOLs. Any limitation on using NOLs could, depending on the extent of such limitation and the NOLs previously used, result in New Nautilus’ retaining less cash after payment of U.S. federal and state income taxes during any year in which we have taxable income, rather than losses, than New Nautilus would be entitled to retain if such NOLs were available as an offset against such income for U.S. federal and state income tax reporting purposes, which could adversely impact New Nautilus’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4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New Nautilus will continue to be an “emerging growth company” and a “smaller reporting company” as of the closing of the Business Combination and the reduced disclosure requirements applicable to emerging growth companies and smaller reporting companies may make New Nautilus’ common stock less attractive to investors.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ARYA is an “emerging growth company,” as defined in the JOBS Act. For so long as New Nautilus remains an emerging growth company following the closing of the Business Combination, it is permitted by SEC rules and plans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New Nautilus provides stockholders will be different than the information that is available with respect to other public companies that are not emerging growth companies. In this proxy statement/prospectus, not all of the executive compensation related information that would be required if ARYA was not an emerging growth company has been included. To the extent that New Nautilus continues to qualify as a “smaller reporting company,” as such term is defined in Rule 12b-2 under the Securities Exchange Act of 1934, after New Nautilus ceases to qualify as an emerging growth company, New Nautilus will continue to be permitted to make certain reduced disclosures in New Nautilus’ periodic reports and other documents that it files with the SEC. New Nautilus cannot predict whether investors will find its common stock less attractive if it relies on these exemptions. If some investors find New Nautilus’ common stock less attractive as a result, there may be a less active trading market for New Nautilus’ common stock and its stock price may be more volatile.</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New Nautilus has elected to avail itself of this exemption from new or revised accounting standards and, therefore, it will not be subject to the same new or revised accounting standards as other public companies that are not emerging growth companies. As a result, New Nautilus’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will incur significant increased costs and management resources as a result of operating as a public company.</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public company, New Nautilus will incur significant legal, accounting, compliance and other expenses that it did not incur as a private company and these expenses may increase even more after it is no longer an “emerging growth company.” New Nautilus’ management and other personnel will need to devote a substantial amount of time and incur significant expense in connection with compliance initiatives. For example, in anticipation of becoming a public company, New Nautilus will need to adopt additional internal controls and disclosure controls and procedures, retain a transfer agent and adopt an insider trading policy. As a public company, New Nautilus will bear all of the internal and external costs of preparing and distributing periodic public reports in compliance with New Nautilus’ obligations under the securities laws.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New Nautilus intends to invest resources to comply with evolving laws, regulations and standards, and this investment will result in increased general and administrative expenses and may divert management’s time and attention from New Nautilus’ other business activities. If New Nautilus’ efforts to comply with new laws, regulations and standards differ from the activities intended by regulatory or governing bodies due to ambiguities related to practice, regulatory authorities may initiate legal proceedings against New Nautilus, and its business may be harmed. In the future, it may be more expensive or more difficult for New Nautilus to obtain director and officer liability insurance, and New Nautilus may be required to accept reduced coverage or incur substantially higher costs to obtain coverage. These factors could also make it more difficult for New Nautilus to attract and retain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44" w:lineRule="exact"/>
        <w:rPr>
          <w:sz w:val="20"/>
          <w:szCs w:val="20"/>
          <w:color w:val="auto"/>
        </w:rPr>
      </w:pPr>
    </w:p>
    <w:p>
      <w:pPr>
        <w:ind w:right="1100"/>
        <w:spacing w:after="0" w:line="438" w:lineRule="auto"/>
        <w:rPr>
          <w:sz w:val="20"/>
          <w:szCs w:val="20"/>
          <w:color w:val="auto"/>
        </w:rPr>
      </w:pPr>
      <w:r>
        <w:rPr>
          <w:rFonts w:ascii="Arial" w:cs="Arial" w:eastAsia="Arial" w:hAnsi="Arial"/>
          <w:sz w:val="18"/>
          <w:szCs w:val="18"/>
          <w:color w:val="auto"/>
        </w:rPr>
        <w:t xml:space="preserve">members of its board of directors, particularly to serve on its audit committee and compensation committee, and qualified executive officers. </w:t>
      </w:r>
      <w:r>
        <w:rPr>
          <w:rFonts w:ascii="Arial" w:cs="Arial" w:eastAsia="Arial" w:hAnsi="Arial"/>
          <w:sz w:val="18"/>
          <w:szCs w:val="18"/>
          <w:b w:val="1"/>
          <w:bCs w:val="1"/>
          <w:color w:val="auto"/>
        </w:rPr>
        <w:t>Risks Related to the Business Combination and ARYA</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Sponsor and our initial shareholders have entered into letter agreements with us to vote in favor of the Business Combination, regardless of how our public shareholders vote.</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Unlike some other blank check companies in which the initial shareholders agree to vote their shares in accordance with the majority of the votes cast by the public shareholders in connection with an initial business combination, our Sponsor and each other initial shareholder, pursuant to the Sponsor Letter Agreement, has agreed, among other things, to vote all of their public shares and Class B ordinary shares in favor of all the proposals being presented at the extraordinary general meeting, including the Business Combination Proposal and the transactions contemplated thereby (including the Merger). As of the date of this proxy statement/prospectus, our initial shareholders own approximately 22.1% of the issued and outstanding ordinary shares.</w:t>
      </w:r>
    </w:p>
    <w:p>
      <w:pPr>
        <w:spacing w:after="0" w:line="10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Neither the ARYA Board nor any committee thereof obtained a third-party valuation in determining whether or not to pursue the Business Combination.</w:t>
      </w:r>
    </w:p>
    <w:p>
      <w:pPr>
        <w:spacing w:after="0" w:line="116"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Neither the ARYA Board nor any committee thereof is required to obtain an opinion from an independent investment banking or accounting firm that the price that ARYA is paying for Nautilus is fair to ARYA from a financial point of view. Neither the ARYA Board nor any committee thereof obtained a third party valuation in connection with the Business Combination. In analyzing the Business Combination, the ARYA Board and management conducted due diligence on Nautilus and researched the industry in which Nautilus operates. The ARYA Board reviewed, among other things, financial due diligence materials prepared by professional advisors, including quality of earnings reports and tax due diligence reports, financial and market data information on selected comparable companies, the implied purchase price multiple of Nautilus and the financial terms set forth in the Business Combination Agreement, and concluded that the Business Combination was in the best interest of its shareholders. Accordingly, investors will be relying solely on the judgment of the ARYA Board and management in valuing Nautilus, and the ARYA Board and management may not have properly valued Nautilus’ business. The lack of a third-party valuation may also lead an increased number of shareholders to vote against the Business Combination or demand redemption of their shares, which could potentially impact our ability to consummate the Business Combination.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triggered an economic crisis which may delay or prevent the consummation of the Business Combination.</w:t>
      </w:r>
    </w:p>
    <w:p>
      <w:pPr>
        <w:spacing w:after="0" w:line="18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December 2019, a coronavirus (COVID-19) outbreak was reported in China, and, in March 2020, the World Health Organization declared it a pandemic. Since being initially reported in China, the coronavirus has spread throughout the world and has resulted in unprecedented restrictions and limitations on operations of many businesses, educational institutions and governmental entities, including in the United States and Canada. Given the ongoing and dynamic nature of the COVID-19 crisis, it is difficult to predict the impact on the business of ARYA, Nautilus and New Nautilus, and there is no guarantee that efforts by ARYA, Nautilus and New Nautilus to address the adverse impact of COVID-19 will be effective. If ARYA or Nautilus are unable to recover from a business disruption on a timely basis, the Business Combination and New Nautilus’ business and financial conditions and results of operations following the completion of the Business Combination would be adversely affected. The Business Combination may also be delayed and adversely affected by the coronavirus pandemic, and become more costly. Each of ARYA and Nautilus may also incur additional costs to remedy damages caused by such disruptions, which could adversely affect its financial condition and results of operations.</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Since the initial shareholders, including ARYA’s directors and executive officers, have interests that are different, or in addition to (and which may conflict with), the interests of our shareholders, a conflict of interest may have existed in determining whether the Business Combination with Nautilus is appropriate as our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business combination. Such interests include that Sponsor, as well as our executive officers and directors, will lose their entire investment in us if our business combination is not completed.</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(which may conflict with), those of ARYA shareholders generally.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 the interests listed below:</w:t>
      </w:r>
    </w:p>
    <w:p>
      <w:pPr>
        <w:spacing w:after="0" w:line="171" w:lineRule="exact"/>
        <w:rPr>
          <w:sz w:val="20"/>
          <w:szCs w:val="20"/>
          <w:color w:val="auto"/>
        </w:rPr>
      </w:pPr>
    </w:p>
    <w:p>
      <w:pPr>
        <w:ind w:left="660" w:right="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fact that the Amended and Restated Registration Rights and Lock-Up Agreement will be entered into by Messrs. Wider, Campbell and Islam;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36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Business Combination Proposal—Interests of ARYA’s Directors and Executive Officers in the Business Combination</w:t>
      </w:r>
      <w:r>
        <w:rPr>
          <w:rFonts w:ascii="Arial" w:cs="Arial" w:eastAsia="Arial" w:hAnsi="Arial"/>
          <w:sz w:val="18"/>
          <w:szCs w:val="18"/>
          <w:color w:val="auto"/>
        </w:rPr>
        <w:t>” for additional information on interests of ARYA’s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4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personal and financial interests of the initial shareholders as well as ARYA’s directors and executive officers may have influenced their motivation in identifying and selecting Nautilus as business combination targets, completing an initial business combination with Nautilus and influencing the operation of the business following the initial business combination. In considering the recommendations of the ARYA Board to vote for the proposals, its shareholders should consider these interests.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exercise of ARYA’s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ARYA’s shareholders’ best interest.</w:t>
      </w:r>
    </w:p>
    <w:p>
      <w:pPr>
        <w:spacing w:after="0" w:line="13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the period leading up to the closing of the Business Combination, events may occur that, pursuant to the Business Combination Agreement, would require ARYA to agree to amend the Business Combination Agreement, to consent to certain actions taken by Nautilus or to waive rights that ARYA is entitled to under the Business Combination Agreement. Such events could arise because of changes in the course of Nautilus’ business, a request by Nautilus to undertake actions that would otherwise be prohibited by the terms of the Business Combination Agreement or the occurrence of other events that would have a material adverse effect on Nautilus’ business and would entitle ARYA to terminate the Business Combination Agreement. In any of such circumstances, it would be at ARYA’s discretion, acting through its board of directors, to grant its consent or waive those rights. The existence of financial and personal interests of one or more of the directors described in the preceding risk factors may result in a conflict of interest on the part of such director(s) between what he or they may believe is best for ARYA and its shareholders and what he or they may believe is best for himself or themselves in determining whether or not to take the requested action. As of the date of this proxy statement/prospectus, ARYA does not believe there will be any changes or waivers that ARYA’s directors and executive officers would be likely to make after shareholder approval of the Business Combination Proposal has been obtained. While certain changes could be made without further shareholder approval, ARYA will circulate a new or amended proxy statement/prospectus and resolicit ARYA’s shareholders if changes to the terms of the transaction that would have a material impact on its shareholders are required prior to the vote on the Business Combination Proposal.</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Nautilus Shareholders, excluding any shares currently held by affiliates of Perceptive Advisors in Nautilus, will have significant influence over us after completion of the Business Combination.</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Based on the assumptions discussed in “</w:t>
      </w:r>
      <w:r>
        <w:rPr>
          <w:rFonts w:ascii="Arial" w:cs="Arial" w:eastAsia="Arial" w:hAnsi="Arial"/>
          <w:sz w:val="16"/>
          <w:szCs w:val="16"/>
          <w:i w:val="1"/>
          <w:iCs w:val="1"/>
          <w:color w:val="auto"/>
        </w:rPr>
        <w:t>Business Combination Proposal—Ownership of New Nautilus</w:t>
      </w:r>
      <w:r>
        <w:rPr>
          <w:rFonts w:ascii="Arial" w:cs="Arial" w:eastAsia="Arial" w:hAnsi="Arial"/>
          <w:sz w:val="16"/>
          <w:szCs w:val="16"/>
          <w:color w:val="auto"/>
        </w:rPr>
        <w:t>,” upon the completion of the Business Combination, the Nautilus Shareholders, will own, collectively, approximately 66.2% of the outstanding New Nautilus Common Stock, assuming that none of ARYA’s outstanding public shares are redeemed in connection with the Business Combination or approximately 75.2% of the outstanding New Nautilus Common Stock, assuming that all of ARYA’s outstanding public shares are redeemed in connection with the Business Combination. Some of these persons or entities may have interests different than yours. For example, because many of these stockholders purchased their shares at prices substantially below the price at which shares are being sold in this transaction and have held their shares for a longer period, they may be more interested in selling the Company to an acquirer than other investors or they may want New Nautilus to pursue strategies that deviate from the interests of other stockholders.</w:t>
      </w:r>
    </w:p>
    <w:p>
      <w:pPr>
        <w:spacing w:after="0" w:line="11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Subsequent to consummation of the Business Combination, we may be required to subsequently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assure you that the due diligence conducted in relation to Nautilus has identified all material issues or risks associated with Nautilus, its business or the industry in which it competes. As a result of these factors, we may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perceptions about our securities or New Nautilus. Accordingly, any shareholders of ARYA who choose to remain New Nautilus stockholders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key personnel of New Nautilus, some of whom may be from ARYA and Nautilus, and some of whom may join New Nautilus following the Business Combination. The loss of key personnel or the hiring of ineffective personnel after the Business Combination could negatively impact the operations and profitability of New Nautilus.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ability to successfully effect the Business Combination and be successful thereafter will be dependent upon the efforts of our key personnel. Although some of ARYA’s key personnel may remain with the target business in senior management or advisory positions following our business combination, we expect New Nautilus’ current management to remain in place. We cannot assure you that we will be successful in integrating and retaining such key personnel, or in identifying and recruiting additional key individuals we determine may be necessary following the Business Combination.</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elsewhere in this proxy statement/prospectus may not be indicative of what New Nautilus’ actual financial position or results of operations would have been.</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unaudited pro forma combined financial information in this proxy statement/prospectus is presented for illustrative purposes only and has been prepared based on a number of assumptions including, but not limited to, Nautilus being considered the accounting acquirer in the Business Combination, and the cash and cash equivalents of Nautilus at the Closing and the number of public shares that are redeemed in connection with the Business Combination. Accordingly, such pro forma combined financial information may not be indicative of our future operating or financial performance and our actual financial condition and results of operations may vary materially from our pro forma results of operations and balance sheet contained elsewhere in this proxy statement/prospectus, including as a result of such assumptions not being accurate. See the section entitled “</w:t>
      </w:r>
      <w:r>
        <w:rPr>
          <w:rFonts w:ascii="Arial" w:cs="Arial" w:eastAsia="Arial" w:hAnsi="Arial"/>
          <w:sz w:val="18"/>
          <w:szCs w:val="18"/>
          <w:i w:val="1"/>
          <w:iCs w:val="1"/>
          <w:color w:val="auto"/>
        </w:rPr>
        <w:t>Unaudited Pro Forma Combined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public shares may not allow us to complete the most desirable business combination or optimize the capital structure of New Nautilus.</w:t>
      </w:r>
    </w:p>
    <w:p>
      <w:pPr>
        <w:spacing w:after="0" w:line="11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At the time of entering into the Business Combination Agreement, we did not know how many shareholders may exercise their redemption rights, and therefore, we needed to structure the transaction based on our expectations as to the number of shares that will be submitted for redemption. The consummation of the Business Combination is conditioned upon, among other things, (i) the approval of the Condition Precedent Proposals being obtained;</w:t>
      </w:r>
    </w:p>
    <w:p>
      <w:pPr>
        <w:spacing w:after="0" w:line="2" w:lineRule="exact"/>
        <w:rPr>
          <w:sz w:val="20"/>
          <w:szCs w:val="20"/>
          <w:color w:val="auto"/>
        </w:rPr>
      </w:pPr>
    </w:p>
    <w:p>
      <w:pPr>
        <w:ind w:right="440" w:firstLine="8"/>
        <w:spacing w:after="0" w:line="277" w:lineRule="auto"/>
        <w:tabs>
          <w:tab w:leader="none" w:pos="26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applicable waiting period under the HSR Act relating to the Business Combination Agreement having expired or been terminated; and (iii) the Aggregate Transaction Proceeds Condition. Therefore, unless these conditions are waived by the applicable parties to the Business Combination Agreement, the Business Combination Agreement could terminate and the Business Combination may not be consummated.</w:t>
      </w:r>
    </w:p>
    <w:p>
      <w:pPr>
        <w:spacing w:after="0" w:line="1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Sponsor, as well as Nautilus, our directors, executive officers, advisors and their affiliates may elect to purchase public shares prior to the consummation of the Business Combination, which may influence the vote on the Business Combination and reduce the public “float” of our Class A ordinary shares.</w:t>
      </w:r>
    </w:p>
    <w:p>
      <w:pPr>
        <w:spacing w:after="0" w:line="13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Incentive Award Plan Proposal, the Employee Stock Purchase Plan Proposal, the Nasdaq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9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addition, if such purchases are made, the public “float” of our public shares and the number of beneficial holders of our securities may be reduced, possibly making it difficult to maintain or obtain the quotation, listing or trading of our securities on a national securities exchange.</w:t>
      </w:r>
    </w:p>
    <w:p>
      <w:pPr>
        <w:spacing w:after="0" w:line="9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 share redemption amount received by shareholders may be less than $10.00 per share (which was the offering price in our initial public offering).</w:t>
      </w:r>
    </w:p>
    <w:p>
      <w:pPr>
        <w:spacing w:after="0" w:line="9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 frame, or upon the exercise of a redemption right in connection with our business combination, we will be required to provide for payment of claims of creditors that were not waived that may be brought against us within the ten years following redemption. Accordingly, the per share redemption amount received by public shareholders could be less than the $10.00 per share initially held in the trust account, due to claims of such creditors. In order to protect the amounts held in the trust account, Sponsor has agreed to be liable to us if and to the extent any claims by a vendor for services rendered or products sold to us, or a prospective target business with which we have discussed entering into a transaction agreement, reduces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our initial public offering against certain liabilities, including liabilities under the Securities Act. Moreover, even in the event that an executed waiver is deemed to be unenforceable against a third party, Sponsor will not be responsible to the extent of any liability for such third party claims. We have not independently verified whether Sponsor has sufficient funds to satisfy its indemnity obligations and we have not asked Sponsor to reserve for such indemnification obligations. Therefore, we cannot assure you that Sponsor would be able to satisfy those obligations. None of our officers will indemnify us for claims by third parties including, without limitation, claims by vendors and prospective target businesses.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may not be able to return to our public shareholders $10.00 per share (which was the offering price in our initial public offering).</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 and us to claims of punitive damages, by paying public shareholders from the trust account prior to addressing the claims of creditors. We cannot assure you that claims will not be brought against us for these reasons.</w:t>
      </w:r>
    </w:p>
    <w:p>
      <w:pPr>
        <w:spacing w:after="0" w:line="12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9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1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Claims may be brought against us for these reasons.</w:t>
      </w:r>
    </w:p>
    <w:p>
      <w:pPr>
        <w:spacing w:after="0" w:line="10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4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the Business Combination, require substantial financial and management resources and increase the time and costs of completing a business combination.</w:t>
      </w:r>
    </w:p>
    <w:p>
      <w:pPr>
        <w:spacing w:after="0" w:line="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fact that we are a blank check company makes compliance with the requirements of the Sarbanes-Oxley Act particularly burdensome on us as compared to other public companies. Nautilus is not a publicly reporting company required to comply with Section 404 of the Sarbanes-Oxley Act and New Nautilus management may not be able to effectively and timely implement controls and procedures that adequately respond to the increased regulatory compliance and reporting requirements that will be applicable to New Nautilus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 over financial reporting are effective, which may subject us to adverse regulatory consequences and could harm investor confidence and the market price of New Nautilus Common Stock. Additionally, once we are no longer an emerging growth company, we will be required to comply with the independent registered public accounting firm attestation requirement on our internal control over financial reporting.</w:t>
      </w:r>
    </w:p>
    <w:p>
      <w:pPr>
        <w:spacing w:after="0" w:line="1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public stockholders will experience immediate dilution as a consequence of the issuance of New Nautilus Common Stock as consideration in the Business Combination and in the PIPE Financing.</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issuance of additional common stock will significantly dilute the equity interests of existing holders of ARYA securities, and may adversely affect prevailing market prices for the New Nautilus Common Stock.</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Nasdaq may not list New Nautilus’ securities on its exchange, which could limit investors’ ability to make transactions in New Nautilus’ securities and subject New Nautilus to additional trading restrictions.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active trading market for New Nautilus’ securities following the Business Combination may never develop or, if developed, it may not be sustained. In connection with the Business Combination, in order to continue to maintain the listing of our securities on Nasdaq, we will be required to demonstrate compliance with Nasdaq’s listing requirements. We will apply to have New Nautilus’ securities listed on Nasdaq upon consummation of the Business Combination. We cannot assure you that we will be able to meet all listing requirements. Even if New Nautilus’ securities are listed on Nasdaq, New Nautilus may be unable to maintain the listing of its securities in the future.</w:t>
      </w:r>
    </w:p>
    <w:p>
      <w:pPr>
        <w:spacing w:after="0" w:line="134" w:lineRule="exact"/>
        <w:rPr>
          <w:sz w:val="20"/>
          <w:szCs w:val="20"/>
          <w:color w:val="auto"/>
        </w:rPr>
      </w:pPr>
    </w:p>
    <w:p>
      <w:pPr>
        <w:jc w:val="both"/>
        <w:ind w:right="520" w:firstLine="324"/>
        <w:spacing w:after="0" w:line="259" w:lineRule="auto"/>
        <w:rPr>
          <w:sz w:val="20"/>
          <w:szCs w:val="20"/>
          <w:color w:val="auto"/>
        </w:rPr>
      </w:pPr>
      <w:r>
        <w:rPr>
          <w:rFonts w:ascii="Arial" w:cs="Arial" w:eastAsia="Arial" w:hAnsi="Arial"/>
          <w:sz w:val="18"/>
          <w:szCs w:val="18"/>
          <w:color w:val="auto"/>
        </w:rPr>
        <w:t>If New Nautilus fails to meet the listing requirements and Nasdaq does not list its securities on its exchange, Nautilus would not be required to consummate the Business Combination. In the event that Nautilus elected to waive this condition, and the Business Combination was consummated without New Nautilus’ securities being listed on the Nasdaq or on another national securities exchange, New Nautilus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limited availability of market quotations for New Nautilus’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reduced liquidity for New Nautilus’ securities;</w:t>
      </w:r>
    </w:p>
    <w:p>
      <w:pPr>
        <w:spacing w:after="0" w:line="171" w:lineRule="exact"/>
        <w:rPr>
          <w:rFonts w:ascii="Arial" w:cs="Arial" w:eastAsia="Arial" w:hAnsi="Arial"/>
          <w:sz w:val="18"/>
          <w:szCs w:val="18"/>
          <w:color w:val="auto"/>
        </w:rPr>
      </w:pPr>
    </w:p>
    <w:p>
      <w:pPr>
        <w:ind w:left="660" w:right="50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determination that New Nautilus Common Stock is a “penny stock” which will require brokers trading in New Nautilus Common Stock to adhere to more stringent rules and possibly result in a reduced level of trading activity in the secondary trading market for New Nautilus’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New Nautilus’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subject to and New Nautilus will be subject to changing law and regulations regarding regulatory matters, corporate governance and public disclosure that have increased both ARYA’s costs and the risk of noncompliance and will increase both New Nautilus’ costs and the risk of non-compliance.</w:t>
      </w:r>
    </w:p>
    <w:p>
      <w:pPr>
        <w:spacing w:after="0" w:line="130"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are and New Nautilus will be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New Nautilus’ efforts to comply likely will result in, increased general and administrative expenses and a diversion of management time and attention from seeking a business combination target.</w:t>
      </w:r>
    </w:p>
    <w:p>
      <w:pPr>
        <w:spacing w:after="0" w:line="10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Nautilus’ disclosure and governance practices. If we fail to address and comply with these regulations and any subsequent changes, we may be subject to penalty and our business may be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Consummation of the Domestication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Domestication may result in adverse tax consequences for holders of public shares.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U.S. Holders (as defined in “</w:t>
      </w:r>
      <w:r>
        <w:rPr>
          <w:rFonts w:ascii="Arial" w:cs="Arial" w:eastAsia="Arial" w:hAnsi="Arial"/>
          <w:sz w:val="18"/>
          <w:szCs w:val="18"/>
          <w:i w:val="1"/>
          <w:iCs w:val="1"/>
          <w:color w:val="auto"/>
        </w:rPr>
        <w:t>Material U.S. Federal Income Tax Considerations—U.S. Holders</w:t>
      </w:r>
      <w:r>
        <w:rPr>
          <w:rFonts w:ascii="Arial" w:cs="Arial" w:eastAsia="Arial" w:hAnsi="Arial"/>
          <w:sz w:val="18"/>
          <w:szCs w:val="18"/>
          <w:color w:val="auto"/>
        </w:rPr>
        <w:t>”) may be subject to U.S. federal income tax as a result of the Domestication. Because the Domestication will occur immediately prior to the redemption of New Nautilus Common Stock, U.S. Holders exercising redemption rights will be subject to the potential tax consequences of the Domestication. Additionally, non-U.S. Holders (as defined in “</w:t>
      </w:r>
      <w:r>
        <w:rPr>
          <w:rFonts w:ascii="Arial" w:cs="Arial" w:eastAsia="Arial" w:hAnsi="Arial"/>
          <w:sz w:val="18"/>
          <w:szCs w:val="18"/>
          <w:i w:val="1"/>
          <w:iCs w:val="1"/>
          <w:color w:val="auto"/>
        </w:rPr>
        <w:t>Material 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Income Tax Considerations—Non-U.S. Holders</w:t>
      </w:r>
      <w:r>
        <w:rPr>
          <w:rFonts w:ascii="Arial" w:cs="Arial" w:eastAsia="Arial" w:hAnsi="Arial"/>
          <w:sz w:val="18"/>
          <w:szCs w:val="18"/>
          <w:color w:val="auto"/>
        </w:rPr>
        <w:t>” below) may become subject to withholding tax on any dividends paid or deemed paid 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New Nautilus Common Stock after the Domestication.</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discussed more fully under "</w:t>
      </w:r>
      <w:r>
        <w:rPr>
          <w:rFonts w:ascii="Arial" w:cs="Arial" w:eastAsia="Arial" w:hAnsi="Arial"/>
          <w:sz w:val="16"/>
          <w:szCs w:val="16"/>
          <w:i w:val="1"/>
          <w:iCs w:val="1"/>
          <w:color w:val="auto"/>
        </w:rPr>
        <w:t>Material U.S. Federal Income Tax Considerations,</w:t>
      </w:r>
      <w:r>
        <w:rPr>
          <w:rFonts w:ascii="Arial" w:cs="Arial" w:eastAsia="Arial" w:hAnsi="Arial"/>
          <w:sz w:val="16"/>
          <w:szCs w:val="16"/>
          <w:color w:val="auto"/>
        </w:rPr>
        <w:t>" the Domestication generally should constitute a tax-deferred reorganization within the meaning of Section 368(a)(1)(F) of the Code. However, due to the absence of direct guidance on the application of Section 368(a)</w:t>
      </w:r>
    </w:p>
    <w:p>
      <w:pPr>
        <w:spacing w:after="0" w:line="252" w:lineRule="auto"/>
        <w:rPr>
          <w:sz w:val="20"/>
          <w:szCs w:val="20"/>
          <w:color w:val="auto"/>
        </w:rPr>
      </w:pPr>
      <w:r>
        <w:rPr>
          <w:rFonts w:ascii="Arial" w:cs="Arial" w:eastAsia="Arial" w:hAnsi="Arial"/>
          <w:sz w:val="18"/>
          <w:szCs w:val="18"/>
          <w:color w:val="auto"/>
        </w:rPr>
        <w:t>(1)(F) to a statutory conversion of a corporation holding only investment-type assets such as ARYA, this result is not entirely clear. Accordingly, due to the absence of direct guidance, it is not possible to predict whether the IRS or a court considering the issue would take a contrary position. If the Domestication fails to qualify as a reorganization under Section 368(a)(1)(F) of the Code, subject to the PFIC rules described in further detail below, a U.S. Holder generally would recognize gain or loss with respect to its public shares in an amount equal to the difference, if any, between the fair market value of the corresponding shares of New Nautilus Common Stock received in the Domestication and the U.S. Holder's adjusted tax basis in its public shares surrendered in exchange therefor.</w:t>
      </w:r>
    </w:p>
    <w:p>
      <w:pPr>
        <w:spacing w:after="0" w:line="14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case of a transaction, such as the Domestication, that should qualify as a tax-deferred reorganization within the meaning of Section 368(a)(1)(F) of the Code, U.S. Holders will be subject to Section 367(b) of the Code and, as a result: a U.S. Holder who on the day of the Domestication beneficially owns (actually and constructively) public shares with a fair market value of less than $50,000 on the date of the Domestication generally will not recognize any gain or loss and will not be required to include any part of ARYA’s earnings in income in respect of the Domestication; a U.S. Holder who on the day of the Domestication beneficially owns (actually and constructively) public shares with a fair market value of $50,000 or more, but less than 10% of the total combined voting power of all classes of our stock entitled to vote and less than 10% or more of the total value of all classes of our stock, generally will recognize gain (but not loss) in respect of the Domestication as if such 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exchanged its public shares for shares of New Nautilus Common Stock in a taxable transaction, unless such U.S. Holder elects in accordance with applicable Treasury Regulations to include in income as a deemed dividend the “all earnings and profits amount” (as defined in the Treasury Regulations under Section 367(b) of the Code) attributable to the public shares held directly by such U.S. Holder; and a U.S. Holder who on the day of the Domestication beneficially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the public shares held directly by such U.S. Holder; however,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under “</w:t>
      </w:r>
      <w:r>
        <w:rPr>
          <w:rFonts w:ascii="Arial" w:cs="Arial" w:eastAsia="Arial" w:hAnsi="Arial"/>
          <w:sz w:val="18"/>
          <w:szCs w:val="18"/>
          <w:i w:val="1"/>
          <w:iCs w:val="1"/>
          <w:color w:val="auto"/>
        </w:rPr>
        <w:t>Material U.S. Federal Income Tax Considerations—U.S.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Holders—PFIC Considerations.</w:t>
      </w:r>
      <w:r>
        <w:rPr>
          <w:rFonts w:ascii="Arial" w:cs="Arial" w:eastAsia="Arial" w:hAnsi="Arial"/>
          <w:sz w:val="18"/>
          <w:szCs w:val="18"/>
          <w:color w:val="auto"/>
        </w:rPr>
        <w:t>”</w:t>
      </w:r>
    </w:p>
    <w:p>
      <w:pPr>
        <w:spacing w:after="0" w:line="14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All holders are urged to consult their tax advisor for the tax consequences of the Domestication to their particular situation. For a more detailed description of the Material U.S. federal income tax consequences associated with the Domestication, see “Material U.S. Federal Income Tax Considerations.”</w:t>
      </w:r>
    </w:p>
    <w:p>
      <w:pPr>
        <w:spacing w:after="0" w:line="13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Upon consummation of the Business Combination, the rights of holders of New Nautilus Common Stock arising under the DGCL as well as Proposed Governing Documents will differ from and may be less favorable to the rights of holders of Class A ordinary shares arising under Cayman Islands law as well as our current memorandum and articles of association.</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consummation of the Business Combination, the rights of holders of New Nautilus Common Stock will arise under the Proposed Governing Documents as well as the DGCL. Those new organizational documents and the DGCL contain provisions that differ in some respects from those in the Existing Governing Documents and Cayman Islands law and, therefore, some rights of holders of New Nautilus Common Stock could differ from the rights that holders of Class A ordinary shares currently possess. For instance, while class actions are generally not available to shareholders under Cayman Islands law, such actions are generally available under the DGCL. This change could increase the likelihood that New Nautilus becomes involved in costly litigation, which could have a material adverse effect on New Nautilus.</w:t>
      </w:r>
    </w:p>
    <w:p>
      <w:pPr>
        <w:spacing w:after="0" w:line="13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addition, there are differences between the Proposed Governing Documents of New Nautilus and the current constitutional documents of ARYA. For a more detailed description of the rights of holders of New Nautilus Common Stock and how they may differ from the rights of holders of Class A ordinary shares, please see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forms of the Proposed Certificate of Incorporation and the Proposed Bylaws of New Nautilus are attached as Annex C and Annex D, respectively, to this proxy statement/prospectus, and we urge you to read them.</w:t>
      </w:r>
    </w:p>
    <w:p>
      <w:pPr>
        <w:spacing w:after="0" w:line="13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Delaware law and New Nautilus’ Proposed Governing Documents contain certain provisions, including antitakeover provisions, that limit the ability of stockholders to take certain actions and could delay or discourage takeover attempts that stockholders may consider favorable.</w:t>
      </w:r>
    </w:p>
    <w:p>
      <w:pPr>
        <w:spacing w:after="0" w:line="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Proposed Governing Documents that will be in effect upon consummation of the Business Combination, and the DGCL, contain provisions that could have the effect of rendering more difficult, delaying, or preventing an acquisition deemed undesirable by the New Nautilus Board and therefore depress the trading price of New Nautilus Common Stock. These provisions could also make it difficult for stockholders to take certain actions, including electing directors who are not nominated by the current members of the New Nautilus board of directors or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corporate actions, including effecting changes in our management. Among other things, the Proposed Governing Documents include provisions regarding:</w:t>
      </w:r>
    </w:p>
    <w:p>
      <w:pPr>
        <w:spacing w:after="0" w:line="116" w:lineRule="exact"/>
        <w:rPr>
          <w:sz w:val="20"/>
          <w:szCs w:val="20"/>
          <w:color w:val="auto"/>
        </w:rPr>
      </w:pPr>
    </w:p>
    <w:p>
      <w:pPr>
        <w:ind w:left="660" w:right="500" w:hanging="328"/>
        <w:spacing w:after="0" w:line="263"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ability of the New Nautilus Board to issue shares of preferred stock and to determine the price and other terms of those shares, including preferences, powers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limitation of the liability of New Nautilus’ directors, and the indemnification of New Nautilus’ directors and officers;</w:t>
      </w:r>
    </w:p>
    <w:p>
      <w:pPr>
        <w:spacing w:after="0" w:line="171"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stockholders after such date and could delay the ability of stockholders to force consideration of a stockholder proposal or to take action, including the removal of directors;</w:t>
      </w:r>
    </w:p>
    <w:p>
      <w:pPr>
        <w:spacing w:after="0" w:line="129"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New Nautilus Board, the New Nautilus Chief Executive Officer, the New Nautilus President or the New Nautilus Board acting pursuant to a resolution adopted by a majority of the entire New Nautilus Board, which could delay the ability of stockholders to force consideration of a proposal or to take action, including the removal of directors;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procedures for the conduct and scheduling of board of directors and stockholder meetings;</w:t>
      </w:r>
    </w:p>
    <w:p>
      <w:pPr>
        <w:spacing w:after="0" w:line="171"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ability of the New Nautilus Board to amend the bylaws, which may allow the New Nautilus Board to take additional actions to prevent an unsolicited takeover and inhibit the ability of an acquirer to amend the bylaws to facilitate an unsolicited takeover attempt; and</w:t>
      </w:r>
    </w:p>
    <w:p>
      <w:pPr>
        <w:spacing w:after="0" w:line="69" w:lineRule="exact"/>
        <w:rPr>
          <w:rFonts w:ascii="Arial" w:cs="Arial" w:eastAsia="Arial" w:hAnsi="Arial"/>
          <w:sz w:val="16"/>
          <w:szCs w:val="16"/>
          <w:color w:val="auto"/>
        </w:rPr>
      </w:pPr>
    </w:p>
    <w:p>
      <w:pPr>
        <w:ind w:left="660" w:right="40" w:hanging="328"/>
        <w:spacing w:after="0" w:line="279" w:lineRule="auto"/>
        <w:tabs>
          <w:tab w:leader="none" w:pos="65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New Nautilus Board or to propose matters to be acted upon at a stockholders’ meeting, which could preclude stockholders from bringing matters before annual or special meetings of stockholders and delay changes in the New Nautilus Board, and also may discourage or deter a potential acquirer from conducting a solicitation of proxies to elect the acquirer’s own slate of directors or otherwise attempting to obtain control of New Nautilus.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New Nautilus Board or management.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New Nautilus will be subject to Section 203 of the DGCL, which may prohibit certain stockholders holding 15% or more of New Nautilus’ outstanding capital stock from engaging in certain business combinations with us for a specified period of time without obtaining a supermajority stockholder vote.</w:t>
      </w:r>
    </w:p>
    <w:p>
      <w:pPr>
        <w:spacing w:after="0" w:line="130"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i w:val="1"/>
          <w:iCs w:val="1"/>
          <w:color w:val="auto"/>
        </w:rPr>
        <w:t>New Nautilus’ Proposed Bylaws will designate a state or federal court located within the State of Delaware as the sole and exclusive forum for substantially all disputes between New Nautilus and its stockholders, which could limit New Nautilus’ stockholders’ ability to obtain a favorable judicial forum for disputes with New Nautilus or its directors, officers, stockholders, employees or agents.</w:t>
      </w:r>
    </w:p>
    <w:p>
      <w:pPr>
        <w:spacing w:after="0" w:line="9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Proposed Bylaws provide that, unless New Nautilus consents in writing to the selection of an alternative forum (an “</w:t>
      </w:r>
      <w:r>
        <w:rPr>
          <w:rFonts w:ascii="Arial" w:cs="Arial" w:eastAsia="Arial" w:hAnsi="Arial"/>
          <w:sz w:val="18"/>
          <w:szCs w:val="18"/>
          <w:u w:val="single" w:color="auto"/>
          <w:color w:val="auto"/>
        </w:rPr>
        <w:t>Alternative Forum Consent</w:t>
      </w:r>
      <w:r>
        <w:rPr>
          <w:rFonts w:ascii="Arial" w:cs="Arial" w:eastAsia="Arial" w:hAnsi="Arial"/>
          <w:sz w:val="18"/>
          <w:szCs w:val="18"/>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gives an Alternative Forum Consent, the federal district courts of the United States shall be the sole and exclusive forum for resolving any action asserting a claim arising under the Securities Act of 1933.</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This choice of forum provision in the Proposed Bylaws may limit a stockholder’s ability to bring a claim in a judicial forum that it finds favorable for disputes with New Nautilus or any of New Nautilus’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Proposed Bylaws to be inapplicable or unenforceable in an action, New Nautilus may incur additional costs associated with resolving such action in other jurisdictions, which could harm New Nautilus’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Redemptions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Public Shareholders who wish to redeem their public shares for a pro rata portion of the trust account must comply with specific requirements for redemption that may make it more difficult for them to exercise their redemption rights prior to the deadline. If shareholders fail to comply with the redemption requirements specified in this proxy statement/prospectus, they will not be entitled to redeem their public shares for a pro rata portion of the funds held in the trust account.</w:t>
      </w:r>
    </w:p>
    <w:p>
      <w:pPr>
        <w:spacing w:after="0" w:line="133" w:lineRule="exact"/>
        <w:rPr>
          <w:sz w:val="20"/>
          <w:szCs w:val="20"/>
          <w:color w:val="auto"/>
        </w:rPr>
      </w:pPr>
    </w:p>
    <w:p>
      <w:pPr>
        <w:jc w:val="both"/>
        <w:ind w:right="100" w:firstLine="324"/>
        <w:spacing w:after="0" w:line="285" w:lineRule="auto"/>
        <w:rPr>
          <w:sz w:val="20"/>
          <w:szCs w:val="20"/>
          <w:color w:val="auto"/>
        </w:rPr>
      </w:pPr>
      <w:r>
        <w:rPr>
          <w:rFonts w:ascii="Arial" w:cs="Arial" w:eastAsia="Arial" w:hAnsi="Arial"/>
          <w:sz w:val="16"/>
          <w:szCs w:val="16"/>
          <w:color w:val="auto"/>
        </w:rPr>
        <w:t>A public shareholder will be entitled to receive cash for any public shares to be redeemed only if such public shareholder: (i) holds public shares; (ii) submits a written request to Continental, ARYA’s transfer agent, in which it (a) requests that New Nautilus redeem all or a portion of its public shares for cash, and (b) identifies itself as a beneficial holder of the public shares and provides its legal name, phone number and address; and (iii) delivers its public shares to Continental, ARYA’s transfer agent, physically or electronically through DTC. Holders must complete the procedures for electing to redeem their public shares in the manner described above prior to 5:00 p.m., Eastern Time, on _________, 2021 (two business days before the extraordinary general</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meeting) in order for their shares to be redeemed. In order to obtain a physical share certificate, a shareholder’s broker and/or clearing broker, DTC and Continental, ARYA’s transfer agent, will need to act to facilitate this request. It is ARYA’s understanding that shareholders should generally allot at least two weeks to obtain physical certificates from the transfer agent. However, because ARYA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spacing w:after="0" w:line="14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our initial public offering, calculated as of two business days prior to the consummation of the Business Combination. Please see the section entitled “</w:t>
      </w:r>
      <w:r>
        <w:rPr>
          <w:rFonts w:ascii="Arial" w:cs="Arial" w:eastAsia="Arial" w:hAnsi="Arial"/>
          <w:sz w:val="18"/>
          <w:szCs w:val="18"/>
          <w:i w:val="1"/>
          <w:iCs w:val="1"/>
          <w:color w:val="auto"/>
        </w:rPr>
        <w:t>Extraordinary General Meeting of ARYA—Redemption Rights</w:t>
      </w:r>
      <w:r>
        <w:rPr>
          <w:rFonts w:ascii="Arial" w:cs="Arial" w:eastAsia="Arial" w:hAnsi="Arial"/>
          <w:sz w:val="18"/>
          <w:szCs w:val="18"/>
          <w:color w:val="auto"/>
        </w:rPr>
        <w:t>” for additional information on how to exercise your redemption rights.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public shareholder fails to receive notice of ARYA’s offer to redeem public shares in connection with the Business Combination, or fails to comply with the procedures for tendering its shares, such shares may not be redeemed.</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If, despite ARYA’s compliance with the proxy rules, a public shareholder fails to receive ARYA’s proxy materials, such public shareholder may not become aware of the opportunity to redeem his, her or its public shares. In addition, the proxy materials that ARYA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Arial" w:cs="Arial" w:eastAsia="Arial" w:hAnsi="Arial"/>
          <w:sz w:val="16"/>
          <w:szCs w:val="16"/>
          <w:i w:val="1"/>
          <w:iCs w:val="1"/>
          <w:color w:val="auto"/>
        </w:rPr>
        <w:t>Extraordinary General Meeting of ARYA—Redemption Rights</w:t>
      </w:r>
      <w:r>
        <w:rPr>
          <w:rFonts w:ascii="Arial" w:cs="Arial" w:eastAsia="Arial" w:hAnsi="Arial"/>
          <w:sz w:val="16"/>
          <w:szCs w:val="16"/>
          <w:color w:val="auto"/>
        </w:rPr>
        <w:t>” for additional information on how to exercise your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ARYA does not have a specified maximum redemption threshold. The absence of such a redemption threshold may make it possible for us to complete the Business Combination even if a substantial majority of ARYA’s shareholders do not support it.</w:t>
      </w:r>
    </w:p>
    <w:p>
      <w:pPr>
        <w:spacing w:after="0" w:line="11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Existing Governing Documents do not provide a specified maximum redemption threshold, except that ARYA will not redeem public shares in an amount that would cause ARYA’s net tangible assets to be less than $5,000,001 after giving effect to the transactions contemplated by the Business Combination Agreement and the PIPE Financing (as determined in accordance with Rule 3a51-1(g)(1) of the Exchange Act).</w:t>
      </w:r>
    </w:p>
    <w:p>
      <w:pPr>
        <w:spacing w:after="0" w:line="11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a result, ARYA may be able to complete the Business Combination even though a substantial portion of public shareholders do not agree with the transaction and have redeemed their shares or have entered into privately negotiated agreements to sell their shares to Sponsor, directors or officers or their affiliates. As of the date of this proxy statement/prospectus, no agreements with respect to the private purchase of public shares by ARYA or the persons described above have been entered into with any such investor or holder. ARYA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spacing w:after="0" w:line="13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stock ownership available to ARYA at that time, such as Section 13D, Section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ARYA cannot assure you that the value of such excess shares will appreciate over time following the Business Combination or that the market price of the public shares will exceed the per-share redemption price. Notwithstanding the foregoing, shareholders may challenge ARYA’s determination as to whether a shareholder is acting in concert or as a group with another shareholder in a court of competent jurisdiction.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However, ARYA’s shareholders’ ability to vote all of their shares (including such excess shares) for or against the Business Combination is not restricted by this limitation on redemption.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no guarantee that a shareholder’s decision whether to redeem its shares for a pro rata portion of the trust account will put the shareholder in a better future economic position.</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ARYA can give no assurance as to the price at which 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ARYA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amount than the redemption price set forth in this proxy statement/prospectus. A shareholder should consult the shareholder’s own financial advisor for assistance on how this may affect his, her or its individual situation.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Adjournment Proposal is not approved, and an insufficient number of votes have been obtained to authorize the consummation of the Business Combination and the Domestication, the ARYA Board will not have the ability to adjourn the extraordinary general meeting to a later date in order to solicit further votes, and, therefore, the Business Combination will not be approved, and, therefore, the Business Combination may not be consummated.</w:t>
      </w:r>
    </w:p>
    <w:p>
      <w:pPr>
        <w:spacing w:after="0" w:line="133"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ARYA Board is seeking approval to adjourn the extraordinary general meeting to a later date or dates if, at the extraordinary general meeting, based upon the tabulated votes, there are insufficient votes to approve each of the Condition Precedent Proposals. If the Adjournment Proposal is not approved, the ARYA Board will not have the ability to adjourn the extraordinary general meeting to a later date and, therefore, will not have more time to solicit votes to approve the Condition Precedent Proposals. In such events, the Business Combination would not be completed.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Domestication and the Business Combination are not Consummated</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we are not able to complete the Business Combination with Nautilus nor able to complete another business combination by August 11, 2022, in each case, as such date may be extended pursuant to our Existing Governing Documents, we would cease all operations except for the purpose of winding up and we would redeem our Class A ordinary shares and liquidate the trust account, in which case our public shareholders may only receive approximately $10.00 per share.</w:t>
      </w:r>
    </w:p>
    <w:p>
      <w:pPr>
        <w:spacing w:after="0" w:line="13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we are not able to complete the Business Combination with Nautilus nor able to complete another business combination by August 11, 2022, in each case, as such date may be extended pursuant to our Existing Governing Documents we will (i) cease all operations except for the purpose of winding up,</w:t>
      </w:r>
    </w:p>
    <w:p>
      <w:pPr>
        <w:ind w:right="40" w:firstLine="8"/>
        <w:spacing w:after="0" w:line="269" w:lineRule="auto"/>
        <w:tabs>
          <w:tab w:leader="none" w:pos="26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w:t>
      </w:r>
    </w:p>
    <w:p>
      <w:pPr>
        <w:spacing w:after="0" w:line="1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1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the completion of a business combination (including the closing of the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the Existing Governing Documents (A) to modify the substance or timing of our obligation to provide holders of our Class A ordinary shares the right to have their shares redeemed in connection with a business combination or to redeem 100% of our public shares if we do not complete our initial business combination by August 11, 2022 or (B) with respect to any other provision relating to the rights of holders of our Class A ordinary shares, and (iii) the redemption of our public shares if we have not consummated an initial business by August 11, 2022, subject to applicable law and as further described herein. Public shareholders who redeem their public shares in connection with a shareholder vote described in clause (ii) in the preceding sentence will not be entitled to funds from the trust account upon the subsequent completion of an initial business combination or liquidation if we have not consummated an initial business combination by August 11, 2022,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public shares so redeemed. In no other circumstances will a shareholder have any right or interest of any kind to or in the trust account. Accordingly, to liquidate your investment, you may be forced to sell your public shares, potentially at a loss.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by August 11, 2022, our public shareholders may be forced to wait until after August 11, 2022 before redemption from the trust account.</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are unable to consummate our initial business combination by August 11, 2022 (as such date may be extended pursuant to our Existing Governing Documents),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as further described in this proxy statement/prospectus. Any redemption of public shareholders from the trust account shall be affected automatically by function of the Existing Governing Documents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August 11, 2022 (as such date may be extended pursuant to our Existing Governing Documents),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Existing Governing Documents, and only then in cases where investors have sought to redeem their public shares. Only upon our redemption or any liquidation will public shareholders be entitled to distributions if we do not complete our initial business combination and do not amend our Existing Governing Documents. Our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1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the net proceeds of our initial public offering not being held in the trust account are insufficient to allow us to operate through August 11, 2022, and we are unable to obtain additional capital, we may be unable to complete our initial business combination, in which case our public shareholders may only receive $10.00 per share.</w:t>
      </w:r>
    </w:p>
    <w:p>
      <w:pPr>
        <w:spacing w:after="0" w:line="13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As of December 31, 2020, we had $1,001,032 in cash held outside the trust account to fund our working capital requirements. The funds available to us outside of the trust account may not be sufficient to allow us to operate until August 11, 2022,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required to seek additional capital, we would need to borrow funds from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EXTRAORDINARY GENERAL MEETING OF ARYA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ARYA is furnishing this proxy statement/prospectus to ARYA’s shareholders as part of the solicitation of proxies by the ARYA Board for use at the extraordinary general meeting of ARYA to be held on __________, 2021, and at any adjournment thereof. This proxy statement/prospectus is first being</w:t>
      </w:r>
    </w:p>
    <w:p>
      <w:pPr>
        <w:spacing w:after="0"/>
        <w:rPr>
          <w:sz w:val="20"/>
          <w:szCs w:val="20"/>
          <w:color w:val="auto"/>
        </w:rPr>
      </w:pPr>
      <w:r>
        <w:rPr>
          <w:rFonts w:ascii="Arial" w:cs="Arial" w:eastAsia="Arial" w:hAnsi="Arial"/>
          <w:sz w:val="18"/>
          <w:szCs w:val="18"/>
          <w:color w:val="auto"/>
        </w:rPr>
        <w:t>furnished to ARYA’s shareholders on or about ___________, 2021 in connection with the vote on the proposals described in this proxy</w:t>
      </w:r>
    </w:p>
    <w:p>
      <w:pPr>
        <w:spacing w:after="0" w:line="9"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statement/prospectus. This proxy statement/prospectus provides ARYA’s shareholders with information they need to know to be able to vote or instruct their vote to be cast at the extraordinary general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extraordinary general meeting will be held at 9:00 a.m., Eastern Time, on __________, 2021 at the offices of Kirkland &amp; Ellis LLP located at 601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Lexington Avenue, New York, New York 10022, unless the extraordinary general meeting is adjourned.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ARYA Extraordinary General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extraordinary general meeting, ARYA is asking holders of ordinary shares to consider and vote upon:</w:t>
      </w:r>
    </w:p>
    <w:p>
      <w:pPr>
        <w:spacing w:after="0" w:line="171" w:lineRule="exact"/>
        <w:rPr>
          <w:sz w:val="20"/>
          <w:szCs w:val="20"/>
          <w:color w:val="auto"/>
        </w:rPr>
      </w:pPr>
    </w:p>
    <w:p>
      <w:pPr>
        <w:ind w:left="660" w:right="7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special resolutions the amendment and restatement in their entirety and substitution in their place of the Existing Governing Documents with the Proposed Certificate of Incorporation;</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following governance provisions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94" w:lineRule="exact"/>
        <w:rPr>
          <w:rFonts w:ascii="Arial" w:cs="Arial" w:eastAsia="Arial" w:hAnsi="Arial"/>
          <w:sz w:val="16"/>
          <w:szCs w:val="16"/>
          <w:color w:val="auto"/>
        </w:rPr>
      </w:pPr>
    </w:p>
    <w:p>
      <w:pPr>
        <w:ind w:left="980" w:right="260" w:hanging="324"/>
        <w:spacing w:after="0" w:line="342" w:lineRule="auto"/>
        <w:tabs>
          <w:tab w:leader="none" w:pos="97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issued in connection with the Business Combination and the PIPE Financing pursuant to Nasdaq Listing Rule 5635;</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that there are insufficient votes for the approval of one or more proposals at the extraordinary general meeting.</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Charter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Proxies that are marked “abstain” and proxies relating to “street name” shares that are returned to ARYA but marked by brokers as “not voted” will be treated as shares present for purposes of determining the presence of a quorum on all matters. Abstentions and broker non-votes, while considered present for the purposes of establishing a quorum, will not count as votes cast at the extraordinary general meeting, and otherwise will have no effect on a particular proposal. If a shareholder does not give the broker voting instructions, under applicable self-regulatory organization rules, its broker may not vote its shares on “non-routine” proposals, such as the Business Combination Proposal or any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approval of the Advisory Governing Documents Proposals on a non-binding advisory basis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is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Each ordinary share that you own in your name entitles you to one vote. Your proxy card shows the number of ordinary shares that you own. If your shares are held in “street name” or are in a margin or similar account, you should contact your broker to ensure that votes related to the shares you beneficially own are properly counted.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two ways to vote your ordinary shares at the extraordinary general meeting:</w:t>
      </w:r>
    </w:p>
    <w:p>
      <w:pPr>
        <w:spacing w:after="0" w:line="171" w:lineRule="exact"/>
        <w:rPr>
          <w:sz w:val="20"/>
          <w:szCs w:val="20"/>
          <w:color w:val="auto"/>
        </w:rPr>
      </w:pPr>
    </w:p>
    <w:p>
      <w:pPr>
        <w:ind w:left="660" w:right="180" w:hanging="328"/>
        <w:spacing w:after="0" w:line="25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can vote by signing and returning the enclosed proxy card. If you vote by proxy card, your “proxy,” whose name is listed on the proxy card, will vote your shares as you instruct on the proxy card. If you sign and return the proxy card but do not give instructions on how to vote your shares, your shares will be voted as recommended by the ARYA Board “FOR” the Business Combination Proposal, “FOR” the Domestication Proposal, “FOR” the Charter Proposal, “FOR” each of the separate Advisory Governing Documents Proposals, “FOR” the Nasdaq Proposal, “FOR” the Incentive Award Plan Proposal,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Employee Stock Purchase Plan Proposal and “FOR” the Adjournment Proposal, in each case, if presented to the extraordinary general meeting.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Votes received after a matter has been voted upon at the extraordinary general meeting will not be counted.</w:t>
      </w:r>
    </w:p>
    <w:p>
      <w:pPr>
        <w:spacing w:after="0" w:line="157" w:lineRule="exact"/>
        <w:rPr>
          <w:sz w:val="20"/>
          <w:szCs w:val="20"/>
          <w:color w:val="auto"/>
        </w:rPr>
      </w:pPr>
    </w:p>
    <w:p>
      <w:pPr>
        <w:ind w:left="660" w:right="160" w:hanging="328"/>
        <w:spacing w:after="0" w:line="263" w:lineRule="auto"/>
        <w:tabs>
          <w:tab w:leader="none" w:pos="6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You can attend the extraordinary general meeting and vote in person. You will receive a ballot when you arrive. However, if your shares are held in the name of your broker, bank or another nominee, you must get a valid legal proxy from the broker, bank or other nominee. That is the only way ARYA can be sure that the broker, bank or nominee has not already voted your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are an ARYA shareholder and you give a proxy, you may revoke it at any time before it is exercised by doing any one of the following:</w:t>
      </w:r>
    </w:p>
    <w:p>
      <w:pPr>
        <w:spacing w:after="0" w:line="183"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notify ARYA’s general counsel in writing before the extraordinary general meeting that you have revoked your proxy;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you may attend the extraordinary general meeting, revoke your proxy, and vote in person, as indicated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If you are a shareholder and have any questions about how to vote or direct a vote in respect of your ordinary shares, you may call Morrow, our proxy solicitor, by calling (800) 662-5200, or banks and brokers can call collect at (203) 658-9400, or by emailing ARYA.info@investor.morrowsodali.com.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 xml:space="preserve">Holders must complete the procedures for electing to redeem their public shares in the manner described above prior to 5:00 p.m., Eastern Time, on </w:t>
      </w:r>
      <w:r>
        <w:rPr>
          <w:rFonts w:ascii="Arial" w:cs="Arial" w:eastAsia="Arial" w:hAnsi="Arial"/>
          <w:sz w:val="16"/>
          <w:szCs w:val="16"/>
          <w:color w:val="auto"/>
        </w:rPr>
        <w:t>_________</w:t>
      </w:r>
      <w:r>
        <w:rPr>
          <w:rFonts w:ascii="Arial" w:cs="Arial" w:eastAsia="Arial" w:hAnsi="Arial"/>
          <w:sz w:val="16"/>
          <w:szCs w:val="16"/>
          <w:b w:val="1"/>
          <w:bCs w:val="1"/>
          <w:color w:val="auto"/>
        </w:rPr>
        <w:t>, 2021 (two business days before the extraordinary general meeting) in order for their shares to be redeemed.</w:t>
      </w:r>
    </w:p>
    <w:p>
      <w:pPr>
        <w:spacing w:after="0" w:line="62" w:lineRule="exact"/>
        <w:rPr>
          <w:sz w:val="20"/>
          <w:szCs w:val="20"/>
          <w:color w:val="auto"/>
        </w:rPr>
      </w:pPr>
    </w:p>
    <w:p>
      <w:pPr>
        <w:ind w:right="200" w:firstLine="324"/>
        <w:spacing w:after="0" w:line="292"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you hold the shares in “street name,” you will have to coordinate with your broker to have your shares certificated or delivered electronically. Shares of New Nautilus Common Stock that have not been tendered (either physically or electronically)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 In the event the proposed business combination is not consummated this may result in an additional cost to shareholders for the return of their shares.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Any corrected or changed written exercise of redemption rights must be received by Continental, our transfer agent, prior to the vote taken on the Business Combination Proposal at the extraordinary general meeting. No request for redemption will be honored unless the holder’s public shares have been delivered (either physically or electronically) to Continental, our agent, at least two business days prior to the vote at the extraordinary general meeting.</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closing price of public shares on , 2021, the most recent closing price, was $ . For illustrative purposes, as of April 1, 2021, funds in the trust account plus accrued interest thereon totaled approximately $149,563,975 or $10.00 per issued and outstanding public share.</w:t>
      </w:r>
    </w:p>
    <w:p>
      <w:pPr>
        <w:spacing w:after="0" w:line="11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ARYA cannot assure its shareholders that they will be able to sell their public shares in the open market, even if the market price per share is higher than the redemption price stated above, as there may not be sufficient liquidity in its securities when its shareholders wish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ARYA is soliciting proxies on behalf of its board of directors. This solicitation is being made by mail but also may be made by telephone or in person. ARYA and its directors, officers and employees may also solicit proxies in person, by telephone or by other electronic means. ARYA will bear the cost of the solicitation.</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ARYA has hired Morrow to assist in the proxy solicitation process. ARYA will pay that firm a fee of $22,500 plus disbursements. Such fee will be paid with non-trust account funds.</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ARYA will ask banks, brokers and other institutions, nominees and fiduciaries to forward the proxy materials to their principals and to obtain their authority to execute proxies and voting instructions. ARYA will reimburse them for their reasonable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ARYA Initial Shareholders’ Agreements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the date of this proxy statement/prospectus, there are 19,186,500 ordinary shares issued and outstanding, which includes an aggregate of 499,000 private placement shares held by the Sponsor and 3,737,500 Class B ordinary shares held by the initial shareholders, including Sponsor.</w:t>
      </w:r>
    </w:p>
    <w:p>
      <w:pPr>
        <w:spacing w:after="0" w:line="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COMBINATION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asking our shareholders to adopt and approve the Business Combination Agreement, certain related agreements and the transactions contemplated thereby (including the Business Combination). ARYA shareholders should read carefully this proxy statement/prospectus in its entirety for more detailed information concerning the Business Combination Agreement, which is attached as Annex A to this proxy statement/prospectus, and the transactions contemplated thereby. Please see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Because we are holding a shareholder vote on the Business Combination, we may consummate the Business Combination only if it is approved by the affirmative vote of at least a majority of the votes cast by the holders of the issued of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Agreement</w:t>
      </w:r>
    </w:p>
    <w:p>
      <w:pPr>
        <w:spacing w:after="0" w:line="175"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statement/prospectus. You are urged to read the Business Combination Agreement in its entirety because it is the primary legal document that governs the Business Combination.</w:t>
      </w:r>
    </w:p>
    <w:p>
      <w:pPr>
        <w:spacing w:after="0" w:line="11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schedules (the “</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ARYA, Sponsor, Nautilus or any other matter.</w:t>
      </w:r>
    </w:p>
    <w:p>
      <w:pPr>
        <w:spacing w:after="0" w:line="12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7, 2021, ARYA, Merger Sub and Nautilus entered into the Business Combination Agreement, which provides for, among other things, the following transactions:</w:t>
      </w:r>
    </w:p>
    <w:p>
      <w:pPr>
        <w:spacing w:after="0" w:line="116" w:lineRule="exact"/>
        <w:rPr>
          <w:sz w:val="20"/>
          <w:szCs w:val="20"/>
          <w:color w:val="auto"/>
        </w:rPr>
      </w:pPr>
    </w:p>
    <w:p>
      <w:pPr>
        <w:ind w:left="660" w:right="80" w:hanging="328"/>
        <w:spacing w:after="0" w:line="273" w:lineRule="auto"/>
        <w:tabs>
          <w:tab w:leader="none" w:pos="65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Prior to the Closing Date, Nautilus will change its name to “Nautilus Subsidiary, Inc.” (or another name mutually agreed to be ARYA and Nautilus); (ii) 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upon which ARYA will change its name to “Nautilus Biotechnology, Inc.” (provided that if such name is not available in Delaware or ARYA is otherwise unable to change its name to “Nautilus Biotechnology, Inc.” in Delaware, it will cause its name to be changed to “Nautilus Biotechnology Holdings, Inc.” or such other name mutually agreed to by ARYA and the Company); and</w:t>
      </w:r>
    </w:p>
    <w:p>
      <w:pPr>
        <w:spacing w:after="0" w:line="123" w:lineRule="exact"/>
        <w:rPr>
          <w:rFonts w:ascii="Arial" w:cs="Arial" w:eastAsia="Arial" w:hAnsi="Arial"/>
          <w:sz w:val="17"/>
          <w:szCs w:val="17"/>
          <w:color w:val="auto"/>
        </w:rPr>
      </w:pPr>
    </w:p>
    <w:p>
      <w:pPr>
        <w:ind w:left="660" w:right="340" w:hanging="328"/>
        <w:spacing w:after="0" w:line="277" w:lineRule="auto"/>
        <w:tabs>
          <w:tab w:leader="none" w:pos="6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following the consummation of the Domestication, the parties to the Business Combination Agreement will cause a certificate of merger to be executed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44" w:lineRule="exact"/>
        <w:rPr>
          <w:sz w:val="20"/>
          <w:szCs w:val="20"/>
          <w:color w:val="auto"/>
        </w:rPr>
      </w:pPr>
    </w:p>
    <w:p>
      <w:pPr>
        <w:ind w:left="660" w:right="80"/>
        <w:spacing w:after="0" w:line="293" w:lineRule="auto"/>
        <w:rPr>
          <w:sz w:val="20"/>
          <w:szCs w:val="20"/>
          <w:color w:val="auto"/>
        </w:rPr>
      </w:pPr>
      <w:r>
        <w:rPr>
          <w:rFonts w:ascii="Arial" w:cs="Arial" w:eastAsia="Arial" w:hAnsi="Arial"/>
          <w:sz w:val="16"/>
          <w:szCs w:val="16"/>
          <w:color w:val="auto"/>
        </w:rPr>
        <w:t>pursuant to which Merger Sub will merge with and into Nautilus, with Nautilus as the surviving company in the Merger and, after giving effect to such merger, Nautilus will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connection with the foregoing and substantially concurrent with the execution of the Business Combination Agreement, ARYA entered into Subscription Agreements with each of the PIPE Investors, pursuant to which the PIPE Investors have agreed to subscribe for and purchase, and ARYA has agreed to issue and sell to the PIPE Investors, an aggregate of 20 million shares of New Nautilus Common Stock at a price of $10.00 per share, for aggregate gross proceeds of $200 million, which we refer to as the “PIPE Financing.” The Perceptive PIPE Investor has agreed to fund $55 million in the PIPE Financing on the terms and subject to the conditions contained in the applicable Subscription Agreement.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1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In connection with the Business Combination, certain related agreements have been, or will be entered into on or prior to the closing of the Business Combination, including the Subscription Agreements, the Nautilus Shareholder Transaction Support Agreements, the Sponsor Letter Agreement and the Amended and Restated Registration Rights and Lock-Up Agreement (each as defined in the accompanying proxy statement/prospectus). See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Domestication on Existing ARYA Equity in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Domestication will result in, among other things, the following, each of which will occur prior to the Effective Time on the Closing Date:</w:t>
      </w:r>
    </w:p>
    <w:p>
      <w:pPr>
        <w:spacing w:after="0" w:line="183" w:lineRule="exact"/>
        <w:rPr>
          <w:sz w:val="20"/>
          <w:szCs w:val="20"/>
          <w:color w:val="auto"/>
        </w:rPr>
      </w:pPr>
    </w:p>
    <w:p>
      <w:pPr>
        <w:ind w:left="660" w:right="36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issued and outstanding Class A ordinary share of ARYA will be converted, on a one-for-one basis, into shares of New Nautilus Common Stock;</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issued and outstanding Class B ordinary share of ARYA will be converted, on a one-for-one basis, into shares of New Nautilus Common Stock; and</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governing documents of ARYA will be amended and restated and become the certificate of incorporation and the bylaws as described in this proxy statement/prospectus and ARYA’s name will change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Nautilus Equityholders in the Business Combination</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New Nautilus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Transaction Proceeds will be used for general corporate purposes after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 of the Business Combination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Closing of the transactions contemplated by the Business Combination Agreement is required to take place electronically by exchange of the closing deliverables as promptly as reasonably practicable, but in no event later than the third (3rd) business day, following the satisfaction (or, to the extent permitted by applicable law, waiver) of the conditions described below under the section entitled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(other than those conditions that by their nature are to be satisfied at the Closing, but subject to satisfaction or waiver of such conditions) or at such other place, date and/or time as ARYA and Nautilus may agree in writing.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respective obligations of each party to the Business Combination Agreement to consummate the transactions contemplated by the Business Combination are subject to the satisfaction or, if permitted by applicable law, written waiver by all of the parties to the Business Combination Agreement of the following conditions:</w:t>
      </w:r>
    </w:p>
    <w:p>
      <w:pPr>
        <w:spacing w:after="0" w:line="130" w:lineRule="exact"/>
        <w:rPr>
          <w:sz w:val="20"/>
          <w:szCs w:val="20"/>
          <w:color w:val="auto"/>
        </w:rPr>
      </w:pPr>
    </w:p>
    <w:p>
      <w:pPr>
        <w:ind w:left="660" w:right="50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applicable waiting period under the HSR Act relating to the Business Combination having been expired, been terminated or obtained (or deemed, by applicable law, to have been obtained);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order or law or other legal restraint or prohibition issued by any court of competent jurisdiction or other governmental entity of competent jurisdiction enjoining, prohibiting or preventing the consummation of the Domestication or Merger being in effect;</w:t>
      </w:r>
    </w:p>
    <w:p>
      <w:pPr>
        <w:spacing w:after="0" w:line="116" w:lineRule="exact"/>
        <w:rPr>
          <w:rFonts w:ascii="Arial" w:cs="Arial" w:eastAsia="Arial" w:hAnsi="Arial"/>
          <w:sz w:val="18"/>
          <w:szCs w:val="18"/>
          <w:color w:val="auto"/>
        </w:rPr>
      </w:pPr>
    </w:p>
    <w:p>
      <w:pPr>
        <w:jc w:val="both"/>
        <w:ind w:left="660" w:right="10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registration statement/proxy statement becoming effective in accordance with the provisions of the Securities Act, no stop order being issued by the SEC and remaining in effect with respect to this registration statement/proxy statement, and no proceeding seeking such a stop order being threatened or initiated by the SEC and remaining pending;</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approval of the Business Combination Agreement and the transactions contemplated thereby (including the Merger) being obtained by the requisite number of shareholders of Nautilus in accordance with the DGCL and Nautilus’ governing documents;</w:t>
      </w:r>
    </w:p>
    <w:p>
      <w:pPr>
        <w:spacing w:after="0" w:line="116"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ARYA’s initial listing application with Nasdaq in connection with the transactions contemplated by the Business Combination Agreement being approved and, immediately following the Effective Time, ARYA satisfying any applicable initial and continuing listing requirements of Nasdaq, and ARYA not having received any notice of non-compliance in connection therewith that has not been cured or would not be cured at or immediately following the Effective Time, and the shares of New Nautilus Common Stock (including the shares of New Nautilus Common Stock to be issued in connection with the Merger and the Domestication), being approved for listing on Nasdaq;</w:t>
      </w:r>
    </w:p>
    <w:p>
      <w:pPr>
        <w:spacing w:after="0" w:line="12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approval of each Condition Precedent Proposal by the affirmative vote of the holders of the requisite number of ordinary shares of ARYA being obtained in accordance with ARYA’s Governing Documents and applicable law; and</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the Business Combination Agreement (including the PIPE Financing), ARYA having at least $5,000,001 of net tangible assets (as determined in accordance with Rule 3a51-1(g)(1) of the Exchange Act) immediately after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the ARYA Parties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obligations of the ARYA Parties to consummate the transactions contemplated by the Business Combination Agreement are subject to the satisfaction or, if permitted by applicable law, written waiver by ARYA (on behalf of itself and the other ARYA Parties) of the following further conditions:</w:t>
      </w:r>
    </w:p>
    <w:p>
      <w:pPr>
        <w:spacing w:after="0" w:line="70" w:lineRule="exact"/>
        <w:rPr>
          <w:sz w:val="20"/>
          <w:szCs w:val="20"/>
          <w:color w:val="auto"/>
        </w:rPr>
      </w:pPr>
    </w:p>
    <w:p>
      <w:pPr>
        <w:ind w:left="660" w:right="100" w:hanging="328"/>
        <w:spacing w:after="0" w:line="272" w:lineRule="auto"/>
        <w:tabs>
          <w:tab w:leader="none" w:pos="6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representations and warranties of Nautilus regarding its organization and qualification, certain representations and warranties regarding its capitalization, the absence of change in control payments or declaration of dividends or other distributions, the authority of Nautilus to execute and deliver the Business Combination Agreement and each of the ancillary documents thereto to which it is or will be a party and to consummate the transactions contemplated thereby, the intended tax treatment of the Merger and Nautilus brokers’ fees being true and correct (without giving effect to any limitation of “materiality” or “Nautilus Material Adverse Effect” or any similar limitation set forth in the Business Combination Agreement) in all material respects as of the date of the Business Combination Agreement and the Closing Date as though made on and as of the Closing Date (or, if given as of an earlier date, as of such earlier date);</w:t>
      </w:r>
    </w:p>
    <w:p>
      <w:pPr>
        <w:spacing w:after="0" w:line="123" w:lineRule="exact"/>
        <w:rPr>
          <w:rFonts w:ascii="Arial" w:cs="Arial" w:eastAsia="Arial" w:hAnsi="Arial"/>
          <w:sz w:val="17"/>
          <w:szCs w:val="17"/>
          <w:color w:val="auto"/>
        </w:rPr>
      </w:pPr>
    </w:p>
    <w:p>
      <w:pPr>
        <w:jc w:val="both"/>
        <w:ind w:left="660" w:right="14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representation and warranty regarding the absence of a “Nautilus Material Adverse Effect” since January 1,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Nautilus Material Adverse Effect that is continuing;</w:t>
      </w:r>
    </w:p>
    <w:p>
      <w:pPr>
        <w:spacing w:after="0" w:line="132" w:lineRule="exact"/>
        <w:rPr>
          <w:rFonts w:ascii="Arial" w:cs="Arial" w:eastAsia="Arial" w:hAnsi="Arial"/>
          <w:sz w:val="18"/>
          <w:szCs w:val="18"/>
          <w:color w:val="auto"/>
        </w:rPr>
      </w:pPr>
    </w:p>
    <w:p>
      <w:pPr>
        <w:jc w:val="both"/>
        <w:ind w:left="660" w:right="100" w:hanging="328"/>
        <w:spacing w:after="0" w:line="25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other representations and warranties of Nautilus being true and correct (without giving effect to any limitation as to “materiality” or “Nautilus Material Adverse Effect” or any similar limitation set forth in the Business Combination Agreement) in all respects as of the date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 Nautilus Material Adverse Effect;</w:t>
      </w:r>
    </w:p>
    <w:p>
      <w:pPr>
        <w:spacing w:after="0" w:line="13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Nautilus having performed and complied in all material respects with the covenants and agreements required to be performed or complied with by it under the Business Combination Agreement prior to the Closing;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Nautilus Material Adverse Effect has occurred that is continuing;</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ARYA must have received a certificate executed by an authorized officer of Nautilus confirming that the conditions set forth in the first five bullet points in this section have been satisfied.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ARYA must have received the Amended and Restated Registration Rights and Lock-Up Agreement, duly executed by certain stockholders of Nautilus.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Nautilus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obligations of Nautilus to consummate the transactions contemplated by the Business Combination Agreement are subject to the satisfaction or, if permitted by applicable law, written waiver by Nautilus of the following further conditions:</w:t>
      </w:r>
    </w:p>
    <w:p>
      <w:pPr>
        <w:spacing w:after="0" w:line="116" w:lineRule="exact"/>
        <w:rPr>
          <w:sz w:val="20"/>
          <w:szCs w:val="20"/>
          <w:color w:val="auto"/>
        </w:rPr>
      </w:pPr>
    </w:p>
    <w:p>
      <w:pPr>
        <w:ind w:left="660" w:hanging="328"/>
        <w:spacing w:after="0" w:line="255"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representations and warranties regarding organization and qualification of the ARYA Parties, the authority of each ARYA Party to execute and deliver the Business Combination Agreement, and each of the ancillary documents thereto to which it is or will be a party and to consummate the transactions contemplated thereby, certain representations and warranties regarding the capitalization of the ARYA Parties, the absence of change in control payments, the intended tax treatment of the Merger and ARYA brokers’ fees being true and correct, in all material respects as of the date of the Business Combination Agreement and the Closing Date, as though made on and as of the Closing Date (or, if given as of an earlier date,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4" w:lineRule="exact"/>
        <w:rPr>
          <w:sz w:val="20"/>
          <w:szCs w:val="20"/>
          <w:color w:val="auto"/>
        </w:rPr>
      </w:pPr>
    </w:p>
    <w:p>
      <w:pPr>
        <w:ind w:left="660" w:right="80" w:hanging="328"/>
        <w:spacing w:after="0" w:line="259"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other representations and warranties regarding the absence of an ARYA Material Adverse Effect since March 27,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ARYA Material Adverse Effect that is continuing;</w:t>
      </w:r>
    </w:p>
    <w:p>
      <w:pPr>
        <w:spacing w:after="0" w:line="132"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other representations and warranties of the ARYA Parties being true and correct (without giving effect to any limitation of “materiality” or “ARYA Material Adverse Effect” (as defined in the Business Combination Agreement) or any similar limitation set forth in the Business Combination Agreement) in all respects as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an ARYA Material Adverse Effect;</w:t>
      </w:r>
    </w:p>
    <w:p>
      <w:pPr>
        <w:spacing w:after="0" w:line="122" w:lineRule="exact"/>
        <w:rPr>
          <w:rFonts w:ascii="Arial" w:cs="Arial" w:eastAsia="Arial" w:hAnsi="Arial"/>
          <w:sz w:val="17"/>
          <w:szCs w:val="17"/>
          <w:color w:val="auto"/>
        </w:rPr>
      </w:pPr>
    </w:p>
    <w:p>
      <w:pPr>
        <w:ind w:left="660" w:right="70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ARYA Parties having performed and complied in all material respects with the covenants and agreements required to be performed or complied with by them under the Business Combination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ARYA Material Adverse Effect has occurred that is continuing;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Aggregate Transaction Proceeds being equal to or greater than $250,000,000;</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New Nautilus Board consisting of the number of directors, and comprising the individuals, determined pursuant to Section 5.18(a)(i) and (ii) of the Business Combination Agreement;</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Sponsor and each of Todd Wider, Bradley L. Campbell and Saqib Islam having complied in all material respects with their respective covenants and agreements under the Sponsor Letter Agreement;</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Domestication having been consummated on the Closing Date prior to the Effective Time, including delivery to Nautilus of a time-stamped copy of the certificate of domestication and the certificate of incorporation issued by the Secretary of State of the State of Delaware in connection with the Domestication;</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Nautilus must have received a certificate executed by an authorized officer of Nautilus confirming that the conditions set forth in the first four bullet points of this section have been satisfied;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Nautilus must have received the Amended and Restated Registration Rights and Lock-Up Agreement, duly executed by ARYA, ARYA Sponsor and Perceptive Life Sciences Master Fund Ltd.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the Business Combination Agreement, Nautilus made customary representations and warranties to ARYA relating to, among other things: organization and qualification; capitalization; authorization; financial statements, absence of undisclosed liabilities, consents and approvals; permits; material contracts; absence of certain changes; litigation; compliance with law; employee plans; environmental matters; intellectual property; labor matters; insurance; tax matters; brokers; real and personal property; transactions with affiliates; data privacy and security; compliance with international trade and anti-corruption laws; information supplied; and regulatory compliance and investigation.</w:t>
      </w:r>
    </w:p>
    <w:p>
      <w:pPr>
        <w:spacing w:after="0" w:line="13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Under the Business Combination Agreement, the ARYA Parties made customary representations and warranties to Nautilus relating to, among other things: organization and qualification; authorization; consent and approvals; brokers; information supplier; capitalization; SEC Filings; absence of certain changes; investment company status; material contracts; the trust account; transactions with affiliates; litigation; compliance with law; business activities; internal controls and financial statements; absence of undisclosed liabilities; tax matters; investigation; employment matters; and compliance with international trade and anti-corruption laws; change of control payments; the PIPE financing; information supplied; and regulatory compliance and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Adverse Effect</w:t>
      </w:r>
    </w:p>
    <w:p>
      <w:pPr>
        <w:spacing w:after="0" w:line="17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Under the Business Combination Agreement, certain representations and warranties of Nautilus and ARYA are qualified in whole or in part by materiality thresholds. In addition, certain representations and warranties of Nautilus and ARYA are qualified in whole or in part by a material adverse effect standard for purposes of determining whether a breach of such representations and warranties has occurred.</w:t>
      </w:r>
    </w:p>
    <w:p>
      <w:pPr>
        <w:spacing w:after="0" w:line="111"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Pursuant to the Business Combination Agreement, a “Nautilus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Nautilus, taken as a whole, or (b) the ability of Nautilus to consummate the Merger or the other transactions contemplated to be consummated by Nautilus on the Closing Date in connection therewith, in each case, in accordance with the terms of the Business Combination Agreement; provided, however, that, in the case of clause (a), none of the following shall be taken into account in determining whether a Nautilus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the Business Combination Agreement or the pendency or consummation of the transactions contemplated by the Business Combination Agreement, including the impact thereof on the relationships, contractual or otherwise, of Nautilus or any of its subsidiaries with employees, customers, investors, contractors, lenders, suppliers, vendors, partners, licensors, licensees, payors or other third parties related thereto (provided that the exception in this clause (vi) shall not apply to the representations and warranties set forth in Section 3.5(b) of the Business Combination Agreement to the extent that its purpose is to address the consequences resulting from the public announcement or pendency or consummation of the transactions contemplated by the Business Combination Agreement or the condition set forth in Section 6.2(a) of the Business Combination Agreement to the extent it relates to such representations and warranties), (vii) any failure by Nautilus or any of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 Nautilus Material Adverse Effect has occurred or is reasonably likely to occur to the extent such change, event, effect or occurrence has or has had a disproportionate adverse effect on Nautilus or any of its subsidiaries, taken as a whole, relative to other participants operating in the industries or markets in which Nautilus or any of its subsidiaries operate.</w:t>
      </w:r>
    </w:p>
    <w:p>
      <w:pPr>
        <w:spacing w:after="0" w:line="33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Business Combination Agreement, certain representations and warranties of the ARYA Parties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the ARYA Parties to consummate the Domestication, Merger or the other transactions contemplated to be consummated by the ARYA Parties on the Closing Date in connection therewith, in each case, in accordance with the terms of the Business Combination Agreement; provided, however, that, in the case of clause (a),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following shall be taken into account in determining whether a ARYA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the ARYA Parties operates, (vi) the execution or public announcement of the Business Combination Agreement or the pendency or consummation of the transactions contemplated by the Business Combination Agreement, including the impact thereof on the relationships, contractual or otherwise, of the ARYA Parties with investors, contractors, lenders, suppliers, vendors, partners, licensors, licensees, payors or other third parties related thereto (provided that the exception in this clause (vi) shall not apply to the representations and warranties set forth in Section 4.3(b) of the Business Combination Agreement to the extent that its purpose is to address the consequences resulting from the public announcement or pendency or consummation of the transactions contemplated by the Business Combination Agreement or the condition set forth in Section 6.3(a) of the Business Combination Agreement to the extent it relates to such representations and warranties), (vii) any failure by the ARYA Parties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of Nautilus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made certain covenants under the Business Combination Agreement, including, among others, the following:</w:t>
      </w:r>
    </w:p>
    <w:p>
      <w:pPr>
        <w:spacing w:after="0" w:line="171" w:lineRule="exact"/>
        <w:rPr>
          <w:sz w:val="20"/>
          <w:szCs w:val="20"/>
          <w:color w:val="auto"/>
        </w:rPr>
      </w:pPr>
    </w:p>
    <w:p>
      <w:pPr>
        <w:ind w:left="660" w:right="60" w:hanging="328"/>
        <w:spacing w:after="0" w:line="259"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ARYA (such consent not to be unreasonably withheld, conditioned or delayed), prior to the Closing, Nautilus will and will cause its subsidiaries to, operate the business of Nautilus and its subsidiaries in the ordinary course in all material respects and use commercially reasonable efforts to maintain and preserve intact in all material respects the business organization, assets, properties and material business relations of Nautilus and its subsidiaries.</w:t>
      </w:r>
    </w:p>
    <w:p>
      <w:pPr>
        <w:spacing w:after="0" w:line="132"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and will cause its subsidiaries to, not do any of the following without ARYA’s consent (such consent not to be unreasonably withheld, conditioned or delayed except in the case of the first, second, fourth, fourteenth, seventeenth and eighteenth sub-bullets below):</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or redeem any outstanding, any equity securities of Nautilus;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44" w:lineRule="exact"/>
        <w:rPr>
          <w:sz w:val="20"/>
          <w:szCs w:val="20"/>
          <w:color w:val="auto"/>
        </w:rPr>
      </w:pPr>
    </w:p>
    <w:p>
      <w:pPr>
        <w:ind w:left="328" w:right="8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Nautilus governing documents or the Nautilus shareholders agreements;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sell, assign, exclusively license or otherwise dispose of any material assets or properties of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any material assets or properties of Nautilus to any lien (other than any permitted liens);</w:t>
      </w:r>
    </w:p>
    <w:p>
      <w:pPr>
        <w:spacing w:after="0" w:line="171"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transfer, issue, sell, grant, or otherwise dispose of or subject to a lien any equity interests of Nautilus or its subsidiaries or issue any options or other rights obligating Nautilus or any of its subsidiaries to issue any equity interests;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ordinary course trade payables or guarantee any liability of any person;</w:t>
      </w:r>
    </w:p>
    <w:p>
      <w:pPr>
        <w:spacing w:after="0" w:line="171" w:lineRule="exact"/>
        <w:rPr>
          <w:rFonts w:ascii="Arial" w:cs="Arial" w:eastAsia="Arial" w:hAnsi="Arial"/>
          <w:sz w:val="18"/>
          <w:szCs w:val="18"/>
          <w:color w:val="auto"/>
        </w:rPr>
      </w:pPr>
    </w:p>
    <w:p>
      <w:pPr>
        <w:ind w:left="328" w:hanging="328"/>
        <w:spacing w:after="0" w:line="286" w:lineRule="auto"/>
        <w:tabs>
          <w:tab w:leader="none" w:pos="32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amend or modify, in either case in a manner materially adverse to Nautilus, or terminate certain material contracts of Nautilus, waive any material benefit or right under any such material contracts or enter into, amend or modify any contract that would have been a certain type of material contract had such contract been entered into, amended or modified prior to the date of the Business Combination Agreement;</w:t>
      </w:r>
    </w:p>
    <w:p>
      <w:pPr>
        <w:spacing w:after="0" w:line="111" w:lineRule="exact"/>
        <w:rPr>
          <w:rFonts w:ascii="Arial" w:cs="Arial" w:eastAsia="Arial" w:hAnsi="Arial"/>
          <w:sz w:val="17"/>
          <w:szCs w:val="17"/>
          <w:color w:val="auto"/>
        </w:rPr>
      </w:pPr>
    </w:p>
    <w:p>
      <w:pPr>
        <w:ind w:left="328" w:right="3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make any loans, advances or capital contributions to, or guarantees for the benefit of, or any investments in, any person;</w:t>
      </w:r>
    </w:p>
    <w:p>
      <w:pPr>
        <w:spacing w:after="0" w:line="116"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adopt or materially amend any material benefit plan or materially increase the compensation or benefits payable to any current or former director, manager, officer, employee, individual, independent contractor or service provider or take any action to accelerate any material payment or benefit payable to any such person;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 or release any noncompetition, non-solicitation, no-hire, nondisclosure or other restrictive covenant obligation of any current or former director, manager, officer, employee, individual independent contractor or other service provider;</w:t>
      </w:r>
    </w:p>
    <w:p>
      <w:pPr>
        <w:spacing w:after="0" w:line="116" w:lineRule="exact"/>
        <w:rPr>
          <w:rFonts w:ascii="Arial" w:cs="Arial" w:eastAsia="Arial" w:hAnsi="Arial"/>
          <w:sz w:val="18"/>
          <w:szCs w:val="18"/>
          <w:color w:val="auto"/>
        </w:rPr>
      </w:pPr>
    </w:p>
    <w:p>
      <w:pPr>
        <w:ind w:left="328" w:right="16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settlements in excess of a certain threshold or that impose any material non-monetary obligations on Nautilus or any of its subsidiaries;</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authorize, recommend, propose or announce an intention to adopt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Nautilus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 or ancillary documents;</w:t>
      </w:r>
    </w:p>
    <w:p>
      <w:pPr>
        <w:spacing w:after="0" w:line="116" w:lineRule="exact"/>
        <w:rPr>
          <w:rFonts w:ascii="Arial" w:cs="Arial" w:eastAsia="Arial" w:hAnsi="Arial"/>
          <w:sz w:val="18"/>
          <w:szCs w:val="18"/>
          <w:color w:val="auto"/>
        </w:rPr>
      </w:pPr>
    </w:p>
    <w:p>
      <w:pPr>
        <w:ind w:left="328" w:right="60" w:hanging="328"/>
        <w:spacing w:after="0" w:line="308" w:lineRule="auto"/>
        <w:tabs>
          <w:tab w:leader="none" w:pos="32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make any material change of control payment that is not disclosed to ARYA on the Nautilus disclosure schedules or make any material payments with respect to a Nautilus affiliated party arrangement that is not disclosed to ARYA on the Nautilus disclosure schedules; or</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Nautilus shall terminate certain affiliate contracts as set forth on the Nautilus disclosure schedules effective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52" w:top="1440" w:right="419" w:bottom="1440" w:gutter="0" w:footer="0" w:header="0"/>
        </w:sectPr>
      </w:pPr>
    </w:p>
    <w:bookmarkStart w:id="132" w:name="page133"/>
    <w:bookmarkEnd w:id="132"/>
    <w:p>
      <w:pPr>
        <w:spacing w:after="0" w:line="144" w:lineRule="exact"/>
        <w:rPr>
          <w:sz w:val="20"/>
          <w:szCs w:val="20"/>
          <w:color w:val="auto"/>
        </w:rPr>
      </w:pPr>
    </w:p>
    <w:p>
      <w:pPr>
        <w:ind w:left="660" w:hanging="328"/>
        <w:spacing w:after="0" w:line="255"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promptly as reasonably practicable (and in any event within five business days) following the time at which this registration statement of which this proxy statement/prospectus forms a part, is declared effective under the Securities Act, Nautilus is required to obtain and deliver to ARYA a true and correct copy of a written consent of the Nautilus Shareholders approving the Business Combination Agreement and the transactions contemplated thereby (including the Merger), duly executed by (i) the requisite number of shareholders of Nautilus in accordance with the DGCL and (ii) a majority of the outstanding Nautilus preferred stock, voting as a separate class on an as-converted to Nautilus common stock basis (the “Nautilus Shareholder Written Consent”).</w:t>
      </w:r>
    </w:p>
    <w:p>
      <w:pPr>
        <w:spacing w:after="0" w:line="138"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least two business days prior to the Closing Date, Nautilus is required to deliver an allocation schedule setting forth certain capitalization information of Nautilus for purposes of allocating the New Nautilus Common Stock or options to purchase New Nautilus Common Stock, as applicable, among the Nautilus equityholders.</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purchase a “tail” policy providing liability insurance coverage for Nautilus directors and officers with respect to matters occurring on or prior to the Closing.</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Prior to the earlier of the Closing or termination of the Business Combination Agreement in accordance with its terms, Nautilus shall not, and shall cause its subsidiaries and its and their respective officers and directors to not and shall use its reasonable best efforts to cause its other representatives to not: (i) solicit, initiate, knowingly induce, knowingly encourage, facilitate, discuss or negotiate, directly or indirectly, any inquiry, proposal or offer that constitutes, or could reasonably be expected to lead to, a Nautilus Acquisition Proposal; (ii) furnish or disclose any non-public information to any Person in connection with, or that could reasonably be expected to lead to, a Nautilus Acquisition Proposal; (iii) enter into any contract or other arrangement or understanding regarding a Nautilus Acquisition Proposal; (iv) make any filings or submissions to the SEC connection with a public offering of any equity securities or other securities, of Nautilus; or (v) otherwise cooperate in any way with, or assist or participate in, any negotiations or discussions with any person in connection with any of the foregoing.</w:t>
      </w:r>
    </w:p>
    <w:p>
      <w:pPr>
        <w:spacing w:after="0" w:line="12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Nautilus shall give ARYA prompt written notice of any demands for appraisal of any share of Nautilus, attempted withdrawals of such demands and any other documents or instruments served pursuant to the DGCL relating to Nautilus’ stockholders’ rights of appraisal in accordance with the provisions of Section 262 of the DGCL. The Company will not, except with the prior written consent of ARYA (which consent shall not be unreasonably withheld, conditioned, or delayed), settle, or make any payment, or deliver any consideration, with respect to, any such demand.</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promptly as reasonably practicable following the date of the Business Combination Agreement, Nautilus shall deliver to ARYA the Nautilus audited financial statements for the years ended December 31, 2019 and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the Closing Date, Nautilus will change its name to “Nautilus Subsidiary, Inc.” (or another name mutually agreed to be ARYA and Nautilus).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made certain covenants under the Business Combination Agreement, including, among others, the following:</w:t>
      </w:r>
    </w:p>
    <w:p>
      <w:pPr>
        <w:spacing w:after="0" w:line="171" w:lineRule="exact"/>
        <w:rPr>
          <w:sz w:val="20"/>
          <w:szCs w:val="20"/>
          <w:color w:val="auto"/>
        </w:rPr>
      </w:pPr>
    </w:p>
    <w:p>
      <w:pPr>
        <w:jc w:val="both"/>
        <w:ind w:left="660" w:right="220" w:hanging="328"/>
        <w:spacing w:after="0" w:line="263"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Nautilus, prior to the Closing, ARYA will, and will cause its subsidiaries to, not do any of the following (such consent not to be unreasonably withheld, conditioned or delayed except in the case of the first, second, third, fourth, fifth, ninth, and eleventh sub-bullets below):</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ARYA trust agreement or the governing documents of any ARYA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create or form a subsidiary;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171"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any outstanding, any equity securities of ARYA or any subsidiary;</w:t>
      </w:r>
    </w:p>
    <w:p>
      <w:pPr>
        <w:spacing w:after="0" w:line="116" w:lineRule="exact"/>
        <w:rPr>
          <w:rFonts w:ascii="Arial" w:cs="Arial" w:eastAsia="Arial" w:hAnsi="Arial"/>
          <w:sz w:val="18"/>
          <w:szCs w:val="18"/>
          <w:color w:val="auto"/>
        </w:rPr>
      </w:pPr>
    </w:p>
    <w:p>
      <w:pPr>
        <w:ind w:left="328" w:right="54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other equity securities or issue any other security in respect of, in lieu of or in substitution for shares of its capital stock;</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incur, create, assume or guarantee any indebtedness or other liability;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 subsidiaries;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issue any equity securities of ARYA or grant any additional options, warrants or stock appreciation rights with respect to its equity securities;</w:t>
      </w:r>
    </w:p>
    <w:p>
      <w:pPr>
        <w:spacing w:after="0" w:line="182" w:lineRule="exact"/>
        <w:rPr>
          <w:rFonts w:ascii="Arial" w:cs="Arial" w:eastAsia="Arial" w:hAnsi="Arial"/>
          <w:sz w:val="17"/>
          <w:szCs w:val="17"/>
          <w:color w:val="auto"/>
        </w:rPr>
      </w:pPr>
    </w:p>
    <w:p>
      <w:pPr>
        <w:ind w:left="328" w:right="1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certain exceptions, enter into, renew, modify or revise any ARYA related party transaction or make any material payment to any ARYA related party;</w:t>
      </w:r>
    </w:p>
    <w:p>
      <w:pPr>
        <w:spacing w:after="0" w:line="116" w:lineRule="exact"/>
        <w:rPr>
          <w:rFonts w:ascii="Arial" w:cs="Arial" w:eastAsia="Arial" w:hAnsi="Arial"/>
          <w:sz w:val="18"/>
          <w:szCs w:val="18"/>
          <w:color w:val="auto"/>
        </w:rPr>
      </w:pPr>
    </w:p>
    <w:p>
      <w:pPr>
        <w:ind w:left="328" w:right="20" w:hanging="328"/>
        <w:spacing w:after="0" w:line="255"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engage in any activities or business, or incur any liabilities, other than activities or business or liabilities (i) in connection with or incidental or related to such person’s organization, incorporation or formation, as applicable, or continuing corporate (or similar) existence, (ii) expressly permitted pursuant to or in accordance with Section 5.11 of the Business Combination Agreement (including those actions expressly contemplated by the Business Combination Agreement, any ancillary document thereto, the performance of covenants or agreements thereunder or the consummation of the transactions contemplated thereby)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amend or modify, in either case, in a manner materially adverse to ARYA or terminate certain material contracts;</w:t>
      </w:r>
    </w:p>
    <w:p>
      <w:pPr>
        <w:spacing w:after="0" w:line="171" w:lineRule="exact"/>
        <w:rPr>
          <w:rFonts w:ascii="Arial" w:cs="Arial" w:eastAsia="Arial" w:hAnsi="Arial"/>
          <w:sz w:val="18"/>
          <w:szCs w:val="18"/>
          <w:color w:val="auto"/>
        </w:rPr>
      </w:pPr>
    </w:p>
    <w:p>
      <w:pPr>
        <w:ind w:left="328" w:right="1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adopt or materially amend any material benefit plan, enter into any employment contract or collective bargaining agreement or hire any person as an employee of ARYA;</w:t>
      </w:r>
    </w:p>
    <w:p>
      <w:pPr>
        <w:spacing w:after="0" w:line="116" w:lineRule="exact"/>
        <w:rPr>
          <w:rFonts w:ascii="Arial" w:cs="Arial" w:eastAsia="Arial" w:hAnsi="Arial"/>
          <w:sz w:val="18"/>
          <w:szCs w:val="18"/>
          <w:color w:val="auto"/>
        </w:rPr>
      </w:pPr>
    </w:p>
    <w:p>
      <w:pPr>
        <w:ind w:left="328" w:right="22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ARYA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171" w:lineRule="exact"/>
        <w:rPr>
          <w:rFonts w:ascii="Arial" w:cs="Arial" w:eastAsia="Arial" w:hAnsi="Arial"/>
          <w:sz w:val="18"/>
          <w:szCs w:val="18"/>
          <w:color w:val="auto"/>
        </w:rPr>
      </w:pPr>
    </w:p>
    <w:p>
      <w:pPr>
        <w:ind w:left="328" w:right="500" w:hanging="328"/>
        <w:spacing w:after="0" w:line="277"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w:t>
      </w:r>
    </w:p>
    <w:p>
      <w:pPr>
        <w:spacing w:after="0" w:line="116" w:lineRule="exact"/>
        <w:rPr>
          <w:sz w:val="20"/>
          <w:szCs w:val="20"/>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any change of control payment that is not disclosed to Nautilus on the ARYA disclosure schedules;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34" w:name="page135"/>
    <w:bookmarkEnd w:id="134"/>
    <w:p>
      <w:pPr>
        <w:spacing w:after="0" w:line="144" w:lineRule="exact"/>
        <w:rPr>
          <w:sz w:val="20"/>
          <w:szCs w:val="20"/>
          <w:color w:val="auto"/>
        </w:rPr>
      </w:pPr>
    </w:p>
    <w:p>
      <w:pPr>
        <w:jc w:val="both"/>
        <w:ind w:left="328" w:right="280" w:hanging="328"/>
        <w:spacing w:after="0" w:line="286"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one business day) following the date of the Business Combination Agreement, ARYA, as the sole stockholder of Merger Sub, will approve and adopt the Business Combination Agreement, the ancillary documents to which Merger Sub is or will be a party and the transactions contemplated hereby and thereby (including the Merger).</w:t>
      </w:r>
    </w:p>
    <w:p>
      <w:pPr>
        <w:spacing w:after="0" w:line="111" w:lineRule="exact"/>
        <w:rPr>
          <w:rFonts w:ascii="Arial" w:cs="Arial" w:eastAsia="Arial" w:hAnsi="Arial"/>
          <w:sz w:val="17"/>
          <w:szCs w:val="17"/>
          <w:color w:val="auto"/>
        </w:rPr>
      </w:pPr>
    </w:p>
    <w:p>
      <w:pPr>
        <w:ind w:left="328" w:right="60" w:hanging="328"/>
        <w:spacing w:after="0" w:line="273"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effectiveness of this registration statement of which this proxy statement/prospectus forms a part, ARYA will (i) duly give notice of and duly convene and hold the general meeting to approve the Condition Precedent Proposals and the Advisory Governing Documents Proposals (ii) cause the registration statement of which this proxy statement/prospectus forms a part to be mailed to the ARYA Shareholders, use reasonable best efforts to solicit proxies from the holders of ARYA’s outstanding shares to vote in favor of the Condition Precedent Proposals and the Governing Documents Proposals and (iii) provide ARYA shareholders with the opportunity to elect to effect an ARYA Shareholder redemption in accordance with the ARYA’s governing documents.</w:t>
      </w:r>
    </w:p>
    <w:p>
      <w:pPr>
        <w:spacing w:after="0" w:line="123" w:lineRule="exact"/>
        <w:rPr>
          <w:rFonts w:ascii="Arial" w:cs="Arial" w:eastAsia="Arial" w:hAnsi="Arial"/>
          <w:sz w:val="17"/>
          <w:szCs w:val="17"/>
          <w:color w:val="auto"/>
        </w:rPr>
      </w:pPr>
    </w:p>
    <w:p>
      <w:pPr>
        <w:ind w:left="328" w:right="80" w:hanging="328"/>
        <w:spacing w:after="0" w:line="286"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ARYA shall use its reasonable best efforts to cause: (i) ARYA’s initial listing application with Nasdaq to have been approved; (ii) ARYA to satisfy all applicable initial and continuing listing requirements of Nasdaq; and (iii) the New Nautilus Common Stock issuable in accordance with the Business Combination Agreement, including the Domestication and the Merger, to be approved for listing on Nasdaq.</w:t>
      </w:r>
    </w:p>
    <w:p>
      <w:pPr>
        <w:spacing w:after="0" w:line="111" w:lineRule="exact"/>
        <w:rPr>
          <w:rFonts w:ascii="Arial" w:cs="Arial" w:eastAsia="Arial" w:hAnsi="Arial"/>
          <w:sz w:val="17"/>
          <w:szCs w:val="17"/>
          <w:color w:val="auto"/>
        </w:rPr>
      </w:pPr>
    </w:p>
    <w:p>
      <w:pPr>
        <w:ind w:left="328" w:right="60" w:hanging="328"/>
        <w:spacing w:after="0" w:line="296" w:lineRule="auto"/>
        <w:tabs>
          <w:tab w:leader="none" w:pos="3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Prior to meeting of the ARYA Shareholders, the ARYA Board will approve and adopt the 2021 Plan with any changes or modifications thereto as Nautilus and ARYA may mutually agree (such agreement not to be unreasonably withheld, conditioned or delayed by either Nautilus or ARYA, as applicable), and ARYA will initially reserve 16,182,600 shares of New Nautilus Common Stock for grant thereunder plus (i) the number of shares of New Nautilus Common Stock issuable upon the exercise or conversion of the Nautilus equity awards and (ii) such additional New Nautilus Common Stock as may become available for issuance under the terms and subject to the conditions of the 2021 Plan.</w:t>
      </w:r>
    </w:p>
    <w:p>
      <w:pPr>
        <w:spacing w:after="0" w:line="107" w:lineRule="exact"/>
        <w:rPr>
          <w:rFonts w:ascii="Arial" w:cs="Arial" w:eastAsia="Arial" w:hAnsi="Arial"/>
          <w:sz w:val="16"/>
          <w:szCs w:val="16"/>
          <w:color w:val="auto"/>
        </w:rPr>
      </w:pPr>
    </w:p>
    <w:p>
      <w:pPr>
        <w:ind w:left="328" w:right="60" w:hanging="328"/>
        <w:spacing w:after="0" w:line="301" w:lineRule="auto"/>
        <w:tabs>
          <w:tab w:leader="none" w:pos="3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Prior to the meeting of the ARYA Shareholders, the ARYA Board will approve and adopt the ESPP with any changes or modifications thereto as Nautilus and ARYA may mutually agree (such agreement not to be unreasonably withheld, conditioned or delayed by either Nautilus or ARYA, as applicable), and ARYA will initially reserve 1,244,900 shares of New Nautilus Common Stock for grant thereunder plus such additional shares of New Nautilus Common Stock that may become available for issuance under the terms and subject to the conditions of the ESPP.</w:t>
      </w:r>
    </w:p>
    <w:p>
      <w:pPr>
        <w:spacing w:after="0" w:line="103" w:lineRule="exact"/>
        <w:rPr>
          <w:rFonts w:ascii="Arial" w:cs="Arial" w:eastAsia="Arial" w:hAnsi="Arial"/>
          <w:sz w:val="16"/>
          <w:szCs w:val="16"/>
          <w:color w:val="auto"/>
        </w:rPr>
      </w:pPr>
    </w:p>
    <w:p>
      <w:pPr>
        <w:ind w:left="328" w:right="120" w:hanging="328"/>
        <w:spacing w:after="0" w:line="259" w:lineRule="auto"/>
        <w:tabs>
          <w:tab w:leader="none" w:pos="3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Prior to the effective time, ARYA shall maintain the indemnification, exculpation and advancement of expenses provisions in favor of the current or former directors, officers, employees and agents of Nautilus for a period of six years after the Closing Date and shall, subject to certain exceptions, prior to the Closing, obtain a “tail” policy providing liability insurance coverage for ARYA directors and officers with respect to matters occurring on or prior to the Closing.</w:t>
      </w:r>
    </w:p>
    <w:p>
      <w:pPr>
        <w:spacing w:after="0" w:line="132" w:lineRule="exact"/>
        <w:rPr>
          <w:rFonts w:ascii="Arial" w:cs="Arial" w:eastAsia="Arial" w:hAnsi="Arial"/>
          <w:sz w:val="18"/>
          <w:szCs w:val="18"/>
          <w:color w:val="auto"/>
        </w:rPr>
      </w:pPr>
    </w:p>
    <w:p>
      <w:pPr>
        <w:ind w:left="328" w:hanging="328"/>
        <w:spacing w:after="0" w:line="269" w:lineRule="auto"/>
        <w:tabs>
          <w:tab w:leader="none" w:pos="3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Prior to the earlier of the Closing or termination of the Business Combination Agreement in accordance with its terms, ARYA shall not, shall cause its respective officers, and directors to not, shall cause Perceptive Advisors to not, and the Sponsor and their controlled affiliates to not, and shall use their reasonable best efforts to cause its and their affiliates and the other representatives of the ARYA Parties, Perceptive Advisors, the ARYA Sponsor and their controlled affiliates to not, directly or indirectly: (i) solicit, knowingly initiate,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an ARYA Acquisition Proposal; (iii) enter into any contract or other arrangement or understanding regarding an ARYA Acquisition Proposal; (iv) make and filings or submissions with the SEC in connection with an offering of any securities of ARYA or other equity securities of an ARYA Party; or (v) otherwise cooperate in any way with, or assist or participate in, any negotiations of discussion with any person in connection with an ARYA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35" w:name="page136"/>
    <w:bookmarkEnd w:id="135"/>
    <w:p>
      <w:pPr>
        <w:spacing w:after="0" w:line="144" w:lineRule="exact"/>
        <w:rPr>
          <w:sz w:val="20"/>
          <w:szCs w:val="20"/>
          <w:color w:val="auto"/>
        </w:rPr>
      </w:pPr>
    </w:p>
    <w:p>
      <w:pPr>
        <w:ind w:left="660" w:right="60" w:hanging="328"/>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ARYA shall use its reasonable best efforts to obtain the PIPE financing, enforce the obligations of the PIPE investors and satisfy and comply with all the conditions to each Subscription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certain exceptions, ARYA shall not amend, modify or waiver any provision of any Subscription Agreement.</w:t>
      </w:r>
    </w:p>
    <w:p>
      <w:pPr>
        <w:spacing w:after="0" w:line="171" w:lineRule="exact"/>
        <w:rPr>
          <w:rFonts w:ascii="Arial" w:cs="Arial" w:eastAsia="Arial" w:hAnsi="Arial"/>
          <w:sz w:val="18"/>
          <w:szCs w:val="18"/>
          <w:color w:val="auto"/>
        </w:rPr>
      </w:pPr>
    </w:p>
    <w:p>
      <w:pPr>
        <w:ind w:left="660" w:right="260" w:hanging="328"/>
        <w:spacing w:after="0" w:line="286" w:lineRule="auto"/>
        <w:tabs>
          <w:tab w:leader="none" w:pos="6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ARYA shall also promptly notify Nautilus of any material breach or termination under any Subscription Agreement and shall deliver a Closing Notice (as defined in the Subscription Agreements) to the PIPE Investors promptly (and in any event within two (2) business days) following Nautilus’ reasonable request once all the conditions to closing the Business Combination have been satisfied.</w:t>
      </w:r>
    </w:p>
    <w:p>
      <w:pPr>
        <w:spacing w:after="0" w:line="111"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ARYA shall take all such actions as may be necessary or reasonably appropriate such that effective as of the Effective Time the ARYA Board shall consist of nine (9) board members as agreed to in Section 5.18 the Business Combination Agreement described under the section entitled “— Board of Directors,”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Following the Effective Time, ARYA shall, or shall cause New Nautilus and each of its subsidiaries, to provide the employees of New Nautilus credit for purposes of determining eligibility for New Nautilus employee benefits plans, and use commercially reasonable efforts to waive any eligibility waiting periods or other limitations under each of the employee benefit plans and cause any eligible expenses incurred by any New Nautilus employee during the portion of the plan year in which the Closing occurs, to be taken into account under those health and welfare benefit plans.</w:t>
      </w:r>
    </w:p>
    <w:p>
      <w:pPr>
        <w:spacing w:after="0" w:line="133"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the satisfaction of the conditions to closing, ARYA shall deliver to the trustee all documents, certificates or other notices required to be delivered to the trustee pursuant to the Trust Agreement and shall cause the trustee to (i) pay all amounts (if any) payable to the Public Shareholders pursuant to the redemption, (ii) pay the differed underwriting expenses as set forth in the Trust Agreement, (iii) deposit all remaining amounts to New Nautilus and (iv) terminate the trust account following the completion of the actions described in clauses (i) through (iii).</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Prior to the occurrence of the Effective Time, ARYA shall adopt, or cause to be adopted, the ARYA bylaws in accordance with applicable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parties made certain covenants under the Business Combination Agreement, including, among others, the following:</w:t>
      </w:r>
    </w:p>
    <w:p>
      <w:pPr>
        <w:spacing w:after="0" w:line="171"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using reasonable best efforts to consummate the Business Combination;</w:t>
      </w:r>
    </w:p>
    <w:p>
      <w:pPr>
        <w:spacing w:after="0" w:line="171"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notify the other party in writing promptly after learning of any shareholder demands or other shareholder proceedings relating to the Business Combination Agreement, any ancillary document or any matters relating thereto and reasonably cooperate with one another in connection therewith, including not settling any such proceedings without the consent of the other party;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keeping certain information confidential in accordance with the existing non-disclosure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making public announcements;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each party reasonable access to books, records and management;</w:t>
      </w:r>
    </w:p>
    <w:p>
      <w:pPr>
        <w:spacing w:after="0" w:line="171" w:lineRule="exact"/>
        <w:rPr>
          <w:rFonts w:ascii="Arial" w:cs="Arial" w:eastAsia="Arial" w:hAnsi="Arial"/>
          <w:sz w:val="18"/>
          <w:szCs w:val="18"/>
          <w:color w:val="auto"/>
        </w:rPr>
      </w:pPr>
    </w:p>
    <w:p>
      <w:pPr>
        <w:ind w:left="660" w:right="40" w:hanging="328"/>
        <w:spacing w:after="0" w:line="342" w:lineRule="auto"/>
        <w:tabs>
          <w:tab w:leader="none" w:pos="6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using reasonable best efforts to cause each of the Domestication and the Merger to constitute a transaction treated as a “reorganization” within the meaning of Section 368 of the IRS Code or otherwise use commercially reasonable efforts to restructure the Merger to so qualify;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cooperate in connection with certain tax matters and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44" w:lineRule="exact"/>
        <w:rPr>
          <w:sz w:val="20"/>
          <w:szCs w:val="20"/>
          <w:color w:val="auto"/>
        </w:rPr>
      </w:pPr>
    </w:p>
    <w:p>
      <w:pPr>
        <w:ind w:left="660" w:right="240" w:hanging="328"/>
        <w:spacing w:after="0" w:line="308" w:lineRule="auto"/>
        <w:tabs>
          <w:tab w:leader="none" w:pos="6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making any appropriate filings pursuant to the HSR Act with respect to the transactions contemplated by the Business Combination Agreement promptly (and in any event within five (5) Business Days) following the date the Business Combination Agreement.</w:t>
      </w:r>
    </w:p>
    <w:p>
      <w:pPr>
        <w:spacing w:after="0" w:line="9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addition, ARYA and Nautilus agreed that ARYA and Nautilus will prepare and mutually agree upon and ARYA will file with the SEC, this registration statement/proxy statement on Form S-4 relating to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determined by Nautilus prior to the effectiveness of the Registration Statement (all of whom are expected to be current members of the Nautilus board of directors), one individual determined by Sponsor prior to the effectiveness of the Registration Statement and one director that may designated by Nautilus and that is reasonably acceptable to Sponsor prior to the effectiveness of the Registration Statement (provided that if no individual is designated as of such time, then such director seat will be vacant following the Effective Time until an individual is elected or appointed to such directorship in accordance with the New Nautilus governing documents).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Representations, Warranties and Covenants</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representations, warranties, agreements and covenants in the Business Combination Agreement terminate at the Effective Time, except for the covenants and agreements relevant to the Closing, agreements or covenants which by their terms contemplate performance after the Effective Time, and the representations and warranties of Nautilus and ARYA regarding investigation and exclusivity of representations and warranties.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7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the Closing, including, among others, the following:</w:t>
      </w:r>
    </w:p>
    <w:p>
      <w:pPr>
        <w:spacing w:after="0" w:line="116"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by the mutual written consent of ARYA and Nautilus;</w:t>
      </w:r>
    </w:p>
    <w:p>
      <w:pPr>
        <w:spacing w:after="0" w:line="171"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by ARYA, subject to certain exceptions, if any of the representations or warranties made by Nautilus are not true and correct or if Nautilus fails to perform any of its respective covenants or agreements under the Business Combination Agreement (including an obligation to consummate the Closing) such that certain conditions to the obligations of ARYA, as described in the section entitled </w:t>
      </w:r>
      <w:r>
        <w:rPr>
          <w:rFonts w:ascii="Arial" w:cs="Arial" w:eastAsia="Arial" w:hAnsi="Arial"/>
          <w:sz w:val="18"/>
          <w:szCs w:val="18"/>
          <w:i w:val="1"/>
          <w:iCs w:val="1"/>
          <w:color w:val="auto"/>
        </w:rPr>
        <w:t>“—Conditions to Closing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w:t>
      </w:r>
      <w:r>
        <w:rPr>
          <w:rFonts w:ascii="Arial" w:cs="Arial" w:eastAsia="Arial" w:hAnsi="Arial"/>
          <w:sz w:val="18"/>
          <w:szCs w:val="18"/>
          <w:color w:val="auto"/>
        </w:rPr>
        <w:t>above could not be satisfied and the breach (or breaches) of such representations or warranties or failure (or failures)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such covenants or agreements is (or are) not cured or cannot be cured within the earlier of (i) thirty (30) days after written notice thereof, and (ii) August 6, 2021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by Nautilus, subject to certain exceptions, if any of the representations or warranties made by the ARYA Parties are not true and correct or if any ARYA Party fails to perform any of its covenants or agreements under the Business Combination Agreement (including an obligation to consummate the Closing) such that the condition to the obligations of Nautilus, as described in the section entitled </w:t>
      </w:r>
      <w:r>
        <w:rPr>
          <w:rFonts w:ascii="Arial" w:cs="Arial" w:eastAsia="Arial" w:hAnsi="Arial"/>
          <w:sz w:val="18"/>
          <w:szCs w:val="18"/>
          <w:i w:val="1"/>
          <w:iCs w:val="1"/>
          <w:color w:val="auto"/>
        </w:rPr>
        <w:t>“—Conditions to Closing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w:t>
      </w:r>
      <w:r>
        <w:rPr>
          <w:rFonts w:ascii="Arial" w:cs="Arial" w:eastAsia="Arial" w:hAnsi="Arial"/>
          <w:sz w:val="18"/>
          <w:szCs w:val="18"/>
          <w:color w:val="auto"/>
        </w:rPr>
        <w:t>above could not be satisfied and the breach (or breaches) of such representations or warranties or failure (or failures)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such covenants or agreements is (or are) not cured or cannot be cured within the earlier of (i) thirty (30) days after written notice thereof, and (ii) the Termination Date;</w:t>
      </w:r>
    </w:p>
    <w:p>
      <w:pPr>
        <w:spacing w:after="0" w:line="13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by either ARYA or Nautilus, subject to certain exceptions, if the transactions contemplated by the Business Combination Agreement are not consummated on or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44"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either ARYA or Nautilus,</w:t>
      </w:r>
    </w:p>
    <w:p>
      <w:pPr>
        <w:spacing w:after="0" w:line="171" w:lineRule="exact"/>
        <w:rPr>
          <w:rFonts w:ascii="Arial" w:cs="Arial" w:eastAsia="Arial" w:hAnsi="Arial"/>
          <w:sz w:val="18"/>
          <w:szCs w:val="18"/>
          <w:color w:val="auto"/>
        </w:rPr>
      </w:pPr>
    </w:p>
    <w:p>
      <w:pPr>
        <w:ind w:left="980" w:hanging="324"/>
        <w:spacing w:after="0" w:line="342" w:lineRule="auto"/>
        <w:tabs>
          <w:tab w:leader="none" w:pos="97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if any governmental entity of competent jurisdiction shall have issued an order permanently enjoining, restraining or otherwise prohibiting the transactions contemplated by the Business Combination Agreement and such order shall have become final and nonappealable;</w:t>
      </w:r>
    </w:p>
    <w:p>
      <w:pPr>
        <w:spacing w:after="0" w:line="69" w:lineRule="exact"/>
        <w:rPr>
          <w:rFonts w:ascii="Arial" w:cs="Arial" w:eastAsia="Arial" w:hAnsi="Arial"/>
          <w:sz w:val="16"/>
          <w:szCs w:val="16"/>
          <w:color w:val="auto"/>
        </w:rPr>
      </w:pPr>
    </w:p>
    <w:p>
      <w:pPr>
        <w:ind w:left="980" w:right="200" w:hanging="324"/>
        <w:spacing w:after="0" w:line="277" w:lineRule="auto"/>
        <w:tabs>
          <w:tab w:leader="none" w:pos="97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the approval of the Condition Precedent Proposals by ARYA Shareholders is not obtained at the extraordinary general meeting (including any adjournment thereof); and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ARYA, if Nautilus does not deliver, or cause to be delivered to ARYA, the Nautilus Shareholder Written Consent when required under the Business Combination Agreement.</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the Business Combination Agreement is validly terminated, none of the parties to the Business Combination Agreement will have any liability or any further obligation under the Business Combination Agreement, except (i) in the case of a willful breach of any covenant or agreement under the Business Combination Agreement or fraud, (ii) for customary obligations that survive the termination thereof (such as confidentiality obligations) and (iii) for any person’s liability under any ancillary document with respect to a claim against such Person by another person party to such agreement on the terms and subject to the conditions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fees and expenses incurred in connection with the Business Combination Agreement and the ancillary documents thereto, and the transactions contemplated thereby, including the fees and disbursements of counsel, financial advisors and accountants, will be paid by the party incurring such fees or expenses; provided that, if the Business Combination Agreement is terminated in accordance with its terms, Nautilus shall pay, or cause to be paid, all unpaid Nautilus expenses and ARYA shall pay, or cause to be paid, all unpaid ARYA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Act also applies to the Domestication).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7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Business Combination Agreement may be amended or modified only by a written agreement executed and delivered by ARYA and Nautilus, provided that amendments to certain specified provisions will also require the written agreement of Sponsor following the Closing.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New Nautilus Immediately Following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Class A ordinary shares are redeemed in connection with the Business Combination), ARYA’s fully-diluted share capital would be 19,186,500 ordinary shares.</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common stock outstanding immediately following the consummation of the Business Combination. If the actual facts are different than these assumptions, the ownership percentages in New Nautilus will be different.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39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28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No redemptions</w:t>
            </w:r>
          </w:p>
        </w:tc>
        <w:tc>
          <w:tcPr>
            <w:tcW w:w="1940" w:type="dxa"/>
            <w:vAlign w:val="bottom"/>
          </w:tcPr>
          <w:p>
            <w:pPr>
              <w:jc w:val="center"/>
              <w:spacing w:after="0" w:line="182" w:lineRule="exact"/>
              <w:rPr>
                <w:sz w:val="20"/>
                <w:szCs w:val="20"/>
                <w:color w:val="auto"/>
              </w:rPr>
            </w:pPr>
            <w:r>
              <w:rPr>
                <w:rFonts w:ascii="Arial" w:cs="Arial" w:eastAsia="Arial" w:hAnsi="Arial"/>
                <w:sz w:val="14"/>
                <w:szCs w:val="14"/>
                <w:b w:val="1"/>
                <w:bCs w:val="1"/>
                <w:color w:val="auto"/>
                <w:w w:val="92"/>
              </w:rPr>
              <w:t>Maximum redemptions</w:t>
            </w:r>
            <w:r>
              <w:rPr>
                <w:rFonts w:ascii="Arial" w:cs="Arial" w:eastAsia="Arial" w:hAnsi="Arial"/>
                <w:sz w:val="18"/>
                <w:szCs w:val="18"/>
                <w:b w:val="1"/>
                <w:bCs w:val="1"/>
                <w:color w:val="auto"/>
                <w:w w:val="92"/>
                <w:vertAlign w:val="superscript"/>
              </w:rPr>
              <w:t>(2)</w:t>
            </w:r>
          </w:p>
        </w:tc>
      </w:tr>
      <w:tr>
        <w:trPr>
          <w:trHeight w:val="128"/>
        </w:trPr>
        <w:tc>
          <w:tcPr>
            <w:tcW w:w="72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Percentage of Outstanding</w:t>
            </w:r>
          </w:p>
        </w:tc>
        <w:tc>
          <w:tcPr>
            <w:tcW w:w="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24"/>
        </w:trPr>
        <w:tc>
          <w:tcPr>
            <w:tcW w:w="7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940" w:type="dxa"/>
            <w:vAlign w:val="bottom"/>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28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940" w:type="dxa"/>
            <w:vAlign w:val="bottom"/>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280" w:type="dxa"/>
            <w:vAlign w:val="bottom"/>
          </w:tcPr>
          <w:p>
            <w:pPr>
              <w:spacing w:after="0"/>
              <w:rPr>
                <w:sz w:val="20"/>
                <w:szCs w:val="20"/>
                <w:color w:val="auto"/>
              </w:rPr>
            </w:pPr>
            <w:r>
              <w:rPr>
                <w:rFonts w:ascii="Arial" w:cs="Arial" w:eastAsia="Arial" w:hAnsi="Arial"/>
                <w:sz w:val="14"/>
                <w:szCs w:val="14"/>
                <w:color w:val="auto"/>
              </w:rPr>
              <w:t>__________________</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The form of Subscription Agreement, the Amended and Restated Registration Rights and Lock-Up Agreement, the form of Nautilus Shareholder Transaction Support Agreement and the form of Sponsor Letter Agreement are attached hereto as Annex F, Annex G, Annex H, and Annex E, respectively. You are urged to read such agreements in their entirety prior to voting on the proposals presented at the extraordinary general meeting.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Concurrently with the execution of the Business Combination Agreement, ARYA has entered into the Subscription Agreements with each of the PIPE Investors, which include the Perceptive PIPE Investors and certain existing Nautilus Shareholders, pursuant to which the PIPE Investors have agreed to subscribe for and purchase, and ARYA has agreed to issue and sell to the PIPE Investors, on the Closing Date immediately prior to the Closing,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Amended and Restated Registration Rights and Lock-Up Agreement pursuant to which, among other things, the Perceptive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Support Agreements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Immediately following the execution of the Business Combination Agreement, ARYA, Nautilus and certain Nautilus Shareholders entered into shareholder support agreements (the “Nautilus Shareholder Transaction Support Agreements”) pursuant to which each such holder agreed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Nautilus Shares prior to the closing of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20" w:firstLine="8"/>
        <w:spacing w:after="0" w:line="253" w:lineRule="auto"/>
        <w:tabs>
          <w:tab w:leader="none" w:pos="2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the Business Combination</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ARYA is a blank check company incorporated on March 27, 2020 as a Cayman Islands exempted company and formed for the purpose of effecting a merger, share exchange, asset acquisition, share purchase, reorganization or similar business combination with one or more businesses. In conducting a targeted search for a business combination target, as described in greater detail below, ARYA utilized the global network and investing, industry and sector, and transaction experience of Sponsor, ARYA’s management and the ARYA Board. The terms of the Business Combination Agreement and the related ancillary documents are the result of extensive negotiations among ARYA, Nautilus and their respective representatives and advisors.</w:t>
      </w:r>
    </w:p>
    <w:p>
      <w:pPr>
        <w:spacing w:after="0" w:line="10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April 2020, prior to the closing of ARYA’s initial public offering, ARYA issued 3,737,500 founder shares to Sponsor in exchange for a capital contribution of $25,000, and Sponsor subsequently transferred 30,000 founder shares to each of Messrs. Wider, Campbell and Islam. On August 11, 2020 ARYA completed its initial public offering of 14,950,000 Class A ordinary shares at a price of $10.00 per share generating gross proceeds of $149.5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million before underwriting discounts and expenses. Concurrently with the closing of its initial public offering, ARYA completed the private placement of 499,000 private placement shares at a price of $10.00 per private placement share to Sponsor. The private placement shares sold in the private placement are substantially identical to the public shares sold in the initial public offering, except that Sponsor has agreed not to transfer, assign or sell any of the private placement shares (except to certain permitted transferees) until 30 days after the completion of ARYA’s initial business combination. Prior to the consummation of ARYA’s initial public offering, neither ARYA, nor any authorized person on its behalf, initiated any substantive discussions, formal or otherwise, with respect to a business combination involving ARYA.</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Following the completion of its initial public offering, ARYA’s officers and directors commenced an active, targeted search for an initial set of potential business combination targets, leveraging its officers’ and directors’ and Sponsor’s network of investment bankers, private equity firms and hedge funds (including Perceptive Advisors and its affiliates) and numerous other business relationships. The focus of this targeted search was potential business combinations targets in the growing life sciences and medical technology sectors, which ARYA’s directors and officers believed, based on their experience, could satisfy all (or a portion of) certain key criteria for a business combination target, including, among others: (a) scientific or other competitive advantages in the markets in which they operate; (b) the likely benefit of access to additional capital as well as ARYA’s management’s industry relationships and expertise; (c) the ability to achieve a reasonably expeditious timeline to both signing and closing based on the target’s preparedness and public company readiness, with strong management, corporate governance and financial reporting policies in place; (d) a positive reception by public investors, with the expectation that the target would have good access to the public capital markets in the future; (e) significant embedded and/or underexploited growth opportunities; (f) unrecognized value or other characteristics that have been unevaluated by the market based on its analysis and scientific and business due diligence review; and (g) the ability to offer attractive risk-adjusted equity returns for ARYA’s shareholders.</w:t>
      </w:r>
    </w:p>
    <w:p>
      <w:pPr>
        <w:spacing w:after="0" w:line="11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ARYA identified an initial set of 12 potential business combination targets that it believed met one or more of its acquisition criteria and commenced preliminary due diligence on each and evaluated and analyzed each as potential business combination targets. ARYA’s due diligence, evaluation and analysis involved, among other things, diligence with respect to, and evaluating and analyzing, each target’s product candidate pipelines, other potential product or service offerings, technology, market potential and financial information, in each case, based on publicly available information and other market research available to the management team and its advisors, and its existing knowledge of the potential targets as a result of its network and existing relationships (including, in the case of Nautilus, ARYA’s knowledge of the proteomics market and Nautilus’ business, technologies and potential product or service offerings as a result of Perceptive Advisors’ approximate 3.2% ownership stake in Nautilus (on a fully diluted basis) that was purchased in connection with Nautilus’ Series B preferred stock financing, and the role of Michael Altman, director and Chief Financial Officer of ARYA, as a non-voting observer on the Nautilus board of directors). Based on this due diligence, evaluation and analysis, ARYA determined that it would contact three potential business combination targets (including Nautilus) to further evaluate and analyze a potential business combination, which ARYA believed, based on its preliminary evaluation and the experience and existing knowledge of its officers and directors, were most suitable for a business combination due to the strength of the following factors, among others, relative to the other potential business combination targets: (a) scientific or other competitive advantages in the markets in which they operate and future growth prospects; (b) significant embedded and/or underexploited growth opportunities; and (c) the ability to offer attractive, risk-adjusted equity returns for ARYA’s shareholders. ARYA had preliminary discussions with the potential business combination targets (other than Nautilus) with respect to their business and a potential business combination involving such target and ARYA. None of these discussions progressed beyond these preliminary discussions, ARYA did not enter into a non-disclosure agreement with any of these targets or propose any terms with respect to a potential business combination (whether via a term sheet, during discussions or otherwise) and ARYA ceased to have further discussions with these other potential business combination targets when it determined, for the reasons described below, that it would cease further analyzing and exploring these potential opportunities.</w:t>
      </w:r>
    </w:p>
    <w:p>
      <w:pPr>
        <w:spacing w:after="0" w:line="3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October 21, 2020, Mr. Altman had a telephonic meeting with Sujal Patel, director and Chief Executive Officer of Nautilus, to discuss certain matters related to Nautilus’ business and unrelated to a business combination with ARYA. At the meeting, Mr. Altman indicated to Mr. Patel that ARYA wanted to further explore a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business combination between Nautilus and ARYA. The terms of a potential business combination were not discussed, the parties did not resolve to take any subsequent steps with respect to a potential business combination between ARYA and Nautilus and following this meeting Nautilus continued to explore other potential strategic financings (including a potential private preferred stock financing round) and ARYA continued to explore other potential business combination targets.</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Between October 22, 2020 and November 30, 2020, there were no further discussions between representatives of ARYA and Nautilus with respect to a potential business combination between the parties.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December 1, 2020, Mr. Altman and Konstantin Poukalov, the Chief Business Officer of ARYA, held a subsequent telephonic meeting with Mr. Patel, at ARYA’s invitation. At the meeting, the representatives of ARYA and Nautilus discussed Nautilus’ business and strategic prospects, as well as certain key aspects of a business combination with ARYA (including that consideration to Nautilus shareholders in such a transaction would consist of shares in ARYA, Perceptive Advisors was willing to participate in, and, if Nautilus saw fit, make a significant additional investment in the form of, the PIPE financing, which the parties discussed as being between $35 million and $50 million, and the potential size of the PIPE financing, which the parties discussed would be in the $150 million range) and the potential benefits of a potential business combination between ARYA and Nautilus (including the potential transaction providing Nautilus with immediate capital to continue its R&amp;D efforts and further develop its platform, the benefits to being a public company, including, if needed, having additional sources of capital available through the public equity markets and the less dilutive nature of the capital structure of ARYA as compared to other potential SPAC counterparties given the size of ARYA trust account and ARYA not having offered any warrants to public investors in connection with its initial public offering). At the meeting, the representatives of both ARYA and Nautilus expressed interest in further exploring a potential business combination.</w:t>
      </w:r>
    </w:p>
    <w:p>
      <w:pPr>
        <w:spacing w:after="0" w:line="12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Between December 2, 2020 and December 10, 2020, representatives of ARYA and Nautilus held multiple telephonic and teleconference meetings to further discuss and explore a potential business combination between ARYA and Nautilus and the potential terms of such a potential business combination. As part of these discussions, Mr. Patel indicated that Nautilus would be unlikely to pursue a business combination with ARYA unless the equity valuation in the business combination was attractive relative to alternatives with late stage growth investors in private transactions, particularly given valuation trends in the late stage financing market generally and among comparable life science tools companies specifically, the significant level of early interest expressed by potential participants in its Series C preferred stock financing round, its expectation to follow a more traditional initial public offering path, and the increased costs and requirements of being a public company. As part of these discussions, representatives of ARYA shared their perspectives regarding Nautilus’ valuation, including based on information that ARYA had received to date, the valuation of comparable companies in Nautilus’ industry and the valuation ascribed to Seer, Inc., in its recent initial public offering, a life sciences company with a focus on commercializing a new proteomics platform that ARYA’s management believed was a good market comparable for the potential valuation of Nautilus, and both ARYA and Nautilus discussed the valuation at which each of them would be interested in pursuing a business combination transaction. The discussions in regard to the valuation of Nautilus ranged from $700 million to $1 billion, on a pre-transaction equity value basis, which ARYA’s management believed to be an attractive valuation range for a potential business combination with Nautilus in light of its evaluation and analysis of the Company to date. In particular, for purposes of determining the ultimate valuation reflected in the non-binding term sheet, ARYA considered the implied $923 million pre-money valuation ascribed to Seer, Inc. based on the terms of its recent initial public offering as described in publicly available documents. For further information related to the comparable company analysis performed by ARYA, please see the section entitled “</w:t>
      </w:r>
      <w:r>
        <w:rPr>
          <w:rFonts w:ascii="Arial" w:cs="Arial" w:eastAsia="Arial" w:hAnsi="Arial"/>
          <w:sz w:val="16"/>
          <w:szCs w:val="16"/>
          <w:i w:val="1"/>
          <w:iCs w:val="1"/>
          <w:color w:val="auto"/>
        </w:rPr>
        <w:t>—Background to the Business Combination—Summary of ARYA Financial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Comparable Company Analysis.”</w:t>
      </w:r>
    </w:p>
    <w:p>
      <w:pPr>
        <w:spacing w:after="0" w:line="33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On a December 10, 2020 teleconference meeting between representatives of ARYA, Perceptive Advisors and Nautilus, Mr. Patel, Parag Mallick, director and Chief Scientist of Nautilus, and Nick Nelson, Chief Business Officer of Nautilus, made a presentation to ARYA regarding Nautilus and its business operations, including certain financial information and preliminary projections, its product development pipeline, and views on competitive positioning and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part of these discussions and the exploration of a potential business combination involving ARYA and Nautilus and throughout the process relating to a potential business combination involving ARYA and Nautilus, Mr. Altman recused himself from participation in all meetings, discussions, votes and other actions of the Nautilus board of directors (and any committees thereof) relating to the potential business combination.</w:t>
      </w:r>
    </w:p>
    <w:p>
      <w:pPr>
        <w:spacing w:after="0" w:line="11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On December 11, 2020, representatives of ARYA provided representatives of Nautilus with a draft term sheet with respect to a potential business combination. The draft term sheet proposed a $900 million pre-transaction equity valuation of Nautilus as more fully described below.</w:t>
      </w:r>
    </w:p>
    <w:p>
      <w:pPr>
        <w:spacing w:after="0" w:line="9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Between December 12, 2020 and December 14, 2020, representatives of ARYA and Kirkland &amp; Ellis LLP (“</w:t>
      </w:r>
      <w:r>
        <w:rPr>
          <w:rFonts w:ascii="Arial" w:cs="Arial" w:eastAsia="Arial" w:hAnsi="Arial"/>
          <w:sz w:val="16"/>
          <w:szCs w:val="16"/>
          <w:u w:val="single" w:color="auto"/>
          <w:color w:val="auto"/>
        </w:rPr>
        <w:t>K&amp;E</w:t>
      </w:r>
      <w:r>
        <w:rPr>
          <w:rFonts w:ascii="Arial" w:cs="Arial" w:eastAsia="Arial" w:hAnsi="Arial"/>
          <w:sz w:val="16"/>
          <w:szCs w:val="16"/>
          <w:color w:val="auto"/>
        </w:rPr>
        <w:t>”), counsel to ARYA, on the one hand, and representatives of Nautilus and Wilson Sonsini Goodrich &amp; Rosati (“</w:t>
      </w:r>
      <w:r>
        <w:rPr>
          <w:rFonts w:ascii="Arial" w:cs="Arial" w:eastAsia="Arial" w:hAnsi="Arial"/>
          <w:sz w:val="16"/>
          <w:szCs w:val="16"/>
          <w:u w:val="single" w:color="auto"/>
          <w:color w:val="auto"/>
        </w:rPr>
        <w:t>Wilson Sonsini</w:t>
      </w:r>
      <w:r>
        <w:rPr>
          <w:rFonts w:ascii="Arial" w:cs="Arial" w:eastAsia="Arial" w:hAnsi="Arial"/>
          <w:sz w:val="16"/>
          <w:szCs w:val="16"/>
          <w:color w:val="auto"/>
        </w:rPr>
        <w:t>”), counsel to Nautilus, on the other hand, held multiple calls and exchanged multiple revised drafts of the term sheet. 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 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w:t>
      </w:r>
    </w:p>
    <w:p>
      <w:pPr>
        <w:spacing w:after="0" w:line="11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During this same time period, ARYA and its representatives continued to conduct preliminary business due diligence with respect to Nautilus and its business (including its potential product and service offerings and related technology), the proteomics market and public financing markets in connection with exploring a potential business combination.</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this same time period and in conjunction with the entry by ARYA and Nautilus into the term sheet on December 14, 2020, ARYA ultimately determined to abandon the other potential business combination opportunities that it had been further analyzing and exploring because of, among other things: (a) ARYA’s directors’ and officers’ belief, based on its analysis and review and preliminary due diligence and the terms of the term sheet, that Nautilus was most attractive potential business combination that met its key criteria in a target, including, in particular, potential scientific and other competitive advantages of Nautilus in a large proteomics market that has the potential for greater growth with the next-generation proteomics offerings and potential for significant future growth prospects and value appreciation; (b) the level of engagement by, and advanced negotiations and discussions with, Nautilus, as compared to the two other potential business combination targets where engagement was more limited and negotiations and discussions did not progress as rapidly, including with respect to having a preliminary agreement on key terms and conditions of a potential transaction; and (c) Nautilus’ preparedness and willingness to devote appropriate resources to negotiating and executing definitive agreements and to consummating a business combination and becoming a public company, as compared to the other two potential business combination targets.</w:t>
      </w:r>
    </w:p>
    <w:p>
      <w:pPr>
        <w:spacing w:after="0" w:line="11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On December 14, 2020, after extensive negotiations between representatives and advisors of the parties, ARYA and Nautilus agreed on, and executed, a non-binding term sheet, which provided for, among other things, an agreed valuation of Nautilus based on an implied pre-transaction equity value of $900 million with no adjustment for cash or debt and a binding exclusivity period that, subject to certain customary exceptions, ended on the later of (a) 5:00 p.m. Eastern Time on January 31, 2021 and (b) the time at which either party gave written notice to the other party of termination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Following the entry into the term sheet, ARYA’s management provided ARYA directors with an update with respect to the potential business combination with Nautilus, including, among other things, the terms of the term sheet and the expected process and timing for the potential transaction and ARYA’s due diligence and evaluation of Nautilus to-date, including, among other things, an overview of the management presentation representatives of Nautilus had delivered to ARYA management on December 10, 2020.</w:t>
      </w:r>
    </w:p>
    <w:p>
      <w:pPr>
        <w:spacing w:after="0" w:line="133"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December 17, 2020, representatives of ARYA, K&amp;E, Jefferies LLC (“</w:t>
      </w:r>
      <w:r>
        <w:rPr>
          <w:rFonts w:ascii="Arial" w:cs="Arial" w:eastAsia="Arial" w:hAnsi="Arial"/>
          <w:sz w:val="17"/>
          <w:szCs w:val="17"/>
          <w:u w:val="single" w:color="auto"/>
          <w:color w:val="auto"/>
        </w:rPr>
        <w:t>Jefferies</w:t>
      </w:r>
      <w:r>
        <w:rPr>
          <w:rFonts w:ascii="Arial" w:cs="Arial" w:eastAsia="Arial" w:hAnsi="Arial"/>
          <w:sz w:val="17"/>
          <w:szCs w:val="17"/>
          <w:color w:val="auto"/>
        </w:rPr>
        <w:t>”) and Goldman Sachs &amp; Co. LLC (“</w:t>
      </w:r>
      <w:r>
        <w:rPr>
          <w:rFonts w:ascii="Arial" w:cs="Arial" w:eastAsia="Arial" w:hAnsi="Arial"/>
          <w:sz w:val="17"/>
          <w:szCs w:val="17"/>
          <w:u w:val="single" w:color="auto"/>
          <w:color w:val="auto"/>
        </w:rPr>
        <w:t>Goldman</w:t>
      </w:r>
      <w:r>
        <w:rPr>
          <w:rFonts w:ascii="Arial" w:cs="Arial" w:eastAsia="Arial" w:hAnsi="Arial"/>
          <w:sz w:val="17"/>
          <w:szCs w:val="17"/>
          <w:color w:val="auto"/>
        </w:rPr>
        <w:t>”), as placement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agents in connection with the PIPE Financing and financial advisors to ARYA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Skadden, Arps, Slate Meagher &amp; Flom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Skadden</w:t>
      </w:r>
      <w:r>
        <w:rPr>
          <w:rFonts w:ascii="Arial" w:cs="Arial" w:eastAsia="Arial" w:hAnsi="Arial"/>
          <w:sz w:val="16"/>
          <w:szCs w:val="16"/>
          <w:color w:val="auto"/>
        </w:rPr>
        <w:t>”), as counsel to Jefferies and Goldman, Nautilus, Morgan Stanley &amp; Co. LLC (“</w:t>
      </w:r>
      <w:r>
        <w:rPr>
          <w:rFonts w:ascii="Arial" w:cs="Arial" w:eastAsia="Arial" w:hAnsi="Arial"/>
          <w:sz w:val="16"/>
          <w:szCs w:val="16"/>
          <w:u w:val="single" w:color="auto"/>
          <w:color w:val="auto"/>
        </w:rPr>
        <w:t>Morgan Stanley</w:t>
      </w:r>
      <w:r>
        <w:rPr>
          <w:rFonts w:ascii="Arial" w:cs="Arial" w:eastAsia="Arial" w:hAnsi="Arial"/>
          <w:sz w:val="16"/>
          <w:szCs w:val="16"/>
          <w:color w:val="auto"/>
        </w:rPr>
        <w:t>”), as financial advisor to Nautilus, and Wilson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Sonsini conducted a meeting telephonically during which the parties and their respective representatives and advisors discussed the timeline and process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signing definitive agreements providing for a potential business combination, and discussed and tentatively agreed on a work plan ultimately leading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definitive agreements in late January or early February 2021. In connection with the consummation of the Business Combination, Jefferies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Goldman will be entitled to (i) deferred underwriting compensation, as set forth in the registration statement for ARYA’s initial public offering, and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customary fees in connection with the PIPE Financing and Business Combination. These fees will be paid at the closing of the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conditioned upon the successful completion of the Business Combination; if the Business Combination does not close, Jefferies and Goldman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entitled to such fees.</w:t>
      </w:r>
    </w:p>
    <w:p>
      <w:pPr>
        <w:spacing w:after="0" w:line="157"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Between the date of the initial telephonic meeting on December 17, 2020 and February 7, 2021, representatives and advisors of each of ARYA and Nautilus conducted a weekly telephonic meeting to discuss progress on, and provide updates with respect to, key work streams and other aspects of the potential business combination and, as needed, further refine the transaction timeline and steps and related work plan.</w:t>
      </w:r>
    </w:p>
    <w:p>
      <w:pPr>
        <w:spacing w:after="0" w:line="1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Between the date of the initial telephonic meeting on December 17, 2020 and February 7, 2021, the management teams of Nautilus and ARYA met on a regular – often daily – basis for the purposes of reviewing Nautilus’ technology and business and discussing the contemplated business combination transaction.</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On December 23, 2020, Nautilus provided ARYA and its advisors with access to an online data room for purposes of conducting further business, financial, legal, tax, intellectual property, insurance and other due diligence with respect to Nautilus and its business.</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Between December 23, 2020 and January 30, 2021, representatives of ARYA conducted further business and financial due diligence with respect to Nautilus, its business and the proteomics market and, over the same period of time, ARYA’s legal, tax and other advisors conducted due diligence with respect to Nautilus and its business, in each case, based on information available in the data room (which included the Nautilus Forecasts (as defined below), which had been prepared following the signing of the non-binding term sheet and were provided to ARYA’s advisors on January 10, 2021), written responses from the management team of Nautilus and customary due diligence calls with the Nautilus management team and its advisors. Each of K&amp;E, KPMG LLP, tax and accounting advisor to ARYA and Fenwick &amp; West LLP, intellectual property counsel to ARYA, provided ARYA with a due diligence report summarizing its key findings with respect to its due diligence review of Nautilus.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4, 2021, on behalf of ARYA, K&amp;E distributed the first draft of the Business Combination Agreement to Wilson Sonsini.</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Between January 4, 2021 and February 7, 2021, K&amp;E, on the one hand, and Wilson Sonsini, on the other hand, exchanged numerous revised drafts of the Business Combination Agreement. Certain key Nautilus shareholders also reviewed and provided feedback on drafts of the Business Combination Agreement and the ancillary documents. Over the same period of time, K&amp;E and Wilson Sonsini and other representatives and advisors for ARYA and Nautilus held numerous conference calls regarding certain terms and conditions of the Business Combination Agreement, including, among other things: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the size, terms and establishment of the 2021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4" w:name="page145"/>
    <w:bookmarkEnd w:id="144"/>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ESPP; (b) the standard for the “bring-down” at the closing for certain representations and warranties (including those related to certain capitalization reps, certain change of control and other management payments or arrangements and other value “leakage”); (c) the ability of the Company or ARYA to terminate the agreement in certain circumstances, including the proposed ability of Company to terminate the Business Combination Agreement due to, among other things, an alternate “superior” transaction and the ability of either party to terminate if certain of its related parties were in breach of their covenants or obligations under certain ancillary documents; (d) the circumstances in which, and standard for determining whether, a party would have liability following the termination of the Business Combination Agreement (including the proposed payment of termination fees by the respective parties in certain circumstances); (e) the overall suite of representations, warranties and covenants to be provided by each party under the Business Combination Agreement and the related ancillary documents; (f) the governance structure of the New Nautilus follow the closing of the business combination; and (g) the use of cash held by ARYA outside of the Trust Account prior to the closing. For further information related to the final resolution of items (a) through (g), please see the section entitled “</w:t>
      </w:r>
      <w:r>
        <w:rPr>
          <w:rFonts w:ascii="Arial" w:cs="Arial" w:eastAsia="Arial" w:hAnsi="Arial"/>
          <w:sz w:val="16"/>
          <w:szCs w:val="16"/>
          <w:i w:val="1"/>
          <w:iCs w:val="1"/>
          <w:color w:val="auto"/>
        </w:rPr>
        <w:t>Business Combination Proposal—The Business Combination Agreement</w:t>
      </w:r>
      <w:r>
        <w:rPr>
          <w:rFonts w:ascii="Arial" w:cs="Arial" w:eastAsia="Arial" w:hAnsi="Arial"/>
          <w:sz w:val="16"/>
          <w:szCs w:val="16"/>
          <w:color w:val="auto"/>
        </w:rPr>
        <w:t>.”</w:t>
      </w:r>
    </w:p>
    <w:p>
      <w:pPr>
        <w:spacing w:after="0" w:line="1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6, 2021, representatives of K&amp;E distributed to representatives of Wilson Sonsini the first draft form of the Nautilus Shareholder Transaction Support Agreements, pursuant to which certain Nautilus Shareholders have agreed to, among other things, (a) vote in favor of the Business Combination Agreement and the transactions contemplated thereby and (b) be bound by certain other covenants and agreements related to the Business Combination. During this time and in connection with these negotiations, multiple drafts of the Nautilus Shareholder Transaction Support Agreements were exchanged prior to their execution on February 7, 2021, following the execution of the Business Combination Agreement. For additional information, see “</w:t>
      </w:r>
      <w:r>
        <w:rPr>
          <w:rFonts w:ascii="Arial" w:cs="Arial" w:eastAsia="Arial" w:hAnsi="Arial"/>
          <w:sz w:val="18"/>
          <w:szCs w:val="18"/>
          <w:i w:val="1"/>
          <w:iCs w:val="1"/>
          <w:color w:val="auto"/>
        </w:rPr>
        <w:t>—Related Agreements—Transaction Support Agreements</w:t>
      </w:r>
      <w:r>
        <w:rPr>
          <w:rFonts w:ascii="Arial" w:cs="Arial" w:eastAsia="Arial" w:hAnsi="Arial"/>
          <w:sz w:val="18"/>
          <w:szCs w:val="18"/>
          <w:color w:val="auto"/>
        </w:rPr>
        <w:t>.”</w:t>
      </w:r>
    </w:p>
    <w:p>
      <w:pPr>
        <w:spacing w:after="0" w:line="13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January 14, 2021, representatives of Wilson Sonsini distributed to representatives of K&amp;E the first draft form of the Amended and Restated Registration Rights Agreement &amp; Lock-Up Agreement based on the terms of the non-binding term sheet, as updated by subsequent discussions, pursuant to which, among other things, ARYA would agree to register for resale, pursuant to Rule 415 under the Securities Act, certain equity securities of Nautilus that are held by the parties thereto from time to time, the terms of which the parties continued to negotiate over the course of the following weeks. During this time and in connection with these negotiations, multiple drafts of the Registration Rights Agreement were exchanged prior to its execution on February 7, 2021, concurrently with the execution of the Business Combination Agreement. For further information related to Amended and Restated Registration Rights Agreement &amp; Lock-Up, please see the section entitled “</w:t>
      </w:r>
      <w:r>
        <w:rPr>
          <w:rFonts w:ascii="Arial" w:cs="Arial" w:eastAsia="Arial" w:hAnsi="Arial"/>
          <w:sz w:val="18"/>
          <w:szCs w:val="18"/>
          <w:i w:val="1"/>
          <w:iCs w:val="1"/>
          <w:color w:val="auto"/>
        </w:rPr>
        <w:t>—Related Agreements—Registration and Shareholder Rights Agreement</w:t>
      </w:r>
      <w:r>
        <w:rPr>
          <w:rFonts w:ascii="Arial" w:cs="Arial" w:eastAsia="Arial" w:hAnsi="Arial"/>
          <w:sz w:val="18"/>
          <w:szCs w:val="18"/>
          <w:color w:val="auto"/>
        </w:rPr>
        <w:t>” for additional information.</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On January 30, 2021, representatives of Wilson Sonsini distributed to representatives of K&amp;E the first draft form of a Sponsor Letter Agreement, pursuant to which Sponsor and each of Todd Wider, Bradley L. Campbell and Saqib Islam agreed to, among other things, (a) vote in favor of the Business Combination Agreement and the transactions contemplated thereby (including the Merger), (b)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(c) be bound by certain transfer restrictions with respect to his, her or its shares in ARYA prior to the closing of the Business Combination, in each case, on the terms and subject to the conditions set forth in the Sponsor Letter Agreement. During this time and in connection with these negotiations, multiple drafts of the Sponsor Letter Agreement were exchanged prior to its execution on February 7, 2021, concurrently with the execution of the Business Combination Agreement. See </w:t>
      </w:r>
      <w:r>
        <w:rPr>
          <w:rFonts w:ascii="Arial" w:cs="Arial" w:eastAsia="Arial" w:hAnsi="Arial"/>
          <w:sz w:val="17"/>
          <w:szCs w:val="17"/>
          <w:i w:val="1"/>
          <w:iCs w:val="1"/>
          <w:color w:val="auto"/>
        </w:rPr>
        <w:t>“—Related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Registration and Shareholder Rights Agreement</w:t>
      </w:r>
      <w:r>
        <w:rPr>
          <w:rFonts w:ascii="Arial" w:cs="Arial" w:eastAsia="Arial" w:hAnsi="Arial"/>
          <w:sz w:val="17"/>
          <w:szCs w:val="17"/>
          <w:color w:val="auto"/>
        </w:rPr>
        <w:t>” for additional information.</w:t>
      </w:r>
    </w:p>
    <w:p>
      <w:pPr>
        <w:spacing w:after="0" w:line="12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Beginning in early January 2021, representatives of Jefferies and Goldman, as the Placement Agents, held conversations with prospective investors with respect to the PIPE Financing to review Nautilus’ business and address questions from potential investors. ARYA and Nautilus came to agreement on the proposed size and terms of the PIPE Financing and K&amp;E, Wilson Sonsini and Skadden exchanged drafts of the form of Subscription Agreement to entered into by PIPE Investors in connection with the PIPE Financing. On January 27, 2021, a draft of the form of Subscription Agreement was distributed to prospective PIPE Investors with respect to the PIPE Financing. Between January 27, 2021 and February 7, 2021, K&amp;E, Wilson Sonsini and Skadden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negotiated the terms and exchanged drafts of the Subscription Agreements with the PIPE Investors and their respective representatives and advisors, including with respect to the registration rights and indemnities set forth therein, and responded to follow-up questions and comments related thereto, including with respect to the closing process and the expected timeline for consummating the Business Combination. During this time, the prospective PIPE Investors conveyed to the Placement Agents their initial proposed subscription amounts.</w:t>
      </w:r>
    </w:p>
    <w:p>
      <w:pPr>
        <w:spacing w:after="0" w:line="11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Between January 22, 2021 and January 28, 2021, representatives and advisors of ARYA and Nautilus exchanged numerous revised drafts of, and held various calls and meetings to discuss, the investor management presentation, research analyst coverage and outstanding information requests related thereto.</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February 5, 2021, a final version of the Subscription Agreement was distributed to the prospective PIPE Investors, which reflected the outcome of negotiations between ARYA, Nautilus and the prospective PIPE Investors and their respective representatives and advisors. On February 5, 2021, the prospective PIPE Investors that had chosen to participate in the PIPE Financing indicated their final subscription amounts and delivered executed Subscription Agreements to K&amp;E.</w:t>
      </w:r>
    </w:p>
    <w:p>
      <w:pPr>
        <w:spacing w:after="0" w:line="13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February 6, 2021, a telephonic meeting of the ARYA Board was held with representatives of K&amp;E, Ogier, counsel to ARYA with respect to matters of Cayman Islands law, ARYA’s management and Sponsor in attendance. At the meeting, the ARYA Board was provided with an overview of the proposed Business Combination (including the potential benefits and the risks related thereto), the key terms of the related ancillary documents and the due diligence process and findings with respect to Nautilus. In addition, members of the ARYA Board disclosed and acknowledged any conflicts of interests of the members of the ARYA Board with respect to the proposed Business Combination, including Perceptive Advisors’ existing ownership interest in Nautilus and Mr. Altman’s role as a non-voting observer on the Nautilus board of directors. Based on the factors cited in “—</w:t>
      </w:r>
      <w:r>
        <w:rPr>
          <w:rFonts w:ascii="Arial" w:cs="Arial" w:eastAsia="Arial" w:hAnsi="Arial"/>
          <w:sz w:val="16"/>
          <w:szCs w:val="16"/>
          <w:i w:val="1"/>
          <w:iCs w:val="1"/>
          <w:color w:val="auto"/>
        </w:rPr>
        <w:t>Reasons for the Business Combination</w:t>
      </w:r>
      <w:r>
        <w:rPr>
          <w:rFonts w:ascii="Arial" w:cs="Arial" w:eastAsia="Arial" w:hAnsi="Arial"/>
          <w:sz w:val="16"/>
          <w:szCs w:val="16"/>
          <w:color w:val="auto"/>
        </w:rPr>
        <w:t>” and in light of the fact that the implied fair market value of the vested equity of Nautilus to be acquired in the Business Combination was significantly in excess of 80% of the assets held in the Trust Account (excluding the deferred underwriting commissions and taxes payable on the income earned on the Trust Account), the ARYA Board then unanimously adopted and approved, among other resolutions, resolutions (a) determining that it is in the best interests of ARYA and its shareholders to adopt and approve the execution and delivery of the Business Combination Agreement and the ancillary documents thereto and the transactions contemplated by each of the Business Combination Agreement and the ancillary documents thereto (including the Domestication, the Merger and the PIPE Financing), (b) adopting and approving the Business Combination Agreement and ancillary documents thereto and approving ARYA’s execution, delivery and performance of the same and the consummation of the transactions contemplated by the Business Combination Agreement and the ancillary documents thereto, including the Domestication, the Merger and the PIPE Financing (part of which would be issued to an affiliate of Sponsor), (c) recommending that the ARYA shareholders vote in favor of the Business Combination Proposal, the Domestication Proposal, each of the Governing Documents Proposals, the Nasdaq Proposal, the Incentive Award Plan Proposal, the Equity Stock Purchase Plan Proposal and the Adjournment Proposal and (d) adopting and approving, conditioned upon the Closing and the receipt of the required ARYA shareholders vote in favor of the Incentive Award Plan Proposal and the Employee Stock Purchase Plan Proposal, as applicable, the 2021 Plan and the ESPP and the applicable number of shares of New Nautilus Common Stock as set forth in the Business Combination Agreement reserved for issuance under each of the 2021 Plan and the ESPP. The ARYA Board did not obtain a third-party valuation or fairness opinion in connection with its resolution to approve the Business Combination but determined that ARYA’s management, the members of the ARYA Board and the other representatives of ARYA had substantial experience in evaluating the operating and financial and business merits of companies similar to Nautilus and reviewed certain financial and business information of Nautilus and compared it to certain publicly traded companies, selected based on the experience and the professional judgement of ARYA’s management, and concluded that the experience and background of ARYA’s management members, the members of the ARYA Board and the other representatives and advisors of ARYA enabled the ARYA Board to make the necessary analyses and determinations regarding the Business Combination and the other matters for approval.</w:t>
      </w:r>
    </w:p>
    <w:p>
      <w:pPr>
        <w:spacing w:after="0" w:line="33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On February 6, 2021, the Nautilus board of directors met via videoconference, with all board members present, to consider and discuss the proposed transaction with ARYA. Also present were representatives of Wilson Sonsini. Following a thorough review and discussion, the Business Combination Agreement and related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agreements were unanimously approved by all Nautilus board members and the Nautilus board of directors determined to recommend the approval of the Business Combination Agreement to Nautilus’ shareholders.</w:t>
      </w:r>
    </w:p>
    <w:p>
      <w:pPr>
        <w:spacing w:after="0" w:line="116"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On February 7, 2021, the parties entered into the Business Combination Agreement and the related ancillary documents and the PIPE Investors executed and delivered the Subscription Agreements, which provided for binding subscriptions to purchase an aggregate of 20 million shares of New Nautilus Common Stock at $10.00 per share.</w:t>
      </w:r>
    </w:p>
    <w:p>
      <w:pPr>
        <w:spacing w:after="0" w:line="13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On February 8, 2021, ARYA and Nautilus issued a joint press release announcing the execution and delivery of the Business Combination Agreement, and ARYA filed a Current Report on Form 8-K, which filed as an exhibit (a) the Business Combination Agreement, (b) the Sponsor Letter Agreement, (c) the Amended and Restated Registration Rights and Lock-Up Agreement, (d) the form of Subscription Agreement, (e) form of Transaction Support Agreement, (f) a joint press release, dated February 8, 2021, (g) an investor presentation providing information on Nautilus and a summary of certain key terms of the Business Combination, (h) a transcript of a conference call with investors, (i) a transcript of an interview with opinion leader Dr. Josh LaBaer,</w:t>
      </w:r>
    </w:p>
    <w:p>
      <w:pPr>
        <w:spacing w:after="0" w:line="2" w:lineRule="exact"/>
        <w:rPr>
          <w:sz w:val="20"/>
          <w:szCs w:val="20"/>
          <w:color w:val="auto"/>
        </w:rPr>
      </w:pPr>
    </w:p>
    <w:p>
      <w:pPr>
        <w:ind w:right="140" w:firstLine="8"/>
        <w:spacing w:after="0" w:line="260" w:lineRule="auto"/>
        <w:tabs>
          <w:tab w:leader="none" w:pos="2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email sent to Nautilus employees on February 8, 2021 about the Business Combination, and (k) a presentation used during a town hall meeting with employees of Nautilus on February 8, 2021.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ARYA Board, in evaluating the transaction with Nautilus, consulted with its legal counsel, financial and accounting advisors and other advisors. In reaching its resolution (i) that the terms and conditions of the Business Combination Agreement and the transactions contemplated thereby, including the Business Combination, the Domestication and the Merger, are advisable, fair to and in the best interests of ARYA and its shareholders and (ii) to recommend that the shareholders adopt the Business Combination Agreement and approve the Business Combination, the Domestication and the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Arial" w:cs="Arial" w:eastAsia="Arial" w:hAnsi="Arial"/>
          <w:sz w:val="17"/>
          <w:szCs w:val="17"/>
          <w:i w:val="1"/>
          <w:iCs w:val="1"/>
          <w:color w:val="auto"/>
        </w:rPr>
        <w:t>Cautionary Note</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Forward-Looking Statements</w:t>
      </w:r>
      <w:r>
        <w:rPr>
          <w:rFonts w:ascii="Arial" w:cs="Arial" w:eastAsia="Arial" w:hAnsi="Arial"/>
          <w:sz w:val="17"/>
          <w:szCs w:val="17"/>
          <w:color w:val="auto"/>
        </w:rPr>
        <w:t>.”</w:t>
      </w:r>
    </w:p>
    <w:p>
      <w:pPr>
        <w:spacing w:after="0" w:line="128"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members of the ARYA Board are well qualified to evaluate the transaction with Nautilus. They have extensive transactional experience, particularly in the healthcare and life sciences industries.</w:t>
      </w:r>
    </w:p>
    <w:p>
      <w:pPr>
        <w:spacing w:after="0" w:line="116" w:lineRule="exact"/>
        <w:rPr>
          <w:sz w:val="20"/>
          <w:szCs w:val="20"/>
          <w:color w:val="auto"/>
        </w:rPr>
      </w:pPr>
    </w:p>
    <w:p>
      <w:pPr>
        <w:ind w:right="20" w:firstLine="332"/>
        <w:spacing w:after="0" w:line="263" w:lineRule="auto"/>
        <w:tabs>
          <w:tab w:leader="none" w:pos="647"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Single molecule proteomics platform with integrated machine learning software</w:t>
      </w:r>
      <w:r>
        <w:rPr>
          <w:rFonts w:ascii="Arial" w:cs="Arial" w:eastAsia="Arial" w:hAnsi="Arial"/>
          <w:sz w:val="18"/>
          <w:szCs w:val="18"/>
          <w:color w:val="auto"/>
        </w:rPr>
        <w:t>. The Nautilus Platform has been designed by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reimagining methods of protein analysis. The ARYA Board believes that the Nautilus Platform has the potential to be a disruptive, single-molecule analysis technology of extreme sensitivity, scale, and ease-of-use.</w:t>
      </w:r>
    </w:p>
    <w:p>
      <w:pPr>
        <w:spacing w:after="0" w:line="129" w:lineRule="exact"/>
        <w:rPr>
          <w:rFonts w:ascii="Arial" w:cs="Arial" w:eastAsia="Arial" w:hAnsi="Arial"/>
          <w:sz w:val="18"/>
          <w:szCs w:val="18"/>
          <w:color w:val="auto"/>
        </w:rPr>
      </w:pPr>
    </w:p>
    <w:p>
      <w:pPr>
        <w:ind w:right="20" w:firstLine="332"/>
        <w:spacing w:after="0" w:line="293" w:lineRule="auto"/>
        <w:tabs>
          <w:tab w:leader="none" w:pos="534" w:val="left"/>
        </w:tabs>
        <w:numPr>
          <w:ilvl w:val="0"/>
          <w:numId w:val="170"/>
        </w:numPr>
        <w:rPr>
          <w:rFonts w:ascii="Arial" w:cs="Arial" w:eastAsia="Arial" w:hAnsi="Arial"/>
          <w:sz w:val="16"/>
          <w:szCs w:val="16"/>
          <w:color w:val="auto"/>
        </w:rPr>
      </w:pPr>
      <w:r>
        <w:rPr>
          <w:rFonts w:ascii="Arial" w:cs="Arial" w:eastAsia="Arial" w:hAnsi="Arial"/>
          <w:sz w:val="16"/>
          <w:szCs w:val="16"/>
          <w:b w:val="1"/>
          <w:bCs w:val="1"/>
          <w:i w:val="1"/>
          <w:iCs w:val="1"/>
          <w:color w:val="auto"/>
        </w:rPr>
        <w:t>Leadership in commercial proteomics detection technology and targeted product development plan</w:t>
      </w:r>
      <w:r>
        <w:rPr>
          <w:rFonts w:ascii="Arial" w:cs="Arial" w:eastAsia="Arial" w:hAnsi="Arial"/>
          <w:sz w:val="16"/>
          <w:szCs w:val="16"/>
          <w:color w:val="auto"/>
        </w:rPr>
        <w:t>. Nautilus aims to be the first commercially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proteomics detection platform technology and end-to-end solution designed to decode and quantify virtually the entire proteome. Since the early days of Nautilus’ product development, Nautilus has consulted with biopharma companies, academic institutions and research organizations to inform its product development plans and address its target customer needs. The ARYA Board believes that Nautilus’ novel end-to-end proteomics detection platform has the potential to allow Nautilus to leverage a diversified revenue model that could be highly recurring in nature. The ARYA Board also believes that Nautilus will be able to capitalize on the existing mass spectrometry-based proteomics marketplace and operate with an efficient sales model.</w:t>
      </w:r>
    </w:p>
    <w:p>
      <w:pPr>
        <w:spacing w:after="0" w:line="110" w:lineRule="exact"/>
        <w:rPr>
          <w:rFonts w:ascii="Arial" w:cs="Arial" w:eastAsia="Arial" w:hAnsi="Arial"/>
          <w:sz w:val="16"/>
          <w:szCs w:val="16"/>
          <w:color w:val="auto"/>
        </w:rPr>
      </w:pPr>
    </w:p>
    <w:p>
      <w:pPr>
        <w:ind w:right="180" w:firstLine="332"/>
        <w:spacing w:after="0" w:line="263" w:lineRule="auto"/>
        <w:tabs>
          <w:tab w:leader="none" w:pos="534"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Potential clinical applications of the Nautilus Platform</w:t>
      </w:r>
      <w:r>
        <w:rPr>
          <w:rFonts w:ascii="Arial" w:cs="Arial" w:eastAsia="Arial" w:hAnsi="Arial"/>
          <w:sz w:val="18"/>
          <w:szCs w:val="18"/>
          <w:color w:val="auto"/>
        </w:rPr>
        <w:t>. The ARYA Board believes that as the proteomics market continues to mature, and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Nautilus’ technology is validated across translational research applications, the Nautilus Platform could transfer well into the clinical setting where many prior technologies have thus far been unable to succeed.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Continuously self-improving data driven technology</w:t>
      </w:r>
      <w:r>
        <w:rPr>
          <w:rFonts w:ascii="Arial" w:cs="Arial" w:eastAsia="Arial" w:hAnsi="Arial"/>
          <w:sz w:val="17"/>
          <w:szCs w:val="17"/>
          <w:color w:val="auto"/>
        </w:rPr>
        <w:t>. The Nautilus Platform has been designed to create and process a vast amount of proteomic data, which the ARYA Board believes will allow machine learning algorithms to continuously improve the Nautilus Platform.</w:t>
      </w:r>
    </w:p>
    <w:p>
      <w:pPr>
        <w:spacing w:after="0" w:line="92"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Experienced and multidisciplinary management team</w:t>
      </w:r>
      <w:r>
        <w:rPr>
          <w:rFonts w:ascii="Arial" w:cs="Arial" w:eastAsia="Arial" w:hAnsi="Arial"/>
          <w:sz w:val="17"/>
          <w:szCs w:val="17"/>
          <w:color w:val="auto"/>
        </w:rPr>
        <w:t>. The ARYA Board believes that Nautilus has a proven and experienced team that is positioned to successfully lead New Nautilus after the Business Combination and disrupt the field of proteomics.</w:t>
      </w:r>
    </w:p>
    <w:p>
      <w:pPr>
        <w:spacing w:after="0" w:line="9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Advancement of the Nautilus Platform through a strong commitment to R&amp;D and new partnerships and collaboration</w:t>
      </w:r>
      <w:r>
        <w:rPr>
          <w:rFonts w:ascii="Arial" w:cs="Arial" w:eastAsia="Arial" w:hAnsi="Arial"/>
          <w:sz w:val="18"/>
          <w:szCs w:val="18"/>
          <w:color w:val="auto"/>
        </w:rPr>
        <w:t>s. The ARYA Board believes that Nautilus’ R&amp;D projects and its partnerships and collaborations with biopharma companies (such as Nautilus’ existing relationship with Genentech), academic institutions, research organizations and customers will enable a successful full commercial launch of the Nautilus Platform, drive adoption of the Nautilus Platform in the life sciences industry and enable Nautilus to continuously innovate and develop new products, applications, workflows, and analysis tools that are based on Nautilus’ core technology.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Efficient and scalable sourcing and manufacturing processes</w:t>
      </w:r>
      <w:r>
        <w:rPr>
          <w:rFonts w:ascii="Arial" w:cs="Arial" w:eastAsia="Arial" w:hAnsi="Arial"/>
          <w:sz w:val="18"/>
          <w:szCs w:val="18"/>
          <w:color w:val="auto"/>
        </w:rPr>
        <w:t>. The ARYA Board believes that the components of Nautilus’ technology will allow for the creation of efficient sourcing and manufacturing processes that ultimately will enable Nautilus to adequately increase manufacturing and production capabilities and meet its commercial plans.</w:t>
      </w:r>
    </w:p>
    <w:p>
      <w:pPr>
        <w:spacing w:after="0" w:line="13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Results of due diligence and attractive valuation</w:t>
      </w:r>
      <w:r>
        <w:rPr>
          <w:rFonts w:ascii="Arial" w:cs="Arial" w:eastAsia="Arial" w:hAnsi="Arial"/>
          <w:sz w:val="18"/>
          <w:szCs w:val="18"/>
          <w:color w:val="auto"/>
        </w:rPr>
        <w:t>. The ARYA Board considered the scope of the due diligence investigations conducted by the ARYA management and its advisors and evaluated the results thereof and information available to it related to Nautilus, including attractive projected financial information. See “</w:t>
      </w:r>
      <w:r>
        <w:rPr>
          <w:rFonts w:ascii="Arial" w:cs="Arial" w:eastAsia="Arial" w:hAnsi="Arial"/>
          <w:sz w:val="18"/>
          <w:szCs w:val="18"/>
          <w:i w:val="1"/>
          <w:iCs w:val="1"/>
          <w:color w:val="auto"/>
        </w:rPr>
        <w:t>—Certain Company Projected Financial Information.</w:t>
      </w:r>
      <w:r>
        <w:rPr>
          <w:rFonts w:ascii="Arial" w:cs="Arial" w:eastAsia="Arial" w:hAnsi="Arial"/>
          <w:sz w:val="18"/>
          <w:szCs w:val="18"/>
          <w:color w:val="auto"/>
        </w:rPr>
        <w:t>”</w:t>
      </w:r>
    </w:p>
    <w:p>
      <w:pPr>
        <w:spacing w:after="0" w:line="13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ARYA board of directors also identified and considered the following factors and risks weighing negatively against pursuing the Business Combination, although not weighted or in any order of significance:</w:t>
      </w:r>
    </w:p>
    <w:p>
      <w:pPr>
        <w:spacing w:after="0" w:line="116" w:lineRule="exact"/>
        <w:rPr>
          <w:sz w:val="20"/>
          <w:szCs w:val="20"/>
          <w:color w:val="auto"/>
        </w:rPr>
      </w:pPr>
    </w:p>
    <w:p>
      <w:pPr>
        <w:ind w:right="20" w:firstLine="332"/>
        <w:spacing w:after="0" w:line="277" w:lineRule="auto"/>
        <w:tabs>
          <w:tab w:leader="none" w:pos="64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right="120" w:firstLine="332"/>
        <w:spacing w:after="0" w:line="263" w:lineRule="auto"/>
        <w:tabs>
          <w:tab w:leader="none" w:pos="63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ARYA</w:t>
      </w:r>
      <w:r>
        <w:rPr>
          <w:rFonts w:ascii="Arial" w:cs="Arial" w:eastAsia="Arial" w:hAnsi="Arial"/>
          <w:sz w:val="18"/>
          <w:szCs w:val="18"/>
          <w:color w:val="auto"/>
        </w:rPr>
        <w:t>. The risks and costs to ARYA if the Business Combination is not completed, including the risk of diverting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and resources from other business combination opportunities, which could result in ARYA being unable to effect a business combination by August 11, 2022 and force ARYA to liquidate.</w:t>
      </w:r>
    </w:p>
    <w:p>
      <w:pPr>
        <w:spacing w:after="0" w:line="129" w:lineRule="exact"/>
        <w:rPr>
          <w:rFonts w:ascii="Arial" w:cs="Arial" w:eastAsia="Arial" w:hAnsi="Arial"/>
          <w:sz w:val="18"/>
          <w:szCs w:val="18"/>
          <w:color w:val="auto"/>
        </w:rPr>
      </w:pPr>
    </w:p>
    <w:p>
      <w:pPr>
        <w:ind w:right="280" w:firstLine="332"/>
        <w:spacing w:after="0" w:line="263" w:lineRule="auto"/>
        <w:tabs>
          <w:tab w:leader="none" w:pos="63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The fact that the Business Combination Agreement includes an exclusivity provision that prohibits ARYA from soliciting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proposals, which restricts ARYA’s ability, so long as the Business Combination Agreement is in effect, to consider other potential business combinations.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vote</w:t>
      </w:r>
      <w:r>
        <w:rPr>
          <w:rFonts w:ascii="Arial" w:cs="Arial" w:eastAsia="Arial" w:hAnsi="Arial"/>
          <w:sz w:val="18"/>
          <w:szCs w:val="18"/>
          <w:color w:val="auto"/>
        </w:rPr>
        <w:t>. The risk that ARYA’s shareholders may fail to provide the votes necessary to effect the Business Combination.</w:t>
      </w:r>
    </w:p>
    <w:p>
      <w:pPr>
        <w:spacing w:after="0" w:line="171" w:lineRule="exact"/>
        <w:rPr>
          <w:rFonts w:ascii="Arial" w:cs="Arial" w:eastAsia="Arial" w:hAnsi="Arial"/>
          <w:sz w:val="18"/>
          <w:szCs w:val="18"/>
          <w:color w:val="auto"/>
        </w:rPr>
      </w:pPr>
    </w:p>
    <w:p>
      <w:pPr>
        <w:ind w:firstLine="332"/>
        <w:spacing w:after="0" w:line="257" w:lineRule="auto"/>
        <w:tabs>
          <w:tab w:leader="none" w:pos="641"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Post-Business Combination corporate governance; terms of the Amended and Restated Registration Rights and Lock-Up Agreement</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ARYA Board considered the corporate governance provisions of the Business Combination Agreement, the Amended and Restated Registration Rights and Lock-Up Agreement and the material provisions of the Proposed Governing Documents. See the sections entitled “</w:t>
      </w:r>
      <w:r>
        <w:rPr>
          <w:rFonts w:ascii="Arial" w:cs="Arial" w:eastAsia="Arial" w:hAnsi="Arial"/>
          <w:sz w:val="18"/>
          <w:szCs w:val="18"/>
          <w:i w:val="1"/>
          <w:iCs w:val="1"/>
          <w:color w:val="auto"/>
        </w:rPr>
        <w:t>Advisory Governing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 “—Related Agreements—Registration Rights Agreement</w:t>
      </w:r>
      <w:r>
        <w:rPr>
          <w:rFonts w:ascii="Arial" w:cs="Arial" w:eastAsia="Arial" w:hAnsi="Arial"/>
          <w:sz w:val="18"/>
          <w:szCs w:val="18"/>
          <w:color w:val="auto"/>
        </w:rPr>
        <w:t>” and</w:t>
      </w:r>
      <w:r>
        <w:rPr>
          <w:rFonts w:ascii="Arial" w:cs="Arial" w:eastAsia="Arial" w:hAnsi="Arial"/>
          <w:sz w:val="18"/>
          <w:szCs w:val="18"/>
          <w:i w:val="1"/>
          <w:iCs w:val="1"/>
          <w:color w:val="auto"/>
        </w:rPr>
        <w:t xml:space="preserve"> “—Related Agreements—Investor Rights Agreement</w:t>
      </w:r>
      <w:r>
        <w:rPr>
          <w:rFonts w:ascii="Arial" w:cs="Arial" w:eastAsia="Arial" w:hAnsi="Arial"/>
          <w:sz w:val="18"/>
          <w:szCs w:val="18"/>
          <w:color w:val="auto"/>
        </w:rPr>
        <w:t>” for detailed discussions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these documents.</w:t>
      </w:r>
    </w:p>
    <w:p>
      <w:pPr>
        <w:spacing w:after="0" w:line="133" w:lineRule="exact"/>
        <w:rPr>
          <w:rFonts w:ascii="Arial" w:cs="Arial" w:eastAsia="Arial" w:hAnsi="Arial"/>
          <w:sz w:val="18"/>
          <w:szCs w:val="18"/>
          <w:color w:val="auto"/>
        </w:rPr>
      </w:pPr>
    </w:p>
    <w:p>
      <w:pPr>
        <w:ind w:right="500" w:firstLine="332"/>
        <w:spacing w:after="0" w:line="263" w:lineRule="auto"/>
        <w:tabs>
          <w:tab w:leader="none" w:pos="63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of review</w:t>
      </w:r>
      <w:r>
        <w:rPr>
          <w:rFonts w:ascii="Arial" w:cs="Arial" w:eastAsia="Arial" w:hAnsi="Arial"/>
          <w:sz w:val="18"/>
          <w:szCs w:val="18"/>
          <w:color w:val="auto"/>
        </w:rPr>
        <w:t>. The ARYA Board considered that they were not obtaining an opinion from any independent investment banking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that the consideration to be received by the Nautilus Shareholders is fair to ARYA or its shareholders from a financial point of view. Accordingly, the ARYA Board considered that ARYA may not have properly valued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44" w:lineRule="exact"/>
        <w:rPr>
          <w:sz w:val="20"/>
          <w:szCs w:val="20"/>
          <w:color w:val="auto"/>
        </w:rPr>
      </w:pPr>
    </w:p>
    <w:p>
      <w:pPr>
        <w:ind w:right="120" w:firstLine="332"/>
        <w:spacing w:after="0" w:line="263" w:lineRule="auto"/>
        <w:tabs>
          <w:tab w:leader="none" w:pos="647"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ARYA’s control, including approval by ARYA shareholders and approval by Nasdaq of the initial listing application in connection with the Business Combination.</w:t>
      </w:r>
    </w:p>
    <w:p>
      <w:pPr>
        <w:spacing w:after="0" w:line="129" w:lineRule="exact"/>
        <w:rPr>
          <w:rFonts w:ascii="Arial" w:cs="Arial" w:eastAsia="Arial" w:hAnsi="Arial"/>
          <w:sz w:val="18"/>
          <w:szCs w:val="18"/>
          <w:color w:val="auto"/>
        </w:rPr>
      </w:pPr>
    </w:p>
    <w:p>
      <w:pPr>
        <w:ind w:right="280" w:firstLine="332"/>
        <w:spacing w:after="0" w:line="277" w:lineRule="auto"/>
        <w:tabs>
          <w:tab w:leader="none" w:pos="647"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right="20" w:firstLine="332"/>
        <w:spacing w:after="0" w:line="277" w:lineRule="auto"/>
        <w:tabs>
          <w:tab w:leader="none" w:pos="641"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ARYA and the business of Nautilus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0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Company Projected Financial Information</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prospective financial information and other forecasted financial information included herein (referred to as "Nautilus Forecasts")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but, in the view of Nautilus’ management, were prepared on a reasonable basis, reflected the best currently available estimates and judgments at the time of preparation, and presented as of the time of preparation, to the best of Nautilus management’s knowledge and belief, the reasonable projections of the future financial performance of Nautilus. The Nautilus Forecasts were prepared utilizing Nautilus’ historical internal forecast approach and does not give effect to the adoption of any new accounting pronouncements. These projections were prepared solely for internal use, capital budgeting and other management purposes, and are subjective in many respects and therefore susceptible to varying interpretations and the need for periodic revision based on actual experience and business developments, and were not intended for third-party use, including by investors or holders, or the ARYA Board. You are cautioned not to rely on the projections in making a decision regarding the transaction, as the projections may be materially different than actual results.</w:t>
      </w:r>
    </w:p>
    <w:p>
      <w:pPr>
        <w:spacing w:after="0" w:line="11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projections reflect numerous qualitative estimates and assumptions including assumptions with respect to general business, economic, market, regulatory and financial conditions and various other factors, all of which are difficult to predict and many of which are beyond Nautilus’ control, such as the risks and uncertainties contained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projections are not predictive of Nautilus’ actual future results and should not be construed as financial guidance for any future period.</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Nautilus’ revenue projections are based on its management’s expectation of adopting a three-phase plan for commercialization on the timelines set forth in the sections entitled “</w:t>
      </w:r>
      <w:r>
        <w:rPr>
          <w:rFonts w:ascii="Arial" w:cs="Arial" w:eastAsia="Arial" w:hAnsi="Arial"/>
          <w:sz w:val="17"/>
          <w:szCs w:val="17"/>
          <w:i w:val="1"/>
          <w:iCs w:val="1"/>
          <w:color w:val="auto"/>
        </w:rPr>
        <w:t>Information About Nautilus</w:t>
      </w:r>
      <w:r>
        <w:rPr>
          <w:rFonts w:ascii="Arial" w:cs="Arial" w:eastAsia="Arial" w:hAnsi="Arial"/>
          <w:sz w:val="17"/>
          <w:szCs w:val="17"/>
          <w:color w:val="auto"/>
        </w:rPr>
        <w:t>” and “</w:t>
      </w:r>
      <w:r>
        <w:rPr>
          <w:rFonts w:ascii="Arial" w:cs="Arial" w:eastAsia="Arial" w:hAnsi="Arial"/>
          <w:sz w:val="17"/>
          <w:szCs w:val="17"/>
          <w:i w:val="1"/>
          <w:iCs w:val="1"/>
          <w:color w:val="auto"/>
        </w:rPr>
        <w:t>Nautilus’ 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The first phase, which Nautilus currently expects to run until at least the second half of 2022, is expected to involve collaboration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biopharmaceutical companies and key opinion leaders to validate the performance and utility of Nautilus’ product, during which no significant revenue will be recognized, if any. The second phase, which Nautilus does not anticipate will begin any earlier than the second half of 2022, will include an early access limited release phase in which management expects to recognize limited revenue. Finally, the third phase, which Nautilus currently expects to commence at the end of 2023 and the beginning of 2024, is anticipated to include a broader commercial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Revenue projections are based on a price point for the Nautilus Platform that is expected to be in-line with mass spectrometry system budgets allocated for broad scale proteomics applications, and thus with a premium instrumentation average selling price, or ASP. Nautilus believes there are multiple high-value applications in precision and personalized medicine, drug discovery, and clinical diagnostics that can be unlocked by accurate, reproduceable, and cost effective proteomic profiling, leading to a broad adoption in instrument sales in line with other disruptive life science tools. Nautilus consumables are expected be priced in-line with next generation sequencing (“NGS”) consumable kits and flow cell system run reagents. Total instrument run time is based on total cycle number and is expected to target between 1 and 3 days. The instrument itself is comprised of many readily available component parts that help to create efficient sourcing and manufacturing processes. Once development is complete, Nautilus will determine the most appropriate path for high volume production. This may consist of a process developed by contract manufacturing of major system components with final assembly and testing in-house, or fully outsourced production, or some combination of both. The financial projections assume the use of third party manufacturers. Finally, Nautilus’ management expects increasing marketing expenses and selling, general, and administrative expenses to support the expected growth of Nautilus.</w:t>
      </w:r>
    </w:p>
    <w:p>
      <w:pPr>
        <w:spacing w:after="0" w:line="11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financial projections for revenue, gross profit, total operating expenses, and EBITDA and Nautilus’ anticipated commercial development timeline are forward-looking statements that are based on growth assumptions that are inherently subject to significant uncertainties and contingencies, many of which are beyond Nautilus’ control. While all projections are necessarily speculative, Nautilus believes that the prospective financial information covering periods beyond 12 months from its date of preparation carries increasingly higher levels of uncertainty and should be read in that context. There will be differences between actual and projected results, and actual results may be materially greater or materially less than those contained in the projections. The inclusion of the projections and anticipated timeline in this proxy statement/prospectus should not be regarded as an indication that Nautilus or its representatives considered or currently consider the projections to be a reliable prediction of future events, and reliance should not be placed on the projections.</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Nautilus prepared the Nautilus Forecasts for Nautilus’ internal use and not for use by the ARYA Board, the projections were requested by, and disclosed to, the ARYA Board for use as a component of the ARYA Board’s overall evaluation of Nautilus and are included in this proxy statement/prospectus because they were provided to the ARYA Board for its evaluation of the Business Combination. Nautilus has not warranted the accuracy, reliability, appropriateness or completeness of the projections to anyone, including the ARYA Board. Neither the management of Nautilus nor any of its representatives, advisors or affiliates has made or makes any representation to any person regarding the ultimate performance of Nautilus compared to the information contained in the projections, and none of them intends to or undertakes any obligation to update or otherwise revise the projections to reflect circumstances existing after the date when made or to reflect the occurrence of future events in the event that any or all of the assumptions underlying the projections are shown to be in error. Accordingly, they should not be looked upon as “guidance” of any sort. Nautilus will not refer back to these forecasts in its future periodic reports filed under the Exchange Act.</w:t>
      </w:r>
    </w:p>
    <w:p>
      <w:pPr>
        <w:spacing w:after="0" w:line="12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Nautilus Forecasts included in this proxy statement/prospectus were prepared by, and are the responsibility of, the management of Nautilus. PricewaterhouseCoopers LLP has not audited, reviewed, examined, compiled nor applied agreed-upon procedures with respect to the accompanying Nautilus Forecasts and, accordingly, PricewaterhouseCoopers LLP does not express an opinion or any other form of assurance with respect thereto. The PricewaterhouseCoopers LLP report included in this proxy statement/prospectus relates to the Company's previously issued financial statements. It does not extend to the Nautilus Forecasts and should not be read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includes the projected financial information which Nautilus management provided in the online data room to ARYA as part of ARYA's due diligence (in millions of dollars).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ending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183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Arial" w:cs="Arial" w:eastAsia="Arial" w:hAnsi="Arial"/>
                <w:sz w:val="18"/>
                <w:szCs w:val="18"/>
                <w:color w:val="auto"/>
              </w:rPr>
              <w:t>127</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169</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93"/>
              </w:rPr>
              <w:t>(46)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00"/>
              <w:spacing w:after="0"/>
              <w:rPr>
                <w:sz w:val="20"/>
                <w:szCs w:val="20"/>
                <w:color w:val="auto"/>
              </w:rPr>
            </w:pPr>
            <w:r>
              <w:rPr>
                <w:rFonts w:ascii="Arial" w:cs="Arial" w:eastAsia="Arial" w:hAnsi="Arial"/>
                <w:sz w:val="18"/>
                <w:szCs w:val="18"/>
                <w:color w:val="auto"/>
                <w:w w:val="93"/>
              </w:rPr>
              <w:t>(42)</w:t>
            </w:r>
          </w:p>
        </w:tc>
      </w:tr>
    </w:tbl>
    <w:p>
      <w:pPr>
        <w:spacing w:after="0" w:line="14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Operating Expenses includes expenses incurred in support of research and development and general and administrative activities and is a non-GAAP measure as it excludes depreciation, amortization, and stock-based compensation expense. Research and development expenses account for a significant portion of our operating expenses and consist primarily of salaries and related benefits expense of product development personnel, facilities costs, laboratory supplies and equipment, external costs of vendors engaged to conduct research and development activities, and allocated expenses for technology and facilities. Sales, general and administrative expenses consist of salaries, bonuses, commissions and benefits expense for personnel in executive, sales, marketing, legal, human resources, finance and administrative functions, professional fees for marketing services, legal, patent, consulting, accounting and audit services, and allocated expenses for technology and facilities.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before Interest, Taxes, Depreciation, Amortization, and stock-based compensation or EBITDA, is a non-GAAP measure.</w:t>
      </w:r>
    </w:p>
    <w:p>
      <w:pPr>
        <w:spacing w:after="0" w:line="171"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Management uses non-GAAP measures to compare Nautilus’ performance relative to forecasts and strategic plans and to benchmark Nautilus’ performance. Non-GAAP information is not prepared under a comprehensive set of accounting rules and should only be used to supplement an understanding of Nautilus’ operating results as reported under U.S. GAAP. Nautilus is unable to present a quantitative reconciliation of forward-looking non-GAAP financial measures because management cannot reliably predict all of the necessary components of such GAAP measures. Among other examples, Nautilus cannot reliably predict future stock-based compensation charges or other charges whose determination is dependent on facts and circumstances applicable at the time such charges are determined.</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addition, the ARYA Board reviewed financial projections prepared by Nautilus in a potential upside scenario. The potential upside scenario was made available to ARYA’s advisors at the same time as the Nautilus Forecasts and was based on more aggressive assumptions concerning an accelerated development timeline for the Nautilus platform and, consequently, an accelerated commercialization timeline. The potential upside scenario also relied on assumptions concerning Nautilus’ ability to mitigate various identified development risks. Given Nautilus’ early, pre-revenue stage of development and the substantial uncertainty concerning when its platform will be sufficiently complete to support commercial sales, the ARYA Board believed that the Nautilus Forecasts as summarized above reflected a more reasonable financial estimate than the potential upside scenario based on currently available information and the risks and uncertainties facing Nautilus, and therefore focused on the Nautilus Forecasts in their review of the transaction. The ARYA Board was not provided with projections related to a potential downside scenario.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ARYA Financial Analysis</w:t>
      </w:r>
    </w:p>
    <w:p>
      <w:pPr>
        <w:spacing w:after="0" w:line="175"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In connection with approving the Business Combination Agreement in February 2021, ARYA’s Board reviewed certain financial information of identified publicly traded companies that the ARYA Board deemed to be comparable. While the valuation for purposes of the Business Combination had been determined in early December 2020, the ARYA Board used this supplemental financial information, which was current as of February 2021, for purposes of confirming the $900 million Nautilus valuation that was agreed on December 14, 2020. These comparable companies consist of similar life sciences research tools providers, selected based on the experience and the professional judgment of ARYA’s management team. The following is a summary of the material comparable company analysis prepared by ARYA and reviewed by the ARYA Board in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performing its analysis, ARYA’s management team made assumptions with respect to, among other things, commercial efforts, industry performance, general business and economic conditions and numerous other matters, many of which are beyond the control of ARYA, Nautilus or any other parties to the Business Combination. None of Nautilus, ARYA, or any other person assumes responsibility if future results are materially different from those discussed. Any estimates contained in this analysis are not necessarily indicative of actual values or predictive of future results or values, which may be significantly more or less favorable than as set forth below. In addition, analysis relating to the value of Nautilus do not purport to be appraisals or reflect the prices at which Nautilus’ securities may actually be valued or trade in the open market after the consummation of the Business Combination. Accordingly, the assumptions and estimates used in, and the results derived from, the below analysis are inherently subject to substantial uncertainty. The following quantitative information, to the extent that it is based on market data, is not necessarily indicative of current market conditions.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Comparable Company Analysis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February 2021, the ARYA Board reviewed the following financial and operating data for comparable publicly traded companies as well as the Nautilus Forecasts for purposes of confirming the $900 million valuation previously agreed to and reflected in the Business Combination Agreement. None of the selected companies has characteristics identical to Nautilus. ARYA reviewed the enterprise value (“EV”), gross margin (“GM”), revenue and revenue growth of each of the comparable companies, which ARYA management deemed relevant based on its professional judgment and expertise, and compared the same to the revenue and growth projections of Nautilus, determined in accordance with the valuation analysis described above. The revenue and growth projections of Nautilus were provided to ARYA by Nautilus and were used by ARYA to compare Nautilus with the comparable companies.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500" w:type="dxa"/>
            <w:vAlign w:val="bottom"/>
          </w:tcPr>
          <w:p>
            <w:pPr>
              <w:ind w:left="20"/>
              <w:spacing w:after="0"/>
              <w:rPr>
                <w:sz w:val="20"/>
                <w:szCs w:val="20"/>
                <w:color w:val="auto"/>
              </w:rPr>
            </w:pPr>
            <w:r>
              <w:rPr>
                <w:rFonts w:ascii="Arial" w:cs="Arial" w:eastAsia="Arial" w:hAnsi="Arial"/>
                <w:sz w:val="13"/>
                <w:szCs w:val="13"/>
                <w:i w:val="1"/>
                <w:iCs w:val="1"/>
                <w:color w:val="auto"/>
              </w:rPr>
              <w:t>($ in millions)</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 growth</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w w:val="90"/>
              </w:rPr>
              <w:t>EV/Revenue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Company Name</w:t>
            </w:r>
          </w:p>
        </w:tc>
        <w:tc>
          <w:tcPr>
            <w:tcW w:w="260" w:type="dxa"/>
            <w:vAlign w:val="bottom"/>
          </w:tcPr>
          <w:p>
            <w:pPr>
              <w:jc w:val="right"/>
              <w:spacing w:after="0"/>
              <w:rPr>
                <w:sz w:val="20"/>
                <w:szCs w:val="20"/>
                <w:color w:val="auto"/>
              </w:rPr>
            </w:pPr>
            <w:r>
              <w:rPr>
                <w:rFonts w:ascii="Arial" w:cs="Arial" w:eastAsia="Arial" w:hAnsi="Arial"/>
                <w:sz w:val="13"/>
                <w:szCs w:val="13"/>
                <w:color w:val="auto"/>
              </w:rPr>
              <w:t>EV</w:t>
            </w:r>
          </w:p>
        </w:tc>
        <w:tc>
          <w:tcPr>
            <w:tcW w:w="4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GM</w:t>
            </w:r>
          </w:p>
        </w:tc>
        <w:tc>
          <w:tcPr>
            <w:tcW w:w="740" w:type="dxa"/>
            <w:vAlign w:val="bottom"/>
            <w:gridSpan w:val="2"/>
          </w:tcPr>
          <w:p>
            <w:pPr>
              <w:ind w:left="140"/>
              <w:spacing w:after="0"/>
              <w:rPr>
                <w:sz w:val="20"/>
                <w:szCs w:val="20"/>
                <w:color w:val="auto"/>
              </w:rPr>
            </w:pPr>
            <w:r>
              <w:rPr>
                <w:rFonts w:ascii="Arial" w:cs="Arial" w:eastAsia="Arial" w:hAnsi="Arial"/>
                <w:sz w:val="13"/>
                <w:szCs w:val="13"/>
                <w:color w:val="auto"/>
              </w:rPr>
              <w:t>2020E</w:t>
            </w: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2021E</w:t>
            </w: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2022E</w:t>
            </w: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2023E</w:t>
            </w: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2024E</w:t>
            </w:r>
          </w:p>
        </w:tc>
        <w:tc>
          <w:tcPr>
            <w:tcW w:w="500" w:type="dxa"/>
            <w:vAlign w:val="bottom"/>
          </w:tcPr>
          <w:p>
            <w:pPr>
              <w:ind w:left="40"/>
              <w:spacing w:after="0"/>
              <w:rPr>
                <w:sz w:val="20"/>
                <w:szCs w:val="20"/>
                <w:color w:val="auto"/>
              </w:rPr>
            </w:pPr>
            <w:r>
              <w:rPr>
                <w:rFonts w:ascii="Arial" w:cs="Arial" w:eastAsia="Arial" w:hAnsi="Arial"/>
                <w:sz w:val="13"/>
                <w:szCs w:val="13"/>
                <w:color w:val="auto"/>
              </w:rPr>
              <w:t>2021E</w:t>
            </w:r>
          </w:p>
        </w:tc>
        <w:tc>
          <w:tcPr>
            <w:tcW w:w="620" w:type="dxa"/>
            <w:vAlign w:val="bottom"/>
          </w:tcPr>
          <w:p>
            <w:pPr>
              <w:ind w:left="120"/>
              <w:spacing w:after="0"/>
              <w:rPr>
                <w:sz w:val="20"/>
                <w:szCs w:val="20"/>
                <w:color w:val="auto"/>
              </w:rPr>
            </w:pPr>
            <w:r>
              <w:rPr>
                <w:rFonts w:ascii="Arial" w:cs="Arial" w:eastAsia="Arial" w:hAnsi="Arial"/>
                <w:sz w:val="13"/>
                <w:szCs w:val="13"/>
                <w:color w:val="auto"/>
              </w:rPr>
              <w:t>2022E</w:t>
            </w:r>
          </w:p>
        </w:tc>
        <w:tc>
          <w:tcPr>
            <w:tcW w:w="640" w:type="dxa"/>
            <w:vAlign w:val="bottom"/>
          </w:tcPr>
          <w:p>
            <w:pPr>
              <w:ind w:left="160"/>
              <w:spacing w:after="0"/>
              <w:rPr>
                <w:sz w:val="20"/>
                <w:szCs w:val="20"/>
                <w:color w:val="auto"/>
              </w:rPr>
            </w:pPr>
            <w:r>
              <w:rPr>
                <w:rFonts w:ascii="Arial" w:cs="Arial" w:eastAsia="Arial" w:hAnsi="Arial"/>
                <w:sz w:val="13"/>
                <w:szCs w:val="13"/>
                <w:color w:val="auto"/>
              </w:rPr>
              <w:t>2023E</w:t>
            </w:r>
          </w:p>
        </w:tc>
        <w:tc>
          <w:tcPr>
            <w:tcW w:w="660" w:type="dxa"/>
            <w:vAlign w:val="bottom"/>
          </w:tcPr>
          <w:p>
            <w:pPr>
              <w:ind w:left="160"/>
              <w:spacing w:after="0"/>
              <w:rPr>
                <w:sz w:val="20"/>
                <w:szCs w:val="20"/>
                <w:color w:val="auto"/>
              </w:rPr>
            </w:pPr>
            <w:r>
              <w:rPr>
                <w:rFonts w:ascii="Arial" w:cs="Arial" w:eastAsia="Arial" w:hAnsi="Arial"/>
                <w:sz w:val="13"/>
                <w:szCs w:val="13"/>
                <w:color w:val="auto"/>
              </w:rPr>
              <w:t>2024E</w:t>
            </w:r>
          </w:p>
        </w:tc>
        <w:tc>
          <w:tcPr>
            <w:tcW w:w="860" w:type="dxa"/>
            <w:vAlign w:val="bottom"/>
          </w:tcPr>
          <w:p>
            <w:pPr>
              <w:ind w:left="160"/>
              <w:spacing w:after="0"/>
              <w:rPr>
                <w:sz w:val="20"/>
                <w:szCs w:val="20"/>
                <w:color w:val="auto"/>
              </w:rPr>
            </w:pPr>
            <w:r>
              <w:rPr>
                <w:rFonts w:ascii="Arial" w:cs="Arial" w:eastAsia="Arial" w:hAnsi="Arial"/>
                <w:sz w:val="13"/>
                <w:szCs w:val="13"/>
                <w:color w:val="auto"/>
              </w:rPr>
              <w:t>2021E</w:t>
            </w:r>
          </w:p>
        </w:tc>
        <w:tc>
          <w:tcPr>
            <w:tcW w:w="540" w:type="dxa"/>
            <w:vAlign w:val="bottom"/>
          </w:tcPr>
          <w:p>
            <w:pPr>
              <w:ind w:left="40"/>
              <w:spacing w:after="0"/>
              <w:rPr>
                <w:sz w:val="20"/>
                <w:szCs w:val="20"/>
                <w:color w:val="auto"/>
              </w:rPr>
            </w:pPr>
            <w:r>
              <w:rPr>
                <w:rFonts w:ascii="Arial" w:cs="Arial" w:eastAsia="Arial" w:hAnsi="Arial"/>
                <w:sz w:val="13"/>
                <w:szCs w:val="13"/>
                <w:color w:val="auto"/>
              </w:rPr>
              <w:t>2022E</w:t>
            </w:r>
          </w:p>
        </w:tc>
        <w:tc>
          <w:tcPr>
            <w:tcW w:w="640" w:type="dxa"/>
            <w:vAlign w:val="bottom"/>
          </w:tcPr>
          <w:p>
            <w:pPr>
              <w:ind w:left="140"/>
              <w:spacing w:after="0"/>
              <w:rPr>
                <w:sz w:val="20"/>
                <w:szCs w:val="20"/>
                <w:color w:val="auto"/>
              </w:rPr>
            </w:pPr>
            <w:r>
              <w:rPr>
                <w:rFonts w:ascii="Arial" w:cs="Arial" w:eastAsia="Arial" w:hAnsi="Arial"/>
                <w:sz w:val="13"/>
                <w:szCs w:val="13"/>
                <w:color w:val="auto"/>
              </w:rPr>
              <w:t>2023E</w:t>
            </w:r>
          </w:p>
        </w:tc>
        <w:tc>
          <w:tcPr>
            <w:tcW w:w="780" w:type="dxa"/>
            <w:vAlign w:val="bottom"/>
          </w:tcPr>
          <w:p>
            <w:pPr>
              <w:ind w:left="160"/>
              <w:spacing w:after="0"/>
              <w:rPr>
                <w:sz w:val="20"/>
                <w:szCs w:val="20"/>
                <w:color w:val="auto"/>
              </w:rPr>
            </w:pPr>
            <w:r>
              <w:rPr>
                <w:rFonts w:ascii="Arial" w:cs="Arial" w:eastAsia="Arial" w:hAnsi="Arial"/>
                <w:sz w:val="13"/>
                <w:szCs w:val="13"/>
                <w:color w:val="auto"/>
              </w:rPr>
              <w:t>2024E</w:t>
            </w:r>
          </w:p>
        </w:tc>
        <w:tc>
          <w:tcPr>
            <w:tcW w:w="0" w:type="dxa"/>
            <w:vAlign w:val="bottom"/>
          </w:tcPr>
          <w:p>
            <w:pPr>
              <w:spacing w:after="0"/>
              <w:rPr>
                <w:sz w:val="1"/>
                <w:szCs w:val="1"/>
                <w:color w:val="auto"/>
              </w:rPr>
            </w:pPr>
          </w:p>
        </w:tc>
      </w:tr>
      <w:tr>
        <w:trPr>
          <w:trHeight w:val="172"/>
        </w:trPr>
        <w:tc>
          <w:tcPr>
            <w:tcW w:w="1500" w:type="dxa"/>
            <w:vAlign w:val="bottom"/>
            <w:shd w:val="clear" w:color="auto" w:fill="D9D9D9"/>
          </w:tcPr>
          <w:p>
            <w:pPr>
              <w:ind w:left="20"/>
              <w:spacing w:after="0"/>
              <w:rPr>
                <w:sz w:val="20"/>
                <w:szCs w:val="20"/>
                <w:color w:val="auto"/>
              </w:rPr>
            </w:pPr>
            <w:r>
              <w:rPr>
                <w:rFonts w:ascii="Arial" w:cs="Arial" w:eastAsia="Arial" w:hAnsi="Arial"/>
                <w:sz w:val="13"/>
                <w:szCs w:val="13"/>
                <w:b w:val="1"/>
                <w:bCs w:val="1"/>
                <w:color w:val="auto"/>
              </w:rPr>
              <w:t>10X Genomics</w:t>
            </w:r>
          </w:p>
        </w:tc>
        <w:tc>
          <w:tcPr>
            <w:tcW w:w="260" w:type="dxa"/>
            <w:vAlign w:val="bottom"/>
            <w:shd w:val="clear" w:color="auto" w:fill="D9D9D9"/>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w w:val="95"/>
              </w:rPr>
              <w:t>19,012</w:t>
            </w:r>
          </w:p>
        </w:tc>
        <w:tc>
          <w:tcPr>
            <w:tcW w:w="480" w:type="dxa"/>
            <w:vAlign w:val="bottom"/>
            <w:shd w:val="clear" w:color="auto" w:fill="D9D9D9"/>
          </w:tcPr>
          <w:p>
            <w:pPr>
              <w:ind w:left="40"/>
              <w:spacing w:after="0"/>
              <w:rPr>
                <w:sz w:val="20"/>
                <w:szCs w:val="20"/>
                <w:color w:val="auto"/>
              </w:rPr>
            </w:pPr>
            <w:r>
              <w:rPr>
                <w:rFonts w:ascii="Arial" w:cs="Arial" w:eastAsia="Arial" w:hAnsi="Arial"/>
                <w:sz w:val="13"/>
                <w:szCs w:val="13"/>
                <w:color w:val="auto"/>
              </w:rPr>
              <w:t>79%</w:t>
            </w:r>
          </w:p>
        </w:tc>
        <w:tc>
          <w:tcPr>
            <w:tcW w:w="3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287</w:t>
            </w:r>
          </w:p>
        </w:tc>
        <w:tc>
          <w:tcPr>
            <w:tcW w:w="24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492</w:t>
            </w:r>
          </w:p>
        </w:tc>
        <w:tc>
          <w:tcPr>
            <w:tcW w:w="240" w:type="dxa"/>
            <w:vAlign w:val="bottom"/>
            <w:shd w:val="clear" w:color="auto" w:fill="D9D9D9"/>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670</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862</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D9D9D9"/>
          </w:tcPr>
          <w:p>
            <w:pPr>
              <w:jc w:val="right"/>
              <w:spacing w:after="0"/>
              <w:rPr>
                <w:sz w:val="20"/>
                <w:szCs w:val="20"/>
                <w:color w:val="auto"/>
              </w:rPr>
            </w:pPr>
            <w:r>
              <w:rPr>
                <w:rFonts w:ascii="Arial" w:cs="Arial" w:eastAsia="Arial" w:hAnsi="Arial"/>
                <w:sz w:val="13"/>
                <w:szCs w:val="13"/>
                <w:color w:val="auto"/>
                <w:w w:val="98"/>
              </w:rPr>
              <w:t>1,082</w:t>
            </w:r>
          </w:p>
        </w:tc>
        <w:tc>
          <w:tcPr>
            <w:tcW w:w="500" w:type="dxa"/>
            <w:vAlign w:val="bottom"/>
            <w:shd w:val="clear" w:color="auto" w:fill="D9D9D9"/>
          </w:tcPr>
          <w:p>
            <w:pPr>
              <w:ind w:left="40"/>
              <w:spacing w:after="0"/>
              <w:rPr>
                <w:sz w:val="20"/>
                <w:szCs w:val="20"/>
                <w:color w:val="auto"/>
              </w:rPr>
            </w:pPr>
            <w:r>
              <w:rPr>
                <w:rFonts w:ascii="Arial" w:cs="Arial" w:eastAsia="Arial" w:hAnsi="Arial"/>
                <w:sz w:val="13"/>
                <w:szCs w:val="13"/>
                <w:color w:val="auto"/>
              </w:rPr>
              <w:t>71%</w:t>
            </w:r>
          </w:p>
        </w:tc>
        <w:tc>
          <w:tcPr>
            <w:tcW w:w="620" w:type="dxa"/>
            <w:vAlign w:val="bottom"/>
            <w:shd w:val="clear" w:color="auto" w:fill="D9D9D9"/>
          </w:tcPr>
          <w:p>
            <w:pPr>
              <w:ind w:left="120"/>
              <w:spacing w:after="0"/>
              <w:rPr>
                <w:sz w:val="20"/>
                <w:szCs w:val="20"/>
                <w:color w:val="auto"/>
              </w:rPr>
            </w:pPr>
            <w:r>
              <w:rPr>
                <w:rFonts w:ascii="Arial" w:cs="Arial" w:eastAsia="Arial" w:hAnsi="Arial"/>
                <w:sz w:val="13"/>
                <w:szCs w:val="13"/>
                <w:color w:val="auto"/>
              </w:rPr>
              <w:t>36%</w:t>
            </w:r>
          </w:p>
        </w:tc>
        <w:tc>
          <w:tcPr>
            <w:tcW w:w="6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29%</w:t>
            </w:r>
          </w:p>
        </w:tc>
        <w:tc>
          <w:tcPr>
            <w:tcW w:w="6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26%</w:t>
            </w:r>
          </w:p>
        </w:tc>
        <w:tc>
          <w:tcPr>
            <w:tcW w:w="8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38.7x</w:t>
            </w:r>
          </w:p>
        </w:tc>
        <w:tc>
          <w:tcPr>
            <w:tcW w:w="540" w:type="dxa"/>
            <w:vAlign w:val="bottom"/>
            <w:shd w:val="clear" w:color="auto" w:fill="D9D9D9"/>
          </w:tcPr>
          <w:p>
            <w:pPr>
              <w:ind w:left="40"/>
              <w:spacing w:after="0"/>
              <w:rPr>
                <w:sz w:val="20"/>
                <w:szCs w:val="20"/>
                <w:color w:val="auto"/>
              </w:rPr>
            </w:pPr>
            <w:r>
              <w:rPr>
                <w:rFonts w:ascii="Arial" w:cs="Arial" w:eastAsia="Arial" w:hAnsi="Arial"/>
                <w:sz w:val="13"/>
                <w:szCs w:val="13"/>
                <w:color w:val="auto"/>
              </w:rPr>
              <w:t>28.4x</w:t>
            </w:r>
          </w:p>
        </w:tc>
        <w:tc>
          <w:tcPr>
            <w:tcW w:w="6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22.1x</w:t>
            </w:r>
          </w:p>
        </w:tc>
        <w:tc>
          <w:tcPr>
            <w:tcW w:w="780" w:type="dxa"/>
            <w:vAlign w:val="bottom"/>
            <w:shd w:val="clear" w:color="auto" w:fill="D9D9D9"/>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71"/>
        </w:trPr>
        <w:tc>
          <w:tcPr>
            <w:tcW w:w="1500" w:type="dxa"/>
            <w:vAlign w:val="bottom"/>
            <w:shd w:val="clear" w:color="auto" w:fill="D9D9D9"/>
          </w:tcPr>
          <w:p>
            <w:pPr>
              <w:ind w:left="20"/>
              <w:spacing w:after="0"/>
              <w:rPr>
                <w:sz w:val="20"/>
                <w:szCs w:val="20"/>
                <w:color w:val="auto"/>
              </w:rPr>
            </w:pPr>
            <w:r>
              <w:rPr>
                <w:rFonts w:ascii="Arial" w:cs="Arial" w:eastAsia="Arial" w:hAnsi="Arial"/>
                <w:sz w:val="13"/>
                <w:szCs w:val="13"/>
                <w:b w:val="1"/>
                <w:bCs w:val="1"/>
                <w:color w:val="auto"/>
              </w:rPr>
              <w:t>Seer Inc.</w:t>
            </w:r>
          </w:p>
        </w:tc>
        <w:tc>
          <w:tcPr>
            <w:tcW w:w="260" w:type="dxa"/>
            <w:vAlign w:val="bottom"/>
            <w:shd w:val="clear" w:color="auto" w:fill="D9D9D9"/>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4,412</w:t>
            </w:r>
          </w:p>
        </w:tc>
        <w:tc>
          <w:tcPr>
            <w:tcW w:w="480" w:type="dxa"/>
            <w:vAlign w:val="bottom"/>
            <w:shd w:val="clear" w:color="auto" w:fill="D9D9D9"/>
          </w:tcPr>
          <w:p>
            <w:pPr>
              <w:ind w:left="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D9D9D9"/>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32</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64</w:t>
            </w:r>
          </w:p>
        </w:tc>
        <w:tc>
          <w:tcPr>
            <w:tcW w:w="500" w:type="dxa"/>
            <w:vAlign w:val="bottom"/>
            <w:shd w:val="clear" w:color="auto" w:fill="D9D9D9"/>
          </w:tcPr>
          <w:p>
            <w:pPr>
              <w:ind w:left="40"/>
              <w:spacing w:after="0"/>
              <w:rPr>
                <w:sz w:val="20"/>
                <w:szCs w:val="20"/>
                <w:color w:val="auto"/>
              </w:rPr>
            </w:pPr>
            <w:r>
              <w:rPr>
                <w:rFonts w:ascii="Arial" w:cs="Arial" w:eastAsia="Arial" w:hAnsi="Arial"/>
                <w:sz w:val="13"/>
                <w:szCs w:val="13"/>
                <w:color w:val="auto"/>
              </w:rPr>
              <w:t>614%</w:t>
            </w:r>
          </w:p>
        </w:tc>
        <w:tc>
          <w:tcPr>
            <w:tcW w:w="620" w:type="dxa"/>
            <w:vAlign w:val="bottom"/>
            <w:shd w:val="clear" w:color="auto" w:fill="D9D9D9"/>
          </w:tcPr>
          <w:p>
            <w:pPr>
              <w:ind w:left="120"/>
              <w:spacing w:after="0"/>
              <w:rPr>
                <w:sz w:val="20"/>
                <w:szCs w:val="20"/>
                <w:color w:val="auto"/>
              </w:rPr>
            </w:pPr>
            <w:r>
              <w:rPr>
                <w:rFonts w:ascii="Arial" w:cs="Arial" w:eastAsia="Arial" w:hAnsi="Arial"/>
                <w:sz w:val="13"/>
                <w:szCs w:val="13"/>
                <w:color w:val="auto"/>
              </w:rPr>
              <w:t>289%</w:t>
            </w:r>
          </w:p>
        </w:tc>
        <w:tc>
          <w:tcPr>
            <w:tcW w:w="6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129%</w:t>
            </w:r>
          </w:p>
        </w:tc>
        <w:tc>
          <w:tcPr>
            <w:tcW w:w="6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101%</w:t>
            </w:r>
          </w:p>
        </w:tc>
        <w:tc>
          <w:tcPr>
            <w:tcW w:w="8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1231.6x</w:t>
            </w:r>
          </w:p>
        </w:tc>
        <w:tc>
          <w:tcPr>
            <w:tcW w:w="540" w:type="dxa"/>
            <w:vAlign w:val="bottom"/>
            <w:shd w:val="clear" w:color="auto" w:fill="D9D9D9"/>
          </w:tcPr>
          <w:p>
            <w:pPr>
              <w:ind w:left="40"/>
              <w:spacing w:after="0"/>
              <w:rPr>
                <w:sz w:val="20"/>
                <w:szCs w:val="20"/>
                <w:color w:val="auto"/>
              </w:rPr>
            </w:pPr>
            <w:r>
              <w:rPr>
                <w:rFonts w:ascii="Arial" w:cs="Arial" w:eastAsia="Arial" w:hAnsi="Arial"/>
                <w:sz w:val="13"/>
                <w:szCs w:val="13"/>
                <w:color w:val="auto"/>
              </w:rPr>
              <w:t>316.6x</w:t>
            </w:r>
          </w:p>
        </w:tc>
        <w:tc>
          <w:tcPr>
            <w:tcW w:w="6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138.5x</w:t>
            </w:r>
          </w:p>
        </w:tc>
        <w:tc>
          <w:tcPr>
            <w:tcW w:w="780" w:type="dxa"/>
            <w:vAlign w:val="bottom"/>
            <w:shd w:val="clear" w:color="auto" w:fill="D9D9D9"/>
          </w:tcPr>
          <w:p>
            <w:pPr>
              <w:ind w:left="160"/>
              <w:spacing w:after="0"/>
              <w:rPr>
                <w:sz w:val="20"/>
                <w:szCs w:val="20"/>
                <w:color w:val="auto"/>
              </w:rPr>
            </w:pPr>
            <w:r>
              <w:rPr>
                <w:rFonts w:ascii="Arial" w:cs="Arial" w:eastAsia="Arial" w:hAnsi="Arial"/>
                <w:sz w:val="13"/>
                <w:szCs w:val="13"/>
                <w:color w:val="auto"/>
              </w:rPr>
              <w:t>68.9x</w:t>
            </w:r>
          </w:p>
        </w:tc>
        <w:tc>
          <w:tcPr>
            <w:tcW w:w="0" w:type="dxa"/>
            <w:vAlign w:val="bottom"/>
          </w:tcPr>
          <w:p>
            <w:pPr>
              <w:spacing w:after="0"/>
              <w:rPr>
                <w:sz w:val="1"/>
                <w:szCs w:val="1"/>
                <w:color w:val="auto"/>
              </w:rPr>
            </w:pPr>
          </w:p>
        </w:tc>
      </w:tr>
      <w:tr>
        <w:trPr>
          <w:trHeight w:val="192"/>
        </w:trPr>
        <w:tc>
          <w:tcPr>
            <w:tcW w:w="1500" w:type="dxa"/>
            <w:vAlign w:val="bottom"/>
            <w:shd w:val="clear" w:color="auto" w:fill="D9D9D9"/>
          </w:tcPr>
          <w:p>
            <w:pPr>
              <w:ind w:left="20"/>
              <w:spacing w:after="0"/>
              <w:rPr>
                <w:sz w:val="20"/>
                <w:szCs w:val="20"/>
                <w:color w:val="auto"/>
              </w:rPr>
            </w:pPr>
            <w:r>
              <w:rPr>
                <w:rFonts w:ascii="Arial" w:cs="Arial" w:eastAsia="Arial" w:hAnsi="Arial"/>
                <w:sz w:val="13"/>
                <w:szCs w:val="13"/>
                <w:b w:val="1"/>
                <w:bCs w:val="1"/>
                <w:color w:val="auto"/>
              </w:rPr>
              <w:t>908 Devices Inc.</w:t>
            </w:r>
          </w:p>
        </w:tc>
        <w:tc>
          <w:tcPr>
            <w:tcW w:w="260" w:type="dxa"/>
            <w:vAlign w:val="bottom"/>
            <w:shd w:val="clear" w:color="auto" w:fill="D9D9D9"/>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1,875</w:t>
            </w:r>
          </w:p>
        </w:tc>
        <w:tc>
          <w:tcPr>
            <w:tcW w:w="480" w:type="dxa"/>
            <w:vAlign w:val="bottom"/>
            <w:shd w:val="clear" w:color="auto" w:fill="D9D9D9"/>
          </w:tcPr>
          <w:p>
            <w:pPr>
              <w:ind w:left="40"/>
              <w:spacing w:after="0"/>
              <w:rPr>
                <w:sz w:val="20"/>
                <w:szCs w:val="20"/>
                <w:color w:val="auto"/>
              </w:rPr>
            </w:pPr>
            <w:r>
              <w:rPr>
                <w:rFonts w:ascii="Arial" w:cs="Arial" w:eastAsia="Arial" w:hAnsi="Arial"/>
                <w:sz w:val="13"/>
                <w:szCs w:val="13"/>
                <w:color w:val="auto"/>
              </w:rPr>
              <w:t>58%</w:t>
            </w:r>
          </w:p>
        </w:tc>
        <w:tc>
          <w:tcPr>
            <w:tcW w:w="3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18</w:t>
            </w:r>
          </w:p>
        </w:tc>
        <w:tc>
          <w:tcPr>
            <w:tcW w:w="24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26</w:t>
            </w:r>
          </w:p>
        </w:tc>
        <w:tc>
          <w:tcPr>
            <w:tcW w:w="240" w:type="dxa"/>
            <w:vAlign w:val="bottom"/>
            <w:shd w:val="clear" w:color="auto" w:fill="D9D9D9"/>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39</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50</w:t>
            </w:r>
          </w:p>
        </w:tc>
        <w:tc>
          <w:tcPr>
            <w:tcW w:w="280" w:type="dxa"/>
            <w:vAlign w:val="bottom"/>
            <w:shd w:val="clear" w:color="auto" w:fill="D9D9D9"/>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73</w:t>
            </w:r>
          </w:p>
        </w:tc>
        <w:tc>
          <w:tcPr>
            <w:tcW w:w="500" w:type="dxa"/>
            <w:vAlign w:val="bottom"/>
            <w:shd w:val="clear" w:color="auto" w:fill="D9D9D9"/>
          </w:tcPr>
          <w:p>
            <w:pPr>
              <w:ind w:left="40"/>
              <w:spacing w:after="0"/>
              <w:rPr>
                <w:sz w:val="20"/>
                <w:szCs w:val="20"/>
                <w:color w:val="auto"/>
              </w:rPr>
            </w:pPr>
            <w:r>
              <w:rPr>
                <w:rFonts w:ascii="Arial" w:cs="Arial" w:eastAsia="Arial" w:hAnsi="Arial"/>
                <w:sz w:val="13"/>
                <w:szCs w:val="13"/>
                <w:color w:val="auto"/>
              </w:rPr>
              <w:t>47%</w:t>
            </w:r>
          </w:p>
        </w:tc>
        <w:tc>
          <w:tcPr>
            <w:tcW w:w="620" w:type="dxa"/>
            <w:vAlign w:val="bottom"/>
            <w:shd w:val="clear" w:color="auto" w:fill="D9D9D9"/>
          </w:tcPr>
          <w:p>
            <w:pPr>
              <w:ind w:left="120"/>
              <w:spacing w:after="0"/>
              <w:rPr>
                <w:sz w:val="20"/>
                <w:szCs w:val="20"/>
                <w:color w:val="auto"/>
              </w:rPr>
            </w:pPr>
            <w:r>
              <w:rPr>
                <w:rFonts w:ascii="Arial" w:cs="Arial" w:eastAsia="Arial" w:hAnsi="Arial"/>
                <w:sz w:val="13"/>
                <w:szCs w:val="13"/>
                <w:color w:val="auto"/>
              </w:rPr>
              <w:t>47%</w:t>
            </w:r>
          </w:p>
        </w:tc>
        <w:tc>
          <w:tcPr>
            <w:tcW w:w="6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30%</w:t>
            </w:r>
          </w:p>
        </w:tc>
        <w:tc>
          <w:tcPr>
            <w:tcW w:w="6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44%</w:t>
            </w:r>
          </w:p>
        </w:tc>
        <w:tc>
          <w:tcPr>
            <w:tcW w:w="860" w:type="dxa"/>
            <w:vAlign w:val="bottom"/>
            <w:shd w:val="clear" w:color="auto" w:fill="D9D9D9"/>
          </w:tcPr>
          <w:p>
            <w:pPr>
              <w:ind w:left="160"/>
              <w:spacing w:after="0"/>
              <w:rPr>
                <w:sz w:val="20"/>
                <w:szCs w:val="20"/>
                <w:color w:val="auto"/>
              </w:rPr>
            </w:pPr>
            <w:r>
              <w:rPr>
                <w:rFonts w:ascii="Arial" w:cs="Arial" w:eastAsia="Arial" w:hAnsi="Arial"/>
                <w:sz w:val="13"/>
                <w:szCs w:val="13"/>
                <w:color w:val="auto"/>
              </w:rPr>
              <w:t>71.0x</w:t>
            </w:r>
          </w:p>
        </w:tc>
        <w:tc>
          <w:tcPr>
            <w:tcW w:w="540" w:type="dxa"/>
            <w:vAlign w:val="bottom"/>
            <w:shd w:val="clear" w:color="auto" w:fill="D9D9D9"/>
          </w:tcPr>
          <w:p>
            <w:pPr>
              <w:ind w:left="40"/>
              <w:spacing w:after="0"/>
              <w:rPr>
                <w:sz w:val="20"/>
                <w:szCs w:val="20"/>
                <w:color w:val="auto"/>
              </w:rPr>
            </w:pPr>
            <w:r>
              <w:rPr>
                <w:rFonts w:ascii="Arial" w:cs="Arial" w:eastAsia="Arial" w:hAnsi="Arial"/>
                <w:sz w:val="13"/>
                <w:szCs w:val="13"/>
                <w:color w:val="auto"/>
              </w:rPr>
              <w:t>48.3x</w:t>
            </w:r>
          </w:p>
        </w:tc>
        <w:tc>
          <w:tcPr>
            <w:tcW w:w="640" w:type="dxa"/>
            <w:vAlign w:val="bottom"/>
            <w:shd w:val="clear" w:color="auto" w:fill="D9D9D9"/>
          </w:tcPr>
          <w:p>
            <w:pPr>
              <w:ind w:left="140"/>
              <w:spacing w:after="0"/>
              <w:rPr>
                <w:sz w:val="20"/>
                <w:szCs w:val="20"/>
                <w:color w:val="auto"/>
              </w:rPr>
            </w:pPr>
            <w:r>
              <w:rPr>
                <w:rFonts w:ascii="Arial" w:cs="Arial" w:eastAsia="Arial" w:hAnsi="Arial"/>
                <w:sz w:val="13"/>
                <w:szCs w:val="13"/>
                <w:color w:val="auto"/>
              </w:rPr>
              <w:t>37.2x</w:t>
            </w:r>
          </w:p>
        </w:tc>
        <w:tc>
          <w:tcPr>
            <w:tcW w:w="780" w:type="dxa"/>
            <w:vAlign w:val="bottom"/>
            <w:shd w:val="clear" w:color="auto" w:fill="D9D9D9"/>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64"/>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Berkeley Lights Inc.</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4,943</w:t>
            </w:r>
          </w:p>
        </w:tc>
        <w:tc>
          <w:tcPr>
            <w:tcW w:w="480" w:type="dxa"/>
            <w:vAlign w:val="bottom"/>
          </w:tcPr>
          <w:p>
            <w:pPr>
              <w:ind w:left="40"/>
              <w:spacing w:after="0"/>
              <w:rPr>
                <w:sz w:val="20"/>
                <w:szCs w:val="20"/>
                <w:color w:val="auto"/>
              </w:rPr>
            </w:pPr>
            <w:r>
              <w:rPr>
                <w:rFonts w:ascii="Arial" w:cs="Arial" w:eastAsia="Arial" w:hAnsi="Arial"/>
                <w:sz w:val="13"/>
                <w:szCs w:val="13"/>
                <w:color w:val="auto"/>
              </w:rPr>
              <w:t>70%</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62</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89</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123</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147</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187</w:t>
            </w:r>
          </w:p>
        </w:tc>
        <w:tc>
          <w:tcPr>
            <w:tcW w:w="500" w:type="dxa"/>
            <w:vAlign w:val="bottom"/>
          </w:tcPr>
          <w:p>
            <w:pPr>
              <w:ind w:left="40"/>
              <w:spacing w:after="0"/>
              <w:rPr>
                <w:sz w:val="20"/>
                <w:szCs w:val="20"/>
                <w:color w:val="auto"/>
              </w:rPr>
            </w:pPr>
            <w:r>
              <w:rPr>
                <w:rFonts w:ascii="Arial" w:cs="Arial" w:eastAsia="Arial" w:hAnsi="Arial"/>
                <w:sz w:val="13"/>
                <w:szCs w:val="13"/>
                <w:color w:val="auto"/>
              </w:rPr>
              <w:t>43%</w:t>
            </w:r>
          </w:p>
        </w:tc>
        <w:tc>
          <w:tcPr>
            <w:tcW w:w="620" w:type="dxa"/>
            <w:vAlign w:val="bottom"/>
          </w:tcPr>
          <w:p>
            <w:pPr>
              <w:ind w:left="120"/>
              <w:spacing w:after="0"/>
              <w:rPr>
                <w:sz w:val="20"/>
                <w:szCs w:val="20"/>
                <w:color w:val="auto"/>
              </w:rPr>
            </w:pPr>
            <w:r>
              <w:rPr>
                <w:rFonts w:ascii="Arial" w:cs="Arial" w:eastAsia="Arial" w:hAnsi="Arial"/>
                <w:sz w:val="13"/>
                <w:szCs w:val="13"/>
                <w:color w:val="auto"/>
              </w:rPr>
              <w:t>39%</w:t>
            </w:r>
          </w:p>
        </w:tc>
        <w:tc>
          <w:tcPr>
            <w:tcW w:w="640" w:type="dxa"/>
            <w:vAlign w:val="bottom"/>
          </w:tcPr>
          <w:p>
            <w:pPr>
              <w:ind w:left="160"/>
              <w:spacing w:after="0"/>
              <w:rPr>
                <w:sz w:val="20"/>
                <w:szCs w:val="20"/>
                <w:color w:val="auto"/>
              </w:rPr>
            </w:pPr>
            <w:r>
              <w:rPr>
                <w:rFonts w:ascii="Arial" w:cs="Arial" w:eastAsia="Arial" w:hAnsi="Arial"/>
                <w:sz w:val="13"/>
                <w:szCs w:val="13"/>
                <w:color w:val="auto"/>
              </w:rPr>
              <w:t>20%</w:t>
            </w:r>
          </w:p>
        </w:tc>
        <w:tc>
          <w:tcPr>
            <w:tcW w:w="660" w:type="dxa"/>
            <w:vAlign w:val="bottom"/>
          </w:tcPr>
          <w:p>
            <w:pPr>
              <w:ind w:left="160"/>
              <w:spacing w:after="0"/>
              <w:rPr>
                <w:sz w:val="20"/>
                <w:szCs w:val="20"/>
                <w:color w:val="auto"/>
              </w:rPr>
            </w:pPr>
            <w:r>
              <w:rPr>
                <w:rFonts w:ascii="Arial" w:cs="Arial" w:eastAsia="Arial" w:hAnsi="Arial"/>
                <w:sz w:val="13"/>
                <w:szCs w:val="13"/>
                <w:color w:val="auto"/>
              </w:rPr>
              <w:t>27%</w:t>
            </w:r>
          </w:p>
        </w:tc>
        <w:tc>
          <w:tcPr>
            <w:tcW w:w="860" w:type="dxa"/>
            <w:vAlign w:val="bottom"/>
          </w:tcPr>
          <w:p>
            <w:pPr>
              <w:ind w:left="160"/>
              <w:spacing w:after="0"/>
              <w:rPr>
                <w:sz w:val="20"/>
                <w:szCs w:val="20"/>
                <w:color w:val="auto"/>
              </w:rPr>
            </w:pPr>
            <w:r>
              <w:rPr>
                <w:rFonts w:ascii="Arial" w:cs="Arial" w:eastAsia="Arial" w:hAnsi="Arial"/>
                <w:sz w:val="13"/>
                <w:szCs w:val="13"/>
                <w:color w:val="auto"/>
              </w:rPr>
              <w:t>55.8x</w:t>
            </w:r>
          </w:p>
        </w:tc>
        <w:tc>
          <w:tcPr>
            <w:tcW w:w="540" w:type="dxa"/>
            <w:vAlign w:val="bottom"/>
          </w:tcPr>
          <w:p>
            <w:pPr>
              <w:ind w:left="40"/>
              <w:spacing w:after="0"/>
              <w:rPr>
                <w:sz w:val="20"/>
                <w:szCs w:val="20"/>
                <w:color w:val="auto"/>
              </w:rPr>
            </w:pPr>
            <w:r>
              <w:rPr>
                <w:rFonts w:ascii="Arial" w:cs="Arial" w:eastAsia="Arial" w:hAnsi="Arial"/>
                <w:sz w:val="13"/>
                <w:szCs w:val="13"/>
                <w:color w:val="auto"/>
              </w:rPr>
              <w:t>40.2x</w:t>
            </w:r>
          </w:p>
        </w:tc>
        <w:tc>
          <w:tcPr>
            <w:tcW w:w="640" w:type="dxa"/>
            <w:vAlign w:val="bottom"/>
          </w:tcPr>
          <w:p>
            <w:pPr>
              <w:ind w:left="140"/>
              <w:spacing w:after="0"/>
              <w:rPr>
                <w:sz w:val="20"/>
                <w:szCs w:val="20"/>
                <w:color w:val="auto"/>
              </w:rPr>
            </w:pPr>
            <w:r>
              <w:rPr>
                <w:rFonts w:ascii="Arial" w:cs="Arial" w:eastAsia="Arial" w:hAnsi="Arial"/>
                <w:sz w:val="13"/>
                <w:szCs w:val="13"/>
                <w:color w:val="auto"/>
              </w:rPr>
              <w:t>33.6x</w:t>
            </w:r>
          </w:p>
        </w:tc>
        <w:tc>
          <w:tcPr>
            <w:tcW w:w="780" w:type="dxa"/>
            <w:vAlign w:val="bottom"/>
          </w:tcPr>
          <w:p>
            <w:pPr>
              <w:ind w:left="160"/>
              <w:spacing w:after="0"/>
              <w:rPr>
                <w:sz w:val="20"/>
                <w:szCs w:val="20"/>
                <w:color w:val="auto"/>
              </w:rPr>
            </w:pPr>
            <w:r>
              <w:rPr>
                <w:rFonts w:ascii="Arial" w:cs="Arial" w:eastAsia="Arial" w:hAnsi="Arial"/>
                <w:sz w:val="13"/>
                <w:szCs w:val="13"/>
                <w:color w:val="auto"/>
              </w:rPr>
              <w:t>26.4x</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Illumina</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60,047</w:t>
            </w: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3,186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3,931</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4,565</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5,229</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6,144</w:t>
            </w:r>
          </w:p>
        </w:tc>
        <w:tc>
          <w:tcPr>
            <w:tcW w:w="500" w:type="dxa"/>
            <w:vAlign w:val="bottom"/>
          </w:tcPr>
          <w:p>
            <w:pPr>
              <w:ind w:left="40"/>
              <w:spacing w:after="0"/>
              <w:rPr>
                <w:sz w:val="20"/>
                <w:szCs w:val="20"/>
                <w:color w:val="auto"/>
              </w:rPr>
            </w:pPr>
            <w:r>
              <w:rPr>
                <w:rFonts w:ascii="Arial" w:cs="Arial" w:eastAsia="Arial" w:hAnsi="Arial"/>
                <w:sz w:val="13"/>
                <w:szCs w:val="13"/>
                <w:color w:val="auto"/>
              </w:rPr>
              <w:t>23%</w:t>
            </w:r>
          </w:p>
        </w:tc>
        <w:tc>
          <w:tcPr>
            <w:tcW w:w="620" w:type="dxa"/>
            <w:vAlign w:val="bottom"/>
          </w:tcPr>
          <w:p>
            <w:pPr>
              <w:ind w:left="120"/>
              <w:spacing w:after="0"/>
              <w:rPr>
                <w:sz w:val="20"/>
                <w:szCs w:val="20"/>
                <w:color w:val="auto"/>
              </w:rPr>
            </w:pPr>
            <w:r>
              <w:rPr>
                <w:rFonts w:ascii="Arial" w:cs="Arial" w:eastAsia="Arial" w:hAnsi="Arial"/>
                <w:sz w:val="13"/>
                <w:szCs w:val="13"/>
                <w:color w:val="auto"/>
              </w:rPr>
              <w:t>16%</w:t>
            </w:r>
          </w:p>
        </w:tc>
        <w:tc>
          <w:tcPr>
            <w:tcW w:w="640" w:type="dxa"/>
            <w:vAlign w:val="bottom"/>
          </w:tcPr>
          <w:p>
            <w:pPr>
              <w:ind w:left="160"/>
              <w:spacing w:after="0"/>
              <w:rPr>
                <w:sz w:val="20"/>
                <w:szCs w:val="20"/>
                <w:color w:val="auto"/>
              </w:rPr>
            </w:pPr>
            <w:r>
              <w:rPr>
                <w:rFonts w:ascii="Arial" w:cs="Arial" w:eastAsia="Arial" w:hAnsi="Arial"/>
                <w:sz w:val="13"/>
                <w:szCs w:val="13"/>
                <w:color w:val="auto"/>
              </w:rPr>
              <w:t>15%</w:t>
            </w:r>
          </w:p>
        </w:tc>
        <w:tc>
          <w:tcPr>
            <w:tcW w:w="660" w:type="dxa"/>
            <w:vAlign w:val="bottom"/>
          </w:tcPr>
          <w:p>
            <w:pPr>
              <w:ind w:left="160"/>
              <w:spacing w:after="0"/>
              <w:rPr>
                <w:sz w:val="20"/>
                <w:szCs w:val="20"/>
                <w:color w:val="auto"/>
              </w:rPr>
            </w:pPr>
            <w:r>
              <w:rPr>
                <w:rFonts w:ascii="Arial" w:cs="Arial" w:eastAsia="Arial" w:hAnsi="Arial"/>
                <w:sz w:val="13"/>
                <w:szCs w:val="13"/>
                <w:color w:val="auto"/>
              </w:rPr>
              <w:t>17%</w:t>
            </w:r>
          </w:p>
        </w:tc>
        <w:tc>
          <w:tcPr>
            <w:tcW w:w="860" w:type="dxa"/>
            <w:vAlign w:val="bottom"/>
          </w:tcPr>
          <w:p>
            <w:pPr>
              <w:ind w:left="160"/>
              <w:spacing w:after="0"/>
              <w:rPr>
                <w:sz w:val="20"/>
                <w:szCs w:val="20"/>
                <w:color w:val="auto"/>
              </w:rPr>
            </w:pPr>
            <w:r>
              <w:rPr>
                <w:rFonts w:ascii="Arial" w:cs="Arial" w:eastAsia="Arial" w:hAnsi="Arial"/>
                <w:sz w:val="13"/>
                <w:szCs w:val="13"/>
                <w:color w:val="auto"/>
              </w:rPr>
              <w:t>15.3x</w:t>
            </w:r>
          </w:p>
        </w:tc>
        <w:tc>
          <w:tcPr>
            <w:tcW w:w="540" w:type="dxa"/>
            <w:vAlign w:val="bottom"/>
          </w:tcPr>
          <w:p>
            <w:pPr>
              <w:ind w:left="40"/>
              <w:spacing w:after="0"/>
              <w:rPr>
                <w:sz w:val="20"/>
                <w:szCs w:val="20"/>
                <w:color w:val="auto"/>
              </w:rPr>
            </w:pPr>
            <w:r>
              <w:rPr>
                <w:rFonts w:ascii="Arial" w:cs="Arial" w:eastAsia="Arial" w:hAnsi="Arial"/>
                <w:sz w:val="13"/>
                <w:szCs w:val="13"/>
                <w:color w:val="auto"/>
              </w:rPr>
              <w:t>13.2x</w:t>
            </w:r>
          </w:p>
        </w:tc>
        <w:tc>
          <w:tcPr>
            <w:tcW w:w="640" w:type="dxa"/>
            <w:vAlign w:val="bottom"/>
          </w:tcPr>
          <w:p>
            <w:pPr>
              <w:ind w:left="140"/>
              <w:spacing w:after="0"/>
              <w:rPr>
                <w:sz w:val="20"/>
                <w:szCs w:val="20"/>
                <w:color w:val="auto"/>
              </w:rPr>
            </w:pPr>
            <w:r>
              <w:rPr>
                <w:rFonts w:ascii="Arial" w:cs="Arial" w:eastAsia="Arial" w:hAnsi="Arial"/>
                <w:sz w:val="13"/>
                <w:szCs w:val="13"/>
                <w:color w:val="auto"/>
              </w:rPr>
              <w:t>11.5x</w:t>
            </w:r>
          </w:p>
        </w:tc>
        <w:tc>
          <w:tcPr>
            <w:tcW w:w="780" w:type="dxa"/>
            <w:vAlign w:val="bottom"/>
          </w:tcPr>
          <w:p>
            <w:pPr>
              <w:ind w:left="160"/>
              <w:spacing w:after="0"/>
              <w:rPr>
                <w:sz w:val="20"/>
                <w:szCs w:val="20"/>
                <w:color w:val="auto"/>
              </w:rPr>
            </w:pPr>
            <w:r>
              <w:rPr>
                <w:rFonts w:ascii="Arial" w:cs="Arial" w:eastAsia="Arial" w:hAnsi="Arial"/>
                <w:sz w:val="13"/>
                <w:szCs w:val="13"/>
                <w:color w:val="auto"/>
              </w:rPr>
              <w:t>9.8x</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w w:val="92"/>
              </w:rPr>
              <w:t>NanoString Technologies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3,365</w:t>
            </w:r>
          </w:p>
        </w:tc>
        <w:tc>
          <w:tcPr>
            <w:tcW w:w="480" w:type="dxa"/>
            <w:vAlign w:val="bottom"/>
          </w:tcPr>
          <w:p>
            <w:pPr>
              <w:ind w:left="40"/>
              <w:spacing w:after="0"/>
              <w:rPr>
                <w:sz w:val="20"/>
                <w:szCs w:val="20"/>
                <w:color w:val="auto"/>
              </w:rPr>
            </w:pPr>
            <w:r>
              <w:rPr>
                <w:rFonts w:ascii="Arial" w:cs="Arial" w:eastAsia="Arial" w:hAnsi="Arial"/>
                <w:sz w:val="13"/>
                <w:szCs w:val="13"/>
                <w:color w:val="auto"/>
              </w:rPr>
              <w:t>55%</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115</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146</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191</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222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231</w:t>
            </w:r>
          </w:p>
        </w:tc>
        <w:tc>
          <w:tcPr>
            <w:tcW w:w="500" w:type="dxa"/>
            <w:vAlign w:val="bottom"/>
          </w:tcPr>
          <w:p>
            <w:pPr>
              <w:ind w:left="40"/>
              <w:spacing w:after="0"/>
              <w:rPr>
                <w:sz w:val="20"/>
                <w:szCs w:val="20"/>
                <w:color w:val="auto"/>
              </w:rPr>
            </w:pPr>
            <w:r>
              <w:rPr>
                <w:rFonts w:ascii="Arial" w:cs="Arial" w:eastAsia="Arial" w:hAnsi="Arial"/>
                <w:sz w:val="13"/>
                <w:szCs w:val="13"/>
                <w:color w:val="auto"/>
              </w:rPr>
              <w:t>27%</w:t>
            </w:r>
          </w:p>
        </w:tc>
        <w:tc>
          <w:tcPr>
            <w:tcW w:w="620" w:type="dxa"/>
            <w:vAlign w:val="bottom"/>
          </w:tcPr>
          <w:p>
            <w:pPr>
              <w:ind w:left="120"/>
              <w:spacing w:after="0"/>
              <w:rPr>
                <w:sz w:val="20"/>
                <w:szCs w:val="20"/>
                <w:color w:val="auto"/>
              </w:rPr>
            </w:pPr>
            <w:r>
              <w:rPr>
                <w:rFonts w:ascii="Arial" w:cs="Arial" w:eastAsia="Arial" w:hAnsi="Arial"/>
                <w:sz w:val="13"/>
                <w:szCs w:val="13"/>
                <w:color w:val="auto"/>
              </w:rPr>
              <w:t>31%</w:t>
            </w:r>
          </w:p>
        </w:tc>
        <w:tc>
          <w:tcPr>
            <w:tcW w:w="640" w:type="dxa"/>
            <w:vAlign w:val="bottom"/>
          </w:tcPr>
          <w:p>
            <w:pPr>
              <w:ind w:left="160"/>
              <w:spacing w:after="0"/>
              <w:rPr>
                <w:sz w:val="20"/>
                <w:szCs w:val="20"/>
                <w:color w:val="auto"/>
              </w:rPr>
            </w:pPr>
            <w:r>
              <w:rPr>
                <w:rFonts w:ascii="Arial" w:cs="Arial" w:eastAsia="Arial" w:hAnsi="Arial"/>
                <w:sz w:val="13"/>
                <w:szCs w:val="13"/>
                <w:color w:val="auto"/>
              </w:rPr>
              <w:t>17%</w:t>
            </w:r>
          </w:p>
        </w:tc>
        <w:tc>
          <w:tcPr>
            <w:tcW w:w="660" w:type="dxa"/>
            <w:vAlign w:val="bottom"/>
          </w:tcPr>
          <w:p>
            <w:pPr>
              <w:ind w:left="160"/>
              <w:spacing w:after="0"/>
              <w:rPr>
                <w:sz w:val="20"/>
                <w:szCs w:val="20"/>
                <w:color w:val="auto"/>
              </w:rPr>
            </w:pPr>
            <w:r>
              <w:rPr>
                <w:rFonts w:ascii="Arial" w:cs="Arial" w:eastAsia="Arial" w:hAnsi="Arial"/>
                <w:sz w:val="13"/>
                <w:szCs w:val="13"/>
                <w:color w:val="auto"/>
              </w:rPr>
              <w:t>4%</w:t>
            </w:r>
          </w:p>
        </w:tc>
        <w:tc>
          <w:tcPr>
            <w:tcW w:w="860" w:type="dxa"/>
            <w:vAlign w:val="bottom"/>
          </w:tcPr>
          <w:p>
            <w:pPr>
              <w:ind w:left="160"/>
              <w:spacing w:after="0"/>
              <w:rPr>
                <w:sz w:val="20"/>
                <w:szCs w:val="20"/>
                <w:color w:val="auto"/>
              </w:rPr>
            </w:pPr>
            <w:r>
              <w:rPr>
                <w:rFonts w:ascii="Arial" w:cs="Arial" w:eastAsia="Arial" w:hAnsi="Arial"/>
                <w:sz w:val="13"/>
                <w:szCs w:val="13"/>
                <w:color w:val="auto"/>
              </w:rPr>
              <w:t>23.1x</w:t>
            </w:r>
          </w:p>
        </w:tc>
        <w:tc>
          <w:tcPr>
            <w:tcW w:w="540" w:type="dxa"/>
            <w:vAlign w:val="bottom"/>
          </w:tcPr>
          <w:p>
            <w:pPr>
              <w:ind w:left="40"/>
              <w:spacing w:after="0"/>
              <w:rPr>
                <w:sz w:val="20"/>
                <w:szCs w:val="20"/>
                <w:color w:val="auto"/>
              </w:rPr>
            </w:pPr>
            <w:r>
              <w:rPr>
                <w:rFonts w:ascii="Arial" w:cs="Arial" w:eastAsia="Arial" w:hAnsi="Arial"/>
                <w:sz w:val="13"/>
                <w:szCs w:val="13"/>
                <w:color w:val="auto"/>
              </w:rPr>
              <w:t>17.7x</w:t>
            </w:r>
          </w:p>
        </w:tc>
        <w:tc>
          <w:tcPr>
            <w:tcW w:w="640" w:type="dxa"/>
            <w:vAlign w:val="bottom"/>
          </w:tcPr>
          <w:p>
            <w:pPr>
              <w:ind w:left="140"/>
              <w:spacing w:after="0"/>
              <w:rPr>
                <w:sz w:val="20"/>
                <w:szCs w:val="20"/>
                <w:color w:val="auto"/>
              </w:rPr>
            </w:pPr>
            <w:r>
              <w:rPr>
                <w:rFonts w:ascii="Arial" w:cs="Arial" w:eastAsia="Arial" w:hAnsi="Arial"/>
                <w:sz w:val="13"/>
                <w:szCs w:val="13"/>
                <w:color w:val="auto"/>
              </w:rPr>
              <w:t>15.1x</w:t>
            </w:r>
          </w:p>
        </w:tc>
        <w:tc>
          <w:tcPr>
            <w:tcW w:w="780" w:type="dxa"/>
            <w:vAlign w:val="bottom"/>
          </w:tcPr>
          <w:p>
            <w:pPr>
              <w:ind w:left="160"/>
              <w:spacing w:after="0"/>
              <w:rPr>
                <w:sz w:val="20"/>
                <w:szCs w:val="20"/>
                <w:color w:val="auto"/>
              </w:rPr>
            </w:pPr>
            <w:r>
              <w:rPr>
                <w:rFonts w:ascii="Arial" w:cs="Arial" w:eastAsia="Arial" w:hAnsi="Arial"/>
                <w:sz w:val="13"/>
                <w:szCs w:val="13"/>
                <w:color w:val="auto"/>
              </w:rPr>
              <w:t>14.6x</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Quanterix Corp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2,271</w:t>
            </w:r>
          </w:p>
        </w:tc>
        <w:tc>
          <w:tcPr>
            <w:tcW w:w="480" w:type="dxa"/>
            <w:vAlign w:val="bottom"/>
          </w:tcPr>
          <w:p>
            <w:pPr>
              <w:ind w:left="40"/>
              <w:spacing w:after="0"/>
              <w:rPr>
                <w:sz w:val="20"/>
                <w:szCs w:val="20"/>
                <w:color w:val="auto"/>
              </w:rPr>
            </w:pPr>
            <w:r>
              <w:rPr>
                <w:rFonts w:ascii="Arial" w:cs="Arial" w:eastAsia="Arial" w:hAnsi="Arial"/>
                <w:sz w:val="13"/>
                <w:szCs w:val="13"/>
                <w:color w:val="auto"/>
              </w:rPr>
              <w:t>53%</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97</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169</w:t>
            </w:r>
          </w:p>
        </w:tc>
        <w:tc>
          <w:tcPr>
            <w:tcW w:w="500" w:type="dxa"/>
            <w:vAlign w:val="bottom"/>
          </w:tcPr>
          <w:p>
            <w:pPr>
              <w:ind w:left="40"/>
              <w:spacing w:after="0"/>
              <w:rPr>
                <w:sz w:val="20"/>
                <w:szCs w:val="20"/>
                <w:color w:val="auto"/>
              </w:rPr>
            </w:pPr>
            <w:r>
              <w:rPr>
                <w:rFonts w:ascii="Arial" w:cs="Arial" w:eastAsia="Arial" w:hAnsi="Arial"/>
                <w:sz w:val="13"/>
                <w:szCs w:val="13"/>
                <w:color w:val="auto"/>
              </w:rPr>
              <w:t>27%</w:t>
            </w:r>
          </w:p>
        </w:tc>
        <w:tc>
          <w:tcPr>
            <w:tcW w:w="620" w:type="dxa"/>
            <w:vAlign w:val="bottom"/>
          </w:tcPr>
          <w:p>
            <w:pPr>
              <w:ind w:left="120"/>
              <w:spacing w:after="0"/>
              <w:rPr>
                <w:sz w:val="20"/>
                <w:szCs w:val="20"/>
                <w:color w:val="auto"/>
              </w:rPr>
            </w:pPr>
            <w:r>
              <w:rPr>
                <w:rFonts w:ascii="Arial" w:cs="Arial" w:eastAsia="Arial" w:hAnsi="Arial"/>
                <w:sz w:val="13"/>
                <w:szCs w:val="13"/>
                <w:color w:val="auto"/>
              </w:rPr>
              <w:t>22%</w:t>
            </w:r>
          </w:p>
        </w:tc>
        <w:tc>
          <w:tcPr>
            <w:tcW w:w="640" w:type="dxa"/>
            <w:vAlign w:val="bottom"/>
          </w:tcPr>
          <w:p>
            <w:pPr>
              <w:ind w:left="160"/>
              <w:spacing w:after="0"/>
              <w:rPr>
                <w:sz w:val="20"/>
                <w:szCs w:val="20"/>
                <w:color w:val="auto"/>
              </w:rPr>
            </w:pPr>
            <w:r>
              <w:rPr>
                <w:rFonts w:ascii="Arial" w:cs="Arial" w:eastAsia="Arial" w:hAnsi="Arial"/>
                <w:sz w:val="13"/>
                <w:szCs w:val="13"/>
                <w:color w:val="auto"/>
              </w:rPr>
              <w:t>18%</w:t>
            </w:r>
          </w:p>
        </w:tc>
        <w:tc>
          <w:tcPr>
            <w:tcW w:w="660" w:type="dxa"/>
            <w:vAlign w:val="bottom"/>
          </w:tcPr>
          <w:p>
            <w:pPr>
              <w:ind w:left="160"/>
              <w:spacing w:after="0"/>
              <w:rPr>
                <w:sz w:val="20"/>
                <w:szCs w:val="20"/>
                <w:color w:val="auto"/>
              </w:rPr>
            </w:pPr>
            <w:r>
              <w:rPr>
                <w:rFonts w:ascii="Arial" w:cs="Arial" w:eastAsia="Arial" w:hAnsi="Arial"/>
                <w:sz w:val="13"/>
                <w:szCs w:val="13"/>
                <w:color w:val="auto"/>
              </w:rPr>
              <w:t>21%</w:t>
            </w:r>
          </w:p>
        </w:tc>
        <w:tc>
          <w:tcPr>
            <w:tcW w:w="860" w:type="dxa"/>
            <w:vAlign w:val="bottom"/>
          </w:tcPr>
          <w:p>
            <w:pPr>
              <w:ind w:left="160"/>
              <w:spacing w:after="0"/>
              <w:rPr>
                <w:sz w:val="20"/>
                <w:szCs w:val="20"/>
                <w:color w:val="auto"/>
              </w:rPr>
            </w:pPr>
            <w:r>
              <w:rPr>
                <w:rFonts w:ascii="Arial" w:cs="Arial" w:eastAsia="Arial" w:hAnsi="Arial"/>
                <w:sz w:val="13"/>
                <w:szCs w:val="13"/>
                <w:color w:val="auto"/>
              </w:rPr>
              <w:t>23.4x</w:t>
            </w:r>
          </w:p>
        </w:tc>
        <w:tc>
          <w:tcPr>
            <w:tcW w:w="540" w:type="dxa"/>
            <w:vAlign w:val="bottom"/>
          </w:tcPr>
          <w:p>
            <w:pPr>
              <w:ind w:left="40"/>
              <w:spacing w:after="0"/>
              <w:rPr>
                <w:sz w:val="20"/>
                <w:szCs w:val="20"/>
                <w:color w:val="auto"/>
              </w:rPr>
            </w:pPr>
            <w:r>
              <w:rPr>
                <w:rFonts w:ascii="Arial" w:cs="Arial" w:eastAsia="Arial" w:hAnsi="Arial"/>
                <w:sz w:val="13"/>
                <w:szCs w:val="13"/>
                <w:color w:val="auto"/>
              </w:rPr>
              <w:t>19.3x</w:t>
            </w:r>
          </w:p>
        </w:tc>
        <w:tc>
          <w:tcPr>
            <w:tcW w:w="640" w:type="dxa"/>
            <w:vAlign w:val="bottom"/>
          </w:tcPr>
          <w:p>
            <w:pPr>
              <w:ind w:left="140"/>
              <w:spacing w:after="0"/>
              <w:rPr>
                <w:sz w:val="20"/>
                <w:szCs w:val="20"/>
                <w:color w:val="auto"/>
              </w:rPr>
            </w:pPr>
            <w:r>
              <w:rPr>
                <w:rFonts w:ascii="Arial" w:cs="Arial" w:eastAsia="Arial" w:hAnsi="Arial"/>
                <w:sz w:val="13"/>
                <w:szCs w:val="13"/>
                <w:color w:val="auto"/>
              </w:rPr>
              <w:t>16.3x</w:t>
            </w:r>
          </w:p>
        </w:tc>
        <w:tc>
          <w:tcPr>
            <w:tcW w:w="780" w:type="dxa"/>
            <w:vAlign w:val="bottom"/>
          </w:tcPr>
          <w:p>
            <w:pPr>
              <w:ind w:left="160"/>
              <w:spacing w:after="0"/>
              <w:rPr>
                <w:sz w:val="20"/>
                <w:szCs w:val="20"/>
                <w:color w:val="auto"/>
              </w:rPr>
            </w:pPr>
            <w:r>
              <w:rPr>
                <w:rFonts w:ascii="Arial" w:cs="Arial" w:eastAsia="Arial" w:hAnsi="Arial"/>
                <w:sz w:val="13"/>
                <w:szCs w:val="13"/>
                <w:color w:val="auto"/>
              </w:rPr>
              <w:t>13.4x</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Bio-Techne Corp.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13,719</w:t>
            </w:r>
          </w:p>
        </w:tc>
        <w:tc>
          <w:tcPr>
            <w:tcW w:w="480" w:type="dxa"/>
            <w:vAlign w:val="bottom"/>
          </w:tcPr>
          <w:p>
            <w:pPr>
              <w:ind w:left="40"/>
              <w:spacing w:after="0"/>
              <w:rPr>
                <w:sz w:val="20"/>
                <w:szCs w:val="20"/>
                <w:color w:val="auto"/>
              </w:rPr>
            </w:pPr>
            <w:r>
              <w:rPr>
                <w:rFonts w:ascii="Arial" w:cs="Arial" w:eastAsia="Arial" w:hAnsi="Arial"/>
                <w:sz w:val="13"/>
                <w:szCs w:val="13"/>
                <w:color w:val="auto"/>
              </w:rPr>
              <w:t>71%</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862</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964</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1,068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1,335</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12%</w:t>
            </w:r>
          </w:p>
        </w:tc>
        <w:tc>
          <w:tcPr>
            <w:tcW w:w="620" w:type="dxa"/>
            <w:vAlign w:val="bottom"/>
          </w:tcPr>
          <w:p>
            <w:pPr>
              <w:ind w:left="120"/>
              <w:spacing w:after="0"/>
              <w:rPr>
                <w:sz w:val="20"/>
                <w:szCs w:val="20"/>
                <w:color w:val="auto"/>
              </w:rPr>
            </w:pPr>
            <w:r>
              <w:rPr>
                <w:rFonts w:ascii="Arial" w:cs="Arial" w:eastAsia="Arial" w:hAnsi="Arial"/>
                <w:sz w:val="13"/>
                <w:szCs w:val="13"/>
                <w:color w:val="auto"/>
              </w:rPr>
              <w:t>11%</w:t>
            </w:r>
          </w:p>
        </w:tc>
        <w:tc>
          <w:tcPr>
            <w:tcW w:w="640" w:type="dxa"/>
            <w:vAlign w:val="bottom"/>
          </w:tcPr>
          <w:p>
            <w:pPr>
              <w:ind w:left="160"/>
              <w:spacing w:after="0"/>
              <w:rPr>
                <w:sz w:val="20"/>
                <w:szCs w:val="20"/>
                <w:color w:val="auto"/>
              </w:rPr>
            </w:pPr>
            <w:r>
              <w:rPr>
                <w:rFonts w:ascii="Arial" w:cs="Arial" w:eastAsia="Arial" w:hAnsi="Arial"/>
                <w:sz w:val="13"/>
                <w:szCs w:val="13"/>
                <w:color w:val="auto"/>
              </w:rPr>
              <w:t>25%</w:t>
            </w:r>
          </w:p>
        </w:tc>
        <w:tc>
          <w:tcPr>
            <w:tcW w:w="66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ind w:left="160"/>
              <w:spacing w:after="0"/>
              <w:rPr>
                <w:sz w:val="20"/>
                <w:szCs w:val="20"/>
                <w:color w:val="auto"/>
              </w:rPr>
            </w:pPr>
            <w:r>
              <w:rPr>
                <w:rFonts w:ascii="Arial" w:cs="Arial" w:eastAsia="Arial" w:hAnsi="Arial"/>
                <w:sz w:val="13"/>
                <w:szCs w:val="13"/>
                <w:color w:val="auto"/>
              </w:rPr>
              <w:t>14.2x</w:t>
            </w:r>
          </w:p>
        </w:tc>
        <w:tc>
          <w:tcPr>
            <w:tcW w:w="540" w:type="dxa"/>
            <w:vAlign w:val="bottom"/>
          </w:tcPr>
          <w:p>
            <w:pPr>
              <w:ind w:left="40"/>
              <w:spacing w:after="0"/>
              <w:rPr>
                <w:sz w:val="20"/>
                <w:szCs w:val="20"/>
                <w:color w:val="auto"/>
              </w:rPr>
            </w:pPr>
            <w:r>
              <w:rPr>
                <w:rFonts w:ascii="Arial" w:cs="Arial" w:eastAsia="Arial" w:hAnsi="Arial"/>
                <w:sz w:val="13"/>
                <w:szCs w:val="13"/>
                <w:color w:val="auto"/>
              </w:rPr>
              <w:t>12.8x</w:t>
            </w:r>
          </w:p>
        </w:tc>
        <w:tc>
          <w:tcPr>
            <w:tcW w:w="640" w:type="dxa"/>
            <w:vAlign w:val="bottom"/>
          </w:tcPr>
          <w:p>
            <w:pPr>
              <w:ind w:left="140"/>
              <w:spacing w:after="0"/>
              <w:rPr>
                <w:sz w:val="20"/>
                <w:szCs w:val="20"/>
                <w:color w:val="auto"/>
              </w:rPr>
            </w:pPr>
            <w:r>
              <w:rPr>
                <w:rFonts w:ascii="Arial" w:cs="Arial" w:eastAsia="Arial" w:hAnsi="Arial"/>
                <w:sz w:val="13"/>
                <w:szCs w:val="13"/>
                <w:color w:val="auto"/>
              </w:rPr>
              <w:t>10.3x</w:t>
            </w:r>
          </w:p>
        </w:tc>
        <w:tc>
          <w:tcPr>
            <w:tcW w:w="780" w:type="dxa"/>
            <w:vAlign w:val="bottom"/>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Twist Bioscience Corp.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8,791</w:t>
            </w:r>
          </w:p>
        </w:tc>
        <w:tc>
          <w:tcPr>
            <w:tcW w:w="480" w:type="dxa"/>
            <w:vAlign w:val="bottom"/>
          </w:tcPr>
          <w:p>
            <w:pPr>
              <w:ind w:left="40"/>
              <w:spacing w:after="0"/>
              <w:rPr>
                <w:sz w:val="20"/>
                <w:szCs w:val="20"/>
                <w:color w:val="auto"/>
              </w:rPr>
            </w:pPr>
            <w:r>
              <w:rPr>
                <w:rFonts w:ascii="Arial" w:cs="Arial" w:eastAsia="Arial" w:hAnsi="Arial"/>
                <w:sz w:val="13"/>
                <w:szCs w:val="13"/>
                <w:color w:val="auto"/>
              </w:rPr>
              <w:t>34%</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165</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222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w:t>
            </w:r>
          </w:p>
        </w:tc>
        <w:tc>
          <w:tcPr>
            <w:tcW w:w="66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ind w:left="160"/>
              <w:spacing w:after="0"/>
              <w:rPr>
                <w:sz w:val="20"/>
                <w:szCs w:val="20"/>
                <w:color w:val="auto"/>
              </w:rPr>
            </w:pPr>
            <w:r>
              <w:rPr>
                <w:rFonts w:ascii="Arial" w:cs="Arial" w:eastAsia="Arial" w:hAnsi="Arial"/>
                <w:sz w:val="13"/>
                <w:szCs w:val="13"/>
                <w:color w:val="auto"/>
              </w:rPr>
              <w:t>53.3x</w:t>
            </w:r>
          </w:p>
        </w:tc>
        <w:tc>
          <w:tcPr>
            <w:tcW w:w="540" w:type="dxa"/>
            <w:vAlign w:val="bottom"/>
          </w:tcPr>
          <w:p>
            <w:pPr>
              <w:ind w:left="40"/>
              <w:spacing w:after="0"/>
              <w:rPr>
                <w:sz w:val="20"/>
                <w:szCs w:val="20"/>
                <w:color w:val="auto"/>
              </w:rPr>
            </w:pPr>
            <w:r>
              <w:rPr>
                <w:rFonts w:ascii="Arial" w:cs="Arial" w:eastAsia="Arial" w:hAnsi="Arial"/>
                <w:sz w:val="13"/>
                <w:szCs w:val="13"/>
                <w:color w:val="auto"/>
              </w:rPr>
              <w:t>40.4x</w:t>
            </w:r>
          </w:p>
        </w:tc>
        <w:tc>
          <w:tcPr>
            <w:tcW w:w="640" w:type="dxa"/>
            <w:vAlign w:val="bottom"/>
          </w:tcPr>
          <w:p>
            <w:pPr>
              <w:ind w:left="140"/>
              <w:spacing w:after="0"/>
              <w:rPr>
                <w:sz w:val="20"/>
                <w:szCs w:val="20"/>
                <w:color w:val="auto"/>
              </w:rPr>
            </w:pPr>
            <w:r>
              <w:rPr>
                <w:rFonts w:ascii="Arial" w:cs="Arial" w:eastAsia="Arial" w:hAnsi="Arial"/>
                <w:sz w:val="13"/>
                <w:szCs w:val="13"/>
                <w:color w:val="auto"/>
              </w:rPr>
              <w:t>39.6x</w:t>
            </w:r>
          </w:p>
        </w:tc>
        <w:tc>
          <w:tcPr>
            <w:tcW w:w="780" w:type="dxa"/>
            <w:vAlign w:val="bottom"/>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Median (highlighted)</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79%</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71%</w:t>
            </w:r>
          </w:p>
        </w:tc>
        <w:tc>
          <w:tcPr>
            <w:tcW w:w="620" w:type="dxa"/>
            <w:vAlign w:val="bottom"/>
          </w:tcPr>
          <w:p>
            <w:pPr>
              <w:ind w:left="120"/>
              <w:spacing w:after="0"/>
              <w:rPr>
                <w:sz w:val="20"/>
                <w:szCs w:val="20"/>
                <w:color w:val="auto"/>
              </w:rPr>
            </w:pPr>
            <w:r>
              <w:rPr>
                <w:rFonts w:ascii="Arial" w:cs="Arial" w:eastAsia="Arial" w:hAnsi="Arial"/>
                <w:sz w:val="13"/>
                <w:szCs w:val="13"/>
                <w:color w:val="auto"/>
              </w:rPr>
              <w:t>47%</w:t>
            </w:r>
          </w:p>
        </w:tc>
        <w:tc>
          <w:tcPr>
            <w:tcW w:w="640" w:type="dxa"/>
            <w:vAlign w:val="bottom"/>
          </w:tcPr>
          <w:p>
            <w:pPr>
              <w:ind w:left="160"/>
              <w:spacing w:after="0"/>
              <w:rPr>
                <w:sz w:val="20"/>
                <w:szCs w:val="20"/>
                <w:color w:val="auto"/>
              </w:rPr>
            </w:pPr>
            <w:r>
              <w:rPr>
                <w:rFonts w:ascii="Arial" w:cs="Arial" w:eastAsia="Arial" w:hAnsi="Arial"/>
                <w:sz w:val="13"/>
                <w:szCs w:val="13"/>
                <w:color w:val="auto"/>
              </w:rPr>
              <w:t>30%</w:t>
            </w:r>
          </w:p>
        </w:tc>
        <w:tc>
          <w:tcPr>
            <w:tcW w:w="660" w:type="dxa"/>
            <w:vAlign w:val="bottom"/>
          </w:tcPr>
          <w:p>
            <w:pPr>
              <w:ind w:left="160"/>
              <w:spacing w:after="0"/>
              <w:rPr>
                <w:sz w:val="20"/>
                <w:szCs w:val="20"/>
                <w:color w:val="auto"/>
              </w:rPr>
            </w:pPr>
            <w:r>
              <w:rPr>
                <w:rFonts w:ascii="Arial" w:cs="Arial" w:eastAsia="Arial" w:hAnsi="Arial"/>
                <w:sz w:val="13"/>
                <w:szCs w:val="13"/>
                <w:color w:val="auto"/>
              </w:rPr>
              <w:t>44%</w:t>
            </w:r>
          </w:p>
        </w:tc>
        <w:tc>
          <w:tcPr>
            <w:tcW w:w="860" w:type="dxa"/>
            <w:vAlign w:val="bottom"/>
          </w:tcPr>
          <w:p>
            <w:pPr>
              <w:ind w:left="160"/>
              <w:spacing w:after="0"/>
              <w:rPr>
                <w:sz w:val="20"/>
                <w:szCs w:val="20"/>
                <w:color w:val="auto"/>
              </w:rPr>
            </w:pPr>
            <w:r>
              <w:rPr>
                <w:rFonts w:ascii="Arial" w:cs="Arial" w:eastAsia="Arial" w:hAnsi="Arial"/>
                <w:sz w:val="13"/>
                <w:szCs w:val="13"/>
                <w:color w:val="auto"/>
              </w:rPr>
              <w:t>71.0x</w:t>
            </w:r>
          </w:p>
        </w:tc>
        <w:tc>
          <w:tcPr>
            <w:tcW w:w="540" w:type="dxa"/>
            <w:vAlign w:val="bottom"/>
          </w:tcPr>
          <w:p>
            <w:pPr>
              <w:ind w:left="40"/>
              <w:spacing w:after="0"/>
              <w:rPr>
                <w:sz w:val="20"/>
                <w:szCs w:val="20"/>
                <w:color w:val="auto"/>
              </w:rPr>
            </w:pPr>
            <w:r>
              <w:rPr>
                <w:rFonts w:ascii="Arial" w:cs="Arial" w:eastAsia="Arial" w:hAnsi="Arial"/>
                <w:sz w:val="13"/>
                <w:szCs w:val="13"/>
                <w:color w:val="auto"/>
              </w:rPr>
              <w:t>48.3x</w:t>
            </w:r>
          </w:p>
        </w:tc>
        <w:tc>
          <w:tcPr>
            <w:tcW w:w="640" w:type="dxa"/>
            <w:vAlign w:val="bottom"/>
          </w:tcPr>
          <w:p>
            <w:pPr>
              <w:ind w:left="140"/>
              <w:spacing w:after="0"/>
              <w:rPr>
                <w:sz w:val="20"/>
                <w:szCs w:val="20"/>
                <w:color w:val="auto"/>
              </w:rPr>
            </w:pPr>
            <w:r>
              <w:rPr>
                <w:rFonts w:ascii="Arial" w:cs="Arial" w:eastAsia="Arial" w:hAnsi="Arial"/>
                <w:sz w:val="13"/>
                <w:szCs w:val="13"/>
                <w:color w:val="auto"/>
              </w:rPr>
              <w:t>37.2x</w:t>
            </w:r>
          </w:p>
        </w:tc>
        <w:tc>
          <w:tcPr>
            <w:tcW w:w="780" w:type="dxa"/>
            <w:vAlign w:val="bottom"/>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Median</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20%</w:t>
            </w:r>
          </w:p>
        </w:tc>
        <w:tc>
          <w:tcPr>
            <w:tcW w:w="660" w:type="dxa"/>
            <w:vAlign w:val="bottom"/>
          </w:tcPr>
          <w:p>
            <w:pPr>
              <w:ind w:left="160"/>
              <w:spacing w:after="0"/>
              <w:rPr>
                <w:sz w:val="20"/>
                <w:szCs w:val="20"/>
                <w:color w:val="auto"/>
              </w:rPr>
            </w:pPr>
            <w:r>
              <w:rPr>
                <w:rFonts w:ascii="Arial" w:cs="Arial" w:eastAsia="Arial" w:hAnsi="Arial"/>
                <w:sz w:val="13"/>
                <w:szCs w:val="13"/>
                <w:color w:val="auto"/>
              </w:rPr>
              <w:t>26%</w:t>
            </w:r>
          </w:p>
        </w:tc>
        <w:tc>
          <w:tcPr>
            <w:tcW w:w="860" w:type="dxa"/>
            <w:vAlign w:val="bottom"/>
          </w:tcPr>
          <w:p>
            <w:pPr>
              <w:ind w:left="160"/>
              <w:spacing w:after="0"/>
              <w:rPr>
                <w:sz w:val="20"/>
                <w:szCs w:val="20"/>
                <w:color w:val="auto"/>
              </w:rPr>
            </w:pPr>
            <w:r>
              <w:rPr>
                <w:rFonts w:ascii="Arial" w:cs="Arial" w:eastAsia="Arial" w:hAnsi="Arial"/>
                <w:sz w:val="13"/>
                <w:szCs w:val="13"/>
                <w:color w:val="auto"/>
              </w:rPr>
              <w:t>38.7x</w:t>
            </w:r>
          </w:p>
        </w:tc>
        <w:tc>
          <w:tcPr>
            <w:tcW w:w="540" w:type="dxa"/>
            <w:vAlign w:val="bottom"/>
          </w:tcPr>
          <w:p>
            <w:pPr>
              <w:ind w:left="40"/>
              <w:spacing w:after="0"/>
              <w:rPr>
                <w:sz w:val="20"/>
                <w:szCs w:val="20"/>
                <w:color w:val="auto"/>
              </w:rPr>
            </w:pPr>
            <w:r>
              <w:rPr>
                <w:rFonts w:ascii="Arial" w:cs="Arial" w:eastAsia="Arial" w:hAnsi="Arial"/>
                <w:sz w:val="13"/>
                <w:szCs w:val="13"/>
                <w:color w:val="auto"/>
              </w:rPr>
              <w:t>28.4x</w:t>
            </w:r>
          </w:p>
        </w:tc>
        <w:tc>
          <w:tcPr>
            <w:tcW w:w="640" w:type="dxa"/>
            <w:vAlign w:val="bottom"/>
          </w:tcPr>
          <w:p>
            <w:pPr>
              <w:ind w:left="140"/>
              <w:spacing w:after="0"/>
              <w:rPr>
                <w:sz w:val="20"/>
                <w:szCs w:val="20"/>
                <w:color w:val="auto"/>
              </w:rPr>
            </w:pPr>
            <w:r>
              <w:rPr>
                <w:rFonts w:ascii="Arial" w:cs="Arial" w:eastAsia="Arial" w:hAnsi="Arial"/>
                <w:sz w:val="13"/>
                <w:szCs w:val="13"/>
                <w:color w:val="auto"/>
              </w:rPr>
              <w:t>22.1x</w:t>
            </w:r>
          </w:p>
        </w:tc>
        <w:tc>
          <w:tcPr>
            <w:tcW w:w="780" w:type="dxa"/>
            <w:vAlign w:val="bottom"/>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38"/>
        </w:trPr>
        <w:tc>
          <w:tcPr>
            <w:tcW w:w="1500" w:type="dxa"/>
            <w:vAlign w:val="bottom"/>
          </w:tcPr>
          <w:p>
            <w:pPr>
              <w:ind w:left="20"/>
              <w:spacing w:after="0" w:line="138" w:lineRule="exact"/>
              <w:rPr>
                <w:sz w:val="20"/>
                <w:szCs w:val="20"/>
                <w:color w:val="auto"/>
              </w:rPr>
            </w:pPr>
            <w:r>
              <w:rPr>
                <w:rFonts w:ascii="Arial" w:cs="Arial" w:eastAsia="Arial" w:hAnsi="Arial"/>
                <w:sz w:val="13"/>
                <w:szCs w:val="13"/>
                <w:b w:val="1"/>
                <w:bCs w:val="1"/>
                <w:color w:val="auto"/>
                <w:w w:val="98"/>
              </w:rPr>
              <w:t>Nautilus Biotechnology,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2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1"/>
                <w:szCs w:val="11"/>
                <w:color w:val="auto"/>
              </w:rPr>
            </w:pP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$17</w:t>
            </w:r>
          </w:p>
        </w:tc>
        <w:tc>
          <w:tcPr>
            <w:tcW w:w="360" w:type="dxa"/>
            <w:vAlign w:val="bottom"/>
          </w:tcPr>
          <w:p>
            <w:pPr>
              <w:spacing w:after="0"/>
              <w:rPr>
                <w:sz w:val="11"/>
                <w:szCs w:val="11"/>
                <w:color w:val="auto"/>
              </w:rPr>
            </w:pP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$77</w:t>
            </w:r>
          </w:p>
        </w:tc>
        <w:tc>
          <w:tcPr>
            <w:tcW w:w="38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325%</w:t>
            </w: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353%</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00" w:type="dxa"/>
            <w:vAlign w:val="bottom"/>
          </w:tcPr>
          <w:p>
            <w:pPr>
              <w:ind w:left="20"/>
              <w:spacing w:after="0"/>
              <w:rPr>
                <w:sz w:val="20"/>
                <w:szCs w:val="20"/>
                <w:color w:val="auto"/>
              </w:rPr>
            </w:pPr>
            <w:r>
              <w:rPr>
                <w:rFonts w:ascii="Arial" w:cs="Arial" w:eastAsia="Arial" w:hAnsi="Arial"/>
                <w:sz w:val="13"/>
                <w:szCs w:val="13"/>
                <w:b w:val="1"/>
                <w:bCs w:val="1"/>
                <w:color w:val="auto"/>
              </w:rPr>
              <w:t>Inc.</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(excluding the Nautilus Forecasts): Analyst Consensus Estimates, Bloomberg</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Based on Seer Inc.’s and Nautilus’ similar technological and market focus on proteomics research and a comparison of the two companies’ revenue and growth projections, it was determined that Seer Inc. is the most comparable company. In addition, at the time the $900 million valuation of Nautilus was determined in early December 2020, Seer Inc. had just recently priced its initial public offering at an implied pre-IPO valuation of approximately $923 million based on the terms of its recent initial public offering as described in publicly available documents, which further supported its use as a valuation comparable.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It is a requirement under the Existing Governing Documents that any business acquired by ARYA have a fair market value equal to at least 80% of the balance of the funds in the trust account at the time of the execution of a definitive agreement for an initial business combination. Based on the financial analysis of Nautilus generally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approve the transaction, the ARYA board of directors determined that this requirement was met. The board determined that the consideration being paid in the Business Combination, which amount was negotiated at arms-length, was fair to and in the best interests of ARYA and its shareholders and appropriately reflected Nautilus’ value. In reaching this determination, the board concluded that it was appropriate to base such valuation in part on qualitative factors such as management strength and depth, competitive positioning, customer relationships, and technical skills, as well as quantitative factors such as Nautilus’ potential for future growth in revenue and profits. The ARYA Board believes that the financial skills and background of its members qualify it to conclude that the acquisition of Nautilus met this requirement.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ARYA’s Directors and Executive Officers in the Business Combination</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0" w:lineRule="exact"/>
        <w:rPr>
          <w:sz w:val="20"/>
          <w:szCs w:val="20"/>
          <w:color w:val="auto"/>
        </w:rPr>
      </w:pPr>
    </w:p>
    <w:p>
      <w:pPr>
        <w:ind w:left="660" w:right="8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the initial shareholders;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36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w:t>
      </w:r>
      <w:r>
        <w:rPr>
          <w:rFonts w:ascii="Arial" w:cs="Arial" w:eastAsia="Arial" w:hAnsi="Arial"/>
          <w:sz w:val="18"/>
          <w:szCs w:val="18"/>
          <w:i w:val="1"/>
          <w:iCs w:val="1"/>
          <w:color w:val="auto"/>
        </w:rPr>
        <w:t>i.e.</w:t>
      </w:r>
      <w:r>
        <w:rPr>
          <w:rFonts w:ascii="Arial" w:cs="Arial" w:eastAsia="Arial" w:hAnsi="Arial"/>
          <w:sz w:val="18"/>
          <w:szCs w:val="18"/>
          <w:color w:val="auto"/>
        </w:rPr>
        <w:t>, a “tail policy”);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144" w:lineRule="exact"/>
        <w:rPr>
          <w:sz w:val="20"/>
          <w:szCs w:val="20"/>
          <w:color w:val="auto"/>
        </w:rPr>
      </w:pPr>
    </w:p>
    <w:p>
      <w:pPr>
        <w:ind w:left="660" w:right="28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ARYA’s initial shareholders own approximately 22.1% of the issued and outstanding ordinary shares. See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Nautilus’ Directors and Executive Officers in the Business Combination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you consider the recommendation of the Nautilus board of directors in favor of approval of the Business Combination Proposal, you should keep in mind that certain of Nautilus’ directors and officers have interests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Business Combination that are different from, or in addition to, those of Nautilus or ARYA’s stockholders generally. These interests include, among other things, the interests listed below:</w:t>
      </w:r>
    </w:p>
    <w:p>
      <w:pPr>
        <w:spacing w:after="0" w:line="116" w:lineRule="exact"/>
        <w:rPr>
          <w:sz w:val="20"/>
          <w:szCs w:val="20"/>
          <w:color w:val="auto"/>
        </w:rPr>
      </w:pPr>
    </w:p>
    <w:p>
      <w:pPr>
        <w:ind w:left="66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certain of Nautilus’ directors are expected to become directors of New Nautilus upon the Closing and will receive compensation under the New Nautilus director compensation policy described in the section entitled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each of Nautilus’ executive officers are expected to become executive officers of New Nautilus upon the Closing, serving in the same position they are currently serving with Nautilus, and are expected to enter into confirmatory employment letters and change in control and severance agreements in connection with the Merger, in each case on substantially the terms described in the sections entitled “</w:t>
      </w:r>
      <w:r>
        <w:rPr>
          <w:rFonts w:ascii="Arial" w:cs="Arial" w:eastAsia="Arial" w:hAnsi="Arial"/>
          <w:sz w:val="18"/>
          <w:szCs w:val="18"/>
          <w:i w:val="1"/>
          <w:iCs w:val="1"/>
          <w:color w:val="auto"/>
        </w:rPr>
        <w:t>Nautilus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substantial number of shares of New Nautilus to be issued to Nautilus’ directors, executive officers and/or their affiliated entities, as set forth in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 and the fact that such shares will have a significantly higher value than their original purchase price upon consummation of the Business Combination, in addition to the outstanding equity awards held by certain directors and executive officers of Nautilus, as set forth in the sections entitled “</w:t>
      </w:r>
      <w:r>
        <w:rPr>
          <w:rFonts w:ascii="Arial" w:cs="Arial" w:eastAsia="Arial" w:hAnsi="Arial"/>
          <w:sz w:val="17"/>
          <w:szCs w:val="17"/>
          <w:i w:val="1"/>
          <w:iCs w:val="1"/>
          <w:color w:val="auto"/>
        </w:rPr>
        <w:t>Nautilus Executive Compensation</w:t>
      </w:r>
      <w:r>
        <w:rPr>
          <w:rFonts w:ascii="Arial" w:cs="Arial" w:eastAsia="Arial" w:hAnsi="Arial"/>
          <w:sz w:val="17"/>
          <w:szCs w:val="17"/>
          <w:color w:val="auto"/>
        </w:rPr>
        <w:t>” and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 which will be assumed by New Nautilus in connection with the Closing;</w:t>
      </w:r>
    </w:p>
    <w:p>
      <w:pPr>
        <w:spacing w:after="0" w:line="122" w:lineRule="exact"/>
        <w:rPr>
          <w:rFonts w:ascii="Arial" w:cs="Arial" w:eastAsia="Arial" w:hAnsi="Arial"/>
          <w:sz w:val="17"/>
          <w:szCs w:val="17"/>
          <w:color w:val="auto"/>
        </w:rPr>
      </w:pPr>
    </w:p>
    <w:p>
      <w:pPr>
        <w:ind w:left="660" w:right="38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certain of Nautilus’ directors or their affiliated entities, as set forth in the section entitled “</w:t>
      </w:r>
      <w:r>
        <w:rPr>
          <w:rFonts w:ascii="Arial" w:cs="Arial" w:eastAsia="Arial" w:hAnsi="Arial"/>
          <w:sz w:val="17"/>
          <w:szCs w:val="17"/>
          <w:i w:val="1"/>
          <w:iCs w:val="1"/>
          <w:color w:val="auto"/>
        </w:rPr>
        <w:t>Certain Relationships and Related Person Transactions</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certain of Nautilus’s directors or their affiliated entities have entered into subscription agreements for the PIPE Financing, as set forth in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right="240" w:hanging="328"/>
        <w:spacing w:after="0" w:line="342" w:lineRule="auto"/>
        <w:tabs>
          <w:tab w:leader="none" w:pos="6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continued indemnification of Nautilus’ directors and officers, as set forth in the section entitled “</w:t>
      </w:r>
      <w:r>
        <w:rPr>
          <w:rFonts w:ascii="Arial" w:cs="Arial" w:eastAsia="Arial" w:hAnsi="Arial"/>
          <w:sz w:val="16"/>
          <w:szCs w:val="16"/>
          <w:i w:val="1"/>
          <w:iCs w:val="1"/>
          <w:color w:val="auto"/>
        </w:rPr>
        <w:t>Certain Relationships and Related Person</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and the continuation of Nautilus’ directors’ and officers’ liability insurance after the Business Combination (</w:t>
      </w:r>
      <w:r>
        <w:rPr>
          <w:rFonts w:ascii="Arial" w:cs="Arial" w:eastAsia="Arial" w:hAnsi="Arial"/>
          <w:sz w:val="16"/>
          <w:szCs w:val="16"/>
          <w:i w:val="1"/>
          <w:iCs w:val="1"/>
          <w:color w:val="auto"/>
        </w:rPr>
        <w:t>i.e.</w:t>
      </w:r>
      <w:r>
        <w:rPr>
          <w:rFonts w:ascii="Arial" w:cs="Arial" w:eastAsia="Arial" w:hAnsi="Arial"/>
          <w:sz w:val="16"/>
          <w:szCs w:val="16"/>
          <w:color w:val="auto"/>
        </w:rPr>
        <w:t>, a “tail policy”).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Engagements in Connection with the Business Combination and Related Transactions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Goldman and Jefferies (together with their respective affiliates) are full service financial institutions engaged in various activities, which may include sales and trading, commercial and investment banking, advisory, investment management, investment research, principal investing, hedging, market making, brokerage and other financial and non-financial activities and services. From time to time, Goldman, Jefferies and their respective affiliates have provided various investment banking and other commercial dealings services unrelated to the Business Combination or the PIPE to ARYA and its affiliates, and have received customary compensation in connection therewith. In addition, Goldman and Jefferies and their affiliates may provide investment banking and other commercial dealings to ARYA, Nautilus and their respective affiliates in the future, for which they would expect to receive customary compensation.</w:t>
      </w:r>
    </w:p>
    <w:p>
      <w:pPr>
        <w:spacing w:after="0" w:line="1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in the ordinary course of their business activities, Goldman, Jefferies and their respective affiliates, officers, directors and employees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ARYA or Nautilus, or their respective affiliates. Goldman, Jefferies and its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Business Combination will be accounted for as a reverse recapitalization because Nautilus has been determined to be the accounting acquirer under U.S. GAAP. Under this method of accounting, ARYA has been treated as the “acquired” company for financial reporting purposes. This determination was primarily because existing Nautilus Shareholders will hold the majority of voting rights in New Nautilus, existing Nautilus Shareholders will have the right to appoint the majority of the directors on the New Nautilus Board, Nautilus’ senior management will comprise the senior management of New Nautilus, and Nautilus’ operations prior to the acquisition will comprise the ongoing operations of New Nautilus. Accordingly, for accounting purposes, the financial statements of the combined entity will represent a continuation of the financial statements of Nautilus with the Business Combination being treated as the equivalent of Nautilus issuing equity for the net assets of ARYA, accompanied by a recapitalization, with no goodwill or other intangible assets recorded.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Nautilus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0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At any time before or after consummation of the Business Combination, notwithstanding termination of the waiting period under the HSR Act, the applicable competition authorities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23"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None of ARYA or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ARYA’s entry into the Business Combination Agreement, dated as of February 7, 2021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Merger Sub will merge with and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6" w:name="page157"/>
    <w:bookmarkEnd w:id="156"/>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Nautilus (the “</w:t>
      </w:r>
      <w:r>
        <w:rPr>
          <w:rFonts w:ascii="Arial" w:cs="Arial" w:eastAsia="Arial" w:hAnsi="Arial"/>
          <w:sz w:val="18"/>
          <w:szCs w:val="18"/>
          <w:u w:val="single" w:color="auto"/>
          <w:color w:val="auto"/>
        </w:rPr>
        <w:t>Merger</w:t>
      </w:r>
      <w:r>
        <w:rPr>
          <w:rFonts w:ascii="Arial" w:cs="Arial" w:eastAsia="Arial" w:hAnsi="Arial"/>
          <w:sz w:val="18"/>
          <w:szCs w:val="18"/>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THE ARYA SHAREHOLDERS VOTE “FOR” THE APPROVAL OF THE BUSINESS COMBINATION PROPOSAL.</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8"/>
          <w:szCs w:val="18"/>
          <w:i w:val="1"/>
          <w:iCs w:val="1"/>
          <w:color w:val="auto"/>
        </w:rPr>
        <w:t>—Interests of ARYA’s Directors and Executive 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DOMESTICATION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As discussed in this proxy statement/prospectus, ARYA is asking its shareholders to approve the Domestication Proposal. Under the Business Combination Agreement, the approval of the Domestication Proposal is also a condition to the consummation of the Business Combination.</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condition to closing the Business Combination, the board of directors of ARYA has unanimously approved, and ARYA shareholders are being asked to consider and vote upon a proposal to approve (the “</w:t>
      </w:r>
      <w:r>
        <w:rPr>
          <w:rFonts w:ascii="Arial" w:cs="Arial" w:eastAsia="Arial" w:hAnsi="Arial"/>
          <w:sz w:val="17"/>
          <w:szCs w:val="17"/>
          <w:u w:val="single" w:color="auto"/>
          <w:color w:val="auto"/>
        </w:rPr>
        <w:t>Domestication Proposal</w:t>
      </w:r>
      <w:r>
        <w:rPr>
          <w:rFonts w:ascii="Arial" w:cs="Arial" w:eastAsia="Arial" w:hAnsi="Arial"/>
          <w:sz w:val="17"/>
          <w:szCs w:val="17"/>
          <w:color w:val="auto"/>
        </w:rPr>
        <w:t>”), a change of ARYA’s jurisdiction of incorporation by deregistering as a Cayman Islands exempted company and continuing and domesticating as a corporation incorporated under the laws of the State of Delaware. To effect the Domestication, ARYA will file an application to deregister with the Cayman Islands Registrar of Companies, together with the necessary accompanying documents, and file a certificate of incorporation and a certificate of corporate domestication with the Secretary of State of the State of Delaware, under which ARYA will be domesticated and continue as a Delaware corporation.</w:t>
      </w:r>
    </w:p>
    <w:p>
      <w:pPr>
        <w:spacing w:after="0" w:line="12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Domestication Proposal, if approved, will approve a change of ARYA’s jurisdiction of incorporation from the Cayman Islands to the State of Delaware. Accordingly, while ARYA is currently incorporated as an exempted company under the Cayman Islands Companies Act, upon the Domestication, New Nautilus will be governed by the DGCL. We encourage shareholders to carefully consult the information on the Proposed Governing Documents set out below under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Proposed Certificate of Incorporation differs in certain material respects from the Existing Governing Documents and we encourage shareholders to carefully consult the information set out below under “</w:t>
      </w:r>
      <w:r>
        <w:rPr>
          <w:rFonts w:ascii="Arial" w:cs="Arial" w:eastAsia="Arial" w:hAnsi="Arial"/>
          <w:sz w:val="18"/>
          <w:szCs w:val="18"/>
          <w:i w:val="1"/>
          <w:iCs w:val="1"/>
          <w:color w:val="auto"/>
        </w:rPr>
        <w:t>Advisory Governing Documents Proposals</w:t>
      </w:r>
      <w:r>
        <w:rPr>
          <w:rFonts w:ascii="Arial" w:cs="Arial" w:eastAsia="Arial" w:hAnsi="Arial"/>
          <w:sz w:val="18"/>
          <w:szCs w:val="18"/>
          <w:color w:val="auto"/>
        </w:rPr>
        <w:t>,” the Existing Governing Documents of ARYA, attached hereto as Annex B and the Proposed Certificate of Incorporation of New Nautilus, attached hereto as Annex 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Domestication</w:t>
      </w:r>
    </w:p>
    <w:p>
      <w:pPr>
        <w:spacing w:after="0" w:line="17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a reincorporation in Delaware is in the best interests of ARYA and its shareholders. As explained in more detail below, these reasons can be summarized as follows:</w:t>
      </w:r>
    </w:p>
    <w:p>
      <w:pPr>
        <w:spacing w:after="0" w:line="117" w:lineRule="exact"/>
        <w:rPr>
          <w:sz w:val="20"/>
          <w:szCs w:val="20"/>
          <w:color w:val="auto"/>
        </w:rPr>
      </w:pPr>
    </w:p>
    <w:p>
      <w:pPr>
        <w:ind w:left="660" w:hanging="328"/>
        <w:spacing w:after="0" w:line="271" w:lineRule="auto"/>
        <w:tabs>
          <w:tab w:leader="none" w:pos="655"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Prominence, Predictability, and Flexibility of Delaware Law. </w:t>
      </w:r>
      <w:r>
        <w:rPr>
          <w:rFonts w:ascii="Arial" w:cs="Arial" w:eastAsia="Arial" w:hAnsi="Arial"/>
          <w:sz w:val="17"/>
          <w:szCs w:val="17"/>
          <w:color w:val="auto"/>
        </w:rPr>
        <w:t>For many years Delaware has followed a policy of encouraging incorporation in its</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124" w:lineRule="exact"/>
        <w:rPr>
          <w:rFonts w:ascii="Arial" w:cs="Arial" w:eastAsia="Arial" w:hAnsi="Arial"/>
          <w:sz w:val="17"/>
          <w:szCs w:val="17"/>
          <w:color w:val="auto"/>
        </w:rPr>
      </w:pPr>
    </w:p>
    <w:p>
      <w:pPr>
        <w:ind w:left="660" w:right="80" w:hanging="328"/>
        <w:spacing w:after="0" w:line="25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Well-Established Principles of Corporate Governance. </w:t>
      </w:r>
      <w:r>
        <w:rPr>
          <w:rFonts w:ascii="Arial" w:cs="Arial" w:eastAsia="Arial" w:hAnsi="Arial"/>
          <w:sz w:val="18"/>
          <w:szCs w:val="18"/>
          <w:color w:val="auto"/>
        </w:rPr>
        <w:t>There is substantial judicial precedent in the Delaware courts as to the legal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New Nautilus, its board of directors and management to make corporate decisions and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Nautilus’ stockholders from possible abuses by directors and officers.</w:t>
      </w:r>
    </w:p>
    <w:p>
      <w:pPr>
        <w:spacing w:after="0" w:line="138" w:lineRule="exact"/>
        <w:rPr>
          <w:sz w:val="20"/>
          <w:szCs w:val="20"/>
          <w:color w:val="auto"/>
        </w:rPr>
      </w:pPr>
    </w:p>
    <w:p>
      <w:pPr>
        <w:ind w:left="660" w:right="40" w:hanging="328"/>
        <w:spacing w:after="0" w:line="270"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t xml:space="preserve">Increased Ability to Attract and Retain Qualified Directors. </w:t>
      </w:r>
      <w:r>
        <w:rPr>
          <w:rFonts w:ascii="Arial" w:cs="Arial" w:eastAsia="Arial" w:hAnsi="Arial"/>
          <w:sz w:val="17"/>
          <w:szCs w:val="17"/>
          <w:color w:val="auto"/>
        </w:rPr>
        <w:t>Reincorporation from the Cayman Islands to Delaware is attractive to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stockholders alike. New Nautilus’ incorporation in Delaware may make New Nautilus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of directors therefore believes that providing the benefits afforded directors by Delaware law will enable New Nautilus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spacing w:after="0" w:line="12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company’s ability to limit director liability. As a result, we believe that the corporate environment afforded by Delaware will enable the surviving corporation to compete more effectively with other public companies in attracting and retaining new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Domestication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Domestication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ARYA be transferred by way of continuation to Delaware pursuant to Part XII of the Companies Act (Revised) of the Cayman Islands and Section 388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DOMESTICATION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ARYA is asking its shareholders to adopt the Proposed Certificate of Incorporation in the form attached hereto as Annex C, which, in the judgment of the ARYA Board, is necessary to adequately address the needs of ARYA following the Domestication and the consummation of the Business Combination.</w:t>
      </w:r>
    </w:p>
    <w:p>
      <w:pPr>
        <w:spacing w:after="0" w:line="7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 xml:space="preserve">For a summary of the key differences between the Amended and Restated Memorandum and Articles of Association of ARYA under Cayman Islands law and the Proposed Certificate of Incorporation under the DGCL, please see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xml:space="preserve"> The summary is qualified in its entirety by reference to the full text of the Proposed Certificate of Incorporation, a copy of which is included as Annex 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the Amended and Restated Memorandum and Articles of Association of ARYA currently in effect be amended and restated by the deletion in their entirety and the substitution in their place of the Proposed Certificate of Incorporation (a copy of which is attached to this proxy statement/prospectus as Annex C) including the authorization of the change in authorized share capital as indicated therein and the change of name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With Respect to the Charter Proposal</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holders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w:t>
      </w:r>
    </w:p>
    <w:p>
      <w:pPr>
        <w:spacing w:after="0" w:line="13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Charter Proposal is conditioned on the approval and adoption of each of the other Condition Precedent Proposals. Abstentions and broker non-votes, while considered present for the purposes of establishing a quorum, will not count as votes cast at the extraordinary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CHARTER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GOVERNING DOCUMENTS PROPOSALS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If each of the following Advisory Governing Documents Proposals and the Condition Precedent Proposals are approved and the Business Combination is to be consummated, ARYA will replace the Existing Governing Documents with the Proposed Certificate of Incorporation.</w:t>
      </w:r>
    </w:p>
    <w:p>
      <w:pPr>
        <w:spacing w:after="0" w:line="9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ARYA’s shareholders are asked to consider and vote upon and to approve, on a non-binding advisory basis, four (4) separate governance proposals, also referred to herein as Advisory Governing Documents Proposals, in connection with the replacement of the Existing Governing Documents with the Proposed Certificate of Incorporation. In the judgment of the ARYA Board, these proposals are necessary to adequately address the needs of ARYA and its shareholders following the consummation of the Business Combination and the Domestication. Accordingly, regardless of the outcome of the non-binding advisory vote on these proposals, ARYA intends that the Proposed Certificate of Incorporation in the form set forth on Annex C will take effect at consummation of the Business Combination and Domestication, assuming adoption of the Charter Proposal.</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The following table sets forth a summary of the principal changes proposed to be made between the Existing Governing Documents and the Proposed Certificate of Incorporation for New Nautilus. This summary is qualified by reference to the complete text of the Existing Governing Documents of ARYA, attached to this proxy statement/prospectus as Annex B and the complete text of the Proposed Certificate of Incorporation, a copy of which is attached to this proxy statement/prospectus as Annex C. All shareholders are encouraged to read the Proposed Certificate of Incorporation in its entirety for a more complete description of its terms. Additionally, as the Existing Governing Documents are governed by Cayman Islands law and the Proposed Governing Documents will be governed by the DGCL, we encourage shareholders to carefully consult the information set out under the “</w:t>
      </w:r>
      <w:r>
        <w:rPr>
          <w:rFonts w:ascii="Arial" w:cs="Arial" w:eastAsia="Arial" w:hAnsi="Arial"/>
          <w:sz w:val="17"/>
          <w:szCs w:val="17"/>
          <w:i w:val="1"/>
          <w:iCs w:val="1"/>
          <w:color w:val="auto"/>
        </w:rPr>
        <w:t>Comparison of 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and Shareholder Rights</w:t>
      </w:r>
      <w:r>
        <w:rPr>
          <w:rFonts w:ascii="Arial" w:cs="Arial" w:eastAsia="Arial" w:hAnsi="Arial"/>
          <w:sz w:val="17"/>
          <w:szCs w:val="17"/>
          <w:color w:val="auto"/>
        </w:rPr>
        <w:t>” section of this proxy statement/prospectus.</w:t>
      </w:r>
    </w:p>
    <w:p>
      <w:pPr>
        <w:sectPr>
          <w:pgSz w:w="11900" w:h="16838" w:orient="portrait"/>
          <w:cols w:equalWidth="0" w:num="1">
            <w:col w:w="11220"/>
          </w:cols>
          <w:pgMar w:left="320" w:top="1440" w:right="359" w:bottom="1440" w:gutter="0" w:footer="0" w:header="0"/>
        </w:sectPr>
      </w:pPr>
    </w:p>
    <w:p>
      <w:pPr>
        <w:spacing w:after="0" w:line="156"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Existing Governing Documents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Proposed Certificate of Incorporation</w:t>
      </w:r>
    </w:p>
    <w:p>
      <w:pPr>
        <w:spacing w:after="0" w:line="44" w:lineRule="exact"/>
        <w:rPr>
          <w:sz w:val="20"/>
          <w:szCs w:val="20"/>
          <w:color w:val="auto"/>
        </w:rPr>
      </w:pPr>
    </w:p>
    <w:p>
      <w:pPr>
        <w:sectPr>
          <w:pgSz w:w="11900" w:h="16838" w:orient="portrait"/>
          <w:cols w:equalWidth="0" w:num="2">
            <w:col w:w="7560" w:space="720"/>
            <w:col w:w="2940"/>
          </w:cols>
          <w:pgMar w:left="320" w:top="1440" w:right="359" w:bottom="1440" w:gutter="0" w:footer="0" w:header="0"/>
          <w:type w:val="continuous"/>
        </w:sectPr>
      </w:pPr>
    </w:p>
    <w:p>
      <w:pPr>
        <w:jc w:val="center"/>
        <w:ind w:left="780" w:right="80"/>
        <w:spacing w:after="0" w:line="226" w:lineRule="auto"/>
        <w:rPr>
          <w:sz w:val="20"/>
          <w:szCs w:val="20"/>
          <w:color w:val="auto"/>
        </w:rPr>
      </w:pPr>
      <w:r>
        <w:rPr>
          <w:rFonts w:ascii="Arial" w:cs="Arial" w:eastAsia="Arial" w:hAnsi="Arial"/>
          <w:sz w:val="18"/>
          <w:szCs w:val="18"/>
          <w:b w:val="1"/>
          <w:bCs w:val="1"/>
          <w:color w:val="auto"/>
        </w:rPr>
        <w:t xml:space="preserve">Authorized Shares </w:t>
      </w:r>
      <w:r>
        <w:rPr>
          <w:rFonts w:ascii="Arial" w:cs="Arial" w:eastAsia="Arial" w:hAnsi="Arial"/>
          <w:sz w:val="18"/>
          <w:szCs w:val="18"/>
          <w:color w:val="auto"/>
        </w:rPr>
        <w:t>(Advisory Governing Documents Proposal A)</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Arial" w:cs="Arial" w:eastAsia="Arial" w:hAnsi="Arial"/>
          <w:sz w:val="17"/>
          <w:szCs w:val="17"/>
          <w:color w:val="auto"/>
        </w:rPr>
        <w:t>The share capital under the Existing Governing Documents is US $50,000 divided into 479,000,000 Class A ordinary shares of par value US$0.0001 per share, 20,000,000 Class B ordinary shares of par value US $0.0001 per share and 1,000,000 preference shares of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-821690</wp:posOffset>
            </wp:positionV>
            <wp:extent cx="22713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34"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paragraph 8 of the Memorandum of Association.</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-601345</wp:posOffset>
            </wp:positionV>
            <wp:extent cx="22802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8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23" w:lineRule="exact"/>
        <w:rPr>
          <w:sz w:val="20"/>
          <w:szCs w:val="20"/>
          <w:color w:val="auto"/>
        </w:rPr>
      </w:pPr>
    </w:p>
    <w:p>
      <w:pPr>
        <w:sectPr>
          <w:pgSz w:w="11900" w:h="16838" w:orient="portrait"/>
          <w:cols w:equalWidth="0" w:num="3">
            <w:col w:w="3280" w:space="720"/>
            <w:col w:w="3440" w:space="220"/>
            <w:col w:w="3560"/>
          </w:cols>
          <w:pgMar w:left="320" w:top="1440" w:right="35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Authorize the Board of Directors to Issue</w:t>
            </w:r>
          </w:p>
        </w:tc>
        <w:tc>
          <w:tcPr>
            <w:tcW w:w="3640" w:type="dxa"/>
            <w:vAlign w:val="bottom"/>
          </w:tcPr>
          <w:p>
            <w:pPr>
              <w:ind w:left="120"/>
              <w:spacing w:after="0"/>
              <w:rPr>
                <w:sz w:val="20"/>
                <w:szCs w:val="20"/>
                <w:color w:val="auto"/>
              </w:rPr>
            </w:pPr>
            <w:r>
              <w:rPr>
                <w:rFonts w:ascii="Arial" w:cs="Arial" w:eastAsia="Arial" w:hAnsi="Arial"/>
                <w:sz w:val="18"/>
                <w:szCs w:val="18"/>
                <w:color w:val="auto"/>
                <w:w w:val="96"/>
              </w:rPr>
              <w:t>The Existing Governing Documents authorize</w:t>
            </w:r>
          </w:p>
        </w:tc>
      </w:tr>
      <w:tr>
        <w:trPr>
          <w:trHeight w:val="176"/>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Preferred Stock Without Stockholder Consent</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88"/>
              </w:rPr>
              <w:t>the issuance of 1,000,000 preference shares with</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(Advisory Governing Documents</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0"/>
              </w:rPr>
              <w:t>such designation, rights and preferences as may</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Proposal B)</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2"/>
              </w:rPr>
              <w:t>be determined from time to time by our board of</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4"/>
              </w:rPr>
              <w:t>directors. Accordingly, our board of directors is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empowered under the Existing Governing</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7"/>
              </w:rPr>
              <w:t>Documents, without shareholder approval, to</w:t>
            </w:r>
          </w:p>
        </w:tc>
      </w:tr>
      <w:tr>
        <w:trPr>
          <w:trHeight w:val="176"/>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issue preference shares with dividend,</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8"/>
              </w:rPr>
              <w:t>liquidation, redemption, voting or other rights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1"/>
              </w:rPr>
              <w:t>which could adversely affect the voting power or</w:t>
            </w:r>
          </w:p>
        </w:tc>
      </w:tr>
      <w:tr>
        <w:trPr>
          <w:trHeight w:val="230"/>
        </w:trPr>
        <w:tc>
          <w:tcPr>
            <w:tcW w:w="366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w w:val="97"/>
              </w:rPr>
              <w:t>other rights of the holders of ordinary shares.</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200" w:lineRule="exact"/>
        <w:rPr>
          <w:sz w:val="20"/>
          <w:szCs w:val="20"/>
          <w:color w:val="auto"/>
        </w:rPr>
      </w:pPr>
    </w:p>
    <w:p>
      <w:pPr>
        <w:sectPr>
          <w:pgSz w:w="11900" w:h="16838" w:orient="portrait"/>
          <w:cols w:equalWidth="0" w:num="2">
            <w:col w:w="7520" w:space="140"/>
            <w:col w:w="35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2" w:name="page163"/>
    <w:bookmarkEnd w:id="162"/>
    <w:p>
      <w:pPr>
        <w:spacing w:after="0" w:line="176"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23495</wp:posOffset>
            </wp:positionV>
            <wp:extent cx="22713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See paragraph 8 of the Memorandum of</w:t>
      </w:r>
    </w:p>
    <w:p>
      <w:pPr>
        <w:ind w:left="3940"/>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940"/>
        <w:spacing w:after="0"/>
        <w:rPr>
          <w:sz w:val="20"/>
          <w:szCs w:val="20"/>
          <w:color w:val="auto"/>
        </w:rPr>
      </w:pPr>
      <w:r>
        <w:rPr>
          <w:rFonts w:ascii="Arial" w:cs="Arial" w:eastAsia="Arial" w:hAnsi="Arial"/>
          <w:sz w:val="18"/>
          <w:szCs w:val="18"/>
          <w:i w:val="1"/>
          <w:iCs w:val="1"/>
          <w:color w:val="auto"/>
        </w:rPr>
        <w:t>Association.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Shareholder/Stockholder Written Consent In Lieu</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 xml:space="preserve">of a Meeting </w:t>
            </w: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resolutions may be passed by a vote in person,</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C)</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2"/>
              </w:rPr>
              <w:t>by proxy at a general meeting, or by unanimous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written resolution.</w:t>
            </w:r>
          </w:p>
        </w:tc>
      </w:tr>
      <w:tr>
        <w:trPr>
          <w:trHeight w:val="404"/>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Name</w:t>
            </w:r>
          </w:p>
        </w:tc>
        <w:tc>
          <w:tcPr>
            <w:tcW w:w="3580" w:type="dxa"/>
            <w:vAlign w:val="bottom"/>
          </w:tcPr>
          <w:p>
            <w:pPr>
              <w:ind w:left="40"/>
              <w:spacing w:after="0"/>
              <w:rPr>
                <w:sz w:val="20"/>
                <w:szCs w:val="20"/>
                <w:color w:val="auto"/>
              </w:rPr>
            </w:pPr>
            <w:r>
              <w:rPr>
                <w:rFonts w:ascii="Arial" w:cs="Arial" w:eastAsia="Arial" w:hAnsi="Arial"/>
                <w:sz w:val="18"/>
                <w:szCs w:val="18"/>
                <w:color w:val="auto"/>
                <w:w w:val="93"/>
              </w:rPr>
              <w:t>The Existing Governing Documents provide the</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rPr>
                <w:sz w:val="20"/>
                <w:szCs w:val="20"/>
                <w:color w:val="auto"/>
              </w:rPr>
            </w:pPr>
            <w:r>
              <w:rPr>
                <w:rFonts w:ascii="Arial" w:cs="Arial" w:eastAsia="Arial" w:hAnsi="Arial"/>
                <w:sz w:val="18"/>
                <w:szCs w:val="18"/>
                <w:color w:val="auto"/>
              </w:rPr>
              <w:t>Acquisition Corp III”</w:t>
            </w:r>
          </w:p>
        </w:tc>
      </w:tr>
      <w:tr>
        <w:trPr>
          <w:trHeight w:val="229"/>
        </w:trPr>
        <w:tc>
          <w:tcPr>
            <w:tcW w:w="3900" w:type="dxa"/>
            <w:vAlign w:val="bottom"/>
          </w:tcPr>
          <w:p>
            <w:pPr>
              <w:spacing w:after="0"/>
              <w:rPr>
                <w:sz w:val="19"/>
                <w:szCs w:val="19"/>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Perpetual Existence</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if we do not consummate a business</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combination (as defined in the Existing</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Governing Documents) by August 11, 2022</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(twenty-four months after the closing of ARYA’s</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ARYA will cease all</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0"/>
              </w:rPr>
              <w:t>operations except for the purposes of winding up</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8"/>
              </w:rPr>
              <w:t>and will redeem the shares issued in ARYA’s</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and liquidate its trust</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account.</w:t>
            </w:r>
          </w:p>
        </w:tc>
      </w:tr>
      <w:tr>
        <w:trPr>
          <w:trHeight w:val="283"/>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 38 of our Articles of Association.</w:t>
            </w:r>
          </w:p>
        </w:tc>
      </w:tr>
      <w:tr>
        <w:trPr>
          <w:trHeight w:val="405"/>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Takeovers by Interested Stockholders</w:t>
            </w:r>
          </w:p>
        </w:tc>
        <w:tc>
          <w:tcPr>
            <w:tcW w:w="3580" w:type="dxa"/>
            <w:vAlign w:val="bottom"/>
          </w:tcPr>
          <w:p>
            <w:pPr>
              <w:ind w:left="40"/>
              <w:spacing w:after="0"/>
              <w:rPr>
                <w:sz w:val="20"/>
                <w:szCs w:val="20"/>
                <w:color w:val="auto"/>
              </w:rPr>
            </w:pPr>
            <w:r>
              <w:rPr>
                <w:rFonts w:ascii="Arial" w:cs="Arial" w:eastAsia="Arial" w:hAnsi="Arial"/>
                <w:sz w:val="18"/>
                <w:szCs w:val="18"/>
                <w:color w:val="auto"/>
              </w:rPr>
              <w:t>The Existing Governing Documents do not</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(Advisory Governing Documents 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4"/>
              </w:rPr>
              <w:t>provide restrictions on takeovers of ARYA by a</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173355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2713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 the ability of stockholders to act by written consent in lieu of a meeting.</w:t>
      </w:r>
    </w:p>
    <w:p>
      <w:pPr>
        <w:spacing w:after="0" w:line="5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Proposed Certificate of Incorporation provides that the corporation will have perpetual existence, which is the default rule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i w:val="1"/>
          <w:iCs w:val="1"/>
          <w:color w:val="auto"/>
        </w:rPr>
        <w:t>See Article VII, Section 1 of the Proposed Certificate of Incorporation.</w:t>
      </w:r>
    </w:p>
    <w:p>
      <w:pPr>
        <w:spacing w:after="0" w:line="5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ectPr>
          <w:pgSz w:w="11900" w:h="16838" w:orient="portrait"/>
          <w:cols w:equalWidth="0" w:num="2">
            <w:col w:w="7480" w:space="140"/>
            <w:col w:w="3540"/>
          </w:cols>
          <w:pgMar w:left="380" w:top="1440" w:right="359" w:bottom="1440" w:gutter="0" w:footer="0" w:header="0"/>
        </w:sectPr>
      </w:pPr>
    </w:p>
    <w:bookmarkStart w:id="163" w:name="page164"/>
    <w:bookmarkEnd w:id="163"/>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Related to Status as Blank Check</w:t>
      </w:r>
    </w:p>
    <w:p>
      <w:pPr>
        <w:jc w:val="center"/>
        <w:spacing w:after="0" w:line="216" w:lineRule="auto"/>
        <w:rPr>
          <w:sz w:val="20"/>
          <w:szCs w:val="20"/>
          <w:color w:val="auto"/>
        </w:rPr>
      </w:pPr>
      <w:r>
        <w:rPr>
          <w:rFonts w:ascii="Arial" w:cs="Arial" w:eastAsia="Arial" w:hAnsi="Arial"/>
          <w:sz w:val="18"/>
          <w:szCs w:val="18"/>
          <w:b w:val="1"/>
          <w:bCs w:val="1"/>
          <w:color w:val="auto"/>
        </w:rPr>
        <w:t>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(Advisory Governing Documents Proposal 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22713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Existing Governing Documents set forth various provisions related to our status as a blank check company prior to the consummation of a business combination.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Article 38 of our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173355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2802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3">
            <w:col w:w="3400" w:space="300"/>
            <w:col w:w="3520" w:space="140"/>
            <w:col w:w="3460"/>
          </w:cols>
          <w:pgMar w:left="620" w:top="1440" w:right="459" w:bottom="1440" w:gutter="0" w:footer="0" w:header="0"/>
        </w:sectPr>
      </w:pPr>
    </w:p>
    <w:bookmarkStart w:id="164" w:name="page165"/>
    <w:bookmarkEnd w:id="164"/>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ADVISORY GOVERNING DOCUMENTS PROPOSAL A—ADVISORY VOTE ON THE APPROVAL OF AN AMENDMENT TO CHANGE AUTHORIZED SHARE CAPITAL, AS SET FORTH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Advisory Governing Documents Proposal A</w:t>
      </w:r>
      <w:r>
        <w:rPr>
          <w:rFonts w:ascii="Arial" w:cs="Arial" w:eastAsia="Arial" w:hAnsi="Arial"/>
          <w:sz w:val="17"/>
          <w:szCs w:val="17"/>
          <w:color w:val="auto"/>
        </w:rPr>
        <w:t>—an advisory vote on the amendment to approve the change in the authorized share capital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US$50,000 divided into (i) 479,000,000 Class A ordinary shares, par value $0.0001 per share, 20,000,000 Class B ordinary shares, par value $0.0001 per share and 1,000,000 preference shares, par value $0.0001 per share, to (ii) 1,000,000,000 shares of New Nautilus Common Stock, par value $0.0001 per share, and 200,000,000 shares of New Nautilus Preferred Stock, par value $0.0001 per share. In accordance with SEC guidance, this proposal is being presented separately and will be voted upon on a non-binding advisory basis.</w:t>
      </w:r>
    </w:p>
    <w:p>
      <w:pPr>
        <w:spacing w:after="0" w:line="11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held by the initial shareholders, including Sponsor.</w:t>
      </w:r>
    </w:p>
    <w:p>
      <w:pPr>
        <w:spacing w:after="0" w:line="11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For further details, see “</w:t>
      </w:r>
      <w:r>
        <w:rPr>
          <w:rFonts w:ascii="Arial" w:cs="Arial" w:eastAsia="Arial" w:hAnsi="Arial"/>
          <w:sz w:val="17"/>
          <w:szCs w:val="17"/>
          <w:i w:val="1"/>
          <w:iCs w:val="1"/>
          <w:color w:val="auto"/>
        </w:rPr>
        <w:t>Consideration to Nautilus Equityholders in the Business Combination</w:t>
      </w:r>
      <w:r>
        <w:rPr>
          <w:rFonts w:ascii="Arial" w:cs="Arial" w:eastAsia="Arial" w:hAnsi="Arial"/>
          <w:sz w:val="17"/>
          <w:szCs w:val="17"/>
          <w:color w:val="auto"/>
        </w:rPr>
        <w:t>.”</w:t>
      </w:r>
    </w:p>
    <w:p>
      <w:pPr>
        <w:spacing w:after="0" w:line="12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order to ensure that New Nautilus has sufficient authorized capital for future issuances, the Proposed Certificate of Incorporation of New Nautilus changes the authorized share of ARYA from US$50,000 divided into (i) 479,000,000 Class A ordinary shares, 20,000,000 Class B ordinary shares and 1,000,000 preference shares of ARYA to (ii) 1,000,000,000 shares of New Nautilus Common Stock and 200,000,000 shares of New Nautilus Preferred Stock.</w:t>
      </w:r>
    </w:p>
    <w:p>
      <w:pPr>
        <w:spacing w:after="0" w:line="133"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principal purpose of this proposal is to provide for an authorized capital structure of New Nautilus that will enable it to continue as an operating company governed by the DGCL. Our board of directors believes that it is important for New Nautilus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A,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A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common stock, par value $0.0001 per share, of New Nautilus and 200,000,000 shares of preferred stock, par value $0.0001 per share, of New Nautilus be approved, on an advisory basis in a non-binding vote.”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A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jc w:val="center"/>
        <w:ind w:left="380" w:right="80"/>
        <w:spacing w:after="0" w:line="266" w:lineRule="auto"/>
        <w:rPr>
          <w:sz w:val="20"/>
          <w:szCs w:val="20"/>
          <w:color w:val="auto"/>
        </w:rPr>
      </w:pPr>
      <w:r>
        <w:rPr>
          <w:rFonts w:ascii="Arial" w:cs="Arial" w:eastAsia="Arial" w:hAnsi="Arial"/>
          <w:sz w:val="18"/>
          <w:szCs w:val="18"/>
          <w:b w:val="1"/>
          <w:bCs w:val="1"/>
          <w:color w:val="auto"/>
        </w:rPr>
        <w:t>ADVISORY GOVERNING DOCUMENTS PROPOSAL B—ADVISORY VOTE ON THE APPROVAL OF A PROPOSAL REGARDING ISSUANCE OF PREFERRED STOCK OF NEW NAUTILUS AT THE BOARD OF DIRECTORS’ SOLE DISCRETION,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Advisory Governing Documents Proposal B</w:t>
      </w:r>
      <w:r>
        <w:rPr>
          <w:rFonts w:ascii="Arial" w:cs="Arial" w:eastAsia="Arial" w:hAnsi="Arial"/>
          <w:sz w:val="18"/>
          <w:szCs w:val="18"/>
          <w:color w:val="auto"/>
        </w:rPr>
        <w:t>—an advisory vote on an amendment to authorize the New Nautilus Board to issue any or all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 In accordance with SEC guidance, this proposal is being presented separately and will be voted upon on a non-binding advisory basis.</w:t>
      </w:r>
    </w:p>
    <w:p>
      <w:pPr>
        <w:spacing w:after="0" w:line="130"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B, which is, in the judgment of our board of directors, necessary to adequately address the needs of New Nautilus after the Business Combination.</w:t>
      </w:r>
    </w:p>
    <w:p>
      <w:pPr>
        <w:spacing w:after="0" w:line="9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Advisory Governing Documents Proposal B will allow for issuance of any or all of these shares of preferred stock from time to time at the discretion of the New Nautilus Board, as may be permitted by the DGCL, and without further stockholder action. The shares of preferred stock would be issuable for any proper corporate purpose, including, among other things, future acquisitions, capital raising transactions consisting of equity or convertible debt, stock dividends or issuances under current and any future stock incentive plans, pursuant to which we may provide equity incentives to employees, officers and directors, and in certain instances may be used as an anti-takeover defense.</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board of directors believes that these additional shares will provide New Nautilus with needed flexibility to issue shares in the future in a timely manner and under circumstances the New Nautilus Board considers favorable without incurring the risk, delay and potential expense incident to obtaining stockholder approval for a particular issuance.</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Authorized but unissued preferred stock may enable the New Nautilus Board to render it more difficult or to discourage an attempt to obtain control of New Nautilus and thereby protect continuity of or entrench its management, which may adversely affect the market price of New Nautilus stock. If, in the due exercise of its fiduciary obligations, for example, the New Nautilus Board was to determine that a takeover proposal was not in the best interests of New Nautilus, such preferred stock could be issued by New Nautilus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New Nautilus Board, by effecting an acquisition that might complicate or preclude the takeover, or otherwise. Allowing the New Nautilus Board to issue the authorized preferred stock on its own volition will enable New Nautilus to have the flexibility to issue such preferred stock in the future for financing its business, for acquiring other businesses, for forming strategic partnerships and alliances and for stock dividends and stock splits. New Nautilus currently has no such plans, proposals, or arrangements, written or otherwise, to issue any of the additional authorized stock for such purposes.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7" w:name="page168"/>
    <w:bookmarkEnd w:id="1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B,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B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jc w:val="both"/>
        <w:ind w:right="3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authorize the New Nautilus Board to issue any or all shares of New Nautilus Preferred Stock in one or more classes or series, with such terms and conditions as may be expressly determined by the New Nautilus Board and as may be permitted by the DGCL be approved, on an advisory basis in a non-binding vote.”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B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center"/>
        <w:ind w:left="340" w:right="160"/>
        <w:spacing w:after="0" w:line="266" w:lineRule="auto"/>
        <w:rPr>
          <w:sz w:val="20"/>
          <w:szCs w:val="20"/>
          <w:color w:val="auto"/>
        </w:rPr>
      </w:pPr>
      <w:r>
        <w:rPr>
          <w:rFonts w:ascii="Arial" w:cs="Arial" w:eastAsia="Arial" w:hAnsi="Arial"/>
          <w:sz w:val="18"/>
          <w:szCs w:val="18"/>
          <w:b w:val="1"/>
          <w:bCs w:val="1"/>
          <w:color w:val="auto"/>
        </w:rPr>
        <w:t>ADVISORY GOVERNING DOCUMENTS PROPOSAL C—ADVISORY VOTE ON THE APPROVAL OF PROPOSAL REGARDING THE ABILITY OF STOCKHOLDERS TO ACT BY WRITTEN CONSENT,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b w:val="1"/>
          <w:bCs w:val="1"/>
          <w:color w:val="auto"/>
        </w:rPr>
        <w:t>Advisory Governing Documents Proposal C</w:t>
      </w:r>
      <w:r>
        <w:rPr>
          <w:rFonts w:ascii="Arial" w:cs="Arial" w:eastAsia="Arial" w:hAnsi="Arial"/>
          <w:sz w:val="18"/>
          <w:szCs w:val="18"/>
          <w:color w:val="auto"/>
        </w:rPr>
        <w:t>—an advisory vote on an amendment to remove the ability of New Nautilus stockholders to take action</w:t>
      </w:r>
      <w:r>
        <w:rPr>
          <w:rFonts w:ascii="Arial" w:cs="Arial" w:eastAsia="Arial" w:hAnsi="Arial"/>
          <w:sz w:val="18"/>
          <w:szCs w:val="18"/>
          <w:b w:val="1"/>
          <w:bCs w:val="1"/>
          <w:color w:val="auto"/>
        </w:rPr>
        <w:t xml:space="preserve"> </w:t>
      </w:r>
      <w:r>
        <w:rPr>
          <w:rFonts w:ascii="Arial" w:cs="Arial" w:eastAsia="Arial" w:hAnsi="Arial"/>
          <w:sz w:val="18"/>
          <w:szCs w:val="18"/>
          <w:color w:val="auto"/>
        </w:rPr>
        <w:t>by written consent in lieu of a meeting.</w:t>
      </w:r>
    </w:p>
    <w:p>
      <w:pPr>
        <w:spacing w:after="0" w:line="112"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C, which is, in the judgment of our board of directors, necessary to adequately address the needs of New Nautilus after the Business Combination.</w:t>
      </w:r>
    </w:p>
    <w:p>
      <w:pPr>
        <w:spacing w:after="0" w:line="92"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The Proposed Certificate of Incorporation stipulates that any action required or permitted to be taken by the stockholders of New Nautilus must be effected at a duly called annual or special meeting of stockholders of New Nautilus, and may not be effected by any consent in writing by such stockholder.</w:t>
      </w:r>
    </w:p>
    <w:p>
      <w:pPr>
        <w:spacing w:after="0" w:line="7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Proposed Certificate of Incorporation, New Nautilus’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New Nautilus’ organizational documents outside of a duly called special or annual meeting of the stockholders of New Nautilus. Further, our board of directors believes that eliminating stockholders’ ability to act by written consent will reduce the time and effort the New Nautilus Board and management would need to devote to stockholder proposals, which time and effort could distract New Nautilus’ directors and management from other important company business.</w:t>
      </w:r>
    </w:p>
    <w:p>
      <w:pPr>
        <w:spacing w:after="0" w:line="11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the elimination of New Nautilus’ stockholders’ ability to act by written consent may have certain anti-takeover effects by forcing a potential acquirer to take control of the New Nautilus Board only at a duly called meeting of stockholders. However, this proposal is not in response to any effort of which ARYA is aware to obtain control of New Nautilus, and ARYA and its management do not presently intend to propose other anti-takeover measures in future proxy solicitations (other than those set forth in the Proposed Governing Documents). Further, the board of directors does not believe that the effects of the elimination of stockholder action by written consent will create a significant impediment to a tender offer or other effort to take control of New Nautilus.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C,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ARYA intends that the Proposed Certificate of Incorporation in the form set forth on Annex C will take effect at consummation of the Business Combination and Domestication, assuming adoption of the Condition Precedent Proposals.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remove the ability of New Nautilus stockholders to take action by written consent in lieu of a meeting be approved, on an advisory basis in a non-binding vote.”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C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center"/>
        <w:ind w:left="340" w:right="520"/>
        <w:spacing w:after="0" w:line="282" w:lineRule="auto"/>
        <w:rPr>
          <w:sz w:val="20"/>
          <w:szCs w:val="20"/>
          <w:color w:val="auto"/>
        </w:rPr>
      </w:pPr>
      <w:r>
        <w:rPr>
          <w:rFonts w:ascii="Arial" w:cs="Arial" w:eastAsia="Arial" w:hAnsi="Arial"/>
          <w:sz w:val="18"/>
          <w:szCs w:val="18"/>
          <w:b w:val="1"/>
          <w:bCs w:val="1"/>
          <w:color w:val="auto"/>
        </w:rPr>
        <w:t>ADVISORY GOVERNING DOCUMENTS PROPOSAL D—ADVISORY VOTE ON THE APPROVAL OF OTHER CHANGES IN CONNECTION WITH ADOPTION OF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b w:val="1"/>
          <w:bCs w:val="1"/>
          <w:color w:val="auto"/>
        </w:rPr>
        <w:t>Advisory Governing Documents Proposal D</w:t>
      </w:r>
      <w:r>
        <w:rPr>
          <w:rFonts w:ascii="Arial" w:cs="Arial" w:eastAsia="Arial" w:hAnsi="Arial"/>
          <w:sz w:val="17"/>
          <w:szCs w:val="17"/>
          <w:color w:val="auto"/>
        </w:rPr>
        <w:t>—advisory vote on certain other changes in connection with (i) changing the post-Business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corporate name from “ARYA Sciences Acquisition Corp III” to “Nautilus Biotechnology, Inc.” (which is expected to occur upon the 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D, which is, in the judgment of our board of directors, necessary to adequately address the needs of New Nautilus after the Business Combination.</w:t>
      </w:r>
    </w:p>
    <w:p>
      <w:pPr>
        <w:spacing w:after="0" w:line="9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Proposed Certificate of Incorporation will be further amended in connection with the Business Combination to provide that the name of the corporation will be “Nautilus Biotechnology, Inc.” In addition, the Proposed Certificate of Incorporation will make New Nautilus’ corporate existence perpetual.</w:t>
      </w:r>
    </w:p>
    <w:p>
      <w:pPr>
        <w:spacing w:after="0" w:line="13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the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Proposed Certificate of Incorporation will not contain provisions related to a blank check company (including those related to operation of the trust account, winding up of our operations should we not complete a business combination by a specified date, and other such blank check-specific provisions as are present in the Existing Governing Documents) because following the consummation of the Business Combination, New Nautilus will not be a blank check company.</w:t>
      </w:r>
    </w:p>
    <w:p>
      <w:pPr>
        <w:spacing w:after="0" w:line="13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Approval of each of the Advisory Governing Documents Proposals, assuming approval of each of the other Condition Precedent Proposals, will result, upon the consummation of the Domestication, in the wholesale replacement of ARYA’s Existing Governing Documents with New Nautilus’ Proposed Certificate of Incorporation.</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certain material changes between the Existing Governing Documents and the Proposed Certificate of Incorporation have been unbundled into distinct Advisory Governing Documents Proposals or otherwise identified in this Advisory Governing Documents Proposal D, there are other differences between the Existing Governing Documents and the Proposed Governing Documents (arising from, among other things, differences between Cayman Islands law and the DGCL and the typical form of organizational documents under each such body of law) that will be approved (subject to the approval aforementioned related proposals and consummation of the Business Combination) if our shareholders approve this Advisory Governing Documents Proposal D. Accordingly, we encourage shareholders to carefully review the terms of the Proposed Governing Documents of New Nautilus, attached hereto as Annex C and Annex D, as well as the information set under the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section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Name</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believes that changing the post-business combination corporate name from “ARYA Sciences Acquisition Corp III” to “Nautilus Biotechnology, Inc.” is desirable to reflect the Business Combination with Nautilus and to clearly identify New Nautilus as the publicly traded entity.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Perpetual Existence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believes that making New Nautilus’ corporate existence perpetual is desirable to reflect the Business Combination. Additionally, perpetual existence is the usual period of existence for public corporations, and our board of directors believes that it is the most appropriate period for New Nautilus following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New Nautilus will be subject to Section 203 of the DGCL, which will encourage any potential acquirer to negotiate with the New Nautilus Board and therefore provide an opportunity to possibly obtain a higher purchase price than would otherwise be offered in connection with a non-negotiated, hostile or unsolicited proposed acquisition of New Nautilus. Such provisions may make it more difficult for an acquirer to consummate certain types of unfriendly or hostile corporate takeovers or other transactions involving the corporation that have not been approved by the New Nautilus Board. Our board of directors believes that while the provisions of Section 203 of the DGCL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New Nautilus without paying a fair premium to all stockholders.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Provisions Related to Status as Blank Check Company</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elimination of certain provisions related to our status as a blank check company is desirable because these provisions will serve no purpose following the Business Combination. For example, the Proposed Certificate of Incorporation does not include the requirement to dissolve New Nautilus and allows it to continue as a corporate entity with perpetual existence following consummation of the Business Combination. Perpetual existence is the usual period of existence for public corporations, and our board of directors believes it is the most appropriate period for New Nautilus following the Business Combination. In addition, certain other provisions in our Existing Governing Documents require that proceeds from the ARYA’s initial public offering be held in the trust account until a business combination or liquidation of ARYA has occurred. These provisions cease to apply once the Business Combination is consummated and are therefore not included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D,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discussed above, a vote to approve Advisory Governing Documents Proposal D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Charter Proposal and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xml:space="preserve"> that certain other changes in connection with the replacement of the Existing Governing Documents with the Proposed Certificate of Incorporation as part of the Domestication (copies of which are attached to the proxy statement/prospectus as Annex C and Annex D, respectively),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and (iv) removing certain provisions related to our status as a blank check company that will no longer be applicable upon consummation of the Business Combination be approved, on an advisory basis in a non-binding vote.”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D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NASDAQ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The Nasdaq Proposal</w:t>
      </w:r>
      <w:r>
        <w:rPr>
          <w:rFonts w:ascii="Arial" w:cs="Arial" w:eastAsia="Arial" w:hAnsi="Arial"/>
          <w:sz w:val="18"/>
          <w:szCs w:val="18"/>
          <w:color w:val="auto"/>
        </w:rPr>
        <w:t>—to consider and vote upon a proposal to approve by ordinary resolution for the purposes of complying with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Nasdaq Stock Exchange Listing Rules (each, a “</w:t>
      </w:r>
      <w:r>
        <w:rPr>
          <w:rFonts w:ascii="Arial" w:cs="Arial" w:eastAsia="Arial" w:hAnsi="Arial"/>
          <w:sz w:val="18"/>
          <w:szCs w:val="18"/>
          <w:u w:val="single" w:color="auto"/>
          <w:color w:val="auto"/>
        </w:rPr>
        <w:t>Nasdaq Listing Rule</w:t>
      </w:r>
      <w:r>
        <w:rPr>
          <w:rFonts w:ascii="Arial" w:cs="Arial" w:eastAsia="Arial" w:hAnsi="Arial"/>
          <w:sz w:val="18"/>
          <w:szCs w:val="18"/>
          <w:color w:val="auto"/>
        </w:rPr>
        <w:t>”) 5635(a), (b), (c) and (d), the issuance of shares of New Nautilus Common Stock in connection with the Business Combination and the PIPE Financing, to the extent such issuance would require a shareholder vote under Nasdaq Listing Rule 5635(a), (b), (c) or (d) (such proposal, the “</w:t>
      </w:r>
      <w:r>
        <w:rPr>
          <w:rFonts w:ascii="Arial" w:cs="Arial" w:eastAsia="Arial" w:hAnsi="Arial"/>
          <w:sz w:val="18"/>
          <w:szCs w:val="18"/>
          <w:u w:val="single" w:color="auto"/>
          <w:color w:val="auto"/>
        </w:rPr>
        <w:t>Nasdaq Proposal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for Purposes of Nasdaq Listing Rule 5635</w:t>
      </w:r>
    </w:p>
    <w:p>
      <w:pPr>
        <w:spacing w:after="0" w:line="17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 (i) 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shareholder approval is required prior to the issuance of securities when the issuance or potential issuance will result in a change of control of the registrant. Under Nasdaq Listing Rule 5635(c),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 If the Business Combination is completed pursuant to the Business Combination Agreement, ARYA currently expects to issue an estimated 124,482,062 shares of New Nautilus Common Stock (assuming that none of ARYA’s outstanding public shares are redeemed) in connection with the Business Combination and the PIPE Financing. For further details, see “</w:t>
      </w:r>
      <w:r>
        <w:rPr>
          <w:rFonts w:ascii="Arial" w:cs="Arial" w:eastAsia="Arial" w:hAnsi="Arial"/>
          <w:sz w:val="16"/>
          <w:szCs w:val="16"/>
          <w:i w:val="1"/>
          <w:iCs w:val="1"/>
          <w:color w:val="auto"/>
        </w:rPr>
        <w:t>Business Combination Proposal— Consideration to</w:t>
      </w:r>
      <w:r>
        <w:rPr>
          <w:rFonts w:ascii="Arial" w:cs="Arial" w:eastAsia="Arial" w:hAnsi="Arial"/>
          <w:sz w:val="16"/>
          <w:szCs w:val="16"/>
          <w:color w:val="auto"/>
        </w:rPr>
        <w:t xml:space="preserve"> </w:t>
      </w:r>
      <w:r>
        <w:rPr>
          <w:rFonts w:ascii="Arial" w:cs="Arial" w:eastAsia="Arial" w:hAnsi="Arial"/>
          <w:sz w:val="16"/>
          <w:szCs w:val="16"/>
          <w:i w:val="1"/>
          <w:iCs w:val="1"/>
          <w:color w:val="auto"/>
        </w:rPr>
        <w:t>Nautilus Equityholders in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Incentive Award Plan Proposal</w:t>
      </w:r>
      <w:r>
        <w:rPr>
          <w:rFonts w:ascii="Arial" w:cs="Arial" w:eastAsia="Arial" w:hAnsi="Arial"/>
          <w:sz w:val="16"/>
          <w:szCs w:val="16"/>
          <w:color w:val="auto"/>
        </w:rPr>
        <w:t>.”</w:t>
      </w:r>
    </w:p>
    <w:p>
      <w:pPr>
        <w:spacing w:after="0" w:line="12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Additionally, pursuant to Nasdaq Listing Rule 5635(a)(2), when a Nasdaq-listed company proposes to issue securities in connection with the acquisition of the stock or assets of another company, shareholder approval is required if any director, officer or substantial shareholder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ARYA’s ordinary shares, Sponsor and Perceptive PIPE Investor are considered substantial shareholders of ARYA under Nasdaq Listing Rule 5635(e)(3). In connection with the PIPE Financing, Perceptive PIPE Investor is expected to be issued 5,500,000 shares of New Nautilus Common Stock. Upon the consummation of the Business Combination, Perceptive PIPE Investor will also receive approximately 2,913,655 shares of New Nautilus Common Stock in exchange for the existing shares of Nautilus common stock held by Perceptive PIPE Investor.</w:t>
      </w:r>
    </w:p>
    <w:p>
      <w:pPr>
        <w:spacing w:after="0" w:line="114"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In the event that this proposal is not approved by ARYA shareholders, the Business Combination cannot be consummated. In the event that this proposal is approved by ARYA shareholders, but the Business Combination Agreement is terminated (without the Business Combination being consummated) prior to the issuance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ind w:right="40"/>
        <w:spacing w:after="0" w:line="438" w:lineRule="auto"/>
        <w:rPr>
          <w:sz w:val="20"/>
          <w:szCs w:val="20"/>
          <w:color w:val="auto"/>
        </w:rPr>
      </w:pPr>
      <w:r>
        <w:rPr>
          <w:rFonts w:ascii="Arial" w:cs="Arial" w:eastAsia="Arial" w:hAnsi="Arial"/>
          <w:sz w:val="18"/>
          <w:szCs w:val="18"/>
          <w:color w:val="auto"/>
        </w:rPr>
        <w:t xml:space="preserve">New Nautilus Common Stock pursuant to the Business Combination Agreement, New Nautilus will not issue such shares of New Nautilus Common Stock. </w:t>
      </w:r>
      <w:r>
        <w:rPr>
          <w:rFonts w:ascii="Arial" w:cs="Arial" w:eastAsia="Arial" w:hAnsi="Arial"/>
          <w:sz w:val="18"/>
          <w:szCs w:val="18"/>
          <w:b w:val="1"/>
          <w:bCs w:val="1"/>
          <w:color w:val="auto"/>
        </w:rPr>
        <w:t>Vote Required for Approval</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Nasdaq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for the purposes of complying with the applicable provisions of Nasdaq Stock Exchange Listing Rule 5635, the issuance of shares of New Nautilus Common Stock be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NASDAQ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INCENTIVE AWARD PLAN PROPOSAL</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seeking stockholder approval for the Nautilus Biotechnology, Inc. 2021 Equity Incentive Plan, or the “2021 Plan.” The 2021 Plan is being adopted in connection with the Business Combination Agreement and will become effective upon the Closing. The Nautilus 2017 Equity Incentive Plan, as amended, or the 2017 Plan, will expire as of the effective date of the Merger and no awards will be granted under the 2017 Plan following its termination. The 2021 Plan, if approved by stockholders, will allow New Nautilus to provide equity awards as part of New Nautilus’ compensation program, an important tool for motivating, attracting and retaining talented employees and for providing incentives that promote the Company’s business and increased stockholder value. Non-approval of the 2021 Plan will compel New Nautilus to significantly increase the cash component of employee compensation following the Closing to continue to attract and retain key employees because New Nautilus would need to replace components of compensation Nautilus previously delivered in equity awards, which would therefore reduce New Nautilus’ operating cash flow.</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Both of the Boards of ARYA and Nautilus and their respective compensation committees believe that long-term incentive compensation programs help align more closely the interests of management, employees and stockholders to create long-term stockholder value. Equity plans such as the 2021 Plan increase New Nautilus’ ability to achieve this objective and, by allowing for several different forms of long-term incentive awards, helps New Nautilus to recruit, reward, motive, and retain talented personnel. Both of the Boards of ARYA and Nautilus and their respective compensation committees believe that the approval of the 2021 Plan is essential to New Nautilus’ continued success, and in particular, New Nautilus’ ability to attract and retain outstanding and highly skilled individuals in the extremely competitive labor markets in which New Nautilus will compete. Such awards also are crucial to New Nautilus’ ability to motivate employees to achieve its goals.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Plan Provisions</w:t>
      </w:r>
    </w:p>
    <w:p>
      <w:pPr>
        <w:spacing w:after="0" w:line="175" w:lineRule="exact"/>
        <w:rPr>
          <w:sz w:val="20"/>
          <w:szCs w:val="20"/>
          <w:color w:val="auto"/>
        </w:rPr>
      </w:pPr>
    </w:p>
    <w:p>
      <w:pPr>
        <w:ind w:left="660" w:hanging="328"/>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2021 Plan will continue until terminated by the New Nautilus Board or New Nautilus’ compensation committee.</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2021 Plan provides for the grant of stock options, both incentive stock options and nonqualified stock options, stock appreciation rights, restricted stock, restricted stock units and performance awards.</w:t>
      </w:r>
    </w:p>
    <w:p>
      <w:pPr>
        <w:spacing w:after="0" w:line="116" w:lineRule="exact"/>
        <w:rPr>
          <w:rFonts w:ascii="Arial" w:cs="Arial" w:eastAsia="Arial" w:hAnsi="Arial"/>
          <w:sz w:val="18"/>
          <w:szCs w:val="18"/>
          <w:color w:val="auto"/>
        </w:rPr>
      </w:pPr>
    </w:p>
    <w:p>
      <w:pPr>
        <w:ind w:left="660" w:right="80" w:hanging="328"/>
        <w:spacing w:after="0" w:line="296" w:lineRule="auto"/>
        <w:tabs>
          <w:tab w:leader="none" w:pos="65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number of shares of New Nautilus Common Stock will be authorized for issuance pursuant to awards under the 2021 Plan equal to (a) 16,182,600 shares of New Nautilus Common Stock, plus (b) any shares of Nautilus Common Stock subject to equity awards that are assumed in the Merger and that after the effective date of the Merger are terminated without being exercised in full, are tendered to or withheld by New Nautilus to satisfy exercise price or tax withholding obligations, or are forfeited to or repurchased by Nautilus due to failure to vest (provided that the maximum number of shares that may be added to the 2021 Plan pursuant to the foregoing clause (b) is 7,500,000 shares).</w:t>
      </w:r>
    </w:p>
    <w:p>
      <w:pPr>
        <w:spacing w:after="0" w:line="107" w:lineRule="exact"/>
        <w:rPr>
          <w:rFonts w:ascii="Arial" w:cs="Arial" w:eastAsia="Arial" w:hAnsi="Arial"/>
          <w:sz w:val="16"/>
          <w:szCs w:val="16"/>
          <w:color w:val="auto"/>
        </w:rPr>
      </w:pPr>
    </w:p>
    <w:p>
      <w:pPr>
        <w:ind w:left="660" w:right="80" w:hanging="328"/>
        <w:spacing w:after="0" w:line="25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2021 Plan provides for an automatic share reserve increase feature, whereby the share reserve will be increased automatically on the first day of each fiscal year beginning with the 2022 fiscal year, in an amount equal to the least of (a) 18,672,200 shares, (b) a number of shares equal to 5% of the total number of shares of New Nautilus Common Stock outstanding on the last day of the immediately preceding fiscal year, and (c) a lesser number of shares as determined by the administrator. The automatic share reserve feature will cease immediately after the increase on the first day of the 2031 fiscal year.</w:t>
      </w:r>
    </w:p>
    <w:p>
      <w:pPr>
        <w:spacing w:after="0" w:line="13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2021 Plan will be administered by the New Nautilus Board or, if designated by the New Nautilus Board, the compensation committee of the New Nautilus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Plan</w:t>
      </w:r>
    </w:p>
    <w:p>
      <w:pPr>
        <w:spacing w:after="0" w:line="17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 A copy of the 2021 Plan is attached to this proxy statement/prospectus/information statement as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Purposes of the 2021 Plan</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purposes of the 2021 Plan will be to attract and retain personnel for positions with New Nautilus or any parent or subsidiary of New Nautilus; to provide additional incentive to employees, directors, and consultants; and to promote the success of the New Nautilus business. These incentives will be provided through the grant of stock options, stock appreciation rights, restricted stock, restricted stock units, and performance awards as the administrator of the 2021 Plan may determine.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2021 Plan provides for the grant of incentive stock options, within the meaning of Section 422 of the Code, to New Nautilus’ employees and any of its parent and subsidiary corporations’ employees, and for the grant of nonstatutory stock options, restricted stock, restricted stock units, stock appreciation rights and performance awards to employees, directors and consultants of New Nautilus and employees and consultants of any of its parents or subsidiaries. Following the Closing, we expect New Nautilus to have, collectively, seven non-employee directors and approximately 75 employees (including employee directors) and 7 consultants.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New Nautilus Common Stock will be reserved for issuance pursuant to the 2021 Plan. In addition, the shares reserved for issuance under the 2021 Plan will include any shares of Nautilus Common Stock subject to awards of stock options or other awards that are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spacing w:after="0" w:line="124" w:lineRule="exact"/>
        <w:rPr>
          <w:sz w:val="20"/>
          <w:szCs w:val="20"/>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18,672,200 shares of New Nautilus Common Stock;</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New Nautilus Common Stock as of the last day of the immediately preceding fiscal year; or</w:t>
      </w:r>
    </w:p>
    <w:p>
      <w:pPr>
        <w:spacing w:after="0" w:line="116"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such number of shares as the New Nautilus Board or its designated committee may determine no later than the last day of New Nautilus’ immediately preceding fiscal year.</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Shares issuable under the 2021 Plan will be authorized, but unissued, or reacquired shares of New Nautilus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4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New Nautilus Board or one or more committees appointed by the New Nautilus Board will have authority to administer the 2021 Plan. The compensation committee of the New Nautilus Board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New Nautilus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Stock options may be granted under the 2021 Plan. The exercise price of options granted under the 2021 Plan generally must be equal to at least 100% of the fair market value of a share of New Nautilus Common Stock on the date of grant. The term of an option may not exceed ten years. With respect to any participant who owns more than 10% of the voting power of all classes of New Nautilus’ (or any of its parent’s or subsidiary’s) outstanding stock, the term of an incentive stock option granted to such participant must not exceed five years and the per share exercise price must equal at least 110% of the fair market value of a share of New Nautilus Common Stock on the grant date. The administrator will determine the methods of payment of the exercise price of an option, which may include cash, certain shares of New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New Nautilus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New Nautilus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Restricted stock may be granted under the 2021 Plan. Restricted stock awards are grants of shares of New Nautilus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New Nautilus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outside (non-employee) directors will be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2021 Plan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there is a proposed liquidation or dissolution of New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provides that in the event of New Nautilus’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44"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Awards will be subject to any clawback policy of which we are required to adopt to comply with the listing standards of any national securities exchange or association on which New Nautilus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clawback policy of New Nautilus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will become effective upon the later to occur of (a) its adoption by the ARYA Board, (b) approval by ARYA Stockholders, or (c) the time immediately prior to the Closing and will continue in effect until terminated by the administrator. However, no incentive stock options may be granted after the ten year anniversary of the adoption of the 2021 Plan by the ARYA Board, and the evergreen feature of the 2021 Plan will terminate following the increase on the first day of the 2031 fiscal year.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2021 Plan. The summary is based on existing U.S. laws and regulations as of February 12, 2021,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 participant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same year as the option exercise). In addition, special alternative minimum tax rules may apply to certain subsequent disqualifying dispositions of the shares or provide certain basis adjustments or tax credits.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participant generally will recognize no income upon the grant of a performance award. Upon the settlement of such awards, participants generally will be required to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409A</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 Surtax</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issued pursuant to awards under the 2021 Plan. Whether a participant’s net investment income will be subject to this surtax will depend on the participant’s level of annual income and other factors.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Effect for New Nautilus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New Nautilus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New Nautilus chief executive officer and certain “covered employees” as determined under Section 162(m) and applicable guidance. Under Section 162(m), the annual compensation paid to any of these specified individuals will be deductible only to the extent that it does not exceed $1,000,000.</w:t>
      </w:r>
    </w:p>
    <w:p>
      <w:pPr>
        <w:spacing w:after="0" w:line="122"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FOREGOING IS ONLY A SUMMARY OF THE EFFECT OF U.S. FEDERAL INCOME TAXATION UPON PARTICIPANTS AND NEW NAUTILUS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number of awards that an employee, director, or consultant may receive under the 2021 Plan is in the discretion of the administrator and therefore cannot be determined in advance. ARYA previously has not sponsored an equity incentive plan, and, therefore, the aggregate number of shares of New Nautilus Common Stock which would have been received by or allocated to the New Nautilus named executive officers; executive officers, as a group; directors who are not executive officers, as a group; and all other current employees who are not executive officers, as a group is not determinable. As</w:t>
      </w:r>
    </w:p>
    <w:p>
      <w:pPr>
        <w:spacing w:after="0" w:line="1" w:lineRule="exact"/>
        <w:rPr>
          <w:sz w:val="20"/>
          <w:szCs w:val="20"/>
          <w:color w:val="auto"/>
        </w:rPr>
      </w:pPr>
    </w:p>
    <w:p>
      <w:pPr>
        <w:spacing w:after="0"/>
        <w:tabs>
          <w:tab w:leader="none" w:pos="820" w:val="left"/>
          <w:tab w:leader="none" w:pos="64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2021, the closing price of a Class A ordinary share of ARYA was $</w:t>
      </w:r>
      <w:r>
        <w:rPr>
          <w:sz w:val="20"/>
          <w:szCs w:val="20"/>
          <w:color w:val="auto"/>
        </w:rPr>
        <w:tab/>
      </w:r>
      <w:r>
        <w:rPr>
          <w:rFonts w:ascii="Arial" w:cs="Arial" w:eastAsia="Arial" w:hAnsi="Arial"/>
          <w:sz w:val="13"/>
          <w:szCs w:val="13"/>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Equity Incentive Plan, a copy of which is attached to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as Annex I,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Award Plan Proposal is conditioned on the approval and adoption of each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3" w:name="page184"/>
    <w:bookmarkEnd w:id="1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INCENTIVE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EMPLOYEE STOCK PURCHASE PLAN PROPOSAL</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seeking stockholder approval for the Nautilus Biotechnology, Inc. 2021 Employee Stock Purchase Plan, or the “ESPP.” The ESPP is being adopted in connection with the Business Combination and will become effective upon the Closing, but the first offering period will commence at a later date determined by the administrator of the ESPP. The ESPP will provide eligible employees an opportunity to purchase New Nautilus Common Stock at a discount through accumulated contributions of their earned compensation. Both of the Boards of ARYA and Nautilus and their respective compensation committees have determined that offering an employee stock purchase plan is important to the ability of New Nautilus to compete for talent. The ESPP will become a significant part of New Nautilus’ overall equity compensation strategy (especially with respect to our nonexecutive employees) if it is approved by ARYA’s stockholders. If ARYA’s stockholders do not approve the ESPP, New Nautilus may not be able to offer competitive compensation to existing employees and qualified candidates, which could prevent New Nautilus from successfully attracting and retaining highly skilled employees.</w:t>
      </w:r>
    </w:p>
    <w:p>
      <w:pPr>
        <w:spacing w:after="0" w:line="11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ESPP’s initial share reserve which we are asking the stockholders to approve is 1,244,900 shares of New Nautilus Common Stock. Following the ESPP’s effectiveness, offering periods will not commence under the ESPP until determined by the New Nautilus Board or its compensation committee.</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of the Boards of ARYA and Nautilus and their respective compensation committees believe that an employee stock purchase plan will be an important factor in attracting, motivating, and retaining qualified personnel who are essential to our success. The ESPP provides a significant incentive by allowing employees to purchase shares of New Nautilus Common Stock at a discount. The ARYA Board has approved the ESPP, subject to the approval of ARYA’s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Employee Stock Purchase Plan</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is a summary of the principal features of the ESPP and its operation. This summary does not contain all of the terms and conditions of the ESPP and is qualified in its entirety by reference to the ESPP as set forth in Annex J attached to this proxy statement/prospectus/information statement.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Purpose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purpose of the ESPP is to provide eligible employees with an opportunity to purchase shares of the New Nautilus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ARYA’s stockholders approve the ESPP, and subject to adjustment upon certain changes in New Nautilus’ capitalization as described in the ESPP, the maximum number of shares of New Nautilus Common Stock that will be available for issuance under the ESPP will be 1,244,900 shares of New Nautilus Common Stock. The number of shares of New Nautilus Common Stock available for issuance under the ESPP will be increased on the first day of each fiscal year beginning with the 2022 fiscal year in an amount equal to the least of (a) 3,734,500 shares of New Nautilus Common Stock, (b) 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w:t>
      </w:r>
    </w:p>
    <w:p>
      <w:pPr>
        <w:spacing w:after="0" w:line="12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4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ARYA’s stockholders do not approve the ESPP, then the ESPP will not become effective and no shares of New Nautilus Common Stock will be available for issuance thereunder.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New Nautilus Board or a committee appointed by the New Nautilus board will have authority to administer the ESPP. Unless and until determined otherwise by the New Nautilus Board, the compensation committee of the New Nautilus Board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 Following the Closing, we expect New Nautilus to have, collectively, approximately 75 employees (including employee directors).</w:t>
      </w:r>
    </w:p>
    <w:p>
      <w:pPr>
        <w:spacing w:after="0" w:line="13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New Nautilus Common Stock. Participation ends automatically upon termination of employment with us (or our participating subsidiaries).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ESPP will include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New Nautilus Common Stock on a purchase date is less than the fair market value of a share of New Nautilus Common Stock on the first trading day of the offering period, participants in that offering period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withdrawn from that offering period following their purchase of shares on such purchase date and automatically will be enrolled in a new offering period.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ESPP will permit participants to purchase shares of New Nautilus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7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Amounts deducted and accumulated by a participant under the ESPP are used to purchase shares of New Nautilus Common Stock at the end of each purchase period. The purchase price of the shares will be 85% of the lower of (a) the fair market value of a share of New Nautilus Common Stock on the first trading day of the offering period or (b) the fair market value of a share of New Nautilus Common Stock on the exercise date. A participant will be permitted to purchase a maximum of 1,250 shares during each offering period, provided that the administrator may increase or decrease such maximum number of shares for each purchase period or offering period. Until shares of New Nautilus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Participation in the ESPP generally will terminate when a participating employee’s employment with us or a participating subsidiary ceases for any reason, the employee withdraws from the ESPP or New Nautilus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ESPP provides that in the event that any dividend or other distribution (whether in the form of cash, New Nautilus Common Stock, other securities or other property), recapitalization, stock split, reverse stock split, reorganization, merger, consolidation, split-up, spin-off, combination, reclassification, repurchase or exchange of New Nautilus Common Stock or other securities of New Nautilus or other change in New Nautilus’ corporate structure affecting New Nautilus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 the event of New Nautilus’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the event of a merger or change in control of New Nautilus,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administrator will have the authority to modify, amend, suspend or terminate the ESPP except that, subject to certain exceptions described in the ESPP, no such action may adversely affect any outstanding rights to purchase shares of New Nautilus Common Stock under the ESPP. The ESPP will terminate automatically 20 years after the later of (a) the date of the ESPP’s adoption by the New Nautilus Board, (b) the date of the ESPP’s approval by the ARYA stockholders, or (c) the date of the Closing, unless New Nautilus terminates it earlier.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w:t>
      </w:r>
    </w:p>
    <w:p>
      <w:pPr>
        <w:spacing w:after="0" w:line="13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ESPP is intended to qualify as an employee stock purchase plan within the meaning of Section 423 of the Code. Under an employee stock purchase plan that so qualifies, no taxable income will be recognized by a participant, and no deductions will be allowable to New Nautilus, upon either the grant or the exercise of the purchase rights. Taxable income will not be recognized until there is a sale or other disposition of the shares of New Nautilus Common Stock acquired under the ESPP or in the event of the participant’s death while still owning the purchased shares of New Nautilus Common Stock.</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the participant sells or otherwise disposes of the purchased shares of New Nautilus Common Stock within two years after the start date of the offering period in which the shares of Common Stock were acquired or within one year after the date of purchase of those shares of New Nautilus Common Stock, then the participant generally will recognize ordinary income in the year of sale or disposition equal to the amount by which the fair market value of the shares of New Nautilus Common Stock on the purchase date exceeded the purchase price paid for those shares of New Nautilus Common Stock, and New Nautilus will be entitled to an income tax deduction equal in amount to such excess, for the taxable year in which such disposition occurs. The amount of this ordinary income will be added to the participant’s basis in the shares of New Nautilus Common Stock, and any resulting gain or loss recognized upon the sale or disposition will be a capital gain or loss. If the shares of New Nautilus Common Stock have been held for more than one year since the date of purchase, the gain or loss will be long-term.</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the participant sells or disposes of the purchased shares of New Nautilus Common Stock more than two years after the start date of the offering period in which the shares of New Nautilus Common Stock were acquired and more than one year after the date of purchase of those shares of New Nautilus Common Stock, then the participant generally will recognize ordinary income in the year of sale or disposition equal to the lesser of (a) the amount by which the fair market value of the shares of New Nautilus Common Stock on the sale or disposition date exceeded the purchase price paid for those shares of New Nautilus Common Stock, or (b) 15% of the fair market value of the shares of New Nautilus Common Stock on the start date of that offering period. Any additional gain upon the disposition will be taxed as a long-term capital gain. Alternatively, if the fair market value of the shares of New Nautilus Common Stock on the date of the sale or disposition is less than the purchase price, there will be no ordinary income and any loss recognized will be a long-term capital loss. We will not be entitled to an income tax deduction with respect to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purchased under the ESPP. Whether a participant’s net investment income will be subject to this surtax will depend on the participant’s level of annual income and other factors.</w:t>
      </w:r>
    </w:p>
    <w:p>
      <w:pPr>
        <w:spacing w:after="0" w:line="9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the participant still owns the purchased shares of New Nautilus Common Stock at the time of death, the lesser of (i) the amount by which the fair market value of the shares of New Nautilus Common Stock on the date of death exceeds the purchase price or (ii) 15% of the fair market value of the shares of New Nautilus Common Stock on the start date of the offering period in which those shares of New Nautilus Common Stock were acquired will constitute ordinary income in the year of death.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75"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Participation in the ESPP is voluntary and dependent on each eligible employee’s election to participate, the amount of his or her eligible compensation, and his or her determination as to the portion of his or her eligible compensation to contribute to the ESPP. Further, the number of shares of New Nautilus Common Stock that may be purchased under the ESPP is determined, in part, by the price of the shares of New Nautilus Common Stock on the first day of each offering period and applicable exercise date of each purchase period. Accordingly, the actual number of shares of New Nautilus Common Stock that would be purchased by any individual under the ESPP in the future is not determinable. We have not previously sponsored an employee stock purchase plan, and, therefore, the number of shares of New Nautilus Common Stock which would have been received by or allocated to New Nautilus named executive officers, all current executive officers as a group, and all other current employees who may participate in the ESPP as a</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group are not determinable. Non-employee directors are not eligible to participate in the ESPP. As of , 2021, the closing price of a Class A ordinary share of ARYA was $ .</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full text of the resolution to be passed is as follows:</w:t>
      </w:r>
    </w:p>
    <w:p>
      <w:pPr>
        <w:spacing w:after="0" w:line="171"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Employee Stock Purchase Plan, a copy of which is attached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as Annex J,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Employee Stock Purchase Plan Proposal is conditioned on the approval and adoption of each of the other Condition Precedent Proposals.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EMPLOYEE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PURCHASE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Adjournment Proposal allows the ARYA Board to submit a proposal to approve, by ordinary resolution, the adjournment of the extraordinary general meeting to a later date or dates (i)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w:t>
      </w:r>
    </w:p>
    <w:p>
      <w:pPr>
        <w:spacing w:after="0" w:line="1" w:lineRule="exact"/>
        <w:rPr>
          <w:sz w:val="20"/>
          <w:szCs w:val="20"/>
          <w:color w:val="auto"/>
        </w:rPr>
      </w:pPr>
    </w:p>
    <w:p>
      <w:pPr>
        <w:ind w:right="280" w:firstLine="8"/>
        <w:spacing w:after="0" w:line="277" w:lineRule="auto"/>
        <w:tabs>
          <w:tab w:leader="none" w:pos="2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order to solicit additional proxies from ARYA shareholders in favor of one or more of the proposals at the extraordinary general meeting or (iii) if ARYA shareholders redeem an amount of public shares such that the Aggregate Transaction Proceeds Condition would not be satisfied. See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Proposal—Interests of ARYA’s Directors and Executive Officers in the Business Combination</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If the Adjournment Proposal is presented to the extraordinary general meeting and is not approved by the shareholders, the ARYA Board may not be able to adjourn the extraordinary general meeting to a later date in the event that, based on the tabulated votes, there are not sufficient votes at the time of the extraordinary general meeting to approve the Condition Precedent Proposals. In such events, the Business Combination would not be completed.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Adjournment Proposal is not conditioned on any other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ARYA BOARD UNANIMOUSLY RECOMMENDS THAT ARYA SHAREHOLDERS VOTE “FOR” THE APPROVAL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5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conflict with your interests as a shareholder. See the section entitled “</w:t>
      </w:r>
      <w:r>
        <w:rPr>
          <w:rFonts w:ascii="Arial" w:cs="Arial" w:eastAsia="Arial" w:hAnsi="Arial"/>
          <w:sz w:val="18"/>
          <w:szCs w:val="18"/>
          <w:i w:val="1"/>
          <w:iCs w:val="1"/>
          <w:color w:val="auto"/>
        </w:rPr>
        <w:t>Business Combination Proposal— Interests of ARYA’s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91" w:name="page192"/>
    <w:bookmarkEnd w:id="19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holders of our public shares (other than our Sponsor or any of its affiliates) as a consequence of the (i) Domestication, (ii) exercise of redemption rights and (iii) ownership and disposition of shares of New Nautilus Common Stock after the Domestication. This section applies only to holders that hold their public shares as capital assets for U.S. federal income tax purposes (generally, property held for investment). This discussion is a summary only and does not discuss all aspects of U.S. federal income taxation that may be relevant to particular holders in light of their particular circumstances or status including:</w:t>
      </w:r>
    </w:p>
    <w:p>
      <w:pPr>
        <w:spacing w:after="0" w:line="107"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five percent or more of the total value of all classes of our shares (except as specifically addressed below);</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who purchase stock in New Nautilus as part of the PIPE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based on current U.S. federal income tax law, which is subject to change, possibly on a retroactive basis, which may affect the U.S. federal income tax consequences described herein. Furthermore, this discussion does not address any aspect of U.S. federal non-income tax laws, such as gift, estate or Medicare contribution tax laws, or state, local or non-U.S. tax laws. In addition, this summary does not address any tax consequences to investors that directly or indirectly hold equity interests in Nautilus prior to the Business Combination, including holders of our public shares that also hold, directly or indirectly, equity interests in Nautilus. With respect to the consequences of holding shares of New Nautilus Common Stock, this discussion is limited to holders who acquire such shares of New Nautilus Common Stock in connection with the Domestication. We have not sought, and will not seek, a ruling from the U.S. Internal Revenue Service (“IRS”) as to any U.S. federal income tax consideration described herein. The IRS may disagree with the discussion herein, and its determination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upheld by a court. Moreover, there can be no assurance that future legislation, regulations, administrative rulings or court decisions will not adversely affect the accuracy of the statements in this discussion.</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discussion does not consider the U.S. federal income tax treatment of partnerships or other pass-through entities or persons who hold our securities through such entities. If a partnership (or other entity classified as a partnership for U.S. federal income tax purposes) is the beneficial owner of our public shares, the U.S. federal income tax treatment of a partner in the partnership generally will depend on the status of the partner and the activities of the partner and the partnership. If you are a partner of a partnership holding our public shares, we urge you to consult your tax advisor.</w:t>
      </w:r>
    </w:p>
    <w:p>
      <w:pPr>
        <w:spacing w:after="0" w:line="9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EACH HOLDER SHOULD CONSULT ITS TAX ADVISOR WITH RESPECT TO THE PARTICULAR TAX CONSEQUENCES TO SUCH HOLDER OF THE DOMESTICATION, AN EXERCISE OF REDEMPTION RIGHTS, INCLUDING THE EFFECTS OF U.S. FEDERAL, STATE AND LOCAL AND NON-U.S. TAX LAWS AND OWNERSHIP AND DISPOSITION OF SHARES OF NEW NAUTILUS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used herein, a “U.S. Holder” is a beneficial owner of our public shares or New Nautilus Common Stock, as applicable, and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U.S. Holders</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discussion under this heading "</w:t>
      </w:r>
      <w:r>
        <w:rPr>
          <w:rFonts w:ascii="Arial" w:cs="Arial" w:eastAsia="Arial" w:hAnsi="Arial"/>
          <w:sz w:val="17"/>
          <w:szCs w:val="17"/>
          <w:i w:val="1"/>
          <w:iCs w:val="1"/>
          <w:color w:val="auto"/>
        </w:rPr>
        <w:t>—Effects of the Domestication on U.S. Holders</w:t>
      </w:r>
      <w:r>
        <w:rPr>
          <w:rFonts w:ascii="Arial" w:cs="Arial" w:eastAsia="Arial" w:hAnsi="Arial"/>
          <w:sz w:val="17"/>
          <w:szCs w:val="17"/>
          <w:color w:val="auto"/>
        </w:rPr>
        <w:t>" constitutes the opinion of Kirkland &amp; Ellis LLP, United States tax counsel to ARYA, insofar as it discusses the material U.S. federal income tax considerations applicable to U.S. Holders of public shares and public warrants as a result of the Domestication, based on, and subject to, customary assumptions, qualifications and limitations, and the assumptions, qualifications and limitations herein and in the opinion included as Exhibit 8.1 hereto, as well as representations of ARYA.</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U.S. federal income tax consequences of the Domestication will depend primarily upon whether the Domestication qualifies as a “reorganization” within the meaning of Section 368 of the Code.</w:t>
      </w:r>
    </w:p>
    <w:p>
      <w:pPr>
        <w:spacing w:after="0" w:line="11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Under Section 368(a)(1)(F) of the Code, a reorganization is a “mere change in identity, form, or place of organization of one corporation, however effected” (an “F Reorganization”). Pursuant to the Domestication, we will change our jurisdiction of incorporation by deregistering as an exempted company in the Cayman Islands and continuing and domesticating as a corporation incorporated under the laws of the State of Delaware, changing our name to “Nautilus Biotechnology, Inc.”</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Domestication generally should qualify as an F Reorganization. However, due to the absence of direct guidance on the statutory conversion of a corporation holding only investment-type assets such as ARYA, this result is not entirely clear. Accordingly, due to the absence of such guidance, it is not possible to predict whether the IRS or a court considering the issue would take a contrary position.</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U.S. Holders of public shares generally should not recognize gain or loss for U.S. federal income tax purposes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Domestication, except as provided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and “</w:t>
      </w:r>
      <w:r>
        <w:rPr>
          <w:rFonts w:ascii="Arial" w:cs="Arial" w:eastAsia="Arial" w:hAnsi="Arial"/>
          <w:sz w:val="18"/>
          <w:szCs w:val="18"/>
          <w:i w:val="1"/>
          <w:iCs w:val="1"/>
          <w:color w:val="auto"/>
        </w:rPr>
        <w:t>— PFIC Considerations</w:t>
      </w:r>
      <w:r>
        <w:rPr>
          <w:rFonts w:ascii="Arial" w:cs="Arial" w:eastAsia="Arial" w:hAnsi="Arial"/>
          <w:sz w:val="18"/>
          <w:szCs w:val="18"/>
          <w:color w:val="auto"/>
        </w:rPr>
        <w:t>,” and the Domestication should be treated for U.S. federal income tax purposes as if ARYA (i) transferred all of its assets and liabilities to New Nautilus in exchange for all of the outstanding common stock of New Nautilus; and then (ii) distributed the common stock of New Nautilus to the shareholders of ARYA in liquidation of ARYA. The taxable year of ARYA should be deemed to end on the date of the Domestication.</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subject to the PFIC rules discussed below: (i) a U.S. holder’s tax basis in a share of New Nautilus Common Stock received by the U.S. Holder in the Domestication should generally be the same as its tax basis in the public share surrendered in exchange therefor, increased by any amount included in the income of such U.S. Holder under Section 367(b) of the Code (as discussed below) and (ii) the holding period for a share of New Nautilus Common Stock should generally include such U.S. Holder’s holding period for the public share surrendered in exchange therefor.</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Domestication fails to qualify as an F reorganization, subject to the PFIC rules discussed below, a U.S. Holder generally would recognize gain or loss with respect to a public share in an amount equal to the difference, if any, between the fair market value of the corresponding share of New Nautilus Common Stock received in the Domestication and the U.S. Holder's adjusted tax basis in its public share surrendered in exchange therefor. In such event, such U.S. Holder's basis in the share of New Nautilus Common Stock would be equal to the fair market value of that share of New Nautilus Common Stock on the date of the Domestication and such U.S. Holder's holding period for the share of New Nautilus Common Stock would begin on the day following the Domestication.</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with respect to our public shares, U.S. Holders exercising such redemption rights will be subject to the potential tax consequences of the Domestication. All U.S. Holders considering exercising redemption rights with respect to their public share are urged to consult with their tax advisors with respect to the potential tax consequences to the of the Domestication and exercise of redemption rights in their particular circumstances.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Effects of Section 367(b) to U.S. Holders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Section 367(b) of the Code applies to certain transactions involving foreign corporations, including an inbound domestication of a foreign corporation in an F Reorganization. Section 367(b) of the Code imposes U.S. federal income tax on certain U.S. persons in connection with transactions that would otherwise qualify as a “reorganization” within the meaning of Section 368 of the Code. Section 367(b) of the Code will generally apply to U.S. Holders on the date of the Domestication. Because the Domestication will occur immediately prior to the redemption of U.S. Holders that exercise redemption rights with respect to our public shares, U.S. Holders exercising such redemption rights will be subject to the potential tax consequences of Section 367(b) of the Code as a result of the Domestication. Because of the inherently factual nature of the tests under the applicable Treasury Regulations to determine the applicability of Section 367(b) of the Code to any particular U.S. Holder, and the fact that these tests are generally applied based on the relevant facts at the time of the completion of the Domestication, Kirkland &amp; Ellis LLP is unable to opine on the application of Section 367(b) of the Code to a U.S. Holder on the receipt of New Nautilus Common Stock in exchange for public shares in the Domestication.</w:t>
      </w:r>
    </w:p>
    <w:p>
      <w:pPr>
        <w:spacing w:after="0" w:line="1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 Holders That Hold 10 Percent or More of ARYA</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U.S. Holder who on the date of the Domestication beneficially owns (actually or constructively) 10% or more of the total combined voting power of all classes of our stock entitled to vote or 10% or more of the total value of all classes of our stock (a “U.S. Shareholder”) must include in income as a dividend the “all earnings and profits amount” attributable to the public shares it directly owns, within the meaning of Treasury Regulations under Section 367(b) of the Code. Complex attribution rules apply in determining whether a U.S. Holder is a U.S. Shareholder and all U.S. Holders are urged to consult their tax advisors with respect to these attribution rules.</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U.S. Shareholder’s “all earnings and profits amount” with respect to its public shares is the net positive earnings and profits of ARYA (as determined under Treasury Regulations under Section 367 of the Code) attributable to such public shares (as determined under Treasury Regulations under Section 367 of the Code) but without regard to any gain that would be realized on a sale or exchange of such public shares. Treasury Regulations under Section 367 provide that the all earnings and profits amount attributable to a shareholder’s stock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according to the principles of Section 1248 of the Code and the Treasury Regulations thereunder.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3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ARYA does not expect to have significant, cumulative earnings and profits through the date of the Domestication. If ARYA’s cumulative net earnings and profits through the date of the Domestication is less than or equal to zero, then a U.S. Holder should not be required to include in gross income an “all earnings and profits amount” with respect to its public shares. If ARYA’s cumulative net earnings and profits are greater than zero through the date of the Domestication, a U.S. Shareholder would be required to include its “all earnings and profits amount” in income as a deemed dividend under Treasury Regulations under Section 367(b) of the Code as a result of the Domestication. Any such U.S. Holder that is a corporation may, under certain circumstances, effectively be exempt from taxation on a portion or all of the deemed dividend pursuant to Section 245A of the Code. Such U.S. Holders that are corporate shareholders should consult their own tax advisors as to the applicability of Section 245A of the Code in their particular circumstances.</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U.S. Holders That Own Less Than 10 Percent of ARYA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of $50,000 or more, but is not a U.S. Shareholder, will recognize gain (but not loss) with respect to the Domestication or, in the alternative, may elect to recognize the “all earnings and profits” amount attributable to such U.S. Holder as described below.</w:t>
      </w:r>
    </w:p>
    <w:p>
      <w:pPr>
        <w:spacing w:after="0" w:line="13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Unless a U.S. Holder makes the “all earnings and profits” election as described below, such U.S. Holder generally must recognize gain (but not loss) with respect to shares of New Nautilus Common Stock received in the Domestication in an amount equal to the excess of the fair market value of such shares of New Nautilus Common Stock over the U.S. Holder’s adjusted tax basis in the public shares deemed surrendered in exchange therefor.</w:t>
      </w:r>
    </w:p>
    <w:p>
      <w:pPr>
        <w:spacing w:after="0" w:line="9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lieu of recognizing any gain as described in the preceding paragraph, a U.S. Holder may elect to include in income the “all earnings and profits amount” attributable to its public shares under Section 367(b) of the Code.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are, however, strict conditions for making this election. This election must comply with applicable Treasury Regulations and generally must include, among other things:</w:t>
      </w:r>
    </w:p>
    <w:p>
      <w:pPr>
        <w:spacing w:after="0" w:line="116"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statement that the Domestication is a Section 367(b) exchange (within the meaning of the applicable Treasury Regulations);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complete description of the Domestication;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description of any stock, securities or other consideration transferred or received in the Domestication;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statement describing the amounts required to be taken into account for U.S. federal income tax purposes;</w:t>
      </w:r>
    </w:p>
    <w:p>
      <w:pPr>
        <w:spacing w:after="0" w:line="171" w:lineRule="exact"/>
        <w:rPr>
          <w:rFonts w:ascii="Arial" w:cs="Arial" w:eastAsia="Arial" w:hAnsi="Arial"/>
          <w:sz w:val="18"/>
          <w:szCs w:val="18"/>
          <w:color w:val="auto"/>
        </w:rPr>
      </w:pPr>
    </w:p>
    <w:p>
      <w:pPr>
        <w:ind w:left="660" w:right="480" w:hanging="328"/>
        <w:spacing w:after="0" w:line="311" w:lineRule="auto"/>
        <w:tabs>
          <w:tab w:leader="none" w:pos="65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statement that the U.S. Holder is making the election including (A) a copy of the information that the U.S. Holder received from ARYA establishing and substantiating the U.S. Holder’s “all earnings and profits amount” with respect to the U.S. Holder’s public shares and (B) a representation that the U.S. Holder has notified ARYA (or New Nautilus) that the U.S. Holder is making the election; and</w:t>
      </w:r>
    </w:p>
    <w:p>
      <w:pPr>
        <w:spacing w:after="0" w:line="94" w:lineRule="exact"/>
        <w:rPr>
          <w:rFonts w:ascii="Arial" w:cs="Arial" w:eastAsia="Arial" w:hAnsi="Arial"/>
          <w:sz w:val="16"/>
          <w:szCs w:val="16"/>
          <w:color w:val="auto"/>
        </w:rPr>
      </w:pPr>
    </w:p>
    <w:p>
      <w:pPr>
        <w:ind w:left="660" w:right="240" w:hanging="328"/>
        <w:spacing w:after="0" w:line="277" w:lineRule="auto"/>
        <w:tabs>
          <w:tab w:leader="none" w:pos="6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certain other information required to be furnished with the U.S. Holder’s tax return or otherwise furnished pursuant to the Code or the Treasury Regulations.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the election must be attached by an electing U.S. Holder to such U.S. Holder’s timely filed U.S. federal income tax return for the year of the Domestication, and the U.S. Holder must send notice of making the election to New Nautilus no later than the date such tax return is filed. In connection with this election, we intend to provide each U.S. Holder eligible to make such an election with information regarding ARYA’s earnings and profits upon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ARYA does not expect to have significant cumulative earnings and profits through the date of the Domestication. However, as noted above, if it were determined that ARYA had positive earnings and profits through the date of the Domestication, a U.S. Holder that makes the election described herein could have an “all earnings and profits amount” with respect to its public shares, and thus could be required to include that amount in income as a deemed dividend under applicable Treasury Regulations as a result of the Domestication.</w:t>
      </w:r>
    </w:p>
    <w:p>
      <w:pPr>
        <w:spacing w:after="0" w:line="12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EACH U.S. HOLDER IS URGED TO CONSULT ITS TAX ADVISOR REGARDING THE CONSEQUENCES TO IT OF MAKING THE ELECTION DESCRIBED HEREIN AND THE APPROPRIATE FILING REQUIREMENTS WITH RESPECT TO SUCH ELECTION.</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U.S. Holders that Own Public Shares with a Fair Market Value of Less Than $50,000</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less than $50,000 generally should not be required to recognize any gain or loss under Section 367(b) of the Code in connection with the Domestication, and generally should not be required to include any part of the “all earnings and profits amount” in income.</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ALL U.S. HOLDERS ARE URGED TO CONSULT THEIR TAX ADVISORS WITH RESPECT TO THE EFFECT OF SECTION 367(b) OF THE CODE TO THEIR PARTICULAR CIRCUMSTANCES.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PFIC Considerations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to the discussion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the Domestication could be a taxable event to U.S. Holders under the PFIC provisions of the Code.</w:t>
      </w:r>
    </w:p>
    <w:p>
      <w:pPr>
        <w:spacing w:after="0" w:line="11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Definition of a PFIC</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which may apply to ARYA prior to the Domestication, interest income earned by ARYA would be considered passive income and cash held by ARYA would be considered a passive asset.</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PFIC Status of ARYA</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ARYA is a blank check company with no current active business, based upon the composition of its income and assets, and upon a review of its financial statements, ARYA believes that it likely was a PFIC for its most recent taxable year ended on December 31, 2020 and will likely be considered a PFIC for its current taxable year which ends as a result of the Domestication. However, because of the inherently factual nature of the determination, and because the determination is an annual one based on income and assets of ARYA in each year, Kirkland &amp; Ellis LLP is unable to opine on ARYA’s PFIC status for any taxable year.</w:t>
      </w:r>
    </w:p>
    <w:p>
      <w:pPr>
        <w:spacing w:after="0" w:line="13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Effects of PFIC Rules on the Domestication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to U.S. Holders of public shares upon the Domestication if (i) ARYA were classified as a PFIC at any time during such U.S. Holder’s holding period for such public shares and (ii) the U.S. Holder had not timely made (a) a QEF Election (as described below) for the first taxable year in which the U.S. Holder owned such public shares or in which ARYA was a PFIC, whichever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later, or (b) a mark-to-market election (as described below) with respect to such public shares. The tax on any such recognized gain would be imposed based on a complex set of computational rules.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these rules:</w:t>
      </w:r>
    </w:p>
    <w:p>
      <w:pPr>
        <w:spacing w:after="0" w:line="17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U.S. Holder’s gain will be allocated ratably over the U.S. Holder’s holding period for such U.S. Holder’s public shares;</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amount of gain allocated to the U.S. Holder’s taxable year in which the U.S. Holder recognized the gain, or to the period in the U.S. Holder’s holding period before the first day of the first taxable year in which ARYA was a PFIC, will be taxed as ordinary income;</w:t>
      </w:r>
    </w:p>
    <w:p>
      <w:pPr>
        <w:spacing w:after="0" w:line="9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the proposed Treasury Regulations provide coordinating rules with Section 367(b) of the Code, whereby, if the gain recognition rule of the proposed Treasury Regulations under Section 1291(f) of the Code applies to a disposition of PFIC stock that results from a transfer with respect to which Section 367(b) of the Code requires the shareholder to recognize gain or include an amount in income as discussed under the “</w:t>
      </w:r>
      <w:r>
        <w:rPr>
          <w:rFonts w:ascii="Arial" w:cs="Arial" w:eastAsia="Arial" w:hAnsi="Arial"/>
          <w:sz w:val="16"/>
          <w:szCs w:val="16"/>
          <w:i w:val="1"/>
          <w:iCs w:val="1"/>
          <w:color w:val="auto"/>
        </w:rPr>
        <w:t>—Effects of Section 367(b) to</w:t>
      </w:r>
      <w:r>
        <w:rPr>
          <w:rFonts w:ascii="Arial" w:cs="Arial" w:eastAsia="Arial" w:hAnsi="Arial"/>
          <w:sz w:val="16"/>
          <w:szCs w:val="16"/>
          <w:color w:val="auto"/>
        </w:rPr>
        <w:t xml:space="preserve"> </w:t>
      </w:r>
      <w:r>
        <w:rPr>
          <w:rFonts w:ascii="Arial" w:cs="Arial" w:eastAsia="Arial" w:hAnsi="Arial"/>
          <w:sz w:val="16"/>
          <w:szCs w:val="16"/>
          <w:i w:val="1"/>
          <w:iCs w:val="1"/>
          <w:color w:val="auto"/>
        </w:rPr>
        <w:t>U.S. Holders</w:t>
      </w:r>
      <w:r>
        <w:rPr>
          <w:rFonts w:ascii="Arial" w:cs="Arial" w:eastAsia="Arial" w:hAnsi="Arial"/>
          <w:sz w:val="16"/>
          <w:szCs w:val="16"/>
          <w:color w:val="auto"/>
        </w:rPr>
        <w:t>,” the gain realized on the transfer is taxable under the PFIC rules discussed above, and the excess, if any, of the amount to be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under Section 367(b) of the Code over the gain realized under Section 1291 of the Code is taxable as provided under Section 367(b) of the Code.</w:t>
      </w:r>
    </w:p>
    <w:p>
      <w:pPr>
        <w:spacing w:after="0" w:line="10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difficult to predict whether, in what form and with what effective date, final Treasury Regulations under Section 1291(f) of the Code will be adopted. Therefore, U.S. Holders of public shares that have not made a timely QEF Election or a mark-to-market election (both as defined and described below) may, pursuant to the proposed Treasury Regulations, be subject to taxation on the Domestication to the extent their public shares have a fair market value in excess of their tax basis therein. An Electing Shareholder (as defined below) generally would not be subject to the adverse PFIC rules discussed above with respect to its public shares but rather would include annually in gross income its pro rata share of the ordinary earnings and net capital gain of ARYA, whether or not such amounts are actually distributed to such shareholders in any taxable year. Due to the uncertainty regarding the application of 1291(f) of the Code, Kirkland &amp; Ellis LLP is unable to opine on the application of the PFIC rules to a U.S. Holder on the receipt of New Nautilus Common Stock in exchange for public shares in the Domestication.</w:t>
      </w:r>
    </w:p>
    <w:p>
      <w:pPr>
        <w:spacing w:after="0" w:line="1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QEF Election and Mark-to-Market Election</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impact of the PFIC rules on a U.S. Holder of public shares will depend on whether the U.S. Holder makes a timely and effective election to treat ARYA as a “qualified electing fund” under Section 1295 of the Code for the taxable year that is the first year in the U.S. Holder’s holding period of public shares during which ARYA qualified as a PFIC (a “QEF Election”). 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A U.S. Holder’s ability to make a QEF Election with respect to ARYA is contingent upon, among other things, the provision by ARYA of a “PFIC Annual Information Statement” to such U.S. Holder. Upon written request, we will endeavor to provide to a U.S. Holder such information as the IRS may require, including a PFIC Annual Information Statement, in order to enable the U.S. Holder to make and maintain a QEF Election. There is no assurance, however, that we would timely provide such required information. A U.S. Holder that makes a QEF Election may be referred to as an “Electing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Shareholder” and a U.S. Holder that does not make a QEF Election may be referred to as a “Non-Electing Shareholder.” An Electing Shareholder generally would not be subject to the adverse PFIC rules discussed above with respect to their public shares. As a result, such a U.S. Holder should not recognize gain or loss as a result of the Domestication except to the extent described under “—</w:t>
      </w:r>
      <w:r>
        <w:rPr>
          <w:rFonts w:ascii="Arial" w:cs="Arial" w:eastAsia="Arial" w:hAnsi="Arial"/>
          <w:sz w:val="17"/>
          <w:szCs w:val="17"/>
          <w:i w:val="1"/>
          <w:iCs w:val="1"/>
          <w:color w:val="auto"/>
        </w:rPr>
        <w:t>Effects of Section 367(b) to U.S. Holders</w:t>
      </w:r>
      <w:r>
        <w:rPr>
          <w:rFonts w:ascii="Arial" w:cs="Arial" w:eastAsia="Arial" w:hAnsi="Arial"/>
          <w:sz w:val="17"/>
          <w:szCs w:val="17"/>
          <w:color w:val="auto"/>
        </w:rPr>
        <w:t>.”</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impact of the PFIC rules on a U.S. Holder of public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public shares.</w:t>
      </w:r>
    </w:p>
    <w:p>
      <w:pPr>
        <w:spacing w:after="0" w:line="10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CONCERNING THE CONSEQUENCES TO THEM OF THE PFIC RULES AND WHETHER A QEF ELECTION, A MARK-TO-MARKET ELECTION OR ANY OTHER ELECTION IS AVAILABLE AND THE CONSEQUENCES TO THEM OF ANY SUCH ELECTION.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U.S. Holders of Exercising Redemption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U.S. federal income tax consequences to a U.S. Holder of public shares (which will be exchanged for shares of New Nautilus Common Stock in the Domestication) that exercises its redemption rights to receive cash from the trust account in exchange for all or a portion of its shares of New Nautilus Common Stock will depend on whether the redemption qualifies as a sale of the shares of New Nautilus Common Stock redeemed under Section 302 of the Code or is treated as a distribution under Section 301 of the Code. If the redemption qualifies as a sale of such U.S. Holder’s shares of New Nautilus Common Stock redeemed, such U.S. Holder will generally be treated in the same manner as described under “—</w:t>
      </w:r>
      <w:r>
        <w:rPr>
          <w:rFonts w:ascii="Arial" w:cs="Arial" w:eastAsia="Arial" w:hAnsi="Arial"/>
          <w:sz w:val="18"/>
          <w:szCs w:val="18"/>
          <w:i w:val="1"/>
          <w:iCs w:val="1"/>
          <w:color w:val="auto"/>
        </w:rPr>
        <w:t>Sale, Exchange or Other Disposition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Shares of New Nautilus Common Stock</w:t>
      </w:r>
      <w:r>
        <w:rPr>
          <w:rFonts w:ascii="Arial" w:cs="Arial" w:eastAsia="Arial" w:hAnsi="Arial"/>
          <w:sz w:val="18"/>
          <w:szCs w:val="18"/>
          <w:color w:val="auto"/>
        </w:rPr>
        <w:t>” below.</w:t>
      </w:r>
    </w:p>
    <w:p>
      <w:pPr>
        <w:spacing w:after="0" w:line="1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redemption of shares of New Nautilus Common Stock generally will qualify as a sale of the shares of New Nautilus Common Stock redeemed if such redemption either (i) is “substantially disproportionate” with respect to the redeeming U.S. Holder, (ii) results in a “complete termination” of such U.S. Holder’s interest in New Nautilus or (iii) is “not essentially equivalent to a dividend” with respect to such U.S. Holder. These tests are explained more fully below.</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For purposes of such tests, a U.S. Holder takes into account not only shares of New Nautilus Common Stock actually owned by such U.S. Holder, but also shares of New Nautilus Common Stock that are constructively owned by such U.S. Holder. A redeeming U.S. Holder may constructively own, in addition to shares of New Nautilus Common Stock owned directly, shares of New Nautilus Common Stock owned by certain related individuals and entities in which such U.S. Holder has an interest or that have an interest in such U.S. Holder, as well as any shares of New Nautilus Common Stock such U.S. Holder has a right to acquire by exercise of an option.</w:t>
      </w:r>
    </w:p>
    <w:p>
      <w:pPr>
        <w:spacing w:after="0" w:line="13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redemption of shares of New Nautilus Common Stock generally will be “substantially disproportionate” with respect to a redeeming U.S. Holder if the percentage of New Nautilus’ outstanding voting shares that such U.S. Holder actually or constructively owns immediately after the redemption is less than 80 percent of the percentage of New Nautilus’ outstanding voting shares that such U.S. Holder actually or constructively owned immediately before the redemption, and such U.S. Holder immediately after the redemption actually and constructively owned less than 50 percent of the total combined voting power of New Nautilus Common Stock. There will be a complete termination of such U.S. Holder’s interest if either (i) all of the shares of New Nautilus Common Stock actually or constructively owned by such U.S. Holder are redeemed or (ii) all of the shares of New Nautilus Common Stock actually owned by such U.S. Holder are redeemed and such U.S. Holder is eligible to waive, and effectively waives in accordance with specific rules, the attribution of the shares of New Nautilus Common Stock owned by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family members and such U.S. Holder does not constructively own any other shares of New Nautilus Common Stock. The redemption of shares of New Nautilus Common Stock will not be essentially equivalent to a dividend if it results in a “meaningful reduction” of such U.S. Holder’s proportionate interest in New Nautilus. Whether the redemption will result in a “meaningful reduction” in such U.S. Holder’s proportionate interest will depend on the particular facts and circumstances applicable to it. The IRS has indicated in a published ruling that even a small reduction in the proportionate interest of a small minority shareholder in a publicly held corporation who exercises no control over corporate affairs may constitute such a “meaningful reduction.”</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If none of the above tests is satisfied, a redemption will be treated as a distribution with respect to the shares of New Nautilus Common Stock, the U.S. federal income tax consequences of which are described above under “</w:t>
      </w:r>
      <w:r>
        <w:rPr>
          <w:rFonts w:ascii="Arial" w:cs="Arial" w:eastAsia="Arial" w:hAnsi="Arial"/>
          <w:sz w:val="16"/>
          <w:szCs w:val="16"/>
          <w:i w:val="1"/>
          <w:iCs w:val="1"/>
          <w:color w:val="auto"/>
        </w:rPr>
        <w:t>— Distributions on Shares of New Nautilus Common Stock</w:t>
      </w:r>
      <w:r>
        <w:rPr>
          <w:rFonts w:ascii="Arial" w:cs="Arial" w:eastAsia="Arial" w:hAnsi="Arial"/>
          <w:sz w:val="16"/>
          <w:szCs w:val="16"/>
          <w:color w:val="auto"/>
        </w:rPr>
        <w:t>” below. After the application of those rules, any remaining tax basis of the U.S. Holder in the redeemed New Nautilus Common Stock will be added to the U.S. Holder’s adjusted tax basis in its remaining shares, or, if it has none, to the U.S. Holder’s adjusted tax basis possibly in other shares constructively owned by it.</w:t>
      </w:r>
    </w:p>
    <w:p>
      <w:pPr>
        <w:spacing w:after="0" w:line="99"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AS TO THE TAX CONSEQUENCES TO THEM OF A REDEMPTION OF ALL OR A PORTION OF THEIR SHARES OF NEW NAUTILUS COMMON STOCK PURSUANT TO AN EXERCISE OF REDEMPTION RIGHTS.</w:t>
      </w:r>
    </w:p>
    <w:p>
      <w:pPr>
        <w:spacing w:after="0" w:line="12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U.S. Holders exercising redemption rights will take into account the potential tax consequences of Section 367(b) of the Code as a result of the Domestication (discussed further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on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U.S. Holder generally will be required to include in gross income as dividends the amount of any cash distribution paid with respect to shares of New Nautilus Common Stock, to the extent the distribution is paid out of New Nautilus’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New Nautilus Common Stock. Any remaining excess will be treated as gain realized on the sale or other disposition of the shares of New Nautilus Common Stock and will be treated as described under “</w:t>
      </w:r>
      <w:r>
        <w:rPr>
          <w:rFonts w:ascii="Arial" w:cs="Arial" w:eastAsia="Arial" w:hAnsi="Arial"/>
          <w:sz w:val="17"/>
          <w:szCs w:val="17"/>
          <w:i w:val="1"/>
          <w:iCs w:val="1"/>
          <w:color w:val="auto"/>
        </w:rPr>
        <w:t>—Sale,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Disposition of Shares of New Nautilus Common Stock</w:t>
      </w:r>
      <w:r>
        <w:rPr>
          <w:rFonts w:ascii="Arial" w:cs="Arial" w:eastAsia="Arial" w:hAnsi="Arial"/>
          <w:sz w:val="17"/>
          <w:szCs w:val="17"/>
          <w:color w:val="auto"/>
        </w:rPr>
        <w:t>” below.</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Dividends that New Nautilus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New Nautilus pays to a non-corporate U.S. Holder may be taxed as “qualified dividend income” at the preferential tax rate accorded to long-term capital gains. It is unclear whether the redemption rights described herein with respect to the shares of New Nautilus Common Stock may have suspended the running of the applicable holding period for these purposes.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Exchange or Other Disposition of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Upon a sale or other taxable disposition of shares of New Nautilus Common Stock which, in general, would include a redemption of shares of New Nautilus Common Stock that is treated as a sale of such securities as described above and below, a U.S. Holder generally will recognize capital gain or loss. Any such capital gain or loss generally will be long-term capital gain or loss if the U.S. Holder’s holding period for the shares of New Nautilus Common Stock so disposed of exceeds one year. It is unclear, however, whether the redemption rights described herein with respect to the shares of New Nautilus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shares of New Nautilus Common Stock so disposed of. See “</w:t>
      </w:r>
      <w:r>
        <w:rPr>
          <w:rFonts w:ascii="Arial" w:cs="Arial" w:eastAsia="Arial" w:hAnsi="Arial"/>
          <w:sz w:val="18"/>
          <w:szCs w:val="18"/>
          <w:i w:val="1"/>
          <w:iCs w:val="1"/>
          <w:color w:val="auto"/>
        </w:rPr>
        <w:t>—Effects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Domestication on U.S. Holders</w:t>
      </w:r>
      <w:r>
        <w:rPr>
          <w:rFonts w:ascii="Arial" w:cs="Arial" w:eastAsia="Arial" w:hAnsi="Arial"/>
          <w:sz w:val="18"/>
          <w:szCs w:val="18"/>
          <w:color w:val="auto"/>
        </w:rPr>
        <w:t>” above for discussion of a U.S. Holder’s adjusted tax basis in its shares of New Nautilus Common Stock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used herein, a “non-U.S. Holder” is a beneficial owner (other than a partnership or entity treated as a partnership for U.S. federal income tax purposes) of public shares or New Nautilus Common Stock that is not a U.S. Holder.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describes U.S. federal income tax considerations relating to the Domestication, (ii) exercise of redemption rights and (iii) ownership and disposition of shares of New Nautilus Common Stock by a non-U.S. Holder after the Domestication.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Non-U.S. 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does not expect the Domestication to result in any U.S. federal income tax consequences to non-U.S. Holders of public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Non-U.S. Holders of Exercising Redemption Rights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Because the Domestication will occur immediately prior to the redemption of non-U.S. Holders that exercise redemption rights with respect to our public shares, the U.S. federal income tax consequences to a non-U.S. Holder of shares of New Nautilus Common Stock that exercises its redemption rights to receive cash from the trust account in exchange for all or a portion of its shares of New Nautilus Common Stock will depend on whether the redemption qualifies as a sale of the shares of New Nautilus Common Stock redeemed, as described above under “</w:t>
      </w:r>
      <w:r>
        <w:rPr>
          <w:rFonts w:ascii="Arial" w:cs="Arial" w:eastAsia="Arial" w:hAnsi="Arial"/>
          <w:sz w:val="18"/>
          <w:szCs w:val="18"/>
          <w:i w:val="1"/>
          <w:iCs w:val="1"/>
          <w:color w:val="auto"/>
        </w:rPr>
        <w:t>—U.S. Holders—Effects to U.S.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of Exercising Redemption Rights</w:t>
      </w:r>
      <w:r>
        <w:rPr>
          <w:rFonts w:ascii="Arial" w:cs="Arial" w:eastAsia="Arial" w:hAnsi="Arial"/>
          <w:sz w:val="18"/>
          <w:szCs w:val="18"/>
          <w:color w:val="auto"/>
        </w:rPr>
        <w:t>.” If such a redemption qualifies as a sale of shares of New Nautilus Common Stock,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non-U.S. Holder will be as described below under “</w:t>
      </w:r>
      <w:r>
        <w:rPr>
          <w:rFonts w:ascii="Arial" w:cs="Arial" w:eastAsia="Arial" w:hAnsi="Arial"/>
          <w:sz w:val="18"/>
          <w:szCs w:val="18"/>
          <w:i w:val="1"/>
          <w:iCs w:val="1"/>
          <w:color w:val="auto"/>
        </w:rPr>
        <w:t>—U.S. Holders—Sale, Exchange or Other Disposition of Shares of New Nautilus</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If such a redemption does not qualify as a sale of shares of New Nautilus Common Stock, the non-U.S. Holder will be treated as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a distribution, the U.S. federal income tax consequences of which are described below under “</w:t>
      </w:r>
      <w:r>
        <w:rPr>
          <w:rFonts w:ascii="Arial" w:cs="Arial" w:eastAsia="Arial" w:hAnsi="Arial"/>
          <w:sz w:val="18"/>
          <w:szCs w:val="18"/>
          <w:i w:val="1"/>
          <w:iCs w:val="1"/>
          <w:color w:val="auto"/>
        </w:rPr>
        <w:t>—Non-U.S. Holders— Distributions on Shares of New</w:t>
      </w:r>
      <w:r>
        <w:rPr>
          <w:rFonts w:ascii="Arial" w:cs="Arial" w:eastAsia="Arial" w:hAnsi="Arial"/>
          <w:sz w:val="18"/>
          <w:szCs w:val="18"/>
          <w:color w:val="auto"/>
        </w:rPr>
        <w:t xml:space="preserve"> </w:t>
      </w:r>
      <w:r>
        <w:rPr>
          <w:rFonts w:ascii="Arial" w:cs="Arial" w:eastAsia="Arial" w:hAnsi="Arial"/>
          <w:sz w:val="18"/>
          <w:szCs w:val="18"/>
          <w:i w:val="1"/>
          <w:iCs w:val="1"/>
          <w:color w:val="auto"/>
        </w:rPr>
        <w:t>Nautilus Common Stock</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Shares of New Nautilus Common Stock</w:t>
      </w:r>
    </w:p>
    <w:p>
      <w:pPr>
        <w:spacing w:after="0" w:line="17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general, any distributions made to a non-U.S. Holder with respect to shares of New Nautilus Common Stock, to the extent paid out of New Nautilus’ current or accumulated earnings and profits (as determined under U.S. federal income tax principles), will constitute dividends for U.S. federal income tax purposes and, provided such dividends are not effectively connected with such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New Nautilus Common Stock and then, to the extent such distribution exceeds the non-U.S. Holder’s adjusted tax basis, as gain realized from the sale or other disposition of such shares of New Nautilus Common Stock, which will be treated as described under “</w:t>
      </w:r>
      <w:r>
        <w:rPr>
          <w:rFonts w:ascii="Arial" w:cs="Arial" w:eastAsia="Arial" w:hAnsi="Arial"/>
          <w:sz w:val="17"/>
          <w:szCs w:val="17"/>
          <w:i w:val="1"/>
          <w:iCs w:val="1"/>
          <w:color w:val="auto"/>
        </w:rPr>
        <w:t>—Sale, Exchange or Other Disposition of Shares of New Nautilus Common Stock.</w:t>
      </w:r>
      <w:r>
        <w:rPr>
          <w:rFonts w:ascii="Arial" w:cs="Arial" w:eastAsia="Arial" w:hAnsi="Arial"/>
          <w:sz w:val="17"/>
          <w:szCs w:val="17"/>
          <w:color w:val="auto"/>
        </w:rPr>
        <w:t>” Dividends paid by New Nautilus to a non-U.S. Holder that are effectively connected with such non-U.S. Holder’s conduct of a trade or business within the United States (and if an income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Shares of New Nautilus 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non-U.S. Holder will generally not be subject to U.S. federal income tax on gain realized on a sale or other disposition of shares of New Nautilus Common Stock unless:</w:t>
      </w:r>
    </w:p>
    <w:p>
      <w:pPr>
        <w:spacing w:after="0" w:line="116" w:lineRule="exact"/>
        <w:rPr>
          <w:sz w:val="20"/>
          <w:szCs w:val="20"/>
          <w:color w:val="auto"/>
        </w:rPr>
      </w:pPr>
    </w:p>
    <w:p>
      <w:pPr>
        <w:ind w:left="660" w:hanging="328"/>
        <w:spacing w:after="0" w:line="263" w:lineRule="auto"/>
        <w:tabs>
          <w:tab w:leader="none" w:pos="65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such non-U.S. Holder is an individual who was present in the United States for 183 days or more in the taxable year of such disposition (subject to certain exceptions as a result of the COVID pandemic) and certain other requirements are met, in which case any gain realized will generally be subject to a flat 30% U.S. federal income tax;</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an income tax treaty applies, is attributable to a U.S. permanent establishment or fixed base maintained by such non-U.S. Holder), in which case such gain will be subject to U.S. federal income tax, net of certain deductions, at the same graduated individual or corporate rates applicable to U.S. Holders, and, if the non-U.S. Holder is a corporation, an additional “branch profits tax” may also apply; or</w:t>
      </w:r>
    </w:p>
    <w:p>
      <w:pPr>
        <w:spacing w:after="0" w:line="13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New Nautilus is or has been a “U.S. real property holding corporation” at any time during the shorter of the five-year period preceding such disposition and such non-U.S. Holder’s holding period and either (A) the shares of New Nautilus Common Stock has ceased to be regularly traded on an established securities market or (B) such non-U.S. Holder has owned or is deemed to have owned, at any time during the shorter of the five-year period preceding such disposition and such non-U.S. Holder’s holding period more than 5% of outstanding shares of New Nautilus Common Stock.</w:t>
      </w:r>
    </w:p>
    <w:p>
      <w:pPr>
        <w:spacing w:after="0" w:line="13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If paragraph (iii) above applies to a non-U.S. Holder, gain recognized by such non-U.S. Holder on the sale, exchange or other disposition of shares of New Nautilus Common Stock will be subject to tax at generally applicable U.S. federal income tax rates. In addition, a buyer of such shares of New Nautilus Common Stock from a non-U.S. Holder may be required to withhold U.S. income tax at a rate of 15% of the amount realized upon such disposition. New Nautilus will be classified as a “U.S. real property holding corporation”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We do not expect New Nautilus to be classified as a “U.S. real property holding corporation” following the Business Combination. However, such determination is factual and in nature and subject to change and no assurance can be provided as to whether New Nautilus will be a U.S. real property holding corporation with respect to a non-U.S. Holder following the Business Combination or at any future time.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of dividends on and the proceeds from a sale or other disposition of shares of New Nautilus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public shares and shares of New Nautilus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1" w:name="page202"/>
    <w:bookmarkEnd w:id="201"/>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public shares and shares of New Nautilus Common Stock are held will affect the determination of whether such withholding is required. Similarly, dividends in respect of, and (subject to the proposed Treasury Regulations discussed below) gross proceeds from the sale or other disposition of, public shares and shares of New Nautilus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spacing w:after="0" w:line="12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in respect of our securities. While withholding under FATCA generally would also apply to payments of gross proceeds from the sale or other disposition of securities (including shares of New Nautilus Common Stock),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public shares or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2" w:name="page203"/>
    <w:bookmarkEnd w:id="20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unaudited pro forma combined balance sheet of New Nautilus as of December 31, 2020 and the unaudited pro forma combined statement of operations of New Nautilus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3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unaudited pro forma combined balance sheet as of December 31, 2020 combines the historical balance sheet of ARYA and the historical balance sheet of Nautilus as of December 31, 2020 on a pro forma basis as if the Business Combination and the PIPE Financing had been consummated on December 31, 2020.</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unaudited pro forma combined statement of operations for the year ended December 31, 2020 combines the historical statement of operations of ARYA for the period from March 27, 2020 (inception) through December 31, 2020 and the historical statement of operations of Nautilus for the year ended December 31, 2020, giving effect to the transaction as if the Business Combination and the PIPE Financing had been consummated on January 1, 2020.</w:t>
      </w:r>
    </w:p>
    <w:p>
      <w:pPr>
        <w:spacing w:after="0" w:line="9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The unaudited pro forma combined information contained herein assumes that the ARYA’s shareholders approve the Business Combination. ARYA’s public shareholders may elect to redeem their public shares for cash even if they approve the Business Combination. ARYA cannot predict how many of its public shareholders will exercise their right to have their Class A ordinary shares redeemed for cash. As a result, New Nautilus has elected to provide the unaudited pro forma combined financial information under two different redemption scenarios, which produce different allocations of total New Nautilus equity between holders of the ordinary shares. As described in greater detail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of the unaudited pro forma combined financial information, the first scenario, or “no redemption scenario,” assumes that none of ARYA’s public shareholders will exercise their right to have their ARYA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two scenarios. However, there can be no assurance regarding which scenario will be closest to the actual results. Under both scenarios, Nautilus is considered the accounting acquirer, as further discussed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unaudited pro forma combined financial information.</w:t>
      </w:r>
    </w:p>
    <w:p>
      <w:pPr>
        <w:spacing w:after="0" w:line="11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audited historical financial statements of each of ARYA and Nautilus and the notes thereto, as well as the disclosures contained in the sections titled “</w:t>
      </w:r>
      <w:r>
        <w:rPr>
          <w:rFonts w:ascii="Arial" w:cs="Arial" w:eastAsia="Arial" w:hAnsi="Arial"/>
          <w:sz w:val="18"/>
          <w:szCs w:val="18"/>
          <w:i w:val="1"/>
          <w:iCs w:val="1"/>
          <w:color w:val="auto"/>
        </w:rPr>
        <w:t>ARYA’s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Nautilus’ 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ind w:left="380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As of December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No Redemption</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right="9"/>
              <w:spacing w:after="0"/>
              <w:rPr>
                <w:sz w:val="20"/>
                <w:szCs w:val="20"/>
                <w:color w:val="auto"/>
              </w:rPr>
            </w:pPr>
            <w:r>
              <w:rPr>
                <w:rFonts w:ascii="Arial" w:cs="Arial" w:eastAsia="Arial" w:hAnsi="Arial"/>
                <w:sz w:val="13"/>
                <w:szCs w:val="13"/>
                <w:b w:val="1"/>
                <w:bCs w:val="1"/>
                <w:color w:val="auto"/>
                <w:w w:val="90"/>
              </w:rPr>
              <w:t>Maximum Redemption</w:t>
            </w: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ARYA</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Nautilus</w:t>
            </w:r>
          </w:p>
        </w:tc>
        <w:tc>
          <w:tcPr>
            <w:tcW w:w="80" w:type="dxa"/>
            <w:vAlign w:val="bottom"/>
          </w:tcPr>
          <w:p>
            <w:pPr>
              <w:spacing w:after="0"/>
              <w:rPr>
                <w:sz w:val="10"/>
                <w:szCs w:val="10"/>
                <w:color w:val="auto"/>
              </w:rPr>
            </w:pPr>
          </w:p>
        </w:tc>
        <w:tc>
          <w:tcPr>
            <w:tcW w:w="80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29"/>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Note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4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Note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17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365,128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277,607</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(5,233)</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40,135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1,221</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79"/>
        </w:trPr>
        <w:tc>
          <w:tcPr>
            <w:tcW w:w="464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327,520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406,484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318,963</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held in Trust Account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Other long term assets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413,624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Current portion of operating lease liability</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86"/>
        </w:trPr>
        <w:tc>
          <w:tcPr>
            <w:tcW w:w="4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3,194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underwriting commissions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5,621</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6,490</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6,490</w:t>
            </w:r>
          </w:p>
        </w:tc>
        <w:tc>
          <w:tcPr>
            <w:tcW w:w="0" w:type="dxa"/>
            <w:vAlign w:val="bottom"/>
          </w:tcPr>
          <w:p>
            <w:pPr>
              <w:spacing w:after="0"/>
              <w:rPr>
                <w:sz w:val="1"/>
                <w:szCs w:val="1"/>
                <w:color w:val="auto"/>
              </w:rPr>
            </w:pPr>
          </w:p>
        </w:tc>
      </w:tr>
      <w:tr>
        <w:trPr>
          <w:trHeight w:val="17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Seed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Series A redeemable convertible preferred stock</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B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redeemable convertible preferred stock</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shares subject to possible redemption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H</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5"/>
              </w:rPr>
              <w:t>J</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71"/>
        </w:trPr>
        <w:tc>
          <w:tcPr>
            <w:tcW w:w="4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88"/>
        </w:trPr>
        <w:tc>
          <w:tcPr>
            <w:tcW w:w="4660" w:type="dxa"/>
            <w:vAlign w:val="bottom"/>
          </w:tcPr>
          <w:p>
            <w:pPr>
              <w:ind w:left="240"/>
              <w:spacing w:after="0"/>
              <w:rPr>
                <w:sz w:val="20"/>
                <w:szCs w:val="20"/>
                <w:color w:val="auto"/>
              </w:rPr>
            </w:pPr>
            <w:r>
              <w:rPr>
                <w:rFonts w:ascii="Arial" w:cs="Arial" w:eastAsia="Arial" w:hAnsi="Arial"/>
                <w:sz w:val="14"/>
                <w:szCs w:val="14"/>
                <w:color w:val="auto"/>
              </w:rPr>
              <w:t>Nautilus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Preference shares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common stock</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Class B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8"/>
              </w:rPr>
              <w:t>C</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437,444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(87,520)</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349,924</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(7,800)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199,998</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85"/>
              </w:rPr>
              <w:t>E</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140,236</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w w:val="92"/>
              </w:rPr>
              <w:t>F</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108,413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1"/>
              </w:rPr>
              <w:t>G</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 (deficit)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431,855</w:t>
            </w:r>
          </w:p>
        </w:tc>
        <w:tc>
          <w:tcPr>
            <w:tcW w:w="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407,134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1"/>
              </w:rPr>
              <w:t>(87,521)</w:t>
            </w: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319,613</w:t>
            </w:r>
          </w:p>
        </w:tc>
        <w:tc>
          <w:tcPr>
            <w:tcW w:w="0" w:type="dxa"/>
            <w:vAlign w:val="bottom"/>
          </w:tcPr>
          <w:p>
            <w:pPr>
              <w:spacing w:after="0"/>
              <w:rPr>
                <w:sz w:val="1"/>
                <w:szCs w:val="1"/>
                <w:color w:val="auto"/>
              </w:rPr>
            </w:pPr>
          </w:p>
        </w:tc>
      </w:tr>
      <w:tr>
        <w:trPr>
          <w:trHeight w:val="118"/>
        </w:trPr>
        <w:tc>
          <w:tcPr>
            <w:tcW w:w="4660" w:type="dxa"/>
            <w:vAlign w:val="bottom"/>
            <w:shd w:val="clear" w:color="auto" w:fill="CCEEFF"/>
          </w:tcPr>
          <w:p>
            <w:pPr>
              <w:ind w:left="440"/>
              <w:spacing w:after="0" w:line="119" w:lineRule="exact"/>
              <w:rPr>
                <w:sz w:val="20"/>
                <w:szCs w:val="20"/>
                <w:color w:val="auto"/>
              </w:rPr>
            </w:pPr>
            <w:r>
              <w:rPr>
                <w:rFonts w:ascii="Arial" w:cs="Arial" w:eastAsia="Arial" w:hAnsi="Arial"/>
                <w:sz w:val="13"/>
                <w:szCs w:val="13"/>
                <w:color w:val="auto"/>
              </w:rPr>
              <w:t>Total liabilities, redeemable convertible preferred stock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150,858</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6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413,624</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(87,521)</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stockholders’ equity (deficit)</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05" w:name="page206"/>
    <w:bookmarkEnd w:id="205"/>
    <w:p>
      <w:pPr>
        <w:spacing w:after="0" w:line="1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UNAUDITED PRO FORMA</w:t>
      </w:r>
    </w:p>
    <w:p>
      <w:pPr>
        <w:spacing w:after="0" w:line="5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COMBINED STATEMENT OF OPERATIONS</w:t>
      </w:r>
    </w:p>
    <w:p>
      <w:pPr>
        <w:spacing w:after="0" w:line="3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85"/>
              </w:rPr>
              <w:t>No Redemption</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rPr>
              <w:t>Maximum Redemption</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ARYA</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Nautilus</w:t>
            </w:r>
          </w:p>
        </w:tc>
        <w:tc>
          <w:tcPr>
            <w:tcW w:w="140" w:type="dxa"/>
            <w:vAlign w:val="bottom"/>
          </w:tcPr>
          <w:p>
            <w:pPr>
              <w:spacing w:after="0"/>
              <w:rPr>
                <w:sz w:val="10"/>
                <w:szCs w:val="10"/>
                <w:color w:val="auto"/>
              </w:rPr>
            </w:pPr>
          </w:p>
        </w:tc>
        <w:tc>
          <w:tcPr>
            <w:tcW w:w="920" w:type="dxa"/>
            <w:vAlign w:val="bottom"/>
          </w:tcPr>
          <w:p>
            <w:pPr>
              <w:jc w:val="center"/>
              <w:ind w:right="42"/>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92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Note</w:t>
            </w: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3"/>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Note</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(Historical)</w:t>
            </w:r>
          </w:p>
        </w:tc>
        <w:tc>
          <w:tcPr>
            <w:tcW w:w="14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4"/>
                <w:szCs w:val="14"/>
                <w:color w:val="auto"/>
              </w:rPr>
            </w:pPr>
          </w:p>
        </w:tc>
        <w:tc>
          <w:tcPr>
            <w:tcW w:w="92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12,432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12,432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15,744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AA</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98"/>
              </w:rPr>
              <w:t>(53)</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Weighted average shares outstanding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w w:val="98"/>
              </w:rPr>
              <w:t>124,482,062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115,729,962</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Basic and diluted net loss per share -</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14,950,000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A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Basic and diluted net loss per share - Class A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3,764,852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B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Basic and diluted net loss per share - Class B</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rPr>
              <w:t>Weighted average common shares</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8,017,976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outstanding, basic and diluted</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Net loss per common share, basic and diluted</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ARYA entered into the Business Combination Agreement with Nautilus. ARYA will change its jurisdiction of incorporation by deregistering as an exempted company in the Cayman Islands and continuing and domesticating as a corporation incorporated under the laws of the State of Delaware (the “Domestication”), upon which ARYA will change its name to “Nautilus Biotechnology, Inc.” (“New Nautilus”). Immediately after the Domestication, Mako Merger Sub, Inc. will merge with and into Nautilus, with Nautilus as the surviving company in the Merger and, after giving effect to such Merger, Nautilus shall be a wholly-owned subsidiary of New Nautilus. After giving effect to the Business Combination, New Nautilus will own, directly or indirectly, all of the issued and outstanding equity interests of Nautilus and the Nautilus equity holders will hold a portion of the common stock of New Nautilus.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the terms and conditions of the Business Combination Agreement, the consideration to be received by the Nautilus equity holders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Business Combination will be an aggregate number of shares of New Nautilus Common Stock equal to (i) $900.0 million plus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$24.9 million, which reflects the estimated aggregate exercise price of all options (whether vested or unvested) of Nautilus at the consummation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if such options were exercised in full (in each case, subject to certain downward adjustments set forth in the Business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divided by (ii) $10.00. In addition, immediately prior to the completion of the Business Combination, certain investors have agreed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subscribe for and purchase an aggregate of $200.0 million of common stock of New Nautilus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following summarizes the number of New Nautilus Common Stock outstanding following the consummation of the Business Combination and the PIPE Financing under the two scenarios, based on the estimated aggregate exercise price of all options (whether vested or unvested) of Nautilus at the consummation of the Business Combination excluding the potential dilutive effect of the exercise or vesting of stock options: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No redemption scenario</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Maximum redemption scenario</w:t>
            </w:r>
          </w:p>
        </w:tc>
      </w:tr>
      <w:tr>
        <w:trPr>
          <w:trHeight w:val="188"/>
        </w:trPr>
        <w:tc>
          <w:tcPr>
            <w:tcW w:w="4980" w:type="dxa"/>
            <w:vAlign w:val="bottom"/>
          </w:tcPr>
          <w:p>
            <w:pPr>
              <w:ind w:left="2120"/>
              <w:spacing w:after="0"/>
              <w:rPr>
                <w:sz w:val="20"/>
                <w:szCs w:val="20"/>
                <w:color w:val="auto"/>
              </w:rPr>
            </w:pPr>
            <w:r>
              <w:rPr>
                <w:rFonts w:ascii="Arial" w:cs="Arial" w:eastAsia="Arial" w:hAnsi="Arial"/>
                <w:sz w:val="14"/>
                <w:szCs w:val="14"/>
                <w:b w:val="1"/>
                <w:bCs w:val="1"/>
                <w:color w:val="auto"/>
              </w:rPr>
              <w:t>Shareholder</w:t>
            </w: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ARYA Class A Shareholders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6,696,900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Former ARYA Class B Sponsor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Perceptive PIPE Investor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PIPE Investors</w:t>
            </w: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Nautilus Shareholders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115,729,962</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4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accompanying unaudited pro forma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the Business Combination to be accounted for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110"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hold the majority of voting rights in New Nautilus;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have the right to appoint the majority of the directors on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Under the reverse recapitalization model, the Business Combination will be treated as Nautilus issuing equity for the net assets of ARYA, with no goodwill or intangible assets recorded.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combined financial information has been prepared using the assumptions below with respect to the potential redemption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ARYA’s Class A ordinary shares into cash:</w:t>
      </w:r>
    </w:p>
    <w:p>
      <w:pPr>
        <w:spacing w:after="0" w:line="153"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6"/>
          <w:szCs w:val="16"/>
          <w:color w:val="auto"/>
        </w:rPr>
      </w:pPr>
      <w:r>
        <w:rPr>
          <w:rFonts w:ascii="Arial" w:cs="Arial" w:eastAsia="Arial" w:hAnsi="Arial"/>
          <w:sz w:val="16"/>
          <w:szCs w:val="16"/>
          <w:b w:val="1"/>
          <w:bCs w:val="1"/>
          <w:color w:val="auto"/>
        </w:rPr>
        <w:t>Assuming No Redemption</w:t>
      </w:r>
      <w:r>
        <w:rPr>
          <w:rFonts w:ascii="Arial" w:cs="Arial" w:eastAsia="Arial" w:hAnsi="Arial"/>
          <w:sz w:val="16"/>
          <w:szCs w:val="16"/>
          <w:color w:val="auto"/>
        </w:rPr>
        <w:t>: This presentation assumes that no ARYA shareholders exercise redemption rights with respect to their public shares.</w:t>
      </w:r>
    </w:p>
    <w:p>
      <w:pPr>
        <w:spacing w:after="0" w:line="194"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Assuming Maximum Redemption</w:t>
      </w:r>
      <w:r>
        <w:rPr>
          <w:rFonts w:ascii="Arial" w:cs="Arial" w:eastAsia="Arial" w:hAnsi="Arial"/>
          <w:sz w:val="18"/>
          <w:szCs w:val="18"/>
          <w:color w:val="auto"/>
        </w:rPr>
        <w:t>: This presentation assumes that 8,752,100 ARYA’s public shareholders exercise redemption rights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Class A ordinary shares. This scenario assumes that 8,752,100 Class A ordinary shares are redeemed for an aggregate redemption payment of approximately $87.5 million at an assumed redemption price of approximately $10.0 per share. This maximum redemption scenario is based on the maximum number of redemptions which may occur but which would still provide the minimum aggregate Business Combination and PIPE Financing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combined financial information will be different.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New Nautilus expects to assume outstanding and unexercised equity awards for employees and convert them into New Nautilus equity awards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Balance Sheet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adjustments included in the unaudited pro forma combined balance sheet as of December 31, 2020 are as follows:</w:t>
      </w:r>
    </w:p>
    <w:p>
      <w:pPr>
        <w:spacing w:after="0" w:line="171" w:lineRule="exact"/>
        <w:rPr>
          <w:sz w:val="20"/>
          <w:szCs w:val="20"/>
          <w:color w:val="auto"/>
        </w:rPr>
      </w:pPr>
    </w:p>
    <w:p>
      <w:pPr>
        <w:ind w:right="40" w:firstLine="332"/>
        <w:spacing w:after="0" w:line="277"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liquidation and reclassification of $149.6 million of investments held in the Trust Account to cash and cash equivalents that becomes available for general use by New Nautilus following the Closing, assuming no redemption.</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payment of $5.2 million of deferred underwriters’ fees incurred during ARYA’s IPO due upon the Closing.</w:t>
      </w:r>
    </w:p>
    <w:p>
      <w:pPr>
        <w:spacing w:after="0" w:line="171" w:lineRule="exact"/>
        <w:rPr>
          <w:rFonts w:ascii="Arial" w:cs="Arial" w:eastAsia="Arial" w:hAnsi="Arial"/>
          <w:sz w:val="18"/>
          <w:szCs w:val="18"/>
          <w:color w:val="auto"/>
        </w:rPr>
      </w:pPr>
    </w:p>
    <w:p>
      <w:pPr>
        <w:ind w:right="220" w:firstLine="332"/>
        <w:spacing w:after="0" w:line="308" w:lineRule="auto"/>
        <w:tabs>
          <w:tab w:leader="none" w:pos="68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Represents preliminary estimated direct and incremental transaction costs of $9.0 million incurred by Nautilus prior to, or concurrent with, the Closing. As of December 31, 2020, Nautilus had deferred transaction costs incurred of $0.2 million, of which $0.2 million was unpaid.</w:t>
      </w:r>
    </w:p>
    <w:p>
      <w:pPr>
        <w:spacing w:after="0" w:line="92" w:lineRule="exact"/>
        <w:rPr>
          <w:rFonts w:ascii="Arial" w:cs="Arial" w:eastAsia="Arial" w:hAnsi="Arial"/>
          <w:sz w:val="17"/>
          <w:szCs w:val="17"/>
          <w:color w:val="auto"/>
        </w:rPr>
      </w:pPr>
    </w:p>
    <w:p>
      <w:pPr>
        <w:ind w:right="380" w:firstLine="332"/>
        <w:spacing w:after="0" w:line="263"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Represents preliminary estimated direct and incremental transaction costs of $7.8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w:t>
      </w:r>
    </w:p>
    <w:p>
      <w:pPr>
        <w:spacing w:after="0" w:line="129" w:lineRule="exact"/>
        <w:rPr>
          <w:rFonts w:ascii="Arial" w:cs="Arial" w:eastAsia="Arial" w:hAnsi="Arial"/>
          <w:sz w:val="18"/>
          <w:szCs w:val="18"/>
          <w:color w:val="auto"/>
        </w:rPr>
      </w:pPr>
    </w:p>
    <w:p>
      <w:pPr>
        <w:ind w:right="300" w:firstLine="332"/>
        <w:spacing w:after="0" w:line="277" w:lineRule="auto"/>
        <w:tabs>
          <w:tab w:leader="none" w:pos="64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Reflects the reclassification of Class A Common Stock subject to possible redemption to permanent equity immediately prior to the Closing.</w:t>
      </w:r>
    </w:p>
    <w:p>
      <w:pPr>
        <w:spacing w:after="0" w:line="182" w:lineRule="exact"/>
        <w:rPr>
          <w:rFonts w:ascii="Arial" w:cs="Arial" w:eastAsia="Arial" w:hAnsi="Arial"/>
          <w:sz w:val="17"/>
          <w:szCs w:val="17"/>
          <w:color w:val="auto"/>
        </w:rPr>
      </w:pPr>
    </w:p>
    <w:p>
      <w:pPr>
        <w:ind w:right="320" w:firstLine="332"/>
        <w:spacing w:after="0" w:line="277" w:lineRule="auto"/>
        <w:tabs>
          <w:tab w:leader="none" w:pos="6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conversion of Nautilus redeemable convertible preferred stock into New Nautilus Common Stock pursuant to the conversion rate effective immediately prior to the Effective Time.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conversion of 3,737,500 ARYA shares of Class B Common Stock into shares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net share settlement of Nautilus common stock warrants upon closing of the Business Combination.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Represents the recapitalization of common shares between Nautilus Common Stock, New Nautilus Common Stock and additional paid-in capital.</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Reflects the elimination of ARYA’s historical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8" w:name="page209"/>
    <w:bookmarkEnd w:id="208"/>
    <w:p>
      <w:pPr>
        <w:spacing w:after="0" w:line="144" w:lineRule="exact"/>
        <w:rPr>
          <w:sz w:val="20"/>
          <w:szCs w:val="20"/>
          <w:color w:val="auto"/>
        </w:rPr>
      </w:pPr>
    </w:p>
    <w:p>
      <w:pPr>
        <w:ind w:right="200" w:firstLine="332"/>
        <w:spacing w:after="0" w:line="308" w:lineRule="auto"/>
        <w:tabs>
          <w:tab w:leader="none" w:pos="64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Represents the maximum redemption scenario in which 8,752,100 shares of Class A Common Stock are redeemed for $87.5 million allocated to common stock and additional paid-in capital, using a par value of $0.0001 per share at a redemption price of $10.00 per share.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Statement of Operations for the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adjustments included in the unaudited pro forma combined statement of operations for the year ended December 31, 2020 are as follows: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AA.  Represents the elimination of investment income related to the investments held in the ARYA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w:t>
      </w:r>
    </w:p>
    <w:p>
      <w:pPr>
        <w:spacing w:after="0" w:line="17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 Under the maximum redemption scenario, the shares of Class A Common Stock assumed to be redeemed by ARYA public stockholders are eliminated as of January 1,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combined financial information has been prepared assuming the no redemption and maximum redemption scenarios: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80" w:type="dxa"/>
            <w:vAlign w:val="bottom"/>
          </w:tcPr>
          <w:p>
            <w:pPr>
              <w:spacing w:after="0"/>
              <w:rPr>
                <w:sz w:val="14"/>
                <w:szCs w:val="14"/>
                <w:color w:val="auto"/>
              </w:rPr>
            </w:pPr>
          </w:p>
        </w:tc>
      </w:tr>
      <w:tr>
        <w:trPr>
          <w:trHeight w:val="188"/>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r>
      <w:tr>
        <w:trPr>
          <w:trHeight w:val="182"/>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Redemption</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Maximum Redemption</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115,729,962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per share -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56"/>
        </w:trPr>
        <w:tc>
          <w:tcPr>
            <w:tcW w:w="8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Former ARYA Class A shareholders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6,696,900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ARYA Class B Sponsor Shares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Perceptive PIPE Investor</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PIPE Investors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Former Nautilus Shareholders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85,295,562</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115,729,962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ARYA</w:t>
      </w:r>
    </w:p>
    <w:p>
      <w:pPr>
        <w:spacing w:after="0" w:line="175"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the issuance of New Nautilus Common Stock.</w:t>
      </w:r>
    </w:p>
    <w:p>
      <w:pPr>
        <w:spacing w:after="0" w:line="10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 On August 11, 2020, we consummated an initial public offering of 14,950,000 Class A ordinary shares at an offering price of $10.00 per share, and a private placement with Sponsor of 499,000 private placement shares at an offering price of $10.00 per share.</w:t>
      </w:r>
    </w:p>
    <w:p>
      <w:pPr>
        <w:spacing w:after="0" w:line="12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Following the closing of our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 (i) the completion of our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subject to applicable law.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of August 11, 2020, we had approximately $149.5 million held in the trust account, not taking into account payment of $5,232,500 of deferred underwriting fees.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ARYA’s cash, debt or equity securities, or a combination of the foregoing, we have the flexibility to use the most efficient combination that will allow us to tailor the consideration to be paid to the target business to fit its needs and desires.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Nasdaq Listing Rules require that our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board of directors determined that this test was met in connection with the proposed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7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17" w:lineRule="exact"/>
        <w:rPr>
          <w:sz w:val="20"/>
          <w:szCs w:val="20"/>
          <w:color w:val="auto"/>
        </w:rPr>
      </w:pPr>
    </w:p>
    <w:p>
      <w:pPr>
        <w:ind w:left="660" w:right="460" w:hanging="328"/>
        <w:spacing w:after="0" w:line="277"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the Business Combination</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are providing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was approximately $10.00 per public share as of April 1, 2021. The per share amount we will distribute to shareholders who properly redeem their shares will not be reduced by the deferred underwriting commissions that we will pay to the underwriters of our initial public offering, but will be payable only to the extent there are funds legally available therefor. The redemption rights include the requirement that a beneficial holder must identify itself in writing as a beneficial holders and provide its legal name, phone number and address to the Transfer Agent in order to validly redeem its shares. Further, we will not proceed with redeeming our public shares, even if a public shareholder has properly elected to redeem its shares, if the Business Combination does not close. The Redemptions referred to herein shall take effect as repurchases under the Existing Governing Documents.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Redemption Rights</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Notwithstanding the foregoing, the Existing Governing Documents provide that in no event will we redeem our public shares in an amount that would cause our net tangible assets to be less than $5,000,001 (so that we do not then become subject to the SEC’s “penny stock” rules).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of Public Shares and Liquidation if No Business Combination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until August 11, 2022 to complete a business combination. If we are unable to consummate an initial business combination by August 11,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redemption, subject to the approval of our remaining shareholders and our board of directors, liquidate and dissolve, subject in the case of clauses (ii) and</w:t>
      </w:r>
    </w:p>
    <w:p>
      <w:pPr>
        <w:spacing w:after="0" w:line="46" w:lineRule="exact"/>
        <w:rPr>
          <w:sz w:val="20"/>
          <w:szCs w:val="20"/>
          <w:color w:val="auto"/>
        </w:rPr>
      </w:pPr>
    </w:p>
    <w:p>
      <w:pPr>
        <w:ind w:right="120" w:firstLine="8"/>
        <w:spacing w:after="0" w:line="253" w:lineRule="auto"/>
        <w:tabs>
          <w:tab w:leader="none" w:pos="3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our obligations under Cayman Islands law to provide for claims of creditors and the requirements of other applicable law. The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3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by August 11, 2022 (although they will be entitled to liquidating distributions from the trust account with respect to any public shares they hold if we fail to complete our initial business combination by August 11, 2022).</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Sponsor, executive officers and directors have agreed, pursuant to a written agreement with us, that they will not propose any amendment to the Existing Governing Documents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proceeds of our initial public offering held outside the trust account plus up to $100,000 of funds from the trust account available to us to pay dissolution expenses, although we cannot assure you that there will be sufficient funds for such purpose.</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3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to be significantly superior to those of other consultants that would agree to execute a waiver or in cases where management is unable to find a service provider willing to execute a waiver.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2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2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August 11, 2020, we had access to up to $149.5 million from the proceeds of the initial public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3" w:name="page214"/>
    <w:bookmarkEnd w:id="213"/>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Factors—Risks Related to the Business Combination and ARYA—If, after we distribute the proceeds in the trust account to our public</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and directors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65</w:t>
            </w:r>
          </w:p>
        </w:tc>
        <w:tc>
          <w:tcPr>
            <w:tcW w:w="100" w:type="dxa"/>
            <w:vAlign w:val="bottom"/>
            <w:tcBorders>
              <w:top w:val="single" w:sz="8" w:color="CCEEFF"/>
            </w:tcBorders>
            <w:shd w:val="clear" w:color="auto" w:fill="CCEEFF"/>
          </w:tcPr>
          <w:p>
            <w:pPr>
              <w:spacing w:after="0"/>
              <w:rPr>
                <w:sz w:val="19"/>
                <w:szCs w:val="19"/>
                <w:color w:val="auto"/>
              </w:rPr>
            </w:pPr>
          </w:p>
        </w:tc>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Adam Stone</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Konstantin Poukalov</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Bradley L. Campbell</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Joseph Edelman </w:t>
      </w:r>
      <w:r>
        <w:rPr>
          <w:rFonts w:ascii="Arial" w:cs="Arial" w:eastAsia="Arial" w:hAnsi="Arial"/>
          <w:sz w:val="16"/>
          <w:szCs w:val="16"/>
          <w:color w:val="auto"/>
        </w:rPr>
        <w:t>serves as the Chairman of our board of directors. Mr. Edelman is Founder, Chief Executive Officer and Portfolio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1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believe that Mr. Edelman’s broad operational and transactional experience make him well qualified to serve as the Chairman of our board of directors.</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Adam Stone </w:t>
      </w:r>
      <w:r>
        <w:rPr>
          <w:rFonts w:ascii="Arial" w:cs="Arial" w:eastAsia="Arial" w:hAnsi="Arial"/>
          <w:sz w:val="17"/>
          <w:szCs w:val="17"/>
          <w:color w:val="auto"/>
        </w:rPr>
        <w:t>serves as our Chief Executive Officer and is a member of our board of directors. Mr. Stone joined Perceptive Advisors in 2006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pharmaceuticals. During Mr. Stone’s tenure at Ursus Capital, Mr. Stone focused on biotech and specialty pharmaceuticals. Mr. Stone graduated with honors from Princeton University with a BA in molecular biology.</w:t>
      </w:r>
    </w:p>
    <w:p>
      <w:pPr>
        <w:spacing w:after="0" w:line="1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that Mr. Stone’s broad operational and transactional experience, and his position as Chief Executive Officer, make him well qualified to serve on our board of directors.</w:t>
      </w:r>
    </w:p>
    <w:p>
      <w:pPr>
        <w:spacing w:after="0" w:line="11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our Chief Financial Officer and a member of our board of directors, joined Perceptive Advisors in 2007, is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Mr. Altman’s broad operational and transactional experience make him well qualified to serve on our board of directors.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Konstantin Poukalov</w:t>
      </w:r>
      <w:r>
        <w:rPr>
          <w:rFonts w:ascii="Arial" w:cs="Arial" w:eastAsia="Arial" w:hAnsi="Arial"/>
          <w:sz w:val="16"/>
          <w:szCs w:val="16"/>
          <w:color w:val="auto"/>
        </w:rPr>
        <w:t>, our Chief Business Officer, joined Perceptive Advisors in 2019 and is a Managing Director at Perceptive Advisors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1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Todd Wider </w:t>
      </w:r>
      <w:r>
        <w:rPr>
          <w:rFonts w:ascii="Arial" w:cs="Arial" w:eastAsia="Arial" w:hAnsi="Arial"/>
          <w:sz w:val="16"/>
          <w:szCs w:val="16"/>
          <w:color w:val="auto"/>
        </w:rPr>
        <w:t>has served on our board of directors since August 2020. Dr. Wider is the Executive Chairman and Chief Medical Officer of Emendo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Dr. Wider’s experience in the healthcare and life sciences industries make him well qualified to serve on our board of directors.</w:t>
      </w:r>
    </w:p>
    <w:p>
      <w:pPr>
        <w:spacing w:after="0" w:line="1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Bradley L. Campbell </w:t>
      </w:r>
      <w:r>
        <w:rPr>
          <w:rFonts w:ascii="Arial" w:cs="Arial" w:eastAsia="Arial" w:hAnsi="Arial"/>
          <w:sz w:val="18"/>
          <w:szCs w:val="18"/>
          <w:color w:val="auto"/>
        </w:rPr>
        <w:t>has served on our board of directors since August 2020. He has nearly 20 years of experience in the orphan drug industry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Mr. Campbell’s experience in the healthcare and life sciences industries make him well qualified to serve on our board of directors.</w:t>
      </w:r>
    </w:p>
    <w:p>
      <w:pPr>
        <w:spacing w:after="0" w:line="19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Saqib Islam </w:t>
      </w:r>
      <w:r>
        <w:rPr>
          <w:rFonts w:ascii="Arial" w:cs="Arial" w:eastAsia="Arial" w:hAnsi="Arial"/>
          <w:sz w:val="16"/>
          <w:szCs w:val="16"/>
          <w:color w:val="auto"/>
        </w:rPr>
        <w:t>has served on our board of directors since August 2020. Mr. Islam has also served as the Chief Executive Officer and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12" w:lineRule="exact"/>
        <w:rPr>
          <w:sz w:val="20"/>
          <w:szCs w:val="20"/>
          <w:color w:val="auto"/>
        </w:rPr>
      </w:pPr>
    </w:p>
    <w:p>
      <w:pPr>
        <w:ind w:right="600" w:firstLine="324"/>
        <w:spacing w:after="0" w:line="438" w:lineRule="auto"/>
        <w:rPr>
          <w:sz w:val="20"/>
          <w:szCs w:val="20"/>
          <w:color w:val="auto"/>
        </w:rPr>
      </w:pPr>
      <w:r>
        <w:rPr>
          <w:rFonts w:ascii="Arial" w:cs="Arial" w:eastAsia="Arial" w:hAnsi="Arial"/>
          <w:sz w:val="18"/>
          <w:szCs w:val="18"/>
          <w:color w:val="auto"/>
        </w:rPr>
        <w:t xml:space="preserve">We believe that Mr. Islam’s experience in the healthcare and life sciences industries make him well qualified to serve on our board of directors. </w:t>
      </w:r>
      <w:r>
        <w:rPr>
          <w:rFonts w:ascii="Arial" w:cs="Arial" w:eastAsia="Arial" w:hAnsi="Arial"/>
          <w:sz w:val="18"/>
          <w:szCs w:val="18"/>
          <w:b w:val="1"/>
          <w:bCs w:val="1"/>
          <w:color w:val="auto"/>
        </w:rPr>
        <w:t>Number and Terms of Office of Officers and Directors</w:t>
      </w:r>
    </w:p>
    <w:p>
      <w:pPr>
        <w:spacing w:after="0" w:line="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Our board of directors is divided into three classes (Class I, II and III). Only one class of directors will be elected in each year, and each class (except for those directors appointed prior to our first annual general meeting of shareholders) will serve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spacing w:after="0" w:line="12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an agreement to be entered into prior to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30"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the Existing Governing Documents as it deems appropriate. The Existing Governing Documents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established an audit committee of the board of directors. Todd Wider, Bradley L. Campbell and Saqib Islam serve as members of our audit committee. Our board of directors has determined that each of Todd Wider, Bradley L. Campbell and Saqib Islam are independent. Todd Wider serves as the 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w:t>
      </w:r>
    </w:p>
    <w:p>
      <w:pPr>
        <w:spacing w:after="0" w:line="171" w:lineRule="exact"/>
        <w:rPr>
          <w:sz w:val="20"/>
          <w:szCs w:val="20"/>
          <w:color w:val="auto"/>
        </w:rPr>
      </w:pPr>
    </w:p>
    <w:p>
      <w:pPr>
        <w:ind w:left="66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71"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16"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spacing w:after="0" w:line="69" w:lineRule="exact"/>
        <w:rPr>
          <w:rFonts w:ascii="Arial" w:cs="Arial" w:eastAsia="Arial" w:hAnsi="Arial"/>
          <w:sz w:val="16"/>
          <w:szCs w:val="16"/>
          <w:color w:val="auto"/>
        </w:rPr>
      </w:pPr>
    </w:p>
    <w:p>
      <w:pPr>
        <w:jc w:val="both"/>
        <w:ind w:left="660" w:right="540" w:hanging="328"/>
        <w:spacing w:after="0" w:line="263"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established a nominating committee of our board of directors. The members of our nominating committee are Todd Wider, Bradley L. Campbell and Saqib Islam, and Chad Robins serves as chairman of the nominating committee. Our board of directors has determined that each of Todd Wider, Bradley L. Campbell and Saqib Islam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7" w:name="page218"/>
    <w:bookmarkEnd w:id="217"/>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guidelines for selecting nominees, which are specified in a charter adopted by us, generally provide that persons to be nominated:</w:t>
      </w:r>
    </w:p>
    <w:p>
      <w:pPr>
        <w:spacing w:after="0" w:line="171" w:lineRule="exact"/>
        <w:rPr>
          <w:sz w:val="20"/>
          <w:szCs w:val="20"/>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1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established a compensation committee of our board of directors. The members of our compensation committee are Todd Wider, Bradley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Campbell and Saqib Islam, and Jake Bauer serves as chairman of the compensation committee.</w:t>
      </w:r>
    </w:p>
    <w:p>
      <w:pPr>
        <w:spacing w:after="0" w:line="15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board of directors has determined that each of Todd Wider, Bradley L. Campbell and Saqib Islam are independent. We adopted a compensation committee charter, which details the principal functions of the compensation committee, including:</w:t>
      </w:r>
    </w:p>
    <w:p>
      <w:pPr>
        <w:spacing w:after="0" w:line="116" w:lineRule="exact"/>
        <w:rPr>
          <w:sz w:val="20"/>
          <w:szCs w:val="20"/>
          <w:color w:val="auto"/>
        </w:rPr>
      </w:pPr>
    </w:p>
    <w:p>
      <w:pPr>
        <w:ind w:left="660" w:right="40" w:hanging="328"/>
        <w:spacing w:after="0" w:line="263"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advice from a compensation consultant, external legal counsel or any other adviser, the compensation committee will consider the independence of each such adviser, including the factors required by Nasdaq and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Under Cayman Islands law, directors and officers of a Cayman Islands company owe certain duties to the company, including, but not limited to, the following fiduciary duties:</w:t>
      </w:r>
    </w:p>
    <w:p>
      <w:pPr>
        <w:spacing w:after="0" w:line="116"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71"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19" w:name="page220"/>
    <w:bookmarkEnd w:id="219"/>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680" w:type="dxa"/>
            <w:vAlign w:val="bottom"/>
          </w:tcPr>
          <w:p>
            <w:pPr>
              <w:ind w:left="10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780" w:type="dxa"/>
            <w:vAlign w:val="bottom"/>
            <w:gridSpan w:val="2"/>
          </w:tcPr>
          <w:p>
            <w:pPr>
              <w:ind w:left="620"/>
              <w:spacing w:after="0"/>
              <w:rPr>
                <w:sz w:val="20"/>
                <w:szCs w:val="20"/>
                <w:color w:val="auto"/>
              </w:rPr>
            </w:pPr>
            <w:r>
              <w:rPr>
                <w:rFonts w:ascii="Arial" w:cs="Arial" w:eastAsia="Arial" w:hAnsi="Arial"/>
                <w:sz w:val="14"/>
                <w:szCs w:val="14"/>
                <w:b w:val="1"/>
                <w:bCs w:val="1"/>
                <w:color w:val="auto"/>
              </w:rPr>
              <w:t>ENTITY’S BUSINESS</w:t>
            </w:r>
          </w:p>
        </w:tc>
        <w:tc>
          <w:tcPr>
            <w:tcW w:w="2720" w:type="dxa"/>
            <w:vAlign w:val="bottom"/>
          </w:tcPr>
          <w:p>
            <w:pPr>
              <w:ind w:left="88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175"/>
        </w:trPr>
        <w:tc>
          <w:tcPr>
            <w:tcW w:w="28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Perceptive Advisors, LLC</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Hedge Fund</w:t>
            </w:r>
          </w:p>
        </w:tc>
        <w:tc>
          <w:tcPr>
            <w:tcW w:w="1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9"/>
                <w:szCs w:val="19"/>
                <w:color w:val="auto"/>
              </w:rPr>
            </w:pPr>
          </w:p>
        </w:tc>
        <w:tc>
          <w:tcPr>
            <w:tcW w:w="2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Manager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80" w:type="dxa"/>
            <w:vAlign w:val="bottom"/>
            <w:gridSpan w:val="2"/>
            <w:vMerge w:val="continue"/>
            <w:shd w:val="clear" w:color="auto" w:fill="CCEEFF"/>
          </w:tcPr>
          <w:p>
            <w:pPr>
              <w:spacing w:after="0"/>
              <w:rPr>
                <w:sz w:val="15"/>
                <w:szCs w:val="15"/>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Adam Stone</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Solid Biosciences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Renovia</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Xontogeny</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Immatics N.V.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Vitruvius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Lyra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Konstantin Poukalov</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Lyra Therapeutics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Landos Biopharma,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LianBio</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Abeona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Emendo Biotherapeutics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Bradley L. Campbell</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Amicus Therapeutics,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w w:val="95"/>
              </w:rPr>
              <w:t>Alliance for Regenerative Medicine</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 and Cell Therapy Trade</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(ARM)</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SpringWorks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Passage Bio,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Silverback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right="20" w:hanging="328"/>
        <w:spacing w:after="0" w:line="25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jc w:val="both"/>
        <w:ind w:left="660" w:right="20" w:hanging="328"/>
        <w:spacing w:after="0" w:line="311" w:lineRule="auto"/>
        <w:tabs>
          <w:tab w:leader="none" w:pos="65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4" w:lineRule="exact"/>
        <w:rPr>
          <w:sz w:val="20"/>
          <w:szCs w:val="20"/>
          <w:color w:val="auto"/>
        </w:rPr>
      </w:pPr>
    </w:p>
    <w:p>
      <w:pPr>
        <w:ind w:left="660" w:right="100"/>
        <w:spacing w:after="0" w:line="285" w:lineRule="auto"/>
        <w:rPr>
          <w:sz w:val="20"/>
          <w:szCs w:val="20"/>
          <w:color w:val="auto"/>
        </w:rPr>
      </w:pPr>
      <w:r>
        <w:rPr>
          <w:rFonts w:ascii="Arial" w:cs="Arial" w:eastAsia="Arial" w:hAnsi="Arial"/>
          <w:sz w:val="16"/>
          <w:szCs w:val="16"/>
          <w:color w:val="auto"/>
        </w:rPr>
        <w:t>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the Existing Governing Documents (A) that would modify the substance or timing of our obligation to provide holders of our public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or private placement shares directly or indirectly, they may have a conflict of interest in determining whether a particular target business is an appropriate business with which to effectuate our initial business combination.</w:t>
      </w:r>
    </w:p>
    <w:p>
      <w:pPr>
        <w:spacing w:after="0" w:line="120" w:lineRule="exact"/>
        <w:rPr>
          <w:sz w:val="20"/>
          <w:szCs w:val="20"/>
          <w:color w:val="auto"/>
        </w:rPr>
      </w:pPr>
    </w:p>
    <w:p>
      <w:pPr>
        <w:ind w:left="660" w:hanging="328"/>
        <w:spacing w:after="0" w:line="263" w:lineRule="auto"/>
        <w:tabs>
          <w:tab w:leader="none" w:pos="6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since the consummation of our initial public offering, we reimburse an affiliate of our Sponsor for office space, secretarial and administrative services provided to us in the amount of $10,000 per month.</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has agreed to vote its founder shares, and it and the members of our management team have agreed to vote any shares purchased during or after the offering, in favor of our initial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willful neglect, civil fraud or the consequences of committing a crime. The Existing Governing Documents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3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Director Compensation and Other Interests</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July 2020, our Sponsor transferred 30,000 Class B ordinary shares to each of Messrs. Wider, Campbell and Islam. None of our executive officers or directors have received any cash compensation for services rendered to us. Since the consummation of our initial public offering and until the earlier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Sponsor, executive officers and directors, or any of their respective affiliates, prior to completion of our initial business combination.</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New Nautilus.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New Nautilus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ARYA or its subsidiaries or any other individual having a relationship with ARYA which in the opinion of the ARYA Board,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have regularly scheduled meetings at which only independent directors are present.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or to our knowledge, threatened against us or any members of our management team in their capacity as such.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 Upon consummation of the Business Combination, the principal executive offices of New Nautilus will be located at 425 Pontius Ave N, Ste 202, Seattle, WA 98109.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ARYA has registered its securities under the Exchange Act and has reporting obligations, including the requirement to file annual and quarterly reports with the SEC. In accordance with the requirements of the Exchange Act, ARYA’s annual reports contain financial statements audited and reported on by ARYA’s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required to evaluate our internal control procedures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23"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Cayman Islands Companies Act. As an exempted company, we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1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4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ARYA’S MANAGEMENT’S DISCUSSION AND ANALYSIS OF FINANCIAL CONDITION AND RESULTS OF OPERATIONS</w:t>
      </w:r>
    </w:p>
    <w:p>
      <w:pPr>
        <w:spacing w:after="0" w:line="17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Unless the context otherwise requires, all references in this section to the “Company,” “ARYA,” “we,” “us” or “our” refer to ARYA prior to the consummation of the Business Combination. The following discussion and analysis of ARYA’s financial condition and results of operations should be read in conjunction with ARYA’s consolidated financial statements and notes to those statements included in this proxy statement/prospectus.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Our sponsor is ARYA Sciences Holdings III, a Cayman Islands exempted limited company.</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117"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(the “private placement”) of 499,000 private placement shares, at a price of $10.00 per private placement share to our sponsor, generating gross proceeds of approximately $5.0 million.</w:t>
      </w:r>
    </w:p>
    <w:p>
      <w:pPr>
        <w:spacing w:after="0" w:line="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Upon the closing of the initial public offering and the private placement, $149.5 million ($10.00 per Unit) of the net proceeds of the initial public offering and certain of the proceeds of the private placement were placed in a trust account, located in the United States at J.P. Morgan Chase Bank, N.A., with Continental Stock Transfer &amp; Trust Company acting as trustee, and are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3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reviewed a number of opportunities to enter into a business combination with an operating business, and entered into the Business Combination Agreement on February 7, 2021. We intend to finance the Business Combination through a combination of (i) shares of New Nautilus Common Stock issued to the equityholders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Nautilus, (ii) cash held in the trust account net of redemptions and deferred underwriting discounts and (iii) gross proceeds from the PIPE Financing.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71" w:lineRule="exact"/>
        <w:rPr>
          <w:sz w:val="20"/>
          <w:szCs w:val="20"/>
          <w:color w:val="auto"/>
        </w:rPr>
      </w:pPr>
    </w:p>
    <w:p>
      <w:pPr>
        <w:ind w:left="660" w:hanging="328"/>
        <w:spacing w:after="0" w:line="263"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16" w:lineRule="exact"/>
        <w:rPr>
          <w:rFonts w:ascii="Arial" w:cs="Arial" w:eastAsia="Arial" w:hAnsi="Arial"/>
          <w:sz w:val="18"/>
          <w:szCs w:val="18"/>
          <w:color w:val="auto"/>
        </w:rPr>
      </w:pPr>
    </w:p>
    <w:p>
      <w:pPr>
        <w:jc w:val="both"/>
        <w:ind w:left="660" w:right="440" w:hanging="328"/>
        <w:spacing w:after="0" w:line="342" w:lineRule="auto"/>
        <w:tabs>
          <w:tab w:leader="none" w:pos="6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71"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194" w:lineRule="exact"/>
        <w:rPr>
          <w:rFonts w:ascii="Arial" w:cs="Arial" w:eastAsia="Arial" w:hAnsi="Arial"/>
          <w:sz w:val="16"/>
          <w:szCs w:val="16"/>
          <w:color w:val="auto"/>
        </w:rPr>
      </w:pPr>
    </w:p>
    <w:p>
      <w:pPr>
        <w:ind w:left="660" w:right="560" w:hanging="328"/>
        <w:spacing w:after="0" w:line="342" w:lineRule="auto"/>
        <w:tabs>
          <w:tab w:leader="none" w:pos="65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As of December 31, 2020, we had approximately $1.0 million in cash held outside of the trust account, approximately $149.6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For the year ended December 31, 2020, we had a net loss of approximately $523,000, which consisted of approximately $576,000 in general and administrative expenses partially offset by approximately $53,000 of net gains, dividends and interest on investments held in trust account.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2020, we had approximately $1.0 million in our operating bank account, and working capital of approximately $916,000.</w:t>
      </w:r>
    </w:p>
    <w:p>
      <w:pPr>
        <w:spacing w:after="0" w:line="18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spacing w:after="0" w:line="10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continue to evaluate the impact of the COVID-19 pandemic and have concluded that the specific impact is not readily determinable as of the date of the balance sheet included in our financial statements included elsewhere in this proxy statement/prospectus. Our financial statements do not include any adjustments that might result from the outcome of this uncertainty.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April 2, 2020,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of our initial public offering, so that the founder shares would represent 20.0% of our issued and outstanding ordinary shares (excluding the private placement shares) after our initial public offering. The underwriters of our initial public offering fully exercised the over-allotment option on August 11, 2020; thus, these 487,500 founder shares were no longer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14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holders of our founder shares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Simultaneously with the closing of our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our initial business combination. A portion of the proceeds from the private placement shares was added to the proceeds from our initial public offering held in the trust account.</w:t>
      </w:r>
    </w:p>
    <w:p>
      <w:pPr>
        <w:spacing w:after="0" w:line="13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sponsor and our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p>
    <w:p>
      <w:pPr>
        <w:spacing w:after="0" w:line="13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approximately $48,000 for these services and are included in general and administrative expenses in the accompanying statement of operations for the period from March 27, 2020 (inception) through December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Contractual Obligations</w:t>
      </w:r>
    </w:p>
    <w:p>
      <w:pPr>
        <w:spacing w:after="0" w:line="17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for an agreement to pay our sponsor fees of $10,000 per month for administrative support services and as described above.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holders of founder shares, private placement shares, and securities that may be issued upon conversion of working capital loans, if any, are entitled to registration rights pursuant to a registration and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granted the underwriters of our initial public offering a 45-day option from the final prospectus relating to our initial public offering to purchase up to 1,950,000 additional public shares to cover over-allotments at the initial public offering price less the underwriting discounts and commissions. The underwriters fully exercised the over-allotment option on August 11, 2020.</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net proceeds of the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 Held in Trust Account</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we were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9" w:name="page230"/>
    <w:bookmarkEnd w:id="229"/>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asset values (“NAV”), in which case the Company uses NAV as a practical expedient to fair value. The NAV on these investments is typically held constant at $1.00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periods. Our statement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executive officer compensation to median employee compensation. These exemptions will apply for a period of five years following the completion of our initial public offering or until we are no longer an “emerging growth company,” whichever is earlier.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NAUTILUS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detecting and quantifying the human proteome were as simple and easy as detecting an entire human genome, we believe a new set of questions could be asked:</w:t>
      </w:r>
    </w:p>
    <w:p>
      <w:pPr>
        <w:spacing w:after="0" w:line="116"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1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organization is driven by the pursuit of deep, hard science, and our Scientific Advisory Board is comprised of world-renowned scientific leaders that support our 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jc w:val="both"/>
        <w:ind w:left="660" w:right="220" w:hanging="328"/>
        <w:spacing w:after="0" w:line="311" w:lineRule="auto"/>
        <w:tabs>
          <w:tab w:leader="none" w:pos="655" w:val="left"/>
        </w:tabs>
        <w:numPr>
          <w:ilvl w:val="0"/>
          <w:numId w:val="2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disruptive proteomics technology. </w:t>
      </w:r>
      <w:r>
        <w:rPr>
          <w:rFonts w:ascii="Arial" w:cs="Arial" w:eastAsia="Arial" w:hAnsi="Arial"/>
          <w:sz w:val="16"/>
          <w:szCs w:val="16"/>
          <w:color w:val="auto"/>
        </w:rPr>
        <w:t>Our Nautilus Platform is designed to be a disruptive, single-molecule analysis technology of extreme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sensitivity, scale, and ease-of-use. Leveraging a novel system architecture, advanced machine learning and algorithms, we believe our Nautilus Platform has the potential to identify substantially all proteins in a sample from almost any organism. We have designed our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144" w:lineRule="exact"/>
        <w:rPr>
          <w:sz w:val="20"/>
          <w:szCs w:val="20"/>
          <w:color w:val="auto"/>
        </w:rPr>
      </w:pPr>
    </w:p>
    <w:p>
      <w:pPr>
        <w:ind w:left="328" w:right="120"/>
        <w:spacing w:after="0" w:line="259" w:lineRule="auto"/>
        <w:rPr>
          <w:sz w:val="20"/>
          <w:szCs w:val="20"/>
          <w:color w:val="auto"/>
        </w:rPr>
      </w:pPr>
      <w:r>
        <w:rPr>
          <w:rFonts w:ascii="Arial" w:cs="Arial" w:eastAsia="Arial" w:hAnsi="Arial"/>
          <w:sz w:val="18"/>
          <w:szCs w:val="18"/>
          <w:color w:val="auto"/>
        </w:rPr>
        <w:t>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33" w:lineRule="exact"/>
        <w:rPr>
          <w:sz w:val="20"/>
          <w:szCs w:val="20"/>
          <w:color w:val="auto"/>
        </w:rPr>
      </w:pPr>
    </w:p>
    <w:p>
      <w:pPr>
        <w:ind w:left="328" w:hanging="328"/>
        <w:spacing w:after="0" w:line="272" w:lineRule="auto"/>
        <w:tabs>
          <w:tab w:leader="none" w:pos="323" w:val="left"/>
        </w:tabs>
        <w:numPr>
          <w:ilvl w:val="0"/>
          <w:numId w:val="2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23" w:lineRule="exact"/>
        <w:rPr>
          <w:rFonts w:ascii="Arial" w:cs="Arial" w:eastAsia="Arial" w:hAnsi="Arial"/>
          <w:sz w:val="17"/>
          <w:szCs w:val="17"/>
          <w:color w:val="auto"/>
        </w:rPr>
      </w:pPr>
    </w:p>
    <w:p>
      <w:pPr>
        <w:ind w:left="328" w:right="80" w:hanging="328"/>
        <w:spacing w:after="0" w:line="291" w:lineRule="auto"/>
        <w:tabs>
          <w:tab w:leader="none" w:pos="323"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Immense data production capacity coupled with machine learning can unlock new proteomic insights. </w:t>
      </w:r>
      <w:r>
        <w:rPr>
          <w:rFonts w:ascii="Arial" w:cs="Arial" w:eastAsia="Arial" w:hAnsi="Arial"/>
          <w:sz w:val="16"/>
          <w:szCs w:val="16"/>
          <w:color w:val="auto"/>
        </w:rPr>
        <w:t>We have designed the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12" w:lineRule="exact"/>
        <w:rPr>
          <w:rFonts w:ascii="Arial" w:cs="Arial" w:eastAsia="Arial" w:hAnsi="Arial"/>
          <w:sz w:val="16"/>
          <w:szCs w:val="16"/>
          <w:color w:val="auto"/>
        </w:rPr>
      </w:pPr>
    </w:p>
    <w:p>
      <w:pPr>
        <w:ind w:left="328" w:right="40" w:hanging="328"/>
        <w:spacing w:after="0" w:line="270" w:lineRule="auto"/>
        <w:tabs>
          <w:tab w:leader="none" w:pos="323" w:val="left"/>
        </w:tabs>
        <w:numPr>
          <w:ilvl w:val="0"/>
          <w:numId w:val="2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are estimated to spend approximately $195 billion in 2021 in R&amp;D activities across a variety of settings, from basic sciences to translational and clinical research.</w:t>
      </w:r>
    </w:p>
    <w:p>
      <w:pPr>
        <w:spacing w:after="0" w:line="126" w:lineRule="exact"/>
        <w:rPr>
          <w:rFonts w:ascii="Arial" w:cs="Arial" w:eastAsia="Arial" w:hAnsi="Arial"/>
          <w:sz w:val="17"/>
          <w:szCs w:val="17"/>
          <w:color w:val="auto"/>
        </w:rPr>
      </w:pPr>
    </w:p>
    <w:p>
      <w:pPr>
        <w:ind w:left="328" w:right="20" w:hanging="328"/>
        <w:spacing w:after="0" w:line="254" w:lineRule="auto"/>
        <w:tabs>
          <w:tab w:leader="none" w:pos="323"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8"/>
          <w:szCs w:val="18"/>
          <w:color w:val="auto"/>
        </w:rPr>
        <w:t>The global proteomics market is estimated to be approximately $25 billion annually as of 2021 and is expected to grow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7" w:lineRule="exact"/>
        <w:rPr>
          <w:rFonts w:ascii="Arial" w:cs="Arial" w:eastAsia="Arial" w:hAnsi="Arial"/>
          <w:sz w:val="18"/>
          <w:szCs w:val="18"/>
          <w:color w:val="auto"/>
        </w:rPr>
      </w:pPr>
    </w:p>
    <w:p>
      <w:pPr>
        <w:ind w:left="328" w:right="160" w:hanging="328"/>
        <w:spacing w:after="0" w:line="263" w:lineRule="auto"/>
        <w:tabs>
          <w:tab w:leader="none" w:pos="323"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8"/>
          <w:szCs w:val="18"/>
          <w:color w:val="auto"/>
        </w:rPr>
        <w:t>Nautilus’ leadership team represents a unique and valuable hybrid of technology and biotech experience. Several members of the executive team and board of directors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34" w:name="page235"/>
    <w:bookmarkEnd w:id="234"/>
    <w:p>
      <w:pPr>
        <w:spacing w:after="0" w:line="144"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660" w:hanging="328"/>
        <w:spacing w:after="0" w:line="291" w:lineRule="auto"/>
        <w:tabs>
          <w:tab w:leader="none" w:pos="655"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adoption of our Nautilus Platform by providing the life sciences industry with access to the proteome. </w:t>
      </w:r>
      <w:r>
        <w:rPr>
          <w:rFonts w:ascii="Arial" w:cs="Arial" w:eastAsia="Arial" w:hAnsi="Arial"/>
          <w:sz w:val="16"/>
          <w:szCs w:val="16"/>
          <w:color w:val="auto"/>
        </w:rPr>
        <w:t>We believe our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w:t>
      </w:r>
    </w:p>
    <w:p>
      <w:pPr>
        <w:spacing w:after="0" w:line="112" w:lineRule="exact"/>
        <w:rPr>
          <w:rFonts w:ascii="Arial" w:cs="Arial" w:eastAsia="Arial" w:hAnsi="Arial"/>
          <w:sz w:val="16"/>
          <w:szCs w:val="16"/>
          <w:color w:val="auto"/>
        </w:rPr>
      </w:pPr>
    </w:p>
    <w:p>
      <w:pPr>
        <w:ind w:left="660" w:right="180" w:hanging="328"/>
        <w:spacing w:after="0" w:line="255" w:lineRule="auto"/>
        <w:tabs>
          <w:tab w:leader="none" w:pos="655"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8" w:lineRule="exact"/>
        <w:rPr>
          <w:rFonts w:ascii="Arial" w:cs="Arial" w:eastAsia="Arial" w:hAnsi="Arial"/>
          <w:sz w:val="18"/>
          <w:szCs w:val="18"/>
          <w:color w:val="auto"/>
        </w:rPr>
      </w:pPr>
    </w:p>
    <w:p>
      <w:pPr>
        <w:ind w:left="660" w:right="200" w:hanging="328"/>
        <w:spacing w:after="0" w:line="254" w:lineRule="auto"/>
        <w:tabs>
          <w:tab w:leader="none" w:pos="655"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pathways to build and expand our manufacturing capacity to support our commercial launch and the sustained growth of our business. </w:t>
      </w:r>
      <w:r>
        <w:rPr>
          <w:rFonts w:ascii="Arial" w:cs="Arial" w:eastAsia="Arial" w:hAnsi="Arial"/>
          <w:sz w:val="18"/>
          <w:szCs w:val="18"/>
          <w:color w:val="auto"/>
        </w:rPr>
        <w:t>Our technology is comprised of many readily available component parts that help to create efficient sourcing and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0"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6"/>
          <w:szCs w:val="16"/>
          <w:color w:val="auto"/>
        </w:rPr>
        <w:t>Our Nautilus Platform is compatible with a wide variety of protein affinity binding reagents, which we believe will allow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1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2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fulsome proteomic information, which we believe can be addressed by our Nautilus Platform. We recognize that these opportunities extend into ancillary markets across life sciences, including clinical and translational research, and clinical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2" w:lineRule="exact"/>
        <w:rPr>
          <w:sz w:val="20"/>
          <w:szCs w:val="20"/>
          <w:color w:val="auto"/>
        </w:rPr>
      </w:pPr>
    </w:p>
    <w:p>
      <w:pPr>
        <w:ind w:left="660" w:right="16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understanding of biology. </w:t>
      </w:r>
      <w:r>
        <w:rPr>
          <w:rFonts w:ascii="Arial" w:cs="Arial" w:eastAsia="Arial" w:hAnsi="Arial"/>
          <w:sz w:val="18"/>
          <w:szCs w:val="18"/>
          <w:color w:val="auto"/>
        </w:rPr>
        <w:t>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rarest proteins involved in disease may increase the likelihood of identifying new drug targets.</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 stratification. </w:t>
      </w:r>
      <w:r>
        <w:rPr>
          <w:rFonts w:ascii="Arial" w:cs="Arial" w:eastAsia="Arial" w:hAnsi="Arial"/>
          <w:sz w:val="18"/>
          <w:szCs w:val="18"/>
          <w:color w:val="auto"/>
        </w:rPr>
        <w:t>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monitor the efficacy and safety of ongoing treatments.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diseases before they develop.</w:t>
      </w:r>
    </w:p>
    <w:p>
      <w:pPr>
        <w:spacing w:after="0" w:line="11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4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Since 2002, global R&amp;D expenditure has increased close to three-fold and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report by the Deloitte Center for Health Solutions.</w:t>
      </w:r>
    </w:p>
    <w:p>
      <w:pPr>
        <w:spacing w:after="0" w:line="12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Currently,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7" w:name="page238"/>
    <w:bookmarkEnd w:id="237"/>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8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34924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an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003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9" w:name="page240"/>
    <w:bookmarkEnd w:id="2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768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Mass Spectrometry-based Approaches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pacing w:after="0" w:line="107" w:lineRule="exact"/>
        <w:rPr>
          <w:sz w:val="20"/>
          <w:szCs w:val="20"/>
          <w:color w:val="auto"/>
        </w:rPr>
      </w:pPr>
    </w:p>
    <w:p>
      <w:pPr>
        <w:jc w:val="center"/>
        <w:ind w:right="8820"/>
        <w:spacing w:after="0"/>
        <w:rPr>
          <w:sz w:val="20"/>
          <w:szCs w:val="20"/>
          <w:color w:val="auto"/>
        </w:rPr>
      </w:pPr>
      <w:r>
        <w:rPr>
          <w:rFonts w:ascii="Arial" w:cs="Arial" w:eastAsia="Arial" w:hAnsi="Arial"/>
          <w:sz w:val="18"/>
          <w:szCs w:val="18"/>
          <w:b w:val="1"/>
          <w:bCs w:val="1"/>
          <w:color w:val="auto"/>
        </w:rPr>
        <w:t>THE NAUTILUS APPROACH</w:t>
      </w:r>
    </w:p>
    <w:p>
      <w:pPr>
        <w:spacing w:after="0" w:line="175"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6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Nautilus Platform Benefit:</w:t>
            </w:r>
          </w:p>
        </w:tc>
      </w:tr>
      <w:tr>
        <w:trPr>
          <w:trHeight w:val="291"/>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Easy-to-Use</w:t>
            </w:r>
          </w:p>
        </w:tc>
        <w:tc>
          <w:tcPr>
            <w:tcW w:w="920" w:type="dxa"/>
            <w:vAlign w:val="bottom"/>
          </w:tcPr>
          <w:p>
            <w:pPr>
              <w:spacing w:after="0"/>
              <w:rPr>
                <w:sz w:val="24"/>
                <w:szCs w:val="24"/>
                <w:color w:val="auto"/>
              </w:rPr>
            </w:pP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Any Lab Can Run It</w:t>
            </w:r>
          </w:p>
        </w:tc>
        <w:tc>
          <w:tcPr>
            <w:tcW w:w="220" w:type="dxa"/>
            <w:vAlign w:val="bottom"/>
          </w:tcPr>
          <w:p>
            <w:pPr>
              <w:spacing w:after="0"/>
              <w:rPr>
                <w:sz w:val="24"/>
                <w:szCs w:val="24"/>
                <w:color w:val="auto"/>
              </w:rPr>
            </w:pP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Ultra-sensitive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Single-Molecule Sensitivity</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Complete Data Generation</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No Missing Data Run-to-Run</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Integrated System</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Sample to Insight Solution</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16"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Single-Molecule Protein Flow Cell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Proteomic Analysis System: An Integrated Multi-cycle Optical and Fluidics Instrument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71" w:lineRule="exact"/>
        <w:rPr>
          <w:sz w:val="20"/>
          <w:szCs w:val="20"/>
          <w:color w:val="auto"/>
        </w:rPr>
      </w:pPr>
    </w:p>
    <w:p>
      <w:pPr>
        <w:ind w:left="660" w:hanging="328"/>
        <w:spacing w:after="0"/>
        <w:tabs>
          <w:tab w:leader="none" w:pos="660" w:val="left"/>
        </w:tabs>
        <w:numPr>
          <w:ilvl w:val="0"/>
          <w:numId w:val="2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Single-Molecule Protein Flow Cell</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3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spacing w:after="0" w:line="12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5349240" cy="19970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Single-Molecule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5292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Nautilus Single-Molecule Protein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83185</wp:posOffset>
            </wp:positionV>
            <wp:extent cx="3429000" cy="2674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00" cy="267462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244" w:name="page245"/>
    <w:bookmarkEnd w:id="244"/>
    <w:p>
      <w:pPr>
        <w:spacing w:after="0" w:line="144" w:lineRule="exact"/>
        <w:rPr>
          <w:sz w:val="20"/>
          <w:szCs w:val="20"/>
          <w:color w:val="auto"/>
        </w:rPr>
      </w:pPr>
    </w:p>
    <w:p>
      <w:pPr>
        <w:ind w:left="660" w:hanging="328"/>
        <w:spacing w:after="0"/>
        <w:tabs>
          <w:tab w:leader="none" w:pos="660" w:val="left"/>
        </w:tabs>
        <w:numPr>
          <w:ilvl w:val="0"/>
          <w:numId w:val="2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Proteomic Analysis System: An Integrated Multi-cycle Optical and Fluidics Instrument</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3111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spacing w:after="0" w:line="133"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45" w:name="page246"/>
    <w:bookmarkEnd w:id="245"/>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9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spacing w:after="0" w:line="141"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6" w:name="page247"/>
    <w:bookmarkEnd w:id="246"/>
    <w:p>
      <w:pPr>
        <w:spacing w:after="0" w:line="14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Internal Data</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711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492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7" w:name="page248"/>
    <w:bookmarkEnd w:id="247"/>
    <w:p>
      <w:pPr>
        <w:spacing w:after="0" w:line="144"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Step 1 – Sample Preparation</w:t>
      </w:r>
    </w:p>
    <w:p>
      <w:pPr>
        <w:spacing w:after="0" w:line="23" w:lineRule="exact"/>
        <w:rPr>
          <w:rFonts w:ascii="Arial" w:cs="Arial" w:eastAsia="Arial" w:hAnsi="Arial"/>
          <w:sz w:val="18"/>
          <w:szCs w:val="18"/>
          <w:color w:val="auto"/>
        </w:rPr>
      </w:pPr>
    </w:p>
    <w:p>
      <w:pPr>
        <w:ind w:left="660" w:right="360"/>
        <w:spacing w:after="0" w:line="302" w:lineRule="auto"/>
        <w:rPr>
          <w:rFonts w:ascii="Arial" w:cs="Arial" w:eastAsia="Arial" w:hAnsi="Arial"/>
          <w:sz w:val="18"/>
          <w:szCs w:val="18"/>
          <w:color w:val="auto"/>
        </w:rPr>
      </w:pPr>
      <w:r>
        <w:rPr>
          <w:rFonts w:ascii="Arial" w:cs="Arial" w:eastAsia="Arial" w:hAnsi="Arial"/>
          <w:sz w:val="16"/>
          <w:szCs w:val="16"/>
          <w:color w:val="auto"/>
        </w:rP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Step 2 – Sample Deposition onto the Flow Cell</w:t>
      </w:r>
    </w:p>
    <w:p>
      <w:pPr>
        <w:spacing w:after="0" w:line="23"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23" w:lineRule="exact"/>
        <w:rPr>
          <w:rFonts w:ascii="Arial" w:cs="Arial" w:eastAsia="Arial" w:hAnsi="Arial"/>
          <w:sz w:val="18"/>
          <w:szCs w:val="18"/>
          <w:color w:val="auto"/>
        </w:rPr>
      </w:pPr>
    </w:p>
    <w:p>
      <w:pPr>
        <w:ind w:left="660" w:right="100"/>
        <w:spacing w:after="0" w:line="253" w:lineRule="auto"/>
        <w:rPr>
          <w:rFonts w:ascii="Arial" w:cs="Arial" w:eastAsia="Arial" w:hAnsi="Arial"/>
          <w:sz w:val="18"/>
          <w:szCs w:val="18"/>
          <w:color w:val="auto"/>
        </w:rPr>
      </w:pPr>
      <w:r>
        <w:rPr>
          <w:rFonts w:ascii="Arial" w:cs="Arial" w:eastAsia="Arial" w:hAnsi="Arial"/>
          <w:sz w:val="18"/>
          <w:szCs w:val="18"/>
          <w:color w:val="auto"/>
        </w:rP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Step 4 – Processing of Digitalized Proteomic Data</w:t>
      </w:r>
    </w:p>
    <w:p>
      <w:pPr>
        <w:spacing w:after="0" w:line="23"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23" w:lineRule="exact"/>
        <w:rPr>
          <w:rFonts w:ascii="Arial" w:cs="Arial" w:eastAsia="Arial" w:hAnsi="Arial"/>
          <w:sz w:val="18"/>
          <w:szCs w:val="18"/>
          <w:color w:val="auto"/>
        </w:rPr>
      </w:pPr>
    </w:p>
    <w:p>
      <w:pPr>
        <w:ind w:left="660" w:right="280"/>
        <w:spacing w:after="0" w:line="255" w:lineRule="auto"/>
        <w:rPr>
          <w:rFonts w:ascii="Arial" w:cs="Arial" w:eastAsia="Arial" w:hAnsi="Arial"/>
          <w:sz w:val="18"/>
          <w:szCs w:val="18"/>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Simple and Robust Sample Handling</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1014730</wp:posOffset>
            </wp:positionV>
            <wp:extent cx="2143125" cy="2160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708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862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49" w:name="page250"/>
    <w:bookmarkEnd w:id="249"/>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459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7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cell, or we can perform a multiplexed analysis by processing a batch of samples together (each sample protein library individually barcoded) during one Proteomic Analysis System run.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84455</wp:posOffset>
            </wp:positionV>
            <wp:extent cx="2143125" cy="21431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028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single-molecule level. We do this by measuring individual proteins at each specific post-translational modification site over multiple cycles, each cycle targeting a different specific site or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1" w:name="page252"/>
    <w:bookmarkEnd w:id="251"/>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-170815</wp:posOffset>
            </wp:positionV>
            <wp:extent cx="28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13455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34924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17741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7175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spacing w:after="0" w:line="10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spacing w:after="0" w:line="12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3317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creation of new and unforeseen applications, in a similar market expansion and innovation trend that was experienced in the years following the launch of open and flexible NGS platform technologies.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1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3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5" w:name="page256"/>
    <w:bookmarkEnd w:id="255"/>
    <w:p>
      <w:pPr>
        <w:spacing w:after="0" w:line="14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proteins, and followed by sophisticated machine learning software architecture for the analysis of our data via, or SaaS, in the cloud.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 Analysis System &amp; Reagents</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single-molecule quantitation, sensitivity, and reproducibility.</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spacing w:after="0" w:line="13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Proteomic Analysis System launch.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71" w:lineRule="exact"/>
        <w:rPr>
          <w:sz w:val="20"/>
          <w:szCs w:val="20"/>
          <w:color w:val="auto"/>
        </w:rPr>
      </w:pPr>
    </w:p>
    <w:p>
      <w:pPr>
        <w:ind w:left="640" w:hanging="308"/>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Early Access &amp; POC (Proof of Concept) Programs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Proteomic Analysis System Launch &amp; Commercial Scale Up.</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8" w:name="page259"/>
    <w:bookmarkEnd w:id="25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37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Collaborations &amp; Partnerships</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Early Access and Proof of Concept (POC) Programs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Proteomic Analysis System Launch and Commercial Scale Up</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spacing w:after="0" w:line="13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92"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Demonstrating the ability to unlock new sources of primary biological information with proteoform mapping and rare protein detection;</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Providing immense data production capacity, driving discovery by enabling large scale studies and building our database to become a strategic asset;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Genentech Partnership</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8"/>
          <w:szCs w:val="18"/>
          <w:i w:val="1"/>
          <w:iCs w:val="1"/>
          <w:color w:val="auto"/>
        </w:rPr>
        <w:t>Risk Factors— Risks Related to Nautilus’ Business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2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r>
        <w:rPr>
          <w:rFonts w:ascii="Arial" w:cs="Arial" w:eastAsia="Arial" w:hAnsi="Arial"/>
          <w:sz w:val="18"/>
          <w:szCs w:val="18"/>
          <w:color w:val="auto"/>
        </w:rPr>
        <w:t>.”</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December 31, 2020, we own one issued U.S. patent, one allowed U.S. patent, more than six pending U.S. non-provisional patent applications, more than three pending U.S. provisional patent applications, and more than thirty pending foreign patent applications, including three international patent applications filed under the Patent Cooperation Treaty (PCT application). Our owned patents and patent applications, if issued, are expected to expire between 2037 and 2041, in each case absent any patent term adjustments or extensions and assuming payment of all appropriate maintenance, renewal, annuity, or other governmental fees.</w:t>
      </w:r>
    </w:p>
    <w:p>
      <w:pPr>
        <w:spacing w:after="0" w:line="13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5" w:name="page266"/>
    <w:bookmarkEnd w:id="26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As of December 31, 2020, we own approximately four registered trademarks in China and Europe. In addition, we have five pending trademark applications directed to different classes in China. Further, we have two pending trademark applications in U.S. and Canada.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Ruedi Aebersold, PhD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Lee Hartwell, PhD</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Joshua LaBaer, MD, PhD</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of December 31, 2020, we had 57 employees, all based in the United States, many of whom hold doctorate degrees. Of these employees, 45 were engaged in research and development activities, and 12 were engaged in general and administrative activities. None of our employees are represented by a labor union or covered under a collective bargaining agreement.</w:t>
      </w:r>
    </w:p>
    <w:p>
      <w:pPr>
        <w:spacing w:after="0" w:line="13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425 Pontius Ave N, Ste 202, Seattle, Washington. The facility is approximately 2,542 square feet and is compliant with all relevant state and federal requirements. Our lease on this facility runs through April 30, 2021. We also lease approximately 25,879 square feet of additional office and research space at 201 Industrial Road, San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Carlos, California and approximately 45,338 square feet of additional office and research space at 835 Industrial Road, San Carlos, California. This space is currently under construction and has a target commencement date of October 1, 2021. Finally, we leased 10,142 square feet of office and research space at 75 Shoreway Road, San Carlos, California. The license for use of this facility is expected to terminate 30 days after the commencement date for the lease at 835 Industrial Road, San Carlos, California. We do not own any real property and believe that our current facilities are sufficient to meet our ongoing needs and that, if we require additional space, we will be able to obtain additional facilities on commercially reasonable terms.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MANAGEMENT’S DISCUSSION AND ANALYSIS OF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Nautilus’ financial condition and results of operations together with the section entitled “Selected Historical Financial Information of Nautilus” and Nautilus’ audited financial statements and notes thereto. Certain of the information contained in this discussion and analysis or set forth elsewhere in this proxy statement/prospectus, including information with respect to plans and strategy for Nautilus’ business, includes forward-looking statements that involve risks and uncertainties. As a result of many factors, including those factors set forth in the section entitled “Risk Factors,” Nautilus’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Nautilus’ forward-looking statements. Please also see the section entitled “Cautionary Note Regarding Forward-Looking Statements.”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Nautilus Management’s Discussion and Analysis of Financial Condition and Results of Operations section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2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To date, we have financed our operations primarily through private placements of convertible preferred stock. Through December 31, 2020, we had raised aggregate net proceeds of $108.4 million from these private placements and as of December 31, 2020, we had cash, cash equivalents and short term investments of $76.7 million. In April and May 2020, we issued 6,109,232 shares of Series B convertible preferred stock for $12.45 per share, resulting in net proceeds of $75.9 million. Based on our current operating plan, we believe that our existing cash, cash equivalents, and short-term investments will enable us to fund our planned operating expenses and capital expenditures through at least at least the next 12 months.</w:t>
      </w:r>
    </w:p>
    <w:p>
      <w:pPr>
        <w:spacing w:after="0" w:line="12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incurred significant losses since the commencement of our operations. Our net losses were $15.6 million in 2020, and we expect to continue to incur significant losses for the foreseeable future as we continue our research and development activities and planned commercialization of our proteomics platform. As of December 31, 2020, we had an accumulated deficit of $30.3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4"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1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On February 7, 2021, we executed a definitive business combination agreement between us and ARYA. As a result of the proposed business combination, ARYA will be renamed to Nautilus Biotechnology, Inc., or New Nautilus, and Nautilus will become a wholly owned subsidiary of New Nautilus. Upon the completion of the proposed business combination transaction, the stockholders of Nautilus will exchange their interests in Nautilus for shares of common stock of New Nautilus and awards issued under Nautilus’ existing equity incentive plans will be exchanged for awards issued under a new equity incentive plan to be adopted by New Nautilus. In addition, immediately after the completion of the Business Combination, certain investors have agreed to subscribe for and purchase an aggregate of $200 million of common stock of New Nautilus. The combined company is expected to receive gross proceeds of approximately $350 million at the closing of the transaction (assuming no redemptions are effected by shareholders of ARYA) and will continue to operate under the Nautilus management team. The boards of directors of both ARYA and Nautilus have approved the proposed transaction. Completion of the transaction, which is expected in the second quarter of 2021, is subject to approval of ARYA’s shareholders and the satisfaction or waiver of certain other customary closing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consists primarily of interest income on our cash, cash equivalents and short-term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2020 to 2019</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2020 to 2019</w:t>
            </w:r>
          </w:p>
        </w:tc>
      </w:tr>
      <w:tr>
        <w:trPr>
          <w:trHeight w:val="186"/>
        </w:trPr>
        <w:tc>
          <w:tcPr>
            <w:tcW w:w="4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4"/>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8,488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 was $15.6 million for the year ended December 31, 2020. As of December 31, 2020, we had an accumulated deficit of $30.3 million. We have funded our operations to date primarily with proceeds from the sale of convertible preferred stock. As of December 31, 2020, we had raised net proceeds of $108.4 million from these private placements of our convertible preferred stock and had cash, cash equivalents and short term investments of $76.7 million. In April and May 2020, we issued 6,109,232 shares of Series B convertible preferred stock for $12.45 per share, resulting in net proceeds of $75.9 million.</w:t>
      </w:r>
    </w:p>
    <w:p>
      <w:pPr>
        <w:spacing w:after="0" w:line="138"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0"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92"/>
              </w:rPr>
              <w:t>(13,996)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9"/>
                <w:szCs w:val="19"/>
                <w:color w:val="auto"/>
              </w:rPr>
            </w:pPr>
          </w:p>
        </w:tc>
        <w:tc>
          <w:tcPr>
            <w:tcW w:w="1200" w:type="dxa"/>
            <w:vAlign w:val="bottom"/>
          </w:tcPr>
          <w:p>
            <w:pPr>
              <w:jc w:val="center"/>
              <w:ind w:left="458"/>
              <w:spacing w:after="0"/>
              <w:rPr>
                <w:sz w:val="20"/>
                <w:szCs w:val="20"/>
                <w:color w:val="auto"/>
              </w:rPr>
            </w:pPr>
            <w:r>
              <w:rPr>
                <w:rFonts w:ascii="Arial" w:cs="Arial" w:eastAsia="Arial" w:hAnsi="Arial"/>
                <w:sz w:val="18"/>
                <w:szCs w:val="18"/>
                <w:color w:val="auto"/>
                <w:w w:val="92"/>
              </w:rPr>
              <w:t>(25,279)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87"/>
              </w:rPr>
              <w:t>75,899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87"/>
              </w:rPr>
              <w:t>36,624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9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less than $0.1 million in net proceeds from exercise of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23"/>
        </w:trPr>
        <w:tc>
          <w:tcPr>
            <w:tcW w:w="4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Less than 1 Year</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87"/>
        </w:trPr>
        <w:tc>
          <w:tcPr>
            <w:tcW w:w="4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1"/>
        </w:trPr>
        <w:tc>
          <w:tcPr>
            <w:tcW w:w="43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20" w:hanging="312"/>
        <w:spacing w:after="0"/>
        <w:tabs>
          <w:tab w:leader="none" w:pos="32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leases in Seattle, Washington and San Carlos, California.</w:t>
      </w:r>
    </w:p>
    <w:p>
      <w:pPr>
        <w:spacing w:after="0" w:line="1" w:lineRule="exact"/>
        <w:rPr>
          <w:rFonts w:ascii="Arial" w:cs="Arial" w:eastAsia="Arial" w:hAnsi="Arial"/>
          <w:sz w:val="14"/>
          <w:szCs w:val="14"/>
          <w:color w:val="auto"/>
        </w:rPr>
      </w:pPr>
    </w:p>
    <w:p>
      <w:pPr>
        <w:ind w:left="340" w:right="80" w:hanging="332"/>
        <w:spacing w:after="0" w:line="276" w:lineRule="auto"/>
        <w:tabs>
          <w:tab w:leader="none" w:pos="332" w:val="left"/>
        </w:tabs>
        <w:numPr>
          <w:ilvl w:val="0"/>
          <w:numId w:val="216"/>
        </w:numPr>
        <w:rPr>
          <w:rFonts w:ascii="Arial" w:cs="Arial" w:eastAsia="Arial" w:hAnsi="Arial"/>
          <w:sz w:val="13"/>
          <w:szCs w:val="13"/>
          <w:color w:val="auto"/>
        </w:rPr>
      </w:pPr>
      <w:r>
        <w:rPr>
          <w:rFonts w:ascii="Arial" w:cs="Arial" w:eastAsia="Arial" w:hAnsi="Arial"/>
          <w:sz w:val="13"/>
          <w:szCs w:val="13"/>
          <w:color w:val="auto"/>
        </w:rPr>
        <w:t>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have not commenced and therefore are not included in the operating lease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 We base our estimates on past experience and other assumptions that we believe are reasonable under the circumstances, and we evaluate these estimates on an ongoing basis. Actual results may differ from those estimates.</w:t>
      </w:r>
    </w:p>
    <w:p>
      <w:pPr>
        <w:spacing w:after="0" w:line="11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part of the process of preparing its financial statements, we estimate our accrued expenses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0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16"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color w:val="auto"/>
        </w:rPr>
      </w:pPr>
    </w:p>
    <w:p>
      <w:pPr>
        <w:ind w:left="660" w:right="120" w:hanging="328"/>
        <w:spacing w:after="0" w:line="301" w:lineRule="auto"/>
        <w:tabs>
          <w:tab w:leader="none" w:pos="655"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Because we have been privately held and do not have any trading history for our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103" w:lineRule="exact"/>
        <w:rPr>
          <w:rFonts w:ascii="Arial" w:cs="Arial" w:eastAsia="Arial" w:hAnsi="Arial"/>
          <w:sz w:val="16"/>
          <w:szCs w:val="16"/>
          <w:color w:val="auto"/>
        </w:rPr>
      </w:pPr>
    </w:p>
    <w:p>
      <w:pPr>
        <w:jc w:val="both"/>
        <w:ind w:left="660" w:right="240" w:hanging="328"/>
        <w:spacing w:after="0" w:line="263"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as we do not have sufficient historical data to use any other method to estimate expected term.</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1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and our board of directors’ assessment of additional objective and subjective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believed were relevant, and factors that may have changed from the date of the most recent valuation through the date of the grant. These factors included, but were not limited to:</w:t>
      </w:r>
    </w:p>
    <w:p>
      <w:pPr>
        <w:spacing w:after="0" w:line="141" w:lineRule="exact"/>
        <w:rPr>
          <w:sz w:val="20"/>
          <w:szCs w:val="20"/>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6" w:name="page277"/>
    <w:bookmarkEnd w:id="276"/>
    <w:p>
      <w:pPr>
        <w:spacing w:after="0" w:line="144" w:lineRule="exact"/>
        <w:rPr>
          <w:sz w:val="20"/>
          <w:szCs w:val="20"/>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71"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7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180" w:hanging="328"/>
        <w:spacing w:after="0" w:line="263" w:lineRule="auto"/>
        <w:tabs>
          <w:tab w:leader="none" w:pos="65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Option Pricing Method</w:t>
      </w:r>
      <w:r>
        <w:rPr>
          <w:rFonts w:ascii="Arial" w:cs="Arial" w:eastAsia="Arial" w:hAnsi="Arial"/>
          <w:sz w:val="18"/>
          <w:szCs w:val="18"/>
          <w:color w:val="auto"/>
        </w:rPr>
        <w:t>. Under the option pricing method (“OPM”),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and common stock are inferred by analyzing these options.</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Probability-Weighted Expected Return Method</w:t>
      </w:r>
      <w:r>
        <w:rPr>
          <w:rFonts w:ascii="Arial" w:cs="Arial" w:eastAsia="Arial" w:hAnsi="Arial"/>
          <w:sz w:val="18"/>
          <w:szCs w:val="18"/>
          <w:color w:val="auto"/>
        </w:rPr>
        <w:t>. The probability-weighted expected return method (“PWERM”) is a scenario-based analysis that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value per share based on the probability-weighted present value of expected future investment returns, considering each of the possible outcomes available to us, as well as the economic and control rights of each share class.</w:t>
      </w:r>
    </w:p>
    <w:p>
      <w:pPr>
        <w:spacing w:after="0" w:line="13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9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0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valuations performed in December 2020, we used a hybrid method utilizing a combination of the OPM and the PWERM. We utilized two different scenarios: (a) a transaction with a SPAC and (b) an acquisition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7" w:name="page278"/>
    <w:bookmarkEnd w:id="277"/>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Following the closing of the Business Combination, the New Nautilus Board will determine the fair market value of New Nautilus common stock based on its closing price as reported on the date of grant on the Nasdaq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audited financial statements included elsewhere in this prospectus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had cash, cash equivalents and short-term investments of $76.7 million and $16.7 million as of December 31, 2020 and December 31, 2019,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December 31, 2020 and December 31, 2019. If overall interest rates had increased or decreased by 1.00% (100 basis points), neither our interest expense nor our interest income would have been materially affected during the years ended December 31, 2020 or December 31, 2019.</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8" w:name="page279"/>
    <w:bookmarkEnd w:id="278"/>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EXECUTIVE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To achieve Nautilus’ goals, Nautilus has designed, and intends to modify as necessary, its compensation and benefits program to attract, retain, incentivize and reward deeply talented and qualified executives who share its philosophy and desire to work towards achieving these goals.</w:t>
      </w:r>
    </w:p>
    <w:p>
      <w:pPr>
        <w:spacing w:after="0" w:line="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Nautilus believes its compensation program should promote the success of the company and align executive incentives with the long-term interests of its stockholders. As Nautilus’ needs evolve, Nautilus intends to continue to evaluate its philosophy and compensation programs as circumstances require.</w:t>
      </w:r>
    </w:p>
    <w:p>
      <w:pPr>
        <w:spacing w:after="0" w:line="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section provides an overview of Nautilus’ executive compensation programs, including a narrative description of the material factors necessary to understand the information disclosed in the summary compensation table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Nautilus’ named executive officers were:</w:t>
      </w:r>
    </w:p>
    <w:p>
      <w:pPr>
        <w:spacing w:after="0" w:line="171" w:lineRule="exact"/>
        <w:rPr>
          <w:sz w:val="20"/>
          <w:szCs w:val="20"/>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Anna Mowry, Chief Financial Officer and Treasurer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Subra Sankar, Senior Vice President, Product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compensation earned by Nautilus’ named executive officers for the fiscal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w w:val="87"/>
              </w:rPr>
              <w:t>Bonus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Non-equity incentive</w:t>
            </w: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All 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awards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plan compensation</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16"/>
                <w:szCs w:val="16"/>
                <w:color w:val="auto"/>
              </w:rPr>
            </w:pP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8"/>
              </w:rPr>
              <w:t>President and Chief Executive</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341"/>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251,450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Officer</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Anna Mowry</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40"/>
              <w:spacing w:after="0" w:line="176" w:lineRule="exact"/>
              <w:rPr>
                <w:sz w:val="20"/>
                <w:szCs w:val="20"/>
                <w:color w:val="auto"/>
              </w:rPr>
            </w:pPr>
            <w:r>
              <w:rPr>
                <w:rFonts w:ascii="Arial" w:cs="Arial" w:eastAsia="Arial" w:hAnsi="Arial"/>
                <w:sz w:val="18"/>
                <w:szCs w:val="18"/>
                <w:i w:val="1"/>
                <w:iCs w:val="1"/>
                <w:color w:val="auto"/>
              </w:rPr>
              <w:t>Chief Financial Officer and</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1,945,200</w:t>
            </w:r>
          </w:p>
        </w:tc>
        <w:tc>
          <w:tcPr>
            <w:tcW w:w="100" w:type="dxa"/>
            <w:vAlign w:val="bottom"/>
          </w:tcPr>
          <w:p>
            <w:pPr>
              <w:spacing w:after="0"/>
              <w:rPr>
                <w:sz w:val="15"/>
                <w:szCs w:val="15"/>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1,948,219</w:t>
            </w: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i w:val="1"/>
                <w:iCs w:val="1"/>
                <w:color w:val="auto"/>
              </w:rPr>
              <w:t>Treasurer</w:t>
            </w: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80" w:type="dxa"/>
            <w:vAlign w:val="bottom"/>
          </w:tcPr>
          <w:p>
            <w:pPr>
              <w:jc w:val="right"/>
              <w:ind w:right="12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Subra Sankar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7"/>
              </w:rPr>
              <w:t>Senior Vice President, Product</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3,242,000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3,280,473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Development</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(7)</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20" w:hanging="332"/>
        <w:spacing w:after="0" w:line="241" w:lineRule="auto"/>
        <w:tabs>
          <w:tab w:leader="none" w:pos="332" w:val="left"/>
        </w:tabs>
        <w:numPr>
          <w:ilvl w:val="0"/>
          <w:numId w:val="222"/>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These amounts represent performance-based cash bonuses earned under our 2020 annual bonus program based upon the achievement of objectives for the year ended December 31, 2020, which were paid in 2021. Nautilus’ bonus plan is more fully described below under the section titled “—Non-Equity Incentive Plan Compensation.”</w:t>
      </w: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spacing w:after="0" w:line="1" w:lineRule="exact"/>
        <w:rPr>
          <w:rFonts w:ascii="Arial" w:cs="Arial" w:eastAsia="Arial" w:hAnsi="Arial"/>
          <w:sz w:val="14"/>
          <w:szCs w:val="14"/>
          <w:color w:val="auto"/>
        </w:rPr>
      </w:pPr>
    </w:p>
    <w:p>
      <w:pPr>
        <w:ind w:left="340" w:right="440" w:hanging="332"/>
        <w:spacing w:after="0" w:line="241" w:lineRule="auto"/>
        <w:tabs>
          <w:tab w:leader="none" w:pos="332" w:val="left"/>
        </w:tabs>
        <w:numPr>
          <w:ilvl w:val="0"/>
          <w:numId w:val="222"/>
        </w:numPr>
        <w:rPr>
          <w:rFonts w:ascii="Arial" w:cs="Arial" w:eastAsia="Arial" w:hAnsi="Arial"/>
          <w:sz w:val="14"/>
          <w:szCs w:val="14"/>
          <w:color w:val="auto"/>
        </w:rPr>
      </w:pPr>
      <w:r>
        <w:rPr>
          <w:rFonts w:ascii="Arial" w:cs="Arial" w:eastAsia="Arial" w:hAnsi="Arial"/>
          <w:sz w:val="14"/>
          <w:szCs w:val="14"/>
          <w:color w:val="auto"/>
        </w:rPr>
        <w:t>Ms. Mowry joined Nautilus as Chief Financial Officer and Treasurer in December 2020, and therefore the compensation set forth in the table above reflects the amount earned for the portion of 2020 in which she was employed by Nautilus.</w:t>
      </w: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amounts reported reflect (i) $2,000 in pre-employment consulting services and (ii) $250 for expenses associated with working from home.</w:t>
      </w:r>
    </w:p>
    <w:p>
      <w:pPr>
        <w:spacing w:after="0" w:line="1" w:lineRule="exact"/>
        <w:rPr>
          <w:rFonts w:ascii="Arial" w:cs="Arial" w:eastAsia="Arial" w:hAnsi="Arial"/>
          <w:sz w:val="14"/>
          <w:szCs w:val="14"/>
          <w:color w:val="auto"/>
        </w:rPr>
      </w:pPr>
    </w:p>
    <w:p>
      <w:pPr>
        <w:ind w:left="340" w:right="60" w:hanging="332"/>
        <w:spacing w:after="0" w:line="255" w:lineRule="auto"/>
        <w:tabs>
          <w:tab w:leader="none" w:pos="332" w:val="left"/>
        </w:tabs>
        <w:numPr>
          <w:ilvl w:val="0"/>
          <w:numId w:val="222"/>
        </w:numPr>
        <w:rPr>
          <w:rFonts w:ascii="Arial" w:cs="Arial" w:eastAsia="Arial" w:hAnsi="Arial"/>
          <w:sz w:val="14"/>
          <w:szCs w:val="14"/>
          <w:color w:val="auto"/>
        </w:rPr>
      </w:pPr>
      <w:r>
        <w:rPr>
          <w:rFonts w:ascii="Arial" w:cs="Arial" w:eastAsia="Arial" w:hAnsi="Arial"/>
          <w:sz w:val="14"/>
          <w:szCs w:val="14"/>
          <w:color w:val="auto"/>
        </w:rPr>
        <w:t>Dr. Sankar joined Nautilus as Senior Vice President, Product Development, in December 2020, and therefore the compensation set forth in the table above reflects the amount earned for the portion of 2020 in which he was employed by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39" w:lineRule="exact"/>
        <w:rPr>
          <w:sz w:val="20"/>
          <w:szCs w:val="20"/>
          <w:color w:val="auto"/>
        </w:rPr>
      </w:pPr>
    </w:p>
    <w:p>
      <w:pPr>
        <w:ind w:left="320" w:hanging="312"/>
        <w:spacing w:after="0"/>
        <w:tabs>
          <w:tab w:leader="none" w:pos="32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amount reported reflects a signing bonus paid to Dr. Sankar in connection with his joining Nautilus.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At the beginning of 2020,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Nautilus’ board of directors had the discretion to increase, reduce or eliminate any bonus award and, unless determined otherwise by Nautilus’ board of directors, a participant must be employed by Nautilus or its affiliates on the date the bonus is paid in order to receive such payment under such plan.</w:t>
      </w:r>
    </w:p>
    <w:p>
      <w:pPr>
        <w:spacing w:after="0" w:line="12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Each of the 2020 bonus opportunities for Nautilus’ executives was based on the assessment of Nautilus’ board of directors of the achievement of company objectives that were established by Nautilus’ board of directors at the beginning of the year as well as any other factors or achievements (e.g., individual performance, as applicable), that Nautilus’ board of directors determined to be relevant in such assessment. Corporate objectives under the Nautilus Employee Bonus Plan consisted of corporate development and product development goals.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Nautilus’ performance against the company objectives in 2020, Nautilus’ board of directors determined to fund the Nautilus Employee Bonus Plan at 100% of the target level for corporate performance objectives for 2020.</w:t>
      </w:r>
    </w:p>
    <w:p>
      <w:pPr>
        <w:spacing w:after="0" w:line="116" w:lineRule="exact"/>
        <w:rPr>
          <w:sz w:val="20"/>
          <w:szCs w:val="20"/>
          <w:color w:val="auto"/>
        </w:rPr>
      </w:pPr>
    </w:p>
    <w:p>
      <w:pPr>
        <w:jc w:val="both"/>
        <w:ind w:right="360" w:firstLine="324"/>
        <w:spacing w:after="0" w:line="287" w:lineRule="auto"/>
        <w:rPr>
          <w:sz w:val="20"/>
          <w:szCs w:val="20"/>
          <w:color w:val="auto"/>
        </w:rPr>
      </w:pPr>
      <w:r>
        <w:rPr>
          <w:rFonts w:ascii="Arial" w:cs="Arial" w:eastAsia="Arial" w:hAnsi="Arial"/>
          <w:sz w:val="16"/>
          <w:szCs w:val="16"/>
          <w:color w:val="auto"/>
        </w:rPr>
        <w:t>The amounts in the Summary Compensation Table under the column “Non-equity incentive plan compensation” are based on the named executive officer’s target bonus amount multiplied by the achievement percentage set by Nautilus’ board of directors consistent with its determinations under the Nautilus Employee Bonus Plan. For 2020, Mr. Patel’s target cash incentive bonus was $50,000 and was 100% based on corporate goals. Because Ms.</w:t>
      </w:r>
    </w:p>
    <w:p>
      <w:pPr>
        <w:spacing w:after="0" w:line="2" w:lineRule="exact"/>
        <w:rPr>
          <w:sz w:val="20"/>
          <w:szCs w:val="20"/>
          <w:color w:val="auto"/>
        </w:rPr>
      </w:pPr>
    </w:p>
    <w:p>
      <w:pPr>
        <w:ind w:right="1000"/>
        <w:spacing w:after="0" w:line="429" w:lineRule="auto"/>
        <w:rPr>
          <w:sz w:val="20"/>
          <w:szCs w:val="20"/>
          <w:color w:val="auto"/>
        </w:rPr>
      </w:pPr>
      <w:r>
        <w:rPr>
          <w:rFonts w:ascii="Arial" w:cs="Arial" w:eastAsia="Arial" w:hAnsi="Arial"/>
          <w:sz w:val="18"/>
          <w:szCs w:val="18"/>
          <w:color w:val="auto"/>
        </w:rPr>
        <w:t xml:space="preserve">Mowry and Dr. Sankar joined Nautilus at the end of 2020, they were not eligible to participate in the Nautilus Employee Bonus Plan for 2020. </w:t>
      </w:r>
      <w:r>
        <w:rPr>
          <w:rFonts w:ascii="Arial" w:cs="Arial" w:eastAsia="Arial" w:hAnsi="Arial"/>
          <w:sz w:val="18"/>
          <w:szCs w:val="18"/>
          <w:b w:val="1"/>
          <w:bCs w:val="1"/>
          <w:color w:val="auto"/>
        </w:rPr>
        <w:t>Outstanding Equity Awards at Fiscal Year-End December 31,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equity awards granted to Nautilus’ named executive officers that remain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perscript"/>
              </w:rPr>
              <w:t>(1)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3"/>
                <w:szCs w:val="13"/>
                <w:b w:val="1"/>
                <w:bCs w:val="1"/>
                <w:color w:val="auto"/>
                <w:w w:val="86"/>
              </w:rPr>
              <w:t>Stock Awards</w:t>
            </w: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5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86"/>
              </w:rPr>
              <w:t>Number of shares or</w:t>
            </w:r>
          </w:p>
        </w:tc>
        <w:tc>
          <w:tcPr>
            <w:tcW w:w="136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Market value of shares</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underlying</w:t>
            </w:r>
          </w:p>
        </w:tc>
        <w:tc>
          <w:tcPr>
            <w:tcW w:w="15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underlying unexercised</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Option exercise price</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Option expiration</w:t>
            </w:r>
          </w:p>
        </w:tc>
        <w:tc>
          <w:tcPr>
            <w:tcW w:w="14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units of stock that have</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of units of stock that</w:t>
            </w:r>
          </w:p>
        </w:tc>
        <w:tc>
          <w:tcPr>
            <w:tcW w:w="0" w:type="dxa"/>
            <w:vAlign w:val="bottom"/>
          </w:tcPr>
          <w:p>
            <w:pPr>
              <w:spacing w:after="0"/>
              <w:rPr>
                <w:sz w:val="1"/>
                <w:szCs w:val="1"/>
                <w:color w:val="auto"/>
              </w:rPr>
            </w:pPr>
          </w:p>
        </w:tc>
      </w:tr>
      <w:tr>
        <w:trPr>
          <w:trHeight w:val="122"/>
        </w:trPr>
        <w:tc>
          <w:tcPr>
            <w:tcW w:w="1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Grant Date</w:t>
            </w:r>
          </w:p>
        </w:tc>
        <w:tc>
          <w:tcPr>
            <w:tcW w:w="1280" w:type="dxa"/>
            <w:vAlign w:val="bottom"/>
            <w:gridSpan w:val="2"/>
          </w:tcPr>
          <w:p>
            <w:pPr>
              <w:jc w:val="right"/>
              <w:ind w:right="160"/>
              <w:spacing w:after="0" w:line="122" w:lineRule="exact"/>
              <w:rPr>
                <w:sz w:val="20"/>
                <w:szCs w:val="20"/>
                <w:color w:val="auto"/>
              </w:rPr>
            </w:pPr>
            <w:r>
              <w:rPr>
                <w:rFonts w:ascii="Arial" w:cs="Arial" w:eastAsia="Arial" w:hAnsi="Arial"/>
                <w:sz w:val="13"/>
                <w:szCs w:val="13"/>
                <w:b w:val="1"/>
                <w:bCs w:val="1"/>
                <w:color w:val="auto"/>
                <w:w w:val="86"/>
              </w:rPr>
              <w:t>unexercised options</w:t>
            </w:r>
          </w:p>
        </w:tc>
        <w:tc>
          <w:tcPr>
            <w:tcW w:w="1100" w:type="dxa"/>
            <w:vAlign w:val="bottom"/>
          </w:tcPr>
          <w:p>
            <w:pPr>
              <w:jc w:val="center"/>
              <w:ind w:left="274"/>
              <w:spacing w:after="0" w:line="122" w:lineRule="exact"/>
              <w:rPr>
                <w:sz w:val="20"/>
                <w:szCs w:val="20"/>
                <w:color w:val="auto"/>
              </w:rPr>
            </w:pPr>
            <w:r>
              <w:rPr>
                <w:rFonts w:ascii="Arial" w:cs="Arial" w:eastAsia="Arial" w:hAnsi="Arial"/>
                <w:sz w:val="13"/>
                <w:szCs w:val="13"/>
                <w:b w:val="1"/>
                <w:bCs w:val="1"/>
                <w:color w:val="auto"/>
                <w:w w:val="85"/>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0" w:type="dxa"/>
            <w:vAlign w:val="bottom"/>
          </w:tcPr>
          <w:p>
            <w:pPr>
              <w:jc w:val="center"/>
              <w:ind w:left="273"/>
              <w:spacing w:after="0" w:line="122" w:lineRule="exact"/>
              <w:rPr>
                <w:sz w:val="20"/>
                <w:szCs w:val="20"/>
                <w:color w:val="auto"/>
              </w:rPr>
            </w:pPr>
            <w:r>
              <w:rPr>
                <w:rFonts w:ascii="Arial" w:cs="Arial" w:eastAsia="Arial" w:hAnsi="Arial"/>
                <w:sz w:val="13"/>
                <w:szCs w:val="13"/>
                <w:b w:val="1"/>
                <w:bCs w:val="1"/>
                <w:color w:val="auto"/>
                <w:w w:val="82"/>
              </w:rPr>
              <w:t>not vested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exercisable</w:t>
            </w:r>
          </w:p>
        </w:tc>
        <w:tc>
          <w:tcPr>
            <w:tcW w:w="15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 unexercisable</w:t>
            </w:r>
          </w:p>
        </w:tc>
        <w:tc>
          <w:tcPr>
            <w:tcW w:w="1180" w:type="dxa"/>
            <w:vAlign w:val="bottom"/>
          </w:tcPr>
          <w:p>
            <w:pPr>
              <w:jc w:val="right"/>
              <w:ind w:right="41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date</w:t>
            </w:r>
          </w:p>
        </w:tc>
        <w:tc>
          <w:tcPr>
            <w:tcW w:w="1000" w:type="dxa"/>
            <w:vAlign w:val="bottom"/>
          </w:tcPr>
          <w:p>
            <w:pPr>
              <w:jc w:val="center"/>
              <w:ind w:left="273"/>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83"/>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Sujal Patel</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65,625</w:t>
            </w:r>
          </w:p>
        </w:tc>
        <w:tc>
          <w:tcPr>
            <w:tcW w:w="3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9"/>
                <w:szCs w:val="9"/>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 xml:space="preserve">1,799,438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86"/>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Anna Mowry</w:t>
            </w:r>
          </w:p>
        </w:tc>
        <w:tc>
          <w:tcPr>
            <w:tcW w:w="1200" w:type="dxa"/>
            <w:vAlign w:val="bottom"/>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120,000</w:t>
            </w:r>
          </w:p>
        </w:tc>
        <w:tc>
          <w:tcPr>
            <w:tcW w:w="340" w:type="dxa"/>
            <w:vAlign w:val="bottom"/>
          </w:tcPr>
          <w:p>
            <w:pPr>
              <w:jc w:val="right"/>
              <w:ind w:right="1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12/3/2030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Subra Sankar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12/03/2020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12/03/2030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0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All of the outstanding stock option awards were granted under and subject to the terms of the 2017 Plan (as defined below), described below under “</w:t>
      </w:r>
      <w:r>
        <w:rPr>
          <w:rFonts w:ascii="Arial" w:cs="Arial" w:eastAsia="Arial" w:hAnsi="Arial"/>
          <w:sz w:val="14"/>
          <w:szCs w:val="14"/>
          <w:i w:val="1"/>
          <w:iCs w:val="1"/>
          <w:color w:val="auto"/>
        </w:rPr>
        <w:t>— Nautilus 2017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Plan</w:t>
      </w:r>
      <w:r>
        <w:rPr>
          <w:rFonts w:ascii="Arial" w:cs="Arial" w:eastAsia="Arial" w:hAnsi="Arial"/>
          <w:sz w:val="14"/>
          <w:szCs w:val="14"/>
          <w:color w:val="auto"/>
        </w:rPr>
        <w:t>”.</w:t>
      </w:r>
    </w:p>
    <w:p>
      <w:pPr>
        <w:ind w:left="340" w:right="6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stock option awards were granted with a per share exercise price equal to the fair market value of one share of Nautilus Common Stock on the date of grant, as determined in good faith by Nautilus’ board of directors.</w:t>
      </w:r>
    </w:p>
    <w:p>
      <w:pPr>
        <w:ind w:left="340" w:right="6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Represents unvested shares of common stock purchased pursuant to a restricted stock purchase agreement between the Company and Mr. Patel in January 2017. These shares fully vested as of January 12, 2021.</w:t>
      </w:r>
    </w:p>
    <w:p>
      <w:pPr>
        <w:ind w:left="340" w:right="2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$27.42 as of December 31, 2020 (based on the determination of the fair market value by Nautilus’ board of directors as of the most proximate date) multiplied by the amount shown in the column for the number of shares or units of stock that have not vested.</w:t>
      </w:r>
    </w:p>
    <w:p>
      <w:pPr>
        <w:ind w:left="340" w:right="32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Ms. Mowry continuing to be a service provider to Nautilus through each such date.</w:t>
      </w:r>
    </w:p>
    <w:p>
      <w:pPr>
        <w:ind w:left="340" w:right="360" w:hanging="332"/>
        <w:spacing w:after="0" w:line="255"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Dr. Sankar continuing to be a service provider to Nautilus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Sujal Patel</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6"/>
          <w:szCs w:val="16"/>
          <w:color w:val="auto"/>
        </w:rPr>
        <w:t>In connection with the Merger, Nautilus has entered into a confirmatory employment letter with Mr. Patel, its Chief Executive Officer. The confirmatory employment letter has no specific term and provides that Mr. Patel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Patel may have entered into concerning his employment relationship with Nautilus. Mr. Patel’s current annual base salary is $350,000 and he is eligible for a target annual cash bonus opportunity of $150,000. In 2020, Mr. Patel’s annual base salary was $200,000 and he was eligible for a target annual cash bonus opportunity of $50,000. Provided Mr. Patel remains employed with Nautilus through the closing date of the Merger, as of such date, his annual base salary will be increased to $500,000. Under his confirmatory employment letter, Mr. Patel is eligible for a target annual cash bonus opportunity equal to 50.0% of his annual base salary for fiscal year 2021.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Anna Mowry</w:t>
      </w:r>
    </w:p>
    <w:p>
      <w:pPr>
        <w:spacing w:after="0" w:line="171"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Ms. Mowry, its Chief Financial Officer. The confirmatory employment letter has no specific term and provides that Ms. Mowry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Ms. Mowry may have entered into concerning her employment relationship with Nautilus. Ms. Mowry’s current annual base salary is $200,000 and she is eligible for an annual target cash bonus opportunity equal to 25%% of her base salary. Provided Ms. Mowry remains employed with Nautilus through the closing date of the Merger, as of such date, her annual base salary will be increased to $340,000. Under her confirmatory employment letter, Ms. Mowry is eligible for a target annual cash bonus opportunity equal to 40.0% of her annual base salary for fiscal year 2021.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Subra Sankar</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Dr. Sankar, its Senior Vice President of Product Development. The confirmatory employment letter has no specific term and provides that Dr. Sankar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Dr. Sankar may have entered into concerning his employment relationship with Nautilus. Dr. Sankar’s current annual base salary is $318,000 and he is eligible for an annual target cash bonus opportunity equal to 32% of his base salary. Provided Dr. Sankar remains employed with Nautilus through the closing date of the Merger, as of such date, his annual base salary will remain $318,000. Under his confirmatory employment letter, Dr. Sankar is eligible for a target annual cash bonus opportunity equal to 35.0% of his annual base salary for fiscal year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Nautilus’ equity-based incentive awards are designed to more closely align Nautilus’ interests and those of Nautilus’ stockholders with those of Nautilus’ employees and consultants, including Nautilus’ named executive officers. The Nautilus Board is responsible for approving equity grants to Nautilus’ employees and consultants, including Nautilus’ named executive officers. In 2020, stock option awards were the only form of equity awards Nautilus granted to its named executive officers. Nautilus has granted equity incentive awards under the terms of Nautilus’ 2017 Equity Incentive Plan (the “2017 Plan”). The terms of the 2017 Plan are described below under </w:t>
      </w:r>
      <w:r>
        <w:rPr>
          <w:rFonts w:ascii="Arial" w:cs="Arial" w:eastAsia="Arial" w:hAnsi="Arial"/>
          <w:sz w:val="17"/>
          <w:szCs w:val="17"/>
          <w:i w:val="1"/>
          <w:iCs w:val="1"/>
          <w:color w:val="auto"/>
        </w:rPr>
        <w:t>“—Nautilus 2017 Equity Incentive Plan.”</w:t>
      </w:r>
    </w:p>
    <w:p>
      <w:pPr>
        <w:spacing w:after="0" w:line="122"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 xml:space="preserve">All options are granted with an exercise price per share that is no less than the fair market value of a share of Nautilus Common Stock on the date of grant of such award. Nautilus’ stock option awards generally vest over a four-year period and may be subject to acceleration of vesting and exercisability under certain termination and change in control events. See </w:t>
      </w:r>
      <w:r>
        <w:rPr>
          <w:rFonts w:ascii="Arial" w:cs="Arial" w:eastAsia="Arial" w:hAnsi="Arial"/>
          <w:sz w:val="17"/>
          <w:szCs w:val="17"/>
          <w:i w:val="1"/>
          <w:iCs w:val="1"/>
          <w:color w:val="auto"/>
        </w:rPr>
        <w:t>“—Outstanding Equity Awards at Fiscal Year-End.”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January 2021, Nautilus’ board of directors granted Mr. Patel an option to purchase 217,425 shares of Nautilus common stock. The option was granted under the 2017 Plan and the form of option agreement thereunder and has a per share exercise price of $36.28, the fair market value of one share of Nautilus common stock on the date of grant, as determined in good faith by Nautilus’ board of directors. Twenty-five percent (25%) of the shares subject to the option shall vest on January 31, 2022, and one thirty-sixth (1/36th) of the remaining shares subject to the option shall vest each month thereafter, subject to Mr. Patel continuing to be a service provider to Nautilus through each such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Each named executive officer holds stock options granted subject to the general terms of the 2017 Plan. A description of the termination and change in control provisions in the 2017 Plan and applicable to the stock options granted to Nautilus’ named executive officers is provided below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and above under</w:t>
      </w:r>
      <w:r>
        <w:rPr>
          <w:rFonts w:ascii="Arial" w:cs="Arial" w:eastAsia="Arial" w:hAnsi="Arial"/>
          <w:sz w:val="18"/>
          <w:szCs w:val="18"/>
          <w:i w:val="1"/>
          <w:iCs w:val="1"/>
          <w:color w:val="auto"/>
        </w:rPr>
        <w:t xml:space="preserve"> “—Outstanding Equity Awards at Fiscal Year-End”.</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Nautilus has entered into a change in control and severance agreement (each, a “CIC Agreement”) with each of Mr. Patel, Ms. Mowry and Dr. Sankar, which provide for certain severance and change in control benefits as summarized below.</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Nautilus that provides for severance or change in control payments and benefits.</w:t>
      </w:r>
    </w:p>
    <w:p>
      <w:pPr>
        <w:spacing w:after="0" w:line="11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Each CIC Agreement has an initial term of three years commencing on the business day immediately prior to the closing of the Merger.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CIC Agreements provide that if, other than during the period beginning three months before a change in control through the one-year anniversary of a change in control, or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Nautilus’ favor:</w:t>
      </w:r>
    </w:p>
    <w:p>
      <w:pPr>
        <w:spacing w:after="0" w:line="134" w:lineRule="exact"/>
        <w:rPr>
          <w:sz w:val="20"/>
          <w:szCs w:val="20"/>
          <w:color w:val="auto"/>
        </w:rPr>
      </w:pPr>
    </w:p>
    <w:p>
      <w:pPr>
        <w:ind w:left="660" w:right="100" w:hanging="328"/>
        <w:spacing w:after="0" w:line="277" w:lineRule="auto"/>
        <w:tabs>
          <w:tab w:leader="none" w:pos="6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Ms. Mowry and Dr. Sankar, of the named executive officer’s base salary as in effect immediately before such termination; and</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Company payment of the employer portion of the premiums required for continued coverage pursuant to COBRA under the Company’s group health, dental and vision care plans for the named executive officer and his or her eligible dependents for up to twelve months for Mr. Patel, or six months for Ms. Mowry and Dr. Sankar.</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during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Nautilus’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3" w:name="page284"/>
    <w:bookmarkEnd w:id="283"/>
    <w:p>
      <w:pPr>
        <w:spacing w:after="0" w:line="144" w:lineRule="exact"/>
        <w:rPr>
          <w:sz w:val="20"/>
          <w:szCs w:val="20"/>
          <w:color w:val="auto"/>
        </w:rPr>
      </w:pPr>
    </w:p>
    <w:p>
      <w:pPr>
        <w:ind w:left="660" w:hanging="328"/>
        <w:spacing w:after="0" w:line="308" w:lineRule="auto"/>
        <w:tabs>
          <w:tab w:leader="none" w:pos="65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92"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129"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Company payment of the premiums required for continued coverage pursuant to COBRA under the Company’s group health, dental and vision care plans for the named executive officer and his or her eligible dependents for up to eighteen months for Mr. Patel, or twelve months for Ms. Mowry and Dr. Sankar; and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Company equity awards (other than Company equity awards subject to performance-based vesting criteria) granted to the named executive officer.</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the Merger, Nautilus expects to adopt the New Nautilus Executive Incentive Compensation Plan (the “Incentive Plan”). The Incentive Plan will be administered by the compensation committee of the New Nautilus Board. The Incentive Plan will allow New Nautilus to grant incentive awards, generally payable in cash, to employees selected by the administrator, including New Nautilus named executive officers, based upon any performance goals that may be established by the administrator. The below is a summary of the terms of the Incentive Plan.</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Incentive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14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9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New Nautilus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Awards under the Incentive Plan are subject to any clawback policy New Nautilus or New Nautilus’ parent or subsidiary corporations may establish or amend from time to time to comply with applicable laws, including without limitation, the listing standards of any national securities exchange or association on which New Nautilus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New Nautilus for certain amounts paid under an award under the Incentive Plan in connection with certain accounting restatements New Nautilus may be required to prepare due to New Nautilus’ material noncompliance with any financial reporting requirements under applicable securities laws, as a result of misconduct.</w:t>
      </w:r>
    </w:p>
    <w:p>
      <w:pPr>
        <w:spacing w:after="0" w:line="14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administrator of the Incentive Plan will have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Nautilus provides benefits to its named executive officers on the same basis as provided to all of its employees, including health, dental and vision insurance; life insurance; accidental death and dismemberment insurance; short-and long-term disability insurance; a flexible spending account; and a tax-qualified Section 401(k) plan for which no match is provided by Nautilus. Nautilus does not maintain any executive-specific benefit or perquisite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Nautilus maintains a 401(k) retirement savings plan, for the benefit of employees, including its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Nautilus does not provide a match for participants’ elective contributions to the 401(k) plan, nor does Nautilus provide to employees, including its named executive officers, any other retirement benefits, including without limitation any tax-qualified defined benefit plans, supplemental executive retirement plans and nonqualified defined contribution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2017 Equity Incentive Plan</w:t>
      </w:r>
    </w:p>
    <w:p>
      <w:pPr>
        <w:spacing w:after="0" w:line="17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2017 Equity Incentive Plan allows Nautilus to provide incentive stock options, within the meaning of Section 422 of the Code, nonstatutory stock options, stock appreciation rights, restricted stock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restricted stock units (each, an “award” and the recipient of such award, a “participant”) to eligible employees, directors, and consultants of Nautilus and any parent or subsidiary of Nautilus. It is expected that as of one business day prior to the Closing, the 2017 Plan will be terminated and Nautilus will not grant any additional awards under the 2017 Plan thereafter. However, the 2017 Plan will continue to govern the terms and conditions of the outstanding awards previously granted under the 2017 Plan.</w:t>
      </w:r>
    </w:p>
    <w:p>
      <w:pPr>
        <w:spacing w:after="0" w:line="133" w:lineRule="exact"/>
        <w:rPr>
          <w:sz w:val="20"/>
          <w:szCs w:val="20"/>
          <w:color w:val="auto"/>
        </w:rPr>
      </w:pPr>
    </w:p>
    <w:p>
      <w:pPr>
        <w:ind w:left="340" w:right="1200"/>
        <w:spacing w:after="0" w:line="438" w:lineRule="auto"/>
        <w:rPr>
          <w:sz w:val="20"/>
          <w:szCs w:val="20"/>
          <w:color w:val="auto"/>
        </w:rPr>
      </w:pPr>
      <w:r>
        <w:rPr>
          <w:rFonts w:ascii="Arial" w:cs="Arial" w:eastAsia="Arial" w:hAnsi="Arial"/>
          <w:sz w:val="18"/>
          <w:szCs w:val="18"/>
          <w:color w:val="auto"/>
        </w:rPr>
        <w:t xml:space="preserve">As of December 31, 2020, stock options covering 1,418,267 shares of Nautilus Common Stock were outstanding under the 2017 Plan. </w:t>
      </w:r>
      <w:r>
        <w:rPr>
          <w:rFonts w:ascii="Arial" w:cs="Arial" w:eastAsia="Arial" w:hAnsi="Arial"/>
          <w:sz w:val="18"/>
          <w:szCs w:val="18"/>
          <w:b w:val="1"/>
          <w:bCs w:val="1"/>
          <w:i w:val="1"/>
          <w:iCs w:val="1"/>
          <w:color w:val="auto"/>
        </w:rPr>
        <w:t>Purposes of the 2017 Plan</w:t>
      </w:r>
    </w:p>
    <w:p>
      <w:pPr>
        <w:spacing w:after="0" w:line="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purposes of the 2017 Plan are to attract and retain personnel for positions with Nautilus, any parent or subsidiary; to provide additional incentive to employees, directors, and consultants; and to promote the success of the Nautilus business. These incentives are provided through the grant of equity awards, including stock options, as the administrator of the 2017 Plan determines.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2017 Plan provides for the grant of incentive stock options, within the meaning of Section 422 of the Code, to Nautilus’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parent and subsidiary corporations’ employees, and for the grant of nonstatutory stock options, restricted stock, restricted stock units, and stock appreciation rights to employees, directors and consultants of Nautilus and any of its parents or subsidiaries.</w:t>
      </w:r>
    </w:p>
    <w:p>
      <w:pPr>
        <w:spacing w:after="0" w:line="13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the Nautilus Board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have been granted under the 2017 Plan. The exercise price of options granted under the 2017 Plan generally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at least 100% of the fair market value of a share of Nautilus Common Stock on the date of grant. The term of an option may not exceed ten years. With respect to any participant who owns more than 10% of the voting power of all classes of Nautilus’ (or any of its parent’s or subsidiary’s) outstanding stock, the term of an incentive stock option granted to such participant must not exceed five years and the per share exercise price must equal at least 110% of the fair market value of a share of Nautilus Common Stock on the grant date. The administrator determines the methods of payment of the exercise price of an option, which may include cash, certain shares of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6" w:name="page287"/>
    <w:bookmarkEnd w:id="286"/>
    <w:p>
      <w:pPr>
        <w:spacing w:after="0" w:line="14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dividend or other distribution (whether in cash, shares, other securities, or other property),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2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Nautilus,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Nautilus’ merger or change in control, as defined in the 2017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Nautilus Board may, at any time, terminate, amend, alter or suspend the 2017 Plan. To the extent necessary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desirable to comply with applicable laws, Nautilus will obtain stockholder approval of any amendment to the 2017 Plan. No amendment or alteration of the 2017 Plan will impair the rights of a participant, unless mutually agreed otherwise between the participant and the administrator in writing. As noted above, it is expected that as of the day immediately prior to the date of the Closing, the 2017 Plan will be terminated and Nautilus will not grant any additional awards under the 2017 Plan thereafter.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Equity Incentive Plan</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more information about the New Nautilus 2021 Equity Incentive Plan, see the section entitled “</w:t>
      </w:r>
      <w:r>
        <w:rPr>
          <w:rFonts w:ascii="Arial" w:cs="Arial" w:eastAsia="Arial" w:hAnsi="Arial"/>
          <w:sz w:val="18"/>
          <w:szCs w:val="18"/>
          <w:i w:val="1"/>
          <w:iCs w:val="1"/>
          <w:color w:val="auto"/>
        </w:rPr>
        <w:t>Proposal No. 9: The Incentive Award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Employee Stock Purchase Plan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more information about the New Nautilus 2021 Employee Stock Purchase Plan, see the section entitled “</w:t>
      </w:r>
      <w:r>
        <w:rPr>
          <w:rFonts w:ascii="Arial" w:cs="Arial" w:eastAsia="Arial" w:hAnsi="Arial"/>
          <w:sz w:val="18"/>
          <w:szCs w:val="18"/>
          <w:i w:val="1"/>
          <w:iCs w:val="1"/>
          <w:color w:val="auto"/>
        </w:rPr>
        <w:t>Proposal No. 10: The Employee Stock</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Plan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88" w:name="page289"/>
    <w:bookmarkEnd w:id="28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DIRECTOR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Nautilus currently has no formal policy under which non-employee directors receive compensation for their service on the Nautilus board of directors or its committees. Nautilus’ policy is to reimburse non-employee directors for reasonable and necessary out-of-pocket expenses incurred in connection with attending board and committee meetings or performing other services in their capacities as non-employee directors, and Nautilus occasionally grants stock options to non-employee directors.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compensation of each person serving as a Nautilus non-employee director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Sujal Patel, Nautilus’ Chief Executive Officer, did not receive any additional compensation for his service as a director in 2020. The compensation of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Patel as a named executive officer is set forth above in this section in the Summary Compensation Table.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0"/>
              </w:rPr>
              <w:t>Fees earned or paid</w:t>
            </w:r>
          </w:p>
        </w:tc>
        <w:tc>
          <w:tcPr>
            <w:tcW w:w="146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Non-equity incentive</w:t>
            </w:r>
          </w:p>
        </w:tc>
        <w:tc>
          <w:tcPr>
            <w:tcW w:w="21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2"/>
              </w:rPr>
              <w:t>All other compensation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60" w:type="dxa"/>
            <w:vAlign w:val="bottom"/>
            <w:vMerge w:val="continue"/>
          </w:tcPr>
          <w:p>
            <w:pPr>
              <w:spacing w:after="0"/>
              <w:rPr>
                <w:sz w:val="11"/>
                <w:szCs w:val="11"/>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Option awards ($)</w:t>
            </w:r>
            <w:r>
              <w:rPr>
                <w:rFonts w:ascii="Arial" w:cs="Arial" w:eastAsia="Arial" w:hAnsi="Arial"/>
                <w:sz w:val="18"/>
                <w:szCs w:val="18"/>
                <w:b w:val="1"/>
                <w:bCs w:val="1"/>
                <w:color w:val="auto"/>
                <w:w w:val="99"/>
                <w:vertAlign w:val="superscript"/>
              </w:rPr>
              <w:t>(1)</w:t>
            </w:r>
          </w:p>
        </w:tc>
        <w:tc>
          <w:tcPr>
            <w:tcW w:w="16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9"/>
              </w:rPr>
              <w:t>plan compensation</w:t>
            </w:r>
          </w:p>
        </w:tc>
        <w:tc>
          <w:tcPr>
            <w:tcW w:w="2120" w:type="dxa"/>
            <w:vAlign w:val="bottom"/>
            <w:vMerge w:val="continue"/>
          </w:tcPr>
          <w:p>
            <w:pPr>
              <w:spacing w:after="0"/>
              <w:rPr>
                <w:sz w:val="11"/>
                <w:szCs w:val="11"/>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2060" w:type="dxa"/>
            <w:vAlign w:val="bottom"/>
          </w:tcPr>
          <w:p>
            <w:pPr>
              <w:jc w:val="center"/>
              <w:ind w:left="508"/>
              <w:spacing w:after="0"/>
              <w:rPr>
                <w:sz w:val="20"/>
                <w:szCs w:val="20"/>
                <w:color w:val="auto"/>
              </w:rPr>
            </w:pPr>
            <w:r>
              <w:rPr>
                <w:rFonts w:ascii="Arial" w:cs="Arial" w:eastAsia="Arial" w:hAnsi="Arial"/>
                <w:sz w:val="14"/>
                <w:szCs w:val="14"/>
                <w:b w:val="1"/>
                <w:bCs w:val="1"/>
                <w:color w:val="auto"/>
                <w:w w:val="92"/>
              </w:rPr>
              <w:t>in cash ($)</w:t>
            </w:r>
          </w:p>
        </w:tc>
        <w:tc>
          <w:tcPr>
            <w:tcW w:w="1460" w:type="dxa"/>
            <w:vAlign w:val="bottom"/>
            <w:vMerge w:val="continue"/>
          </w:tcPr>
          <w:p>
            <w:pPr>
              <w:spacing w:after="0"/>
              <w:rPr>
                <w:sz w:val="16"/>
                <w:szCs w:val="16"/>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2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Melissa Epperly</w:t>
            </w:r>
          </w:p>
        </w:tc>
        <w:tc>
          <w:tcPr>
            <w:tcW w:w="166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200,250</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Stuart Nagae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2820" w:type="dxa"/>
            <w:vAlign w:val="bottom"/>
          </w:tcPr>
          <w:p>
            <w:pPr>
              <w:ind w:left="20"/>
              <w:spacing w:after="0"/>
              <w:rPr>
                <w:sz w:val="20"/>
                <w:szCs w:val="20"/>
                <w:color w:val="auto"/>
              </w:rPr>
            </w:pPr>
            <w:r>
              <w:rPr>
                <w:rFonts w:ascii="Arial" w:cs="Arial" w:eastAsia="Arial" w:hAnsi="Arial"/>
                <w:sz w:val="18"/>
                <w:szCs w:val="18"/>
                <w:color w:val="auto"/>
              </w:rPr>
              <w:t>Matthew Posard</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74"/>
        </w:trPr>
        <w:tc>
          <w:tcPr>
            <w:tcW w:w="2820" w:type="dxa"/>
            <w:vAlign w:val="bottom"/>
          </w:tcPr>
          <w:p>
            <w:pPr>
              <w:spacing w:after="0"/>
              <w:rPr>
                <w:sz w:val="20"/>
                <w:szCs w:val="20"/>
                <w:color w:val="auto"/>
              </w:rPr>
            </w:pPr>
            <w:r>
              <w:rPr>
                <w:rFonts w:ascii="Arial" w:cs="Arial" w:eastAsia="Arial" w:hAnsi="Arial"/>
                <w:sz w:val="14"/>
                <w:szCs w:val="14"/>
                <w:color w:val="auto"/>
              </w:rPr>
              <w:t>__________________</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46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250,250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408" w:lineRule="exact"/>
        <w:rPr>
          <w:sz w:val="20"/>
          <w:szCs w:val="20"/>
          <w:color w:val="auto"/>
        </w:rPr>
      </w:pPr>
    </w:p>
    <w:p>
      <w:pPr>
        <w:sectPr>
          <w:pgSz w:w="11900" w:h="16838" w:orient="portrait"/>
          <w:cols w:equalWidth="0" w:num="3">
            <w:col w:w="9320" w:space="20"/>
            <w:col w:w="520" w:space="720"/>
            <w:col w:w="660"/>
          </w:cols>
          <w:pgMar w:left="320" w:top="1440" w:right="339" w:bottom="1440" w:gutter="0" w:footer="0" w:header="0"/>
          <w:type w:val="continuous"/>
        </w:sectPr>
      </w:pPr>
    </w:p>
    <w:p>
      <w:pPr>
        <w:ind w:left="340" w:right="20" w:hanging="332"/>
        <w:spacing w:after="0" w:line="241" w:lineRule="auto"/>
        <w:tabs>
          <w:tab w:leader="none" w:pos="33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 The grant date fair value of the stock option award granted to Mr. Posard during 2020 is not calculable through the latest practicable date and will be included in a subsequent filing once determined.</w:t>
      </w:r>
    </w:p>
    <w:p>
      <w:pPr>
        <w:spacing w:after="0" w:line="1" w:lineRule="exact"/>
        <w:rPr>
          <w:rFonts w:ascii="Arial" w:cs="Arial" w:eastAsia="Arial" w:hAnsi="Arial"/>
          <w:sz w:val="14"/>
          <w:szCs w:val="14"/>
          <w:color w:val="auto"/>
        </w:rPr>
      </w:pPr>
    </w:p>
    <w:p>
      <w:pPr>
        <w:ind w:left="340" w:right="620" w:hanging="332"/>
        <w:spacing w:after="0" w:line="260" w:lineRule="auto"/>
        <w:tabs>
          <w:tab w:leader="none" w:pos="332"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This amount represents a performance-based cash bonus earned by Dr. Mallick under our 2020 annual bonus program based upon the achievement of objectives for the year ended December 31, 2020, which was paid in 2021. Nautilus’ bonus plan is more fully described above under the section titled “—Non-Equity Incentive Plan Compensation.”</w:t>
      </w:r>
    </w:p>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Represents (i) $200,000 in consulting fees received by Dr. Mallick for his services as our Chief Scientist and (ii) $250 for expenses associated with working from home.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Represents fees paid to Mr. Posard for consulting services.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Stock Option Grants</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January 2021, Nautilus’ board of directors granted options to purchase 10,000 shares of Nautilus common stock to each of Mr. McIlwain, Mr. Nazem, Dr. Pande and Mr. Posard, and an option to purchase 20,000 shares of Nautilus common stock to Ms. Epperly. Each option was granted under the 2017 Plan and the form of option agreement thereunder and has a per share exercise price of $36.28, the fair market value of one share of Nautilus common stock on the date of grant, as determined in good faith by Nautilus’ board of directors. Subject to the applicable individual continuing to be a service provider to Nautilus through such date, 100% of the shares subject to each such option shall vest on the earlier of (a) January 31, 2022 and (b) the day immediately before the date of the next annual meeting of New Nautilus’ stockholders following the closing of the Business Combination.</w:t>
      </w:r>
    </w:p>
    <w:p>
      <w:pPr>
        <w:spacing w:after="0" w:line="110"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Also in January 2021, Nautilus’ board of directors granted Dr. Mallick an option to purchase 127,897 shares of Nautilus common stock. The option was granted under the 2017 Plan and the form of option agreement thereunder and has a per share exercise price of $36.28, the fair market value of one share of Nautilus common stock on the date of grant, as determined in good faith by the Nautilus board of directors. Twenty-five percent (25%)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9" w:name="page290"/>
    <w:bookmarkEnd w:id="289"/>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shares subject to the option shall vest on January 31, 2022, and one thirty-sixth (1/36th) of the remaining shares subject to the option shall vest each month thereafter, subject to Dr. Mallick continuing to be a service provider to Nautilus through each such date.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Mallick Agreements</w:t>
      </w:r>
    </w:p>
    <w:p>
      <w:pPr>
        <w:spacing w:after="0" w:line="175" w:lineRule="exact"/>
        <w:rPr>
          <w:sz w:val="20"/>
          <w:szCs w:val="20"/>
          <w:color w:val="auto"/>
        </w:rPr>
      </w:pPr>
    </w:p>
    <w:p>
      <w:pPr>
        <w:ind w:right="240" w:firstLine="324"/>
        <w:spacing w:after="0" w:line="218" w:lineRule="exact"/>
        <w:rPr>
          <w:sz w:val="20"/>
          <w:szCs w:val="20"/>
          <w:color w:val="auto"/>
        </w:rPr>
      </w:pPr>
      <w:r>
        <w:rPr>
          <w:rFonts w:ascii="Arial" w:cs="Arial" w:eastAsia="Arial" w:hAnsi="Arial"/>
          <w:sz w:val="17"/>
          <w:szCs w:val="17"/>
          <w:color w:val="auto"/>
        </w:rPr>
        <w:t>In connection with the Merger, Nautilus has entered into a confirmatory employment letter with Dr. Mallick, its Chief Scientist and a member of the board of directors. The confirmatory employment letter has no specific term and provides that Dr. Mallick is an at</w:t>
      </w:r>
      <w:r>
        <w:rPr>
          <w:rFonts w:ascii="MS PGothic" w:cs="MS PGothic" w:eastAsia="MS PGothic" w:hAnsi="MS PGothic"/>
          <w:sz w:val="17"/>
          <w:szCs w:val="17"/>
          <w:color w:val="auto"/>
        </w:rPr>
        <w:t>‑</w:t>
      </w:r>
      <w:r>
        <w:rPr>
          <w:rFonts w:ascii="Arial" w:cs="Arial" w:eastAsia="Arial" w:hAnsi="Arial"/>
          <w:sz w:val="17"/>
          <w:szCs w:val="17"/>
          <w:color w:val="auto"/>
        </w:rPr>
        <w:t>will employee. The confirmatory employment letter supersedes all pre-existing agreements and understandings that Dr. Mallick may have entered into concerning his relationship as a service provider to Nautilus. Dr. Mallick’s current annual base salary is $350,000. In 2020, Dr. Mallick’s annual base salary was $200,000 and he was eligible for a target annual cash bonus opportunity of $50,000. Provided Dr. Mallick continues providing services to Nautilus through the closing date of the Merger, as of such date his annual base salary will be increased to $400,000. Under the confirmatory employment letter, Dr. Mallick is eligible for a target annual cash bonus opportunity equal to fifty percent (50%) of his annual base salary for fiscal year 2021.</w:t>
      </w:r>
    </w:p>
    <w:p>
      <w:pPr>
        <w:spacing w:after="0" w:line="1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Also in connection with the Merger, Nautilus has entered into a change in control and severance agreement (the “Mallick CIC Agreement”) with Dr. Mallick, which provides for certain severance and change in control benefits as summarized below and supersedes any prior agreement or arrangement that Dr. Mallick may have had with Nautilus that provides for severance or change in control payments and benefits.</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Mallick CIC Agreement has an initial term of three years commencing on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spacing w:after="0" w:line="13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Mallick CIC Agreement provides that if, other than during the period beginning three months before a change in control through the one-year anniversary of a change in control (the “CIC Period”), Dr. Mallick’s employment with Nautilus is terminated either (x) by Nautilus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Nautilus’ favor:</w:t>
      </w:r>
    </w:p>
    <w:p>
      <w:pPr>
        <w:spacing w:after="0" w:line="134" w:lineRule="exact"/>
        <w:rPr>
          <w:sz w:val="20"/>
          <w:szCs w:val="20"/>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lump sum cash payment equal to 50% of his base salary as in effect immediately before such termination;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payment of premiums for group health, dental and vision coverage under COBRA for Dr. Mallick and his eligible dependents for up to six months.</w:t>
      </w:r>
    </w:p>
    <w:p>
      <w:pPr>
        <w:spacing w:after="0" w:line="19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during the CIC Period, Dr. Mallick’s employment with Nautilus is terminated either (x) by Nautilus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spacing w:after="0" w:line="133" w:lineRule="exact"/>
        <w:rPr>
          <w:sz w:val="20"/>
          <w:szCs w:val="20"/>
          <w:color w:val="auto"/>
        </w:rPr>
      </w:pPr>
    </w:p>
    <w:p>
      <w:pPr>
        <w:ind w:left="660" w:right="140" w:hanging="328"/>
        <w:spacing w:after="0" w:line="277"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lump sum cash payment equal to 100% of his base salary as in effect immediately before such termination or if greater, the base salary in effect immediately before the change in control;</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lump sum cash payment equal to 100% of Dr. Mallick’s target bonus opportunity as in effect immediately before such termination or if greater, the target bonus opportunity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ind w:left="660" w:right="360" w:hanging="328"/>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payment of premiums for group health, dental and vision coverage under COBRA for Dr. Mallick and his eligible dependents for up to twelve months; and</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100% accelerated vesting and exercisability of Dr. Mallick’s outstanding and unvested equity awards (other than equity awards subject to performance-based vesting criteria).</w:t>
      </w:r>
    </w:p>
    <w:p>
      <w:pPr>
        <w:spacing w:after="0" w:line="11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Policy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New Nautilus Board expects to review director compensation periodically to ensure that director compensation remains competitive such that New Nautilus is able to recruit and retain qualified directors. In 2020, the compensation committee of the Nautilus board of directors retained Compensia, a third-party compensation consultant, to provide the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the Nautilus board of directors adopted an Outside Director Compensation Policy that provides for certain compensation to New Nautilus non-employee directors. The Outside Director Compensation Policy will become effective as of the day immediately prior to the Closing.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Outside Director Compensation Policy will provide for the following cash compensation program for New Nautilus non-employee directors:</w:t>
      </w:r>
    </w:p>
    <w:p>
      <w:pPr>
        <w:spacing w:after="0" w:line="183" w:lineRule="exact"/>
        <w:rPr>
          <w:sz w:val="20"/>
          <w:szCs w:val="20"/>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$20,000 per year for service as chair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$10,000 per year for service as a member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$14,000 per year for service as chair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$7,000 per year for service as a member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$10,000 per year for service as chair of the New Nautilus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$5,000 per year for service as a member of the New Nautilus nominating and corporate governance committee.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non-employee director who serves as a committee chair of the New Nautilus Board will receive the cash retainer fee as the chair of the committee but not the cash retainer fee as a member of that committee, provided that the non-employee director who serves as the non-employee chair of the New Nautilus Board will receive the annual retainer fees for such role as well as the annual retainer fee for service as a non-employee director. These fees to New Nautilus non-employee directors will be paid quarterly in arrears on a prorated basis. The above-listed fees for service as non-employee chair of the New Nautilus Board or a chair or member of any committee are payable in addition to the non-employee director retainer. Under the New Nautilus Outside Director Compensation Policy,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Nautilus also will reimburse its non-employee directors for reasonable travel expenses to attend meetings of the New Nautilus Board and its committees.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the New Nautilus Outside Director Compensation Policy, each person who first becomes a non-employee director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such policy will receive, on the first trading day on or after the date that the person first becomes a non-employee director, an initial award of stock options to purchase shares of New Nautilus common stock (the “</w:t>
      </w:r>
      <w:r>
        <w:rPr>
          <w:rFonts w:ascii="Arial" w:cs="Arial" w:eastAsia="Arial" w:hAnsi="Arial"/>
          <w:sz w:val="16"/>
          <w:szCs w:val="16"/>
          <w:u w:val="single" w:color="auto"/>
          <w:color w:val="auto"/>
        </w:rPr>
        <w:t>Initial Award</w:t>
      </w:r>
      <w:r>
        <w:rPr>
          <w:rFonts w:ascii="Arial" w:cs="Arial" w:eastAsia="Arial" w:hAnsi="Arial"/>
          <w:sz w:val="16"/>
          <w:szCs w:val="16"/>
          <w:color w:val="auto"/>
        </w:rPr>
        <w:t>”). The Initial Award will have an aggregate grant date fair value (determined in accordance with U.S. GAAP) of $370,000. The Initial Award will be scheduled to vest in equal installments as to 1/36th of the shares of New Nautilus common stock subject to the Initial Award on a monthly basis following the Initial Award’s grant date, on the same day of the month as the grant date, subject to continued services to New Nautilus through the applicable vesting dates. If the person was a member of the New Nautilus Board and also an employee, then becoming a non-employee director due to termination of employment will not entitle the person to an Initial Award.</w:t>
      </w:r>
    </w:p>
    <w:p>
      <w:pPr>
        <w:spacing w:after="0" w:line="112"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New Nautilus stockholders (an Annual Meeting) that occurs following the effective date of the New Nautilus Outside Director Compensation Policy, an annual award of stock options to purchase shares of New Nautilus common stock (the “</w:t>
      </w:r>
      <w:r>
        <w:rPr>
          <w:rFonts w:ascii="Arial" w:cs="Arial" w:eastAsia="Arial" w:hAnsi="Arial"/>
          <w:sz w:val="16"/>
          <w:szCs w:val="16"/>
          <w:u w:val="single" w:color="auto"/>
          <w:color w:val="auto"/>
        </w:rPr>
        <w:t>Annual Award</w:t>
      </w:r>
      <w:r>
        <w:rPr>
          <w:rFonts w:ascii="Arial" w:cs="Arial" w:eastAsia="Arial" w:hAnsi="Arial"/>
          <w:sz w:val="16"/>
          <w:szCs w:val="16"/>
          <w:color w:val="auto"/>
        </w:rPr>
        <w:t>”).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shares of New Nautilus common stock subject to such award on a monthly basis following the Annual Award’s grant date, on the same day of the month as the grant date, subject to continued services to New Nautilus through the applicable vesting dates.</w:t>
      </w:r>
    </w:p>
    <w:p>
      <w:pPr>
        <w:spacing w:after="0" w:line="11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New Nautilus’ change in control, as defined in the 2021 Plan, each non-employee director’s then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covering shares of New Nautilus common stock that were granted to him or her while a non-employee director will accelerate vesting in full, provided that he or she remains a non-employee director through the date of such change in control.</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New Nautilus common stock on the award’s grant date.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The New Nautilus Outside Director Compensation Policy will provide that in any fiscal year, a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FOLLOWING THE BUSINESS COMBINATION</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sets forth certain information, as of the date of this proxy statement/prospectus, concerning the persons who are expected to serve as directors and executive officers of New Nautilus following the consummation of the Business Combination.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524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auto"/>
            </w:tcBorders>
            <w:shd w:val="clear" w:color="auto" w:fill="CCEEFF"/>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Business Officer, Senior Vice President, Business Development</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(1)(2)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Expected to be a member of the audit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Expected to be a member of the compensation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Expected to be a member of the nominating and corporate governance committee, effective upon the Closing.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Sujal Patel </w:t>
      </w:r>
      <w:r>
        <w:rPr>
          <w:rFonts w:ascii="Arial" w:cs="Arial" w:eastAsia="Arial" w:hAnsi="Arial"/>
          <w:sz w:val="16"/>
          <w:szCs w:val="16"/>
          <w:color w:val="auto"/>
        </w:rPr>
        <w:t>co-founded Nautilus and has served as its Chief Executive Officer and a member of its board of directors since January 2017.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1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believe Mr. Patel is qualified to serve on the New Nautilus Board because of his deep knowledge of Nautilus’ business, and strategy, and his extensive executive leadership and operational experience.</w:t>
      </w:r>
    </w:p>
    <w:p>
      <w:pPr>
        <w:spacing w:after="0" w:line="11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Parag Mallick </w:t>
      </w:r>
      <w:r>
        <w:rPr>
          <w:rFonts w:ascii="Arial" w:cs="Arial" w:eastAsia="Arial" w:hAnsi="Arial"/>
          <w:sz w:val="16"/>
          <w:szCs w:val="16"/>
          <w:color w:val="auto"/>
        </w:rPr>
        <w:t>co-founded Nautilus and has served as its Chief Scientist and a member of its board of directors since December 2016. Dr. Mallick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believe Dr. Mallick is qualified to serve on the New Nautilus Board because of his scientific expertise and his deep understanding of Nautilus’ business, operations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3" w:name="page294"/>
    <w:bookmarkEnd w:id="293"/>
    <w:p>
      <w:pPr>
        <w:spacing w:after="0" w:line="144"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Nautilus’ Chief Financial Officer and Treasurer since January 2021. Previously, Ms. Mowry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2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Nick Nelson </w:t>
      </w:r>
      <w:r>
        <w:rPr>
          <w:rFonts w:ascii="Arial" w:cs="Arial" w:eastAsia="Arial" w:hAnsi="Arial"/>
          <w:sz w:val="17"/>
          <w:szCs w:val="17"/>
          <w:color w:val="auto"/>
        </w:rPr>
        <w:t>has served as Nautilus’ Chief Business Officer and Senior Vice President, Business Development since October 2020. Previously,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Nautilus’ Senior Vice President, Product Development since December 2020. Previously, Dr. Sankar served at GenapSys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 Murphy </w:t>
      </w:r>
      <w:r>
        <w:rPr>
          <w:rFonts w:ascii="Arial" w:cs="Arial" w:eastAsia="Arial" w:hAnsi="Arial"/>
          <w:sz w:val="18"/>
          <w:szCs w:val="18"/>
          <w:color w:val="auto"/>
        </w:rPr>
        <w:t>has served as Nautilus’ General Counsel since April 2021. Prior to joining Nautilus, from August 2020 to March 2021, Mr. Murphy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the current Chief Financial Officer of ARYA and a member of the ARYA Board, joined Perceptive Advisors in 2007,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Mr. Altman is qualified to serve on the New Nautilus Board because of his broad operational and transactional experience.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b w:val="1"/>
          <w:bCs w:val="1"/>
          <w:i w:val="1"/>
          <w:iCs w:val="1"/>
          <w:color w:val="auto"/>
        </w:rPr>
        <w:t xml:space="preserve">Melissa Epperly </w:t>
      </w:r>
      <w:r>
        <w:rPr>
          <w:rFonts w:ascii="Arial" w:cs="Arial" w:eastAsia="Arial" w:hAnsi="Arial"/>
          <w:sz w:val="18"/>
          <w:szCs w:val="18"/>
          <w:color w:val="auto"/>
        </w:rPr>
        <w:t>has served as Chief Financial Officer of Zentalis Pharmaceuticals, Inc. (NASDAQ: ZNTL), a clinical-stage cancer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4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believe Ms. Epperly is qualified to serve on the New Nautilus Board because of her extensive experience as a senior financing executive in the life sciences industry.</w:t>
      </w:r>
    </w:p>
    <w:p>
      <w:pPr>
        <w:spacing w:after="0" w:line="11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Matthew McIlwain </w:t>
      </w:r>
      <w:r>
        <w:rPr>
          <w:rFonts w:ascii="Arial" w:cs="Arial" w:eastAsia="Arial" w:hAnsi="Arial"/>
          <w:sz w:val="18"/>
          <w:szCs w:val="18"/>
          <w:color w:val="auto"/>
        </w:rPr>
        <w:t>has served as a Managing Director at Madrona Venture Group, a venture capital firm, since June 2002 and joined as a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14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McIlwain is qualified to serve on the New Nautilus Board due to his extensive industry background and experience investing in the technology and life sciences industry.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Farzad Nazem </w:t>
      </w:r>
      <w:r>
        <w:rPr>
          <w:rFonts w:ascii="Arial" w:cs="Arial" w:eastAsia="Arial" w:hAnsi="Arial"/>
          <w:sz w:val="18"/>
          <w:szCs w:val="18"/>
          <w:color w:val="auto"/>
        </w:rPr>
        <w:t>has served on Nautilus’ board of directors since June 2017. Mr. Nazem spent over 11 years at Yahoo! Inc., a web services provider,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3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Mr. Nazem is qualified to serve on the New Nautilus Board because of his technical expertise, extensive industry background and management experience.</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Nautilus’ board of directors since May 2018. Since September 2015, Dr. Pande has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3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believe Dr. Pande is qualified to serve on the New Nautilus Board because of his extensive industry experience and board experience with healthcare companies.</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b w:val="1"/>
          <w:bCs w:val="1"/>
          <w:i w:val="1"/>
          <w:iCs w:val="1"/>
          <w:color w:val="auto"/>
        </w:rPr>
        <w:t xml:space="preserve">Matthew L. Posard </w:t>
      </w:r>
      <w:r>
        <w:rPr>
          <w:rFonts w:ascii="Arial" w:cs="Arial" w:eastAsia="Arial" w:hAnsi="Arial"/>
          <w:sz w:val="17"/>
          <w:szCs w:val="17"/>
          <w:color w:val="auto"/>
        </w:rPr>
        <w:t>has served on Nautilus’ board of directors since February 2019. Mr. Posard currently serves as Founding Partner at Explore-DNA,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Posard is qualified to serve on the New Nautilus Board because of his extensive experience as an executive and serving on various boards of directors of companies in the life sciences industry.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expected directors and executive officers of New Nautilus.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Following the Business Combination</w:t>
      </w:r>
    </w:p>
    <w:p>
      <w:pPr>
        <w:spacing w:after="0" w:line="17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accordance with the terms of the Proposed Certificate of Incorporation and Proposed Bylaws, the New Nautilus Board will be divided into three staggered classes of directors and each director will be assigned to one of the three classes. At each annual meeting of the stockholders, a class of directors will be elected for a 3-year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w:t>
      </w:r>
    </w:p>
    <w:p>
      <w:pPr>
        <w:spacing w:after="0" w:line="1" w:lineRule="exact"/>
        <w:rPr>
          <w:sz w:val="20"/>
          <w:szCs w:val="20"/>
          <w:color w:val="auto"/>
        </w:rPr>
      </w:pPr>
    </w:p>
    <w:p>
      <w:pPr>
        <w:ind w:right="340" w:firstLine="8"/>
        <w:spacing w:after="0" w:line="260" w:lineRule="auto"/>
        <w:tabs>
          <w:tab w:leader="none" w:pos="16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directors and 2024 for Class III directors. Sujal Patel, Vijay Pande, and Michael Altman will be Class I directors, Parag Mallick, Farzad Nazem, and Matthew McIlwain will be Class II directors and Melissa Epperly and Matthew Posard will be Class III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Under the Nasdaq listing standards, a majority of the members of the New Nautilus Board must qualify as “independent,” as affirmatively determined by the New Nautilus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It is anticipated that each individual expected to serve on the New Nautilus Board upon consummation of the Business Combination other than Sujal Patel and Parag Mallick will qualify as an independent director under Nasdaq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New Nautilus Board of Directors in Risk Oversight</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the Closing, one of the key functions of the New Nautilus Board will be informed oversight of the risk management process. The New Nautilus Board does not anticipate having a standing risk management committee, but rather anticipates administering this oversight function directly through the New Nautilus Board as a whole, as well as through various standing committees of the New Nautilus Board that address risks inherent in their respective areas of oversight. In particular, the New Nautilus Board will be responsible for monitoring and assessing strategic risk exposure and the New Nautilus audit committee will have the responsibility to consider and discuss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New Nautilus compensation committee will be responsible for overseeing the management of risks relating to executive compensation plans and arrangements. The compensation committee will also assess and monitor whether compensation plans, policies and programs comply with applicable legal and regulatory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Following the consummation of the Business Combination, it is anticipated that the New Nautilus Board will have three standing committees: an audit committee, a compensation committee, and a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6" w:name="page297"/>
    <w:bookmarkEnd w:id="2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Upon consummation of the Business Combination, it is anticipated that the members of the New Nautilus audit committee will be Matthew McIlwain, Matthew Posard, and Melissa Epperly and Ms. Epperly is expected to serve as the chairperson of the audit committee. Under the Nasdaq listing rules and applicable SEC rules, we are required to have at least three members of the audit committee. The rules of the Nasdaq and Rule 10A-3 of the Exchange Act require that the audit committee of a listed company be composed solely of independent directors for audit committee purposes, and it is anticipated that each member will qualify as an independent director for audit committee purposes under applicable rules. Each of Matthew McIlwain, Matthew Posard, and Melissa Epperly is financially literate and it is anticipated that each of Matthew McIlwain and Melissa Epperly will qualify as an “audit committee financial expert” as defined in applicable SEC rules.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consummation of the Business Combination, the audit committee will, among other things:</w:t>
      </w:r>
    </w:p>
    <w:p>
      <w:pPr>
        <w:spacing w:after="0" w:line="171" w:lineRule="exact"/>
        <w:rPr>
          <w:sz w:val="20"/>
          <w:szCs w:val="20"/>
          <w:color w:val="auto"/>
        </w:rPr>
      </w:pPr>
    </w:p>
    <w:p>
      <w:pPr>
        <w:ind w:left="660" w:hanging="328"/>
        <w:spacing w:after="0"/>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select, retain, compensate, evaluate, oversee and, where appropriate, terminate New Nautilus’ independent registered public accounting firm;</w:t>
      </w:r>
    </w:p>
    <w:p>
      <w:pPr>
        <w:spacing w:after="0" w:line="194"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evaluate the independence and qualifications of New Nautilus’ independent registered public accounting firm;</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the New Nautilus financial statements, and discuss with management and New Nautilus’ independent registered public accounting firm the results of the annual audit and the quarterly reviews;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quality and adequacy of New Nautilus’ internal controls and New Nautilus’ disclosure controls and procedures;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discuss with management New Nautilus’ procedures regarding the presentation of New Nautilus’ financial information, and review earnings press releases and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New Nautilus’ internal audit function, if any;</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New Nautilus’ independent registered public accounting firm and oversee compliance with such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monitor compliance with New Nautilus’ Code of Business Conduct and Ethics and consider questions of actual or possible conflicts of interest of New Nautilus’ directors and officers;</w:t>
      </w:r>
    </w:p>
    <w:p>
      <w:pPr>
        <w:spacing w:after="0" w:line="116" w:lineRule="exact"/>
        <w:rPr>
          <w:rFonts w:ascii="Arial" w:cs="Arial" w:eastAsia="Arial" w:hAnsi="Arial"/>
          <w:sz w:val="18"/>
          <w:szCs w:val="18"/>
          <w:color w:val="auto"/>
        </w:rPr>
      </w:pPr>
    </w:p>
    <w:p>
      <w:pPr>
        <w:jc w:val="both"/>
        <w:ind w:left="660" w:right="840" w:hanging="328"/>
        <w:spacing w:after="0" w:line="342" w:lineRule="auto"/>
        <w:tabs>
          <w:tab w:leader="none" w:pos="65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adopt and oversee procedures to address complaints regarding accounting, internal accounting controls and auditing matters, including confidential, anonymous submissions by New Nautilus’ employees of concerns regarding questionable accounting or auditing matters;</w:t>
      </w:r>
    </w:p>
    <w:p>
      <w:pPr>
        <w:spacing w:after="0" w:line="69"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adequacy and effectiveness of New Nautilus’ legal, regulatory and ethical compliance programs;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New Nautilus’ guidelines and policies to identify, monitor and address enterprise risks.</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New Nautilus audit committee will operate under a written charter, to be effective upon the consummation of the Business Combination,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7" w:name="page298"/>
    <w:bookmarkEnd w:id="2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Upon consummation of the Business Combination, the New Nautilus compensation committee will consist of at least three members of the New Nautilus Board, all of which will be independent directors. The members of the compensation committee are expected to be Michael Altman, Farzad Nazem, and Matthew Posard and Mr. Posard is expected to serve as the chairperson of the compensation committee.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consummation of the Business Combination, the New Nautilus compensation committee will, among other things:</w:t>
      </w:r>
    </w:p>
    <w:p>
      <w:pPr>
        <w:spacing w:after="0" w:line="171" w:lineRule="exact"/>
        <w:rPr>
          <w:sz w:val="20"/>
          <w:szCs w:val="20"/>
          <w:color w:val="auto"/>
        </w:rPr>
      </w:pPr>
    </w:p>
    <w:p>
      <w:pPr>
        <w:ind w:left="660" w:right="20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the compensation for the New Nautilus executive officers, including the New Nautilus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 approve and administer the New Nautilus employee benefit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advise the New Nautilus Board on stockholder proposals related to executive compensation matters;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New Nautilus’ employees, and ensure that they are consistent with New Nautilus’ general compensation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non-employee director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 executive compensation disclosure in New Nautilus’ SEC filings and prepare the compensation committee report required to be included in New Nautilus’ annual proxy statement.</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New Nautilus compensation committee will operate under a written charter, to be effective upon the consummation of the Business Combination, that satisfies the applicable rules and regulations of the SEC and the listing standards of Nasdaq.</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Upon consummation of the Business Combination, the New Nautilus nominating and corporate governance committee will consist of at least two members of the New Nautilus Board, all of which will be independent directors. The members of the nominating and corporate governance committee are expected to be Matthew McIlwain and Vijay Pande, and Mr. McIlwain is expected to serve as the chairperson of the nominating and corporate governance committee.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consummation of the Business Combination, the New Nautilus nominating and corporate governance committee will, among other things:</w:t>
      </w:r>
    </w:p>
    <w:p>
      <w:pPr>
        <w:spacing w:after="0" w:line="194" w:lineRule="exact"/>
        <w:rPr>
          <w:sz w:val="20"/>
          <w:szCs w:val="20"/>
          <w:color w:val="auto"/>
        </w:rPr>
      </w:pPr>
    </w:p>
    <w:p>
      <w:pPr>
        <w:ind w:left="660" w:right="3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assess and make recommendations to the New Nautilus Board regarding desired qualifications, expertise and characteristics sought of board members;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the New Nautilus Board regarding nominees for election to the New Nautilus Board;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the New Nautilus Board;</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New Nautilus’ succession planning process for the New Nautilus chief executive officer and any other members of the New Nautilus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8" w:name="page299"/>
    <w:bookmarkEnd w:id="298"/>
    <w:p>
      <w:pPr>
        <w:spacing w:after="0" w:line="144" w:lineRule="exact"/>
        <w:rPr>
          <w:sz w:val="20"/>
          <w:szCs w:val="20"/>
          <w:color w:val="auto"/>
        </w:rPr>
      </w:pPr>
    </w:p>
    <w:p>
      <w:pPr>
        <w:ind w:left="660" w:right="10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composition, organization and governance the New Nautilus Board and its committees;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New Nautilus corporate governance guidelines and corporate governance framework;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the New Nautilus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oversee New Nautilus’ Environmental, Social and Governance (“ESG”) programs and related disclosures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oversee the evaluation of the performance of the New Nautilus Board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the New Nautilus Board.</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New Nautilus nominating and corporate governance committee will operate under a written charter, to be effective upon the consummation of the Business Combination, that satisfies the applicable rules and regulations of the SEC and the listing standards of Nasdaq.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New Nautilus Board or the New Nautilus compensation committee will determine the annual compensation to be paid to the members of the New Nautilus Board following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Following the Closing, New Nautilus intends to develop an executive compensation program that is designed to align compensation with New Nautilus’ business objectives and the creation of stockholder value, while enabling New Nautilus to attract, motivate and retain individuals who contribute to the long-term success of New Nautilus.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Decisions on the executive compensation program will be made by the New Nautilus compensation committee of the New Nautilus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99" w:name="page300"/>
    <w:bookmarkEnd w:id="29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ARYA ordinary shares as of the record date and of New Nautilus Common Stock immediately following consummation of the Business Combination by:</w:t>
      </w:r>
    </w:p>
    <w:p>
      <w:pPr>
        <w:spacing w:after="0" w:line="116"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person known by ARYA to be the beneficial owner of more than 5% of ARYA’s outstanding ordinary shares on the record date;</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person known by ARYA who may become the beneficial owner of more than 5% of New Nautilus’ outstanding Common Stock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of ARYA’s current executive officers and directors;</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person who is currently expected to become an executive officer or a director of New Nautilus upon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of ARYA’s current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all of New Nautilus’ currently expected executive officers and directors as a group after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0" w:name="page301"/>
    <w:bookmarkEnd w:id="300"/>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After Business Combination</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140"/>
              <w:spacing w:after="0" w:line="189" w:lineRule="exact"/>
              <w:rPr>
                <w:sz w:val="20"/>
                <w:szCs w:val="20"/>
                <w:color w:val="auto"/>
              </w:rPr>
            </w:pPr>
            <w:r>
              <w:rPr>
                <w:rFonts w:ascii="Arial" w:cs="Arial" w:eastAsia="Arial" w:hAnsi="Arial"/>
                <w:sz w:val="14"/>
                <w:szCs w:val="14"/>
                <w:b w:val="1"/>
                <w:bCs w:val="1"/>
                <w:color w:val="auto"/>
                <w:w w:val="99"/>
              </w:rPr>
              <w:t>Prior to Business Combination</w:t>
            </w:r>
            <w:r>
              <w:rPr>
                <w:rFonts w:ascii="Arial" w:cs="Arial" w:eastAsia="Arial" w:hAnsi="Arial"/>
                <w:sz w:val="18"/>
                <w:szCs w:val="18"/>
                <w:b w:val="1"/>
                <w:bCs w:val="1"/>
                <w:color w:val="auto"/>
                <w:w w:val="99"/>
                <w:vertAlign w:val="superscript"/>
              </w:rPr>
              <w:t>(1)</w:t>
            </w:r>
          </w:p>
        </w:tc>
        <w:tc>
          <w:tcPr>
            <w:tcW w:w="2380" w:type="dxa"/>
            <w:vAlign w:val="bottom"/>
            <w:gridSpan w:val="4"/>
          </w:tcPr>
          <w:p>
            <w:pPr>
              <w:ind w:left="260"/>
              <w:spacing w:after="0" w:line="189" w:lineRule="exact"/>
              <w:rPr>
                <w:sz w:val="20"/>
                <w:szCs w:val="20"/>
                <w:color w:val="auto"/>
              </w:rPr>
            </w:pPr>
            <w:r>
              <w:rPr>
                <w:rFonts w:ascii="Arial" w:cs="Arial" w:eastAsia="Arial" w:hAnsi="Arial"/>
                <w:sz w:val="14"/>
                <w:szCs w:val="14"/>
                <w:b w:val="1"/>
                <w:bCs w:val="1"/>
                <w:color w:val="auto"/>
              </w:rPr>
              <w:t>Assuming No Redemptions</w:t>
            </w:r>
            <w:r>
              <w:rPr>
                <w:rFonts w:ascii="Arial" w:cs="Arial" w:eastAsia="Arial" w:hAnsi="Arial"/>
                <w:sz w:val="18"/>
                <w:szCs w:val="18"/>
                <w:b w:val="1"/>
                <w:bCs w:val="1"/>
                <w:color w:val="auto"/>
                <w:vertAlign w:val="superscript"/>
              </w:rPr>
              <w:t>(2)</w:t>
            </w:r>
          </w:p>
        </w:tc>
        <w:tc>
          <w:tcPr>
            <w:tcW w:w="2280" w:type="dxa"/>
            <w:vAlign w:val="bottom"/>
            <w:gridSpan w:val="3"/>
          </w:tcPr>
          <w:p>
            <w:pPr>
              <w:jc w:val="right"/>
              <w:spacing w:after="0" w:line="189" w:lineRule="exact"/>
              <w:rPr>
                <w:sz w:val="20"/>
                <w:szCs w:val="20"/>
                <w:color w:val="auto"/>
              </w:rPr>
            </w:pPr>
            <w:r>
              <w:rPr>
                <w:rFonts w:ascii="Arial" w:cs="Arial" w:eastAsia="Arial" w:hAnsi="Arial"/>
                <w:sz w:val="14"/>
                <w:szCs w:val="14"/>
                <w:b w:val="1"/>
                <w:bCs w:val="1"/>
                <w:color w:val="auto"/>
                <w:w w:val="92"/>
              </w:rPr>
              <w:t>Assuming Maximum Redemptions</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1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42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i w:val="1"/>
                <w:iCs w:val="1"/>
                <w:color w:val="auto"/>
              </w:rPr>
              <w:t>Directors and officers prior to the Business Combination</w:t>
            </w:r>
            <w:r>
              <w:rPr>
                <w:rFonts w:ascii="Arial" w:cs="Arial" w:eastAsia="Arial" w:hAnsi="Arial"/>
                <w:sz w:val="18"/>
                <w:szCs w:val="18"/>
                <w:color w:val="auto"/>
                <w:vertAlign w:val="superscript"/>
              </w:rPr>
              <w:t>(4)</w:t>
            </w: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Joseph Edelman</w:t>
            </w:r>
            <w:r>
              <w:rPr>
                <w:rFonts w:ascii="Arial" w:cs="Arial" w:eastAsia="Arial" w:hAnsi="Arial"/>
                <w:sz w:val="18"/>
                <w:szCs w:val="18"/>
                <w:color w:val="auto"/>
                <w:vertAlign w:val="superscript"/>
              </w:rPr>
              <w:t>(5)(6)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Adam Stone</w:t>
            </w:r>
            <w:r>
              <w:rPr>
                <w:rFonts w:ascii="Arial" w:cs="Arial" w:eastAsia="Arial" w:hAnsi="Arial"/>
                <w:sz w:val="18"/>
                <w:szCs w:val="18"/>
                <w:color w:val="auto"/>
                <w:vertAlign w:val="superscript"/>
              </w:rPr>
              <w:t>(7)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(7)</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Konstantin Poukalov</w:t>
            </w:r>
            <w:r>
              <w:rPr>
                <w:rFonts w:ascii="Arial" w:cs="Arial" w:eastAsia="Arial" w:hAnsi="Arial"/>
                <w:sz w:val="18"/>
                <w:szCs w:val="18"/>
                <w:color w:val="auto"/>
                <w:vertAlign w:val="superscript"/>
              </w:rPr>
              <w:t>(5)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Todd Wider</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Bradley L. Campbell</w:t>
            </w:r>
            <w:r>
              <w:rPr>
                <w:rFonts w:ascii="Arial" w:cs="Arial" w:eastAsia="Arial" w:hAnsi="Arial"/>
                <w:sz w:val="18"/>
                <w:szCs w:val="18"/>
                <w:color w:val="auto"/>
                <w:vertAlign w:val="superscript"/>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Saqib Islam</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All directors and officers prior to the Business Combination (seven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4,236,500</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12,469,500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persons)</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i w:val="1"/>
                <w:iCs w:val="1"/>
                <w:color w:val="auto"/>
              </w:rPr>
              <w:t>Directors and officers after the Business Combination</w:t>
            </w:r>
            <w:r>
              <w:rPr>
                <w:rFonts w:ascii="Arial" w:cs="Arial" w:eastAsia="Arial" w:hAnsi="Arial"/>
                <w:sz w:val="18"/>
                <w:szCs w:val="18"/>
                <w:i w:val="1"/>
                <w:iCs w:val="1"/>
                <w:color w:val="auto"/>
                <w:vertAlign w:val="superscript"/>
              </w:rPr>
              <w:t>(9)</w:t>
            </w:r>
            <w:r>
              <w:rPr>
                <w:rFonts w:ascii="Arial" w:cs="Arial" w:eastAsia="Arial" w:hAnsi="Arial"/>
                <w:sz w:val="14"/>
                <w:szCs w:val="14"/>
                <w:i w:val="1"/>
                <w:iCs w:val="1"/>
                <w:color w:val="auto"/>
              </w:rPr>
              <w: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Sujal Patel</w:t>
            </w:r>
            <w:r>
              <w:rPr>
                <w:rFonts w:ascii="Arial" w:cs="Arial" w:eastAsia="Arial" w:hAnsi="Arial"/>
                <w:sz w:val="18"/>
                <w:szCs w:val="18"/>
                <w:color w:val="auto"/>
                <w:vertAlign w:val="superscript"/>
              </w:rPr>
              <w:t>(10)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Parag Mallick</w:t>
            </w:r>
            <w:r>
              <w:rPr>
                <w:rFonts w:ascii="Arial" w:cs="Arial" w:eastAsia="Arial" w:hAnsi="Arial"/>
                <w:sz w:val="18"/>
                <w:szCs w:val="18"/>
                <w:color w:val="auto"/>
                <w:vertAlign w:val="superscript"/>
              </w:rPr>
              <w:t>(11)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Anna Mowry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 Murphy</w:t>
            </w:r>
            <w:r>
              <w:rPr>
                <w:rFonts w:ascii="Arial" w:cs="Arial" w:eastAsia="Arial" w:hAnsi="Arial"/>
                <w:sz w:val="18"/>
                <w:szCs w:val="18"/>
                <w:color w:val="auto"/>
                <w:vertAlign w:val="superscript"/>
              </w:rPr>
              <w:t>(12)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Nick Nelson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Subra Sankar</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(14)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(15)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(16)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Matthew L. Posard</w:t>
            </w:r>
            <w:r>
              <w:rPr>
                <w:rFonts w:ascii="Arial" w:cs="Arial" w:eastAsia="Arial" w:hAnsi="Arial"/>
                <w:sz w:val="18"/>
                <w:szCs w:val="18"/>
                <w:color w:val="auto"/>
                <w:vertAlign w:val="superscript"/>
              </w:rPr>
              <w:t>(17)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Michael Altman</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38"/>
        </w:trPr>
        <w:tc>
          <w:tcPr>
            <w:tcW w:w="42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i w:val="1"/>
                <w:iCs w:val="1"/>
                <w:color w:val="auto"/>
              </w:rPr>
              <w:t>All directors and officers after the Business Combination as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4"/>
                <w:szCs w:val="14"/>
                <w:i w:val="1"/>
                <w:iCs w:val="1"/>
                <w:color w:val="auto"/>
              </w:rPr>
              <w:t>group (12 persons)</w:t>
            </w:r>
            <w:r>
              <w:rPr>
                <w:rFonts w:ascii="Arial" w:cs="Arial" w:eastAsia="Arial" w:hAnsi="Arial"/>
                <w:sz w:val="18"/>
                <w:szCs w:val="18"/>
                <w:i w:val="1"/>
                <w:iCs w:val="1"/>
                <w:color w:val="auto"/>
                <w:vertAlign w:val="superscript"/>
              </w:rPr>
              <w:t>(18)</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Five Percent Holders: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ARYA Sciences Holdings III</w:t>
            </w:r>
            <w:r>
              <w:rPr>
                <w:rFonts w:ascii="Arial" w:cs="Arial" w:eastAsia="Arial" w:hAnsi="Arial"/>
                <w:sz w:val="18"/>
                <w:szCs w:val="18"/>
                <w:color w:val="auto"/>
                <w:vertAlign w:val="superscript"/>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Bain Capital Life Sciences Fund II, L.P.</w:t>
            </w:r>
            <w:r>
              <w:rPr>
                <w:rFonts w:ascii="Arial" w:cs="Arial" w:eastAsia="Arial" w:hAnsi="Arial"/>
                <w:sz w:val="18"/>
                <w:szCs w:val="18"/>
                <w:color w:val="auto"/>
                <w:vertAlign w:val="superscript"/>
              </w:rPr>
              <w:t>(20)</w:t>
            </w:r>
          </w:p>
        </w:tc>
        <w:tc>
          <w:tcPr>
            <w:tcW w:w="10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Perceptive Life Sciences Master Fund Ltd.</w:t>
            </w:r>
            <w:r>
              <w:rPr>
                <w:rFonts w:ascii="Arial" w:cs="Arial" w:eastAsia="Arial" w:hAnsi="Arial"/>
                <w:sz w:val="18"/>
                <w:szCs w:val="18"/>
                <w:color w:val="auto"/>
                <w:vertAlign w:val="superscript"/>
              </w:rPr>
              <w:t>(6)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18"/>
                <w:szCs w:val="18"/>
                <w:color w:val="auto"/>
                <w:vertAlign w:val="superscript"/>
              </w:rPr>
              <w:t>(21)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44"/>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 xml:space="preserve">Entities affiliated with Madrona Ventures </w:t>
            </w:r>
            <w:r>
              <w:rPr>
                <w:rFonts w:ascii="Arial" w:cs="Arial" w:eastAsia="Arial" w:hAnsi="Arial"/>
                <w:sz w:val="18"/>
                <w:szCs w:val="18"/>
                <w:color w:val="auto"/>
                <w:vertAlign w:val="superscript"/>
              </w:rPr>
              <w:t>(23)</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3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20" w:hanging="332"/>
        <w:spacing w:after="0" w:line="241" w:lineRule="auto"/>
        <w:tabs>
          <w:tab w:leader="none" w:pos="33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Prior to the Business Combination, the percentage of beneficial ownership of ARYA on the record date is calculated based on (i) 15,449,000 Class A ordinary shares and (ii) 3,737,500 Class B ordinary shares, in each case, outstanding as of such date.</w:t>
      </w:r>
    </w:p>
    <w:p>
      <w:pPr>
        <w:ind w:left="340" w:right="40" w:hanging="332"/>
        <w:spacing w:after="0" w:line="241" w:lineRule="auto"/>
        <w:tabs>
          <w:tab w:leader="none" w:pos="33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no holders of public shares exercise their redemption rights in connection therewith and the Closing occurs on April 1, 2021, is based on an estimated 124,482,062 shares of New Nautilus Common Stock outstanding as of the closing of the Business Combination, and consists of (i) 15,449,000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rFonts w:ascii="Arial" w:cs="Arial" w:eastAsia="Arial" w:hAnsi="Arial"/>
          <w:sz w:val="14"/>
          <w:szCs w:val="14"/>
          <w:color w:val="auto"/>
        </w:rPr>
      </w:pPr>
    </w:p>
    <w:p>
      <w:pPr>
        <w:ind w:left="340" w:right="420" w:hanging="332"/>
        <w:spacing w:after="0" w:line="255" w:lineRule="auto"/>
        <w:tabs>
          <w:tab w:leader="none" w:pos="332" w:val="left"/>
        </w:tabs>
        <w:numPr>
          <w:ilvl w:val="0"/>
          <w:numId w:val="240"/>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that 8,752,100 of ARYA’s outstanding public shares are redeemed in connection with the Business Combination, which is the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39" w:lineRule="exact"/>
        <w:rPr>
          <w:sz w:val="20"/>
          <w:szCs w:val="20"/>
          <w:color w:val="auto"/>
        </w:rPr>
      </w:pPr>
    </w:p>
    <w:p>
      <w:pPr>
        <w:ind w:left="332" w:right="60"/>
        <w:spacing w:after="0" w:line="244" w:lineRule="auto"/>
        <w:rPr>
          <w:sz w:val="20"/>
          <w:szCs w:val="20"/>
          <w:color w:val="auto"/>
        </w:rPr>
      </w:pPr>
      <w:r>
        <w:rPr>
          <w:rFonts w:ascii="Arial" w:cs="Arial" w:eastAsia="Arial" w:hAnsi="Arial"/>
          <w:sz w:val="14"/>
          <w:szCs w:val="14"/>
          <w:color w:val="auto"/>
        </w:rPr>
        <w:t>maximum number of shares that may be redeemed while still enabling the Aggregate Transaction Proceeds Condition to be met, and the Closing occurs on April 1, 2021, is based on an estimated 115,729,962 shares of New Nautilus Common Stock outstanding as of such date, and consists of (i) 6,696,900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sz w:val="20"/>
          <w:szCs w:val="20"/>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51 Astor Place, 10th Floor, New York, NY 10003.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Does not include any shares indirectly owned by this individual because of his ownership interest in ARYA’s Sponsor.</w:t>
      </w:r>
    </w:p>
    <w:p>
      <w:pPr>
        <w:spacing w:after="0" w:line="1" w:lineRule="exact"/>
        <w:rPr>
          <w:rFonts w:ascii="Arial" w:cs="Arial" w:eastAsia="Arial" w:hAnsi="Arial"/>
          <w:sz w:val="14"/>
          <w:szCs w:val="14"/>
          <w:color w:val="auto"/>
        </w:rPr>
      </w:pPr>
    </w:p>
    <w:p>
      <w:pPr>
        <w:ind w:left="332" w:right="120" w:hanging="332"/>
        <w:spacing w:after="0" w:line="260" w:lineRule="auto"/>
        <w:tabs>
          <w:tab w:leader="none" w:pos="324" w:val="left"/>
        </w:tabs>
        <w:numPr>
          <w:ilvl w:val="0"/>
          <w:numId w:val="241"/>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(1) 2,913,655 shares of New Nautilus Common Stock received as an equityholder of Nautilus and (2) 5,500,000 shares of New Nautilus Common Stock which Perceptive Life Sciences Master Fund Ltd. (the “Master Fund”) will be purchasing in connection with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ind w:left="332" w:right="140" w:hanging="332"/>
        <w:spacing w:after="0" w:line="241" w:lineRule="auto"/>
        <w:tabs>
          <w:tab w:leader="none" w:pos="324" w:val="left"/>
        </w:tabs>
        <w:numPr>
          <w:ilvl w:val="0"/>
          <w:numId w:val="241"/>
        </w:numPr>
        <w:rPr>
          <w:rFonts w:ascii="Arial" w:cs="Arial" w:eastAsia="Arial" w:hAnsi="Arial"/>
          <w:sz w:val="14"/>
          <w:szCs w:val="14"/>
          <w:color w:val="auto"/>
        </w:rPr>
      </w:pPr>
      <w:r>
        <w:rPr>
          <w:rFonts w:ascii="Arial" w:cs="Arial" w:eastAsia="Arial" w:hAnsi="Arial"/>
          <w:sz w:val="14"/>
          <w:szCs w:val="14"/>
          <w:color w:val="auto"/>
        </w:rPr>
        <w:t>The shares reported are held in the name of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w:t>
      </w:r>
    </w:p>
    <w:p>
      <w:pPr>
        <w:spacing w:after="0" w:line="1" w:lineRule="exact"/>
        <w:rPr>
          <w:rFonts w:ascii="Arial" w:cs="Arial" w:eastAsia="Arial" w:hAnsi="Arial"/>
          <w:sz w:val="14"/>
          <w:szCs w:val="14"/>
          <w:color w:val="auto"/>
        </w:rPr>
      </w:pPr>
    </w:p>
    <w:p>
      <w:pPr>
        <w:ind w:left="332" w:right="480" w:hanging="332"/>
        <w:spacing w:after="0" w:line="241" w:lineRule="auto"/>
        <w:tabs>
          <w:tab w:leader="none" w:pos="324" w:val="left"/>
        </w:tabs>
        <w:numPr>
          <w:ilvl w:val="0"/>
          <w:numId w:val="241"/>
        </w:numPr>
        <w:rPr>
          <w:rFonts w:ascii="Arial" w:cs="Arial" w:eastAsia="Arial" w:hAnsi="Arial"/>
          <w:sz w:val="14"/>
          <w:szCs w:val="14"/>
          <w:color w:val="auto"/>
        </w:rPr>
      </w:pPr>
      <w:r>
        <w:rPr>
          <w:rFonts w:ascii="Arial" w:cs="Arial" w:eastAsia="Arial" w:hAnsi="Arial"/>
          <w:sz w:val="14"/>
          <w:szCs w:val="14"/>
          <w:color w:val="auto"/>
        </w:rPr>
        <w:t>Prior to the Business Combination, includes 30,000 Class B ordinary shares. Immediately upon consummation of the Business Combination, includes 30,000 shares of New Nautilus Common Stock.</w:t>
      </w: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directors and officers following the Business Combination is 425 Pontius Ave N, Ste 202, Seattle, WA 98109.</w:t>
      </w:r>
    </w:p>
    <w:p>
      <w:pPr>
        <w:spacing w:after="0" w:line="1" w:lineRule="exact"/>
        <w:rPr>
          <w:rFonts w:ascii="Arial" w:cs="Arial" w:eastAsia="Arial" w:hAnsi="Arial"/>
          <w:sz w:val="14"/>
          <w:szCs w:val="14"/>
          <w:color w:val="auto"/>
        </w:rPr>
      </w:pPr>
    </w:p>
    <w:p>
      <w:pPr>
        <w:ind w:left="332" w:right="40" w:hanging="332"/>
        <w:spacing w:after="0" w:line="241"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9,612,875 shares of New Nautilus Common Stock received by Mr. Patel as an equityholder of record of Nautilus, (ii) 5,279,644 shares of New Nautilus Common Stock received by PFV I, LLC, as an equityholder of Nautilus, and (iii) 1,813,750 shares of New Nautilus Common Stock received by the Sujal Patel 2020 Children's Trust, u/a/d December 3, 2020 (the “Patel Trust”) as an equityholder of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Dr. Mallick as an equityholder of record of Nautilus.</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the Murphy Family Trust as an equityholder of Nautilus. Mr. Murphy is the trustee of the Murphy Family Trust and as such has voting and investment control over the shares held by the Murphy Family Trust.</w:t>
      </w:r>
    </w:p>
    <w:p>
      <w:pPr>
        <w:ind w:left="312" w:hanging="312"/>
        <w:spacing w:after="0"/>
        <w:tabs>
          <w:tab w:leader="none" w:pos="31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Upon consummation of the Business Combination, consists of shares of New Nautilus Common Stock subject to options held by Ms. Epperly exercisable within 60 days of April 1, 2021.</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Consists of the shares set forth in footnote 23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1,815,574 shares of New Nautilus Common Stock received by HAND Capital, LLC as an equityholder of Nautilus and (ii) 72,286 shares of New Nautilus Common Stock which HAND Capital, LLC is purchasing in connection with the PIPE Financing. Mr. Nazem is the manager of HAND Capital, LLC and as such has voting and investment power over the shares held by HAND Capital, LLC.</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Andreesen Horowitz that are included in footnote 21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100,000 shares of New Nautilus Common Stock which Mr. Posard is purchasing in connection with the PIPE Financing and (ii) 136,030 shares of New Nautilus Common Stock subject to options held by Mr. Posard exercisable within 60 days of April 1, 2021.</w:t>
      </w:r>
    </w:p>
    <w:p>
      <w:pPr>
        <w:jc w:val="both"/>
        <w:ind w:left="332" w:right="20" w:hanging="332"/>
        <w:spacing w:after="0" w:line="241"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(i) 49,848,481 shares of New Nautilus Common Stock beneficially owned by the directors and officers following the Business Combination and (ii) 144,090 shares of New Nautilus Common Stock subject to options held by the directors and officers following the Business Combination exercisable within 60 days of April 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1"/>
        </w:numPr>
        <w:rPr>
          <w:rFonts w:ascii="Arial" w:cs="Arial" w:eastAsia="Arial" w:hAnsi="Arial"/>
          <w:sz w:val="14"/>
          <w:szCs w:val="14"/>
          <w:color w:val="auto"/>
        </w:rPr>
      </w:pPr>
      <w:r>
        <w:rPr>
          <w:rFonts w:ascii="Arial" w:cs="Arial" w:eastAsia="Arial" w:hAnsi="Arial"/>
          <w:sz w:val="14"/>
          <w:szCs w:val="14"/>
          <w:color w:val="auto"/>
        </w:rPr>
        <w:t>Prior to the Business Combination, includes (i) 3,647,500 Class B ordinary shares and (ii) 499,000 Class A ordinary shares.</w:t>
      </w:r>
    </w:p>
    <w:p>
      <w:pPr>
        <w:spacing w:after="0" w:line="1" w:lineRule="exact"/>
        <w:rPr>
          <w:rFonts w:ascii="Arial" w:cs="Arial" w:eastAsia="Arial" w:hAnsi="Arial"/>
          <w:sz w:val="14"/>
          <w:szCs w:val="14"/>
          <w:color w:val="auto"/>
        </w:rPr>
      </w:pPr>
    </w:p>
    <w:p>
      <w:pPr>
        <w:ind w:left="332" w:hanging="332"/>
        <w:spacing w:after="0" w:line="243" w:lineRule="auto"/>
        <w:tabs>
          <w:tab w:leader="none" w:pos="32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Prior to the Business Combination, 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02" w:name="page303"/>
    <w:bookmarkEnd w:id="302"/>
    <w:p>
      <w:pPr>
        <w:spacing w:after="0" w:line="139" w:lineRule="exact"/>
        <w:rPr>
          <w:sz w:val="20"/>
          <w:szCs w:val="20"/>
          <w:color w:val="auto"/>
        </w:rPr>
      </w:pPr>
    </w:p>
    <w:p>
      <w:pPr>
        <w:ind w:left="340" w:right="80" w:hanging="332"/>
        <w:spacing w:after="0" w:line="262" w:lineRule="auto"/>
        <w:tabs>
          <w:tab w:leader="none" w:pos="337"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16,295,440 shares of New Nautilus Common Stock received by AH Bio Fund II, L.P., for itself and as nominee for AH Bio Fund II-B, L.P. (collectively, the “AH Bio Fund II Entities”), as an equityholder of Nautilus, (ii) 270,212 shares of New Nautilus Common Stock received by Andreessen Horowitz LSV Fund II, L.P., for itself and as nominee for Andreessen Horowitz LSV Fund II-B, L.P. and Andreessen Horowitz LSV Fund II-Q, L.P. (collectively, the “AH LSV Fund II Entities”), as an equityholder of Nautilus, and (iii) 1,085,656 shares of New Nautilus Common Stock that the AH LSV Fund II Entities are purchasing in connection with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the Nautilus board of directors and the New Nautilus Board, following in-kind distributions of shares by these entities. The address for the persons and entities set forth herein is 2865 Sand Hill Road, Suite 101, Menlo Park, CA 94025.</w:t>
      </w:r>
    </w:p>
    <w:p>
      <w:pPr>
        <w:ind w:left="340" w:right="60" w:hanging="332"/>
        <w:spacing w:after="0" w:line="260" w:lineRule="auto"/>
        <w:tabs>
          <w:tab w:leader="none" w:pos="337"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2,961,969 shares of New Nautilus Common Stock received by Vulcan Capital Holdings Columbia LLC (“VCHC”) as an equityholder of Nautilus, (ii) 624,057 shares of New Nautilus Common Stock which Vulcan Capital is purchasing in connection with the PIPE Financing, (iii) 2,961,969 shares of New Nautilus Common Stock received by VCVC V LLC (“VCVC”) as an equityholder of Nautilus, and (iv) 624,056 shares of New Nautilus Common Stock which VCVC is purchasing in connection with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ind w:left="340" w:hanging="332"/>
        <w:spacing w:after="0" w:line="281" w:lineRule="auto"/>
        <w:tabs>
          <w:tab w:leader="none" w:pos="337" w:val="left"/>
        </w:tabs>
        <w:numPr>
          <w:ilvl w:val="0"/>
          <w:numId w:val="242"/>
        </w:numPr>
        <w:rPr>
          <w:rFonts w:ascii="Arial" w:cs="Arial" w:eastAsia="Arial" w:hAnsi="Arial"/>
          <w:sz w:val="12"/>
          <w:szCs w:val="12"/>
          <w:color w:val="auto"/>
        </w:rPr>
      </w:pPr>
      <w:r>
        <w:rPr>
          <w:rFonts w:ascii="Arial" w:cs="Arial" w:eastAsia="Arial" w:hAnsi="Arial"/>
          <w:sz w:val="12"/>
          <w:szCs w:val="12"/>
          <w:color w:val="auto"/>
        </w:rPr>
        <w:t>Upon consummation of the Business Combination, includes (i) 4,585,225 shares of New Nautilus Common Stock received by Madrona Venture Fund VI, LP (“Madrona Fund VI”) as an equityholder of Nautilus, (ii) 1,212,447 shares of New Nautilus Common Stock which Madrona Fund VI is purchasing in connection with the PIPE Financing, (iii) 175,850 shares of New Nautilus Common Stock received by Madrona Venture Fund VI-A, LP (“Madrona Fund VI-A”) as an equityholder of Nautilus, (iv) 46,498 shares of New Nautilus Common Stock which Madrona Fund VI-A is purchasing in connection with the PIPE Financing, and (v) 272,062 shares of New Nautilus Common Stock received by Matthew McIlwain as an equityholder of Nautilus.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herein is 999 Third Avenue, 34th Floor, Seattle, WA.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3" w:name="page304"/>
    <w:bookmarkEnd w:id="30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Described below are any transactions occurring since January 1, 2019 and any currently proposed transactions to which either ARYA or Nautilus was a party and in which:</w:t>
      </w:r>
    </w:p>
    <w:p>
      <w:pPr>
        <w:spacing w:after="0" w:line="116" w:lineRule="exact"/>
        <w:rPr>
          <w:sz w:val="20"/>
          <w:szCs w:val="20"/>
          <w:color w:val="auto"/>
        </w:rPr>
      </w:pPr>
    </w:p>
    <w:p>
      <w:pPr>
        <w:ind w:left="660" w:right="3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ARYA or Nautilus’ total assets, as applicable, at year-end for the last two completed fiscal years; and</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ARYA or Nautilus, or any member of such person’s immediate family had or will have a direct or indirect material interest.</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the transactions described below, please see the compensation agreements and other arrangements described under the sections titled “</w:t>
      </w:r>
      <w:r>
        <w:rPr>
          <w:rFonts w:ascii="Arial" w:cs="Arial" w:eastAsia="Arial" w:hAnsi="Arial"/>
          <w:sz w:val="18"/>
          <w:szCs w:val="18"/>
          <w:i w:val="1"/>
          <w:iCs w:val="1"/>
          <w:color w:val="auto"/>
        </w:rPr>
        <w:t>The Business Combination—Interests of ARYA’s Directors and Executive Officers in the Business Combination</w:t>
      </w:r>
      <w:r>
        <w:rPr>
          <w:rFonts w:ascii="Arial" w:cs="Arial" w:eastAsia="Arial" w:hAnsi="Arial"/>
          <w:sz w:val="18"/>
          <w:szCs w:val="18"/>
          <w:color w:val="auto"/>
        </w:rPr>
        <w:t>” beginning on page 116 of this proxy statement/prospectus/information statement, “</w:t>
      </w:r>
      <w:r>
        <w:rPr>
          <w:rFonts w:ascii="Arial" w:cs="Arial" w:eastAsia="Arial" w:hAnsi="Arial"/>
          <w:sz w:val="18"/>
          <w:szCs w:val="18"/>
          <w:i w:val="1"/>
          <w:iCs w:val="1"/>
          <w:color w:val="auto"/>
        </w:rPr>
        <w:t>Information About ARYA—Executive Compensation and Director Compensation and Other Interests</w:t>
      </w:r>
      <w:r>
        <w:rPr>
          <w:rFonts w:ascii="Arial" w:cs="Arial" w:eastAsia="Arial" w:hAnsi="Arial"/>
          <w:sz w:val="18"/>
          <w:szCs w:val="18"/>
          <w:color w:val="auto"/>
        </w:rPr>
        <w:t>” beginning on page 185 of this proxy statement/prospectus/information statement, “</w:t>
      </w:r>
      <w:r>
        <w:rPr>
          <w:rFonts w:ascii="Arial" w:cs="Arial" w:eastAsia="Arial" w:hAnsi="Arial"/>
          <w:sz w:val="18"/>
          <w:szCs w:val="18"/>
          <w:i w:val="1"/>
          <w:iCs w:val="1"/>
          <w:color w:val="auto"/>
        </w:rPr>
        <w:t>Nautilus Executive Compensation</w:t>
      </w:r>
      <w:r>
        <w:rPr>
          <w:rFonts w:ascii="Arial" w:cs="Arial" w:eastAsia="Arial" w:hAnsi="Arial"/>
          <w:sz w:val="18"/>
          <w:szCs w:val="18"/>
          <w:color w:val="auto"/>
        </w:rPr>
        <w:t>” beginning on page 243 of this proxy statement/prospectus/information statement,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 beginning on page 252 of this proxy statement/prospectus/information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2, 2020, the Sponsor paid $25,000 to cover certain offering costs of ARYA in consideration of 3,593,750 Class B ordinary shares. On August 6, 2020, ARYA effected share capitalization resulting in the initial shareholders holding 3,737,500 Class B ordinary shares. All shares and the associated amounts have been retroactively restated to reflect the share capitalization. The Sponsor has agreed to forfeit up to 487,500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Class B ordinary shares were no longer subject to forfeiture.</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Class B ordinary shares until the earlier to occur of: (A) one year after the completion of an initial business combination and (B) subsequent to the initial business combination, (x) if the closing price of ARYA’s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ARYA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Simultaneously with the closing of the initial public offering, the Sponsor purchased an aggregate of 499,000 private placement shares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per private placement unit in a private placement, generating gross proceeds of approximately $5.0 million. A portion of these proceeds were added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proceeds from the IPO.</w:t>
      </w:r>
    </w:p>
    <w:p>
      <w:pPr>
        <w:spacing w:after="0" w:line="15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private placement shares are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On April 2, 2020, Sponsor agreed to loan ARYA an aggregate of up to $300,000 to cover expenses related to ARYA’s IPO pursuant to a promissory note (the “Note”). This loan was non-interest bearing and payable on the earlier of December 31, 2020 or the completion of the IPO. Sponsor paid an aggregate of approximately $200,000 to cover for expenses on ARYA’s behalf under the Note. On August 11, 2020, ARYA repaid the Note in full.</w:t>
      </w:r>
    </w:p>
    <w:p>
      <w:pPr>
        <w:spacing w:after="0" w:line="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Sponsor or an affiliate of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These shares would be identical to the private placement shares. To date, ARYA had no outstanding borrowings under this arrangement.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Effective August 11, 2020, ARYA entered into an agreement to pay monthly expenses of $10,000 for office space, administrative services and support services to Sponsor. The agreement terminates upon the earlier of the completion of a business combination or the liquidation of ARYA. ARYA incurred approximately $48,000 in general and administrative expenses for the period from March 27, 2020 (inception) through December 31, 2020.</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A&amp;R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ARYA has previously entered into a registration and shareholder rights agreement, dated August 11, 2020 (the “ARYA Registration and Shareholder Rights Agreement”), pursuant to which its initial shareholders and their permitted transferees, if any, are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12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40" w:firstLine="8"/>
        <w:spacing w:after="0" w:line="253" w:lineRule="auto"/>
        <w:tabs>
          <w:tab w:leader="none" w:pos="26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conditions set forth in the Sponsor Letter Agreement. For additional information, see “</w:t>
      </w:r>
      <w:r>
        <w:rPr>
          <w:rFonts w:ascii="Arial" w:cs="Arial" w:eastAsia="Arial" w:hAnsi="Arial"/>
          <w:sz w:val="18"/>
          <w:szCs w:val="18"/>
          <w:i w:val="1"/>
          <w:iCs w:val="1"/>
          <w:color w:val="auto"/>
        </w:rPr>
        <w:t>Business Combination Proposal—Related Agreements—Sponsor</w:t>
      </w:r>
      <w:r>
        <w:rPr>
          <w:rFonts w:ascii="Arial" w:cs="Arial" w:eastAsia="Arial" w:hAnsi="Arial"/>
          <w:sz w:val="18"/>
          <w:szCs w:val="18"/>
          <w:color w:val="auto"/>
        </w:rPr>
        <w:t xml:space="preserve"> </w:t>
      </w:r>
      <w:r>
        <w:rPr>
          <w:rFonts w:ascii="Arial" w:cs="Arial" w:eastAsia="Arial" w:hAnsi="Arial"/>
          <w:sz w:val="18"/>
          <w:szCs w:val="18"/>
          <w:i w:val="1"/>
          <w:iCs w:val="1"/>
          <w:color w:val="auto"/>
        </w:rPr>
        <w:t>Letter 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At Closing, the Perceptive PIPE Investor will purchase $55,000,000 of New Nautilus Common Stock in a private placement in connection with the PIPE Financing. In addition, at closing, funds affiliated with Bain Capital Life Sciences, LP will purchase $10,000,000 of New Nautilus Common Stock in a private placement in connection with the PIPE Financing. The funds from the PIPE Financing will be used as part of the consideration to New Nautilus’ equity holders in connection with the Business Combination, and any excess funds from such private placement would be used for working capital in New Nautilus. For additional information, see “</w:t>
      </w:r>
      <w:r>
        <w:rPr>
          <w:rFonts w:ascii="Arial" w:cs="Arial" w:eastAsia="Arial" w:hAnsi="Arial"/>
          <w:sz w:val="17"/>
          <w:szCs w:val="17"/>
          <w:i w:val="1"/>
          <w:iCs w:val="1"/>
          <w:color w:val="auto"/>
        </w:rPr>
        <w:t>Business Combination Proposal—Related Agreements—PIPE Financing</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Transactions—Nautilus Biotechnology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April and May 2020, Nautilus issued and sold an aggregate of 6,109,232 shares of its Series B preferred stock at a purchase price of $12.45 per share for an aggregate purchase price of $76.1 million.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Purchasers of Nautilus’ Series B preferred stock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AH Bio Fund 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Sujal Patel, a member of Nautilus’ board of directors, is the manager of PFV I,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5"/>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Registration Rights Agreement</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is party to an amended and restated registration rights agreement with certain holders of its capital stock, including, among others, AH Bio Fund II, L.P., entities affiliated with Vulcan Capital, entities affiliated with Madrona Venture Fund, PFV I, LLC (an affiliate of Sujal Patel, Chief Executive Officer, President and a director of Nautilus) and HAND Capital, LLC (an affiliate of Farzad Nazem, a director of Nautilus). Under Nautilus’ amended and restated registration rights agreement certain holders of Nautilus’ capital stock have the right to demand that Nautilus file a registration statement or request that their shares of capital stock be covered by a registration statement that Nautilus is otherwise filing. Upon the consummation of the Business Combination, Nautilus’ amended and restated registration rights agreement will terminate.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Nautilus is party to an amended and restated voting agreement, as amended, with certain holders of its capital stock, including, among others, Sujal Patel, Chief Executive Officer, President and a director of Nautilus, Parag Mallick, Chief Scientist and a director of Nautilus, AH Bio Fund II, L.P., entities affiliated with Vulcan Capital, entities affiliated with Madrona Venture Fund, PFV I, LLC (an affiliate of Mr. Patel) and HAND Capital, LLC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affiliate of Farzad Nazem, a director of Nautilus). The parties to the voting agreement have agreed, subject to certain conditions, to vote the shares of Nautilus capital stock held by them so as to maintain the size of the Nautilus board of directors at 9 and to elect the following individuals as directors: (1) one individual designated by a majority-in-interest of the holders of Nautilus’ Series Seed Preferred Stock, currently Farzad Nazem, (2) one individual designated by AH Bio Fund II, L.P., currently Vijay Pande, (3) one individual designated by entities affiliated with Vulcan Capital, currently Stuart Nagae,</w:t>
      </w:r>
    </w:p>
    <w:p>
      <w:pPr>
        <w:spacing w:after="0" w:line="1" w:lineRule="exact"/>
        <w:rPr>
          <w:sz w:val="20"/>
          <w:szCs w:val="20"/>
          <w:color w:val="auto"/>
        </w:rPr>
      </w:pPr>
    </w:p>
    <w:p>
      <w:pPr>
        <w:ind w:right="180" w:firstLine="8"/>
        <w:spacing w:after="0" w:line="253" w:lineRule="auto"/>
        <w:tabs>
          <w:tab w:leader="none" w:pos="2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two individuals designated by a majority-in-interest of certain holders of Nautilus’ common stock, currently Parag Mallick and Sujal Patel, (5) one individual who is an independent outside industry expert approved unanimously by the other members of Nautilus’ board of directors, currently Matthew Posard, and (6) one individual who is an independent outside industry expert approved by the majority of the members of Nautilus’ board of directors, currently Melissa Epperly, and (7) two individuals designated by a majority of the other members of Nautilus’ board of directors, currently Matthew McIlwain and one vacancy.</w:t>
      </w:r>
    </w:p>
    <w:p>
      <w:pPr>
        <w:spacing w:after="0" w:line="13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Upon the consummation of the Business Combination, the obligations of the parties to the voting agreement to vote their shares so as to elect these nominees, as well as the other rights and obligations under this agreement, will terminate and none of Nautilus’ stockholders will have any special rights regarding the nomination, election or designation of members of the New Nautilus Board pursuant to such agreement. Nautilus’ existing certificate of incorporation contains provisions regarding election of members of the board of directors that correspond to the amended and restated voting agreement; however, such provisions will be removed in the certificate of incorporation that will be effective following the consummation of the Business Combination.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has entered into indemnification agreements with its current directors and officers and New Nautilus intends to enter into separate indemnification agreements with its directors and executive officers, in addition to the indemnification provided for in the Proposed Certificate of Incorporation and the Proposed Bylaws. These agreements, among other things, will require New Nautilus to indemnify New Nautilus’s directors and executive officers for certain expenses, including attorneys’ fees, judgments, fines and settlement amounts incurred by a director or executive officer in any action or proceeding arising out of their services as one of New Nautilus’ directors or executive officers or as a director or executive officer of any other company or enterprise to which the person provides services at New Nautilus’s request.</w:t>
      </w:r>
    </w:p>
    <w:p>
      <w:pPr>
        <w:spacing w:after="0" w:line="12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limitation of liability and indemnification provisions in the Proposed Certificate of Incorporation and the Proposed Bylaws may discourage stockholders from bringing a lawsuit against directors for breach of their fiduciary duties. They may also reduce the likelihood of derivative litigation against directors and officers, even though an action, if successful, might benefit New Nautilus and its stockholders. A stockholder’s investment may decline in value to the extent we pay the costs of settlement and damage awards against directors and officers pursuant to these indemnification provisions.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Nautilus, Parag Mallick, Chief Scientist and a director of Nautilus, and certain holders of Nautilus capital stock or their affiliates entered into a Stock Transfer Agreement pursuant to which Dr. Mallick transferred and sold an aggregate total of 147,275 shares to the purchasers party thereto at a price per share of $33.95 for aggregate gross proceeds of $4,999,986.25. Nautilus did not purchase any of the shares sold by Dr. Mallick pursuant to the agreement and was a party to the agreement solely for the purpose of acknowledging the transfer and waiving certain restrictions on transfer governing the shares set forth in the existing Nautilus shareholder agreements and governing documents. Purchasers in the transaction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1"/>
              </w:rPr>
              <w:t>Shares of Nautilus</w:t>
            </w:r>
          </w:p>
        </w:tc>
        <w:tc>
          <w:tcPr>
            <w:tcW w:w="16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1"/>
              </w:rPr>
              <w:t>Total Purchase Price ($)</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3"/>
              </w:rPr>
              <w:t>Common Stock</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2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2,528,936</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r>
      <w:tr>
        <w:trPr>
          <w:trHeight w:val="211"/>
        </w:trPr>
        <w:tc>
          <w:tcPr>
            <w:tcW w:w="8020" w:type="dxa"/>
            <w:vAlign w:val="bottom"/>
            <w:gridSpan w:val="2"/>
          </w:tcPr>
          <w:p>
            <w:pPr>
              <w:ind w:left="20"/>
              <w:spacing w:after="0" w:line="211"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r>
      <w:tr>
        <w:trPr>
          <w:trHeight w:val="174"/>
        </w:trPr>
        <w:tc>
          <w:tcPr>
            <w:tcW w:w="79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connection with the execution of the Business Combination Agreement, effective as of February 7, 2021, ARYA entered into the Subscription Agreements with the Perceptive PIPE Investor and the Other PIPE Investors, pursuant to which the PIPE Investors have agreed to subscribe for and purchase, and ARYA has agreed to issue and sell to the PIPE Investors, an aggregate of 20,000,000 shares of New Nautilus Common Stock at a price of $10.00 per share, for aggregate gross proceeds of $200 million. The Perceptive PIPE Investor will fund $55 million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The Other PIPE Investors include stockholders that beneficially owned more than 5% of Nautilus’ outstanding capital stock at the time of entering into the applicable Subscription Agreement and/or were represented on Nautilus’ board of directors at such time. The following table presents the number of shares to be purchased and the total purchase price to be paid by these individuals and entities.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to Purchase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Total Purchase Price ($)</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Posard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ind w:left="320" w:hanging="312"/>
        <w:spacing w:after="0"/>
        <w:tabs>
          <w:tab w:leader="none" w:pos="32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 representative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 representative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 representative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8"/>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closing of the PIPE Financing is contingent upon, among other customary closing conditions, the substantially concurrent Closing. The purpose of the PIPE Financing is to raise additional capital for use by New Nautilus following the Closing.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February 7, 2021, ARYA entered into the Transaction Support Agreements with the Perceptive PIPE Investor and certain other holders of Nautilus’ capital stock, including Sujal Patel, Chief Executive Officer, President and a director of Nautilus, Parag Mallick, Chief Scientist and a director of Nautilus,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February 7, 2021, ARYA entered into an Amended and Restated Registration Rights and Lock-Up Agreement, which shall be effective at the Closing, with the Perceptive Shareholders, ARYA’s initial shareholders, Nautilus’ directors, and certain holders of Nautilus’ capital stock, including, among others, Sujal Patel, Chief Executive Officer, President and a director of Nautilus, Parag Mallick, Chief Scientist and a director of Nautilus, entities affiliated with Andreessen Horowitz, entities affiliated with Vulcan Capital, entities affiliated with Madrona Venture Fund, PFV I, LLC (an affiliate of Mr. Patel) and HAND Capital, LLC (an affiliate of Farzad Nazem, a director of Nautilus). 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Policies for Approval of Related Party Transactions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Nautilus’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Nautilus’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Policies and Procedures for Related Party Transactions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Upon the Closing, it is anticipated that the New Nautilus Board will adopt a written Related Person Transactions Policy that sets forth New Nautilus’ policies and procedures regarding the identification, review, consideration and oversight of “related person transactions.” For purposes of New Nautilus’ policy only, a “related person transaction” is a transaction, arrangement or relationship (or any series of similar transactions, arrangements or relationships) in which New Nautilus or any of its subsidiaries are participants involving an amount that exceeds $120,000, in which any “related person” has a material interest.</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Transactions involving compensation for services provided to New Nautilus as an employee, consultant or director will not be considered related person transactions under this policy. A related person is any executive officer, director, nominee to become a director or a holder of more than 5% of any class of New Nautilus’ voting securities (including New Nautilus Common Stock), including any of their immediate family members and affiliates, including entities owned or controlled by such persons.</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New Nautilus’ voting securities, an officer with knowledge of a proposed transaction, must present information regarding the proposed related person transaction to New Nautilus’ audit committee (or, where review by New Nautilus’ audit committee would be inappropriate, to another independent body of the New Nautilus Board) for review. To identify related person transactions in advance, New Nautilus will rely on information supplied by New Nautilus’ executive officers, directors and certain significant stockholders. In considering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transactions, New Nautilus’ audit committee will take into account the relevant available facts and circumstances, which may include, but are not limited to:</w:t>
      </w:r>
    </w:p>
    <w:p>
      <w:pPr>
        <w:spacing w:after="0" w:line="116"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risks, costs, and benefits to New Nautilus;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New Nautilus’ audit committee will approve only those transactions that it determines are fair to New Nautilus and in New Nautilus’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0" w:name="page311"/>
    <w:bookmarkEnd w:id="31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CORPORATE GOVERNANCE AND SHAREHOLDER RIGHTS</w:t>
      </w:r>
    </w:p>
    <w:p>
      <w:pPr>
        <w:spacing w:after="0" w:line="175"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ARYA is an exempted company incorporated under the Cayman Islands Companies Act. The Cayman Islands Companies Act, Cayman Islands law generally and the Existing Governing Documents govern the rights of its shareholders. The Cayman Islands Companies Act and Cayman Islands law generally differ in some material respects from laws generally applicable to United States corporations and their stockholders. In addition, the Existing Governing Documents differ in certain material respects from the Proposed Governing Documents. As a result, when you become a stockholder of New Nautilus, your rights will differ in some regards as compared to when you were a shareholder of ARYA.</w:t>
      </w:r>
    </w:p>
    <w:p>
      <w:pPr>
        <w:spacing w:after="0" w:line="10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Below is a summary chart outlining important similarities and differences in the corporate governance and stockholder/shareholder rights associated with each of ARYA and New Nautilus according to applicable law and/or the organizational documents of ARYA and New Nautilus. You also should review the Proposed Certificate of Incorporation and the Proposed Bylaws of New Nautilus attached hereto as Annex C and Annex D to this proxy statement/prospectus, respectively, as well as the Delaware corporate law and corporate laws of the Cayman Islands, including the Cayman Islands Companies Act, to understand how these laws apply to ARYA and New Nautilus.</w:t>
      </w:r>
    </w:p>
    <w:p>
      <w:pPr>
        <w:sectPr>
          <w:pgSz w:w="11900" w:h="16838" w:orient="portrait"/>
          <w:cols w:equalWidth="0" w:num="1">
            <w:col w:w="11220"/>
          </w:cols>
          <w:pgMar w:left="320" w:top="1440" w:right="359" w:bottom="1440" w:gutter="0" w:footer="0" w:header="0"/>
        </w:sectPr>
      </w:pP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w w:val="92"/>
              </w:rPr>
              <w:t>Stockholder/Shareholder Approval of Business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Mergers generally require approval of a majority</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Combinations</w:t>
            </w:r>
          </w:p>
        </w:tc>
        <w:tc>
          <w:tcPr>
            <w:tcW w:w="3680" w:type="dxa"/>
            <w:vAlign w:val="bottom"/>
          </w:tcPr>
          <w:p>
            <w:pPr>
              <w:ind w:left="20"/>
              <w:spacing w:after="0"/>
              <w:rPr>
                <w:sz w:val="20"/>
                <w:szCs w:val="20"/>
                <w:color w:val="auto"/>
              </w:rPr>
            </w:pPr>
            <w:r>
              <w:rPr>
                <w:rFonts w:ascii="Arial" w:cs="Arial" w:eastAsia="Arial" w:hAnsi="Arial"/>
                <w:sz w:val="18"/>
                <w:szCs w:val="18"/>
                <w:color w:val="auto"/>
              </w:rPr>
              <w:t>of the voting power of all outstanding shares.</w:t>
            </w:r>
          </w:p>
        </w:tc>
      </w:tr>
      <w:tr>
        <w:trPr>
          <w:trHeight w:val="292"/>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4"/>
              </w:rPr>
              <w:t>Mergers in which less than 20% of the acquirer’s</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stock is issued do not, in certain circumstances,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require acquirer stockholder approval.</w:t>
            </w:r>
          </w:p>
        </w:tc>
      </w:tr>
      <w:tr>
        <w:trPr>
          <w:trHeight w:val="296"/>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3"/>
              </w:rPr>
              <w:t>Certain mergers in which one entity owns 90% or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more of a second corporation may be completed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without the vote of the second corporation’s board</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of directors or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18"/>
          <w:szCs w:val="18"/>
          <w:b w:val="1"/>
          <w:bCs w:val="1"/>
          <w:color w:val="auto"/>
        </w:rPr>
        <w:t>Stockholder/Shareholder Votes for Routine</w:t>
      </w:r>
      <w:r>
        <w:rPr>
          <w:sz w:val="20"/>
          <w:szCs w:val="20"/>
          <w:color w:val="auto"/>
        </w:rPr>
        <w:tab/>
      </w:r>
      <w:r>
        <w:rPr>
          <w:rFonts w:ascii="Arial" w:cs="Arial" w:eastAsia="Arial" w:hAnsi="Arial"/>
          <w:sz w:val="16"/>
          <w:szCs w:val="16"/>
          <w:color w:val="auto"/>
        </w:rPr>
        <w:t>Generally, unless a corporation’s governing</w:t>
      </w:r>
    </w:p>
    <w:p>
      <w:pPr>
        <w:ind w:left="20"/>
        <w:spacing w:after="0" w:line="228" w:lineRule="auto"/>
        <w:tabs>
          <w:tab w:leader="none" w:pos="3780" w:val="left"/>
        </w:tabs>
        <w:rPr>
          <w:sz w:val="20"/>
          <w:szCs w:val="20"/>
          <w:color w:val="auto"/>
        </w:rPr>
      </w:pPr>
      <w:r>
        <w:rPr>
          <w:rFonts w:ascii="Arial" w:cs="Arial" w:eastAsia="Arial" w:hAnsi="Arial"/>
          <w:sz w:val="16"/>
          <w:szCs w:val="16"/>
          <w:b w:val="1"/>
          <w:bCs w:val="1"/>
          <w:color w:val="auto"/>
        </w:rPr>
        <w:t>Matters</w:t>
      </w:r>
      <w:r>
        <w:rPr>
          <w:sz w:val="20"/>
          <w:szCs w:val="20"/>
          <w:color w:val="auto"/>
        </w:rPr>
        <w:tab/>
      </w:r>
      <w:r>
        <w:rPr>
          <w:rFonts w:ascii="Arial" w:cs="Arial" w:eastAsia="Arial" w:hAnsi="Arial"/>
          <w:sz w:val="16"/>
          <w:szCs w:val="16"/>
          <w:color w:val="auto"/>
        </w:rPr>
        <w:t>documents provide a different standard, approval</w:t>
      </w:r>
    </w:p>
    <w:p>
      <w:pPr>
        <w:ind w:left="3800"/>
        <w:spacing w:after="0" w:line="204" w:lineRule="auto"/>
        <w:rPr>
          <w:sz w:val="20"/>
          <w:szCs w:val="20"/>
          <w:color w:val="auto"/>
        </w:rPr>
      </w:pPr>
      <w:r>
        <w:rPr>
          <w:rFonts w:ascii="Arial" w:cs="Arial" w:eastAsia="Arial" w:hAnsi="Arial"/>
          <w:sz w:val="18"/>
          <w:szCs w:val="18"/>
          <w:color w:val="auto"/>
        </w:rPr>
        <w:t>of routine corporate matters that are put to a</w:t>
      </w:r>
    </w:p>
    <w:p>
      <w:pPr>
        <w:ind w:left="3800"/>
        <w:spacing w:after="0" w:line="215" w:lineRule="auto"/>
        <w:rPr>
          <w:sz w:val="20"/>
          <w:szCs w:val="20"/>
          <w:color w:val="auto"/>
        </w:rPr>
      </w:pPr>
      <w:r>
        <w:rPr>
          <w:rFonts w:ascii="Arial" w:cs="Arial" w:eastAsia="Arial" w:hAnsi="Arial"/>
          <w:sz w:val="17"/>
          <w:szCs w:val="17"/>
          <w:color w:val="auto"/>
        </w:rPr>
        <w:t>stockholder vote require the affirmative vote of</w:t>
      </w:r>
    </w:p>
    <w:p>
      <w:pPr>
        <w:ind w:left="3800"/>
        <w:spacing w:after="0" w:line="204" w:lineRule="auto"/>
        <w:rPr>
          <w:sz w:val="20"/>
          <w:szCs w:val="20"/>
          <w:color w:val="auto"/>
        </w:rPr>
      </w:pPr>
      <w:r>
        <w:rPr>
          <w:rFonts w:ascii="Arial" w:cs="Arial" w:eastAsia="Arial" w:hAnsi="Arial"/>
          <w:sz w:val="18"/>
          <w:szCs w:val="18"/>
          <w:color w:val="auto"/>
        </w:rPr>
        <w:t>the majority of the voting power of the shares</w:t>
      </w:r>
    </w:p>
    <w:p>
      <w:pPr>
        <w:ind w:left="3800"/>
        <w:spacing w:after="0" w:line="215" w:lineRule="auto"/>
        <w:rPr>
          <w:sz w:val="20"/>
          <w:szCs w:val="20"/>
          <w:color w:val="auto"/>
        </w:rPr>
      </w:pPr>
      <w:r>
        <w:rPr>
          <w:rFonts w:ascii="Arial" w:cs="Arial" w:eastAsia="Arial" w:hAnsi="Arial"/>
          <w:sz w:val="17"/>
          <w:szCs w:val="17"/>
          <w:color w:val="auto"/>
        </w:rPr>
        <w:t>present in person or represented by proxy at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meeting and entitled to vote on the subject matter.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Mergers require a special resolution, and any other authorization as may be specified in the relevant articles of association. Parties holding certain security interests in the constituent companies must also consent.</w:t>
      </w:r>
    </w:p>
    <w:p>
      <w:pPr>
        <w:spacing w:after="0" w:line="11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mergers (other than parent/subsidiary mergers) require shareholder approval—there is no exception for smaller mergers.</w:t>
      </w:r>
    </w:p>
    <w:p>
      <w:pPr>
        <w:spacing w:after="0" w:line="12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Where a bidder has acquired 90% or more of the shares in a Cayman Islands company, it can compel the acquisition of the shares of the remaining shareholders and thereby become the sole shareholder.</w:t>
      </w:r>
    </w:p>
    <w:p>
      <w:pPr>
        <w:spacing w:after="0" w:line="12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 Cayman Islands company may also be acquired through a “scheme of arrangement” sanctioned by a Cayman Islands court and approved by 50%+1 in number and 75% in value of shareholders in attendance and voting at a shareholders’ meeting.</w:t>
      </w:r>
    </w:p>
    <w:p>
      <w:pPr>
        <w:spacing w:after="0" w:line="5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Under Cayman Islands law and the Existing Governing Documents, routine corporate matters may be approved by an ordinary resolution (being a resolution passed by a simple majority of the shareholders as being entitled to do so).</w:t>
      </w:r>
    </w:p>
    <w:p>
      <w:pPr>
        <w:spacing w:after="0" w:line="517" w:lineRule="exact"/>
        <w:rPr>
          <w:sz w:val="20"/>
          <w:szCs w:val="20"/>
          <w:color w:val="auto"/>
        </w:rPr>
      </w:pPr>
    </w:p>
    <w:p>
      <w:pPr>
        <w:sectPr>
          <w:pgSz w:w="11900" w:h="16838" w:orient="portrait"/>
          <w:cols w:equalWidth="0" w:num="2">
            <w:col w:w="7460" w:space="120"/>
            <w:col w:w="36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11" w:name="page312"/>
    <w:bookmarkEnd w:id="31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rPr>
              <w:t>Appraisal Rights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Generally a stockholder of a publicly traded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corporation does not have appraisal rights in</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connection with a merger if the merger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consideration is stock of the surviving entity or a</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publicly traded entity; stockholders generally will</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have appraisal rights if the merger consideration is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cash.</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Inspection of Books and Records</w:t>
            </w:r>
          </w:p>
        </w:tc>
        <w:tc>
          <w:tcPr>
            <w:tcW w:w="3680" w:type="dxa"/>
            <w:vAlign w:val="bottom"/>
          </w:tcPr>
          <w:p>
            <w:pPr>
              <w:ind w:left="20"/>
              <w:spacing w:after="0"/>
              <w:rPr>
                <w:sz w:val="20"/>
                <w:szCs w:val="20"/>
                <w:color w:val="auto"/>
              </w:rPr>
            </w:pPr>
            <w:r>
              <w:rPr>
                <w:rFonts w:ascii="Arial" w:cs="Arial" w:eastAsia="Arial" w:hAnsi="Arial"/>
                <w:sz w:val="18"/>
                <w:szCs w:val="18"/>
                <w:color w:val="auto"/>
                <w:w w:val="99"/>
              </w:rPr>
              <w:t>Any stockholder may inspect the corporation’s</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books and records for a proper purpose during the</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usual hours for business, subject to certain</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procedural requirements.</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Stockholder/Shareholder Lawsuits</w:t>
            </w:r>
          </w:p>
        </w:tc>
        <w:tc>
          <w:tcPr>
            <w:tcW w:w="3680" w:type="dxa"/>
            <w:vAlign w:val="bottom"/>
          </w:tcPr>
          <w:p>
            <w:pPr>
              <w:ind w:left="20"/>
              <w:spacing w:after="0"/>
              <w:rPr>
                <w:sz w:val="20"/>
                <w:szCs w:val="20"/>
                <w:color w:val="auto"/>
              </w:rPr>
            </w:pPr>
            <w:r>
              <w:rPr>
                <w:rFonts w:ascii="Arial" w:cs="Arial" w:eastAsia="Arial" w:hAnsi="Arial"/>
                <w:sz w:val="18"/>
                <w:szCs w:val="18"/>
                <w:color w:val="auto"/>
                <w:w w:val="94"/>
              </w:rPr>
              <w:t>A stockholder may bring a derivative suit subject</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to procedural requirements (including complying</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with exclusive forum provisions as per the</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Proposed Bylaws).</w:t>
            </w:r>
          </w:p>
        </w:tc>
      </w:tr>
      <w:tr>
        <w:trPr>
          <w:trHeight w:val="580"/>
        </w:trPr>
        <w:tc>
          <w:tcPr>
            <w:tcW w:w="3760" w:type="dxa"/>
            <w:vAlign w:val="bottom"/>
          </w:tcPr>
          <w:p>
            <w:pPr>
              <w:spacing w:after="0"/>
              <w:rPr>
                <w:sz w:val="20"/>
                <w:szCs w:val="20"/>
                <w:color w:val="auto"/>
              </w:rPr>
            </w:pPr>
            <w:r>
              <w:rPr>
                <w:rFonts w:ascii="Arial" w:cs="Arial" w:eastAsia="Arial" w:hAnsi="Arial"/>
                <w:sz w:val="18"/>
                <w:szCs w:val="18"/>
                <w:b w:val="1"/>
                <w:bCs w:val="1"/>
                <w:color w:val="auto"/>
              </w:rPr>
              <w:t>Fiduciary Duties of Directors</w:t>
            </w:r>
          </w:p>
        </w:tc>
        <w:tc>
          <w:tcPr>
            <w:tcW w:w="3680" w:type="dxa"/>
            <w:vAlign w:val="bottom"/>
          </w:tcPr>
          <w:p>
            <w:pPr>
              <w:ind w:left="20"/>
              <w:spacing w:after="0"/>
              <w:rPr>
                <w:sz w:val="20"/>
                <w:szCs w:val="20"/>
                <w:color w:val="auto"/>
              </w:rPr>
            </w:pPr>
            <w:r>
              <w:rPr>
                <w:rFonts w:ascii="Arial" w:cs="Arial" w:eastAsia="Arial" w:hAnsi="Arial"/>
                <w:sz w:val="18"/>
                <w:szCs w:val="18"/>
                <w:color w:val="auto"/>
                <w:w w:val="91"/>
              </w:rPr>
              <w:t>Directors must exercise a duty of care and duty of</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loyalty (which includes a duty of good faith) to</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the company and its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Indemnification of Directors and Officers</w:t>
      </w:r>
      <w:r>
        <w:rPr>
          <w:sz w:val="20"/>
          <w:szCs w:val="20"/>
          <w:color w:val="auto"/>
        </w:rPr>
        <w:tab/>
      </w:r>
      <w:r>
        <w:rPr>
          <w:rFonts w:ascii="Arial" w:cs="Arial" w:eastAsia="Arial" w:hAnsi="Arial"/>
          <w:sz w:val="16"/>
          <w:szCs w:val="16"/>
          <w:color w:val="auto"/>
        </w:rPr>
        <w:t>A corporation is generally permitted to indemnify</w:t>
      </w:r>
    </w:p>
    <w:p>
      <w:pPr>
        <w:ind w:left="3780"/>
        <w:spacing w:after="0" w:line="215" w:lineRule="auto"/>
        <w:rPr>
          <w:sz w:val="20"/>
          <w:szCs w:val="20"/>
          <w:color w:val="auto"/>
        </w:rPr>
      </w:pPr>
      <w:r>
        <w:rPr>
          <w:rFonts w:ascii="Arial" w:cs="Arial" w:eastAsia="Arial" w:hAnsi="Arial"/>
          <w:sz w:val="17"/>
          <w:szCs w:val="17"/>
          <w:color w:val="auto"/>
        </w:rPr>
        <w:t>its directors and officers acting in good faith and</w:t>
      </w:r>
    </w:p>
    <w:p>
      <w:pPr>
        <w:ind w:left="3780"/>
        <w:spacing w:after="0" w:line="229" w:lineRule="auto"/>
        <w:rPr>
          <w:sz w:val="20"/>
          <w:szCs w:val="20"/>
          <w:color w:val="auto"/>
        </w:rPr>
      </w:pPr>
      <w:r>
        <w:rPr>
          <w:rFonts w:ascii="Arial" w:cs="Arial" w:eastAsia="Arial" w:hAnsi="Arial"/>
          <w:sz w:val="16"/>
          <w:szCs w:val="16"/>
          <w:color w:val="auto"/>
        </w:rPr>
        <w:t>in a manner the person reasonably believed to be</w:t>
      </w:r>
    </w:p>
    <w:p>
      <w:pPr>
        <w:ind w:left="3780"/>
        <w:spacing w:after="0" w:line="203" w:lineRule="auto"/>
        <w:rPr>
          <w:sz w:val="20"/>
          <w:szCs w:val="20"/>
          <w:color w:val="auto"/>
        </w:rPr>
      </w:pPr>
      <w:r>
        <w:rPr>
          <w:rFonts w:ascii="Arial" w:cs="Arial" w:eastAsia="Arial" w:hAnsi="Arial"/>
          <w:sz w:val="18"/>
          <w:szCs w:val="18"/>
          <w:color w:val="auto"/>
        </w:rPr>
        <w:t>in or not opposed to the best interests of the</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corporation.</w:t>
      </w:r>
    </w:p>
    <w:p>
      <w:pPr>
        <w:spacing w:after="0" w:line="4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Limited Liability of Directors</w:t>
      </w:r>
      <w:r>
        <w:rPr>
          <w:sz w:val="20"/>
          <w:szCs w:val="20"/>
          <w:color w:val="auto"/>
        </w:rPr>
        <w:tab/>
      </w:r>
      <w:r>
        <w:rPr>
          <w:rFonts w:ascii="Arial" w:cs="Arial" w:eastAsia="Arial" w:hAnsi="Arial"/>
          <w:sz w:val="16"/>
          <w:szCs w:val="16"/>
          <w:color w:val="auto"/>
        </w:rPr>
        <w:t>Delaware law permits limiting or eliminating the</w:t>
      </w:r>
    </w:p>
    <w:p>
      <w:pPr>
        <w:ind w:left="3780"/>
        <w:spacing w:after="0" w:line="215" w:lineRule="auto"/>
        <w:rPr>
          <w:sz w:val="20"/>
          <w:szCs w:val="20"/>
          <w:color w:val="auto"/>
        </w:rPr>
      </w:pPr>
      <w:r>
        <w:rPr>
          <w:rFonts w:ascii="Arial" w:cs="Arial" w:eastAsia="Arial" w:hAnsi="Arial"/>
          <w:sz w:val="17"/>
          <w:szCs w:val="17"/>
          <w:color w:val="auto"/>
        </w:rPr>
        <w:t>monetary liability of a director to a corporation or</w:t>
      </w:r>
    </w:p>
    <w:p>
      <w:pPr>
        <w:ind w:left="3780"/>
        <w:spacing w:after="0" w:line="229" w:lineRule="auto"/>
        <w:rPr>
          <w:sz w:val="20"/>
          <w:szCs w:val="20"/>
          <w:color w:val="auto"/>
        </w:rPr>
      </w:pPr>
      <w:r>
        <w:rPr>
          <w:rFonts w:ascii="Arial" w:cs="Arial" w:eastAsia="Arial" w:hAnsi="Arial"/>
          <w:sz w:val="16"/>
          <w:szCs w:val="16"/>
          <w:color w:val="auto"/>
        </w:rPr>
        <w:t>its stockholders, except with regard to breaches of</w:t>
      </w:r>
    </w:p>
    <w:p>
      <w:pPr>
        <w:ind w:left="3780"/>
        <w:spacing w:after="0" w:line="203" w:lineRule="auto"/>
        <w:rPr>
          <w:sz w:val="20"/>
          <w:szCs w:val="20"/>
          <w:color w:val="auto"/>
        </w:rPr>
      </w:pPr>
      <w:r>
        <w:rPr>
          <w:rFonts w:ascii="Arial" w:cs="Arial" w:eastAsia="Arial" w:hAnsi="Arial"/>
          <w:sz w:val="18"/>
          <w:szCs w:val="18"/>
          <w:color w:val="auto"/>
        </w:rPr>
        <w:t>duty of loyalty, intentional misconduct, certain</w:t>
      </w:r>
    </w:p>
    <w:p>
      <w:pPr>
        <w:ind w:left="3780"/>
        <w:spacing w:after="0" w:line="229" w:lineRule="auto"/>
        <w:rPr>
          <w:sz w:val="20"/>
          <w:szCs w:val="20"/>
          <w:color w:val="auto"/>
        </w:rPr>
      </w:pPr>
      <w:r>
        <w:rPr>
          <w:rFonts w:ascii="Arial" w:cs="Arial" w:eastAsia="Arial" w:hAnsi="Arial"/>
          <w:sz w:val="16"/>
          <w:szCs w:val="16"/>
          <w:color w:val="auto"/>
        </w:rPr>
        <w:t>unlawful repurchases or dividends, or transactions</w:t>
      </w:r>
    </w:p>
    <w:p>
      <w:pPr>
        <w:ind w:left="3780"/>
        <w:spacing w:after="0" w:line="229" w:lineRule="auto"/>
        <w:rPr>
          <w:sz w:val="20"/>
          <w:szCs w:val="20"/>
          <w:color w:val="auto"/>
        </w:rPr>
      </w:pPr>
      <w:r>
        <w:rPr>
          <w:rFonts w:ascii="Arial" w:cs="Arial" w:eastAsia="Arial" w:hAnsi="Arial"/>
          <w:sz w:val="16"/>
          <w:szCs w:val="16"/>
          <w:color w:val="auto"/>
        </w:rPr>
        <w:t>in which a director receives an improper personal</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Minority shareholders that dissent from a Cayman Islands statutory merger are entitled to be paid the fair market value of their shares, which if necessary may ultimately be determined by the court.</w:t>
      </w:r>
    </w:p>
    <w:p>
      <w:pPr>
        <w:spacing w:after="0" w:line="200" w:lineRule="exact"/>
        <w:rPr>
          <w:sz w:val="20"/>
          <w:szCs w:val="20"/>
          <w:color w:val="auto"/>
        </w:rPr>
      </w:pPr>
    </w:p>
    <w:p>
      <w:pPr>
        <w:spacing w:after="0" w:line="205"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Shareholders generally do not have any rights to inspect or obtain copies of the register of shareholders or other corporate records of a company.</w:t>
      </w:r>
    </w:p>
    <w:p>
      <w:pPr>
        <w:spacing w:after="0" w:line="55"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In the Cayman Islands, the decision to institute proceedings on behalf of a company is generally taken by the company’s board of directors. A shareholder may be entitled to bring a derivative action on behalf of the company, but only in certain limited circumstances.</w:t>
      </w:r>
    </w:p>
    <w:p>
      <w:pPr>
        <w:spacing w:after="0" w:line="52"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A director owes fiduciary duties to a company, including to exercise loyalty, honesty and good faith to the company as a whole.</w:t>
      </w:r>
    </w:p>
    <w:p>
      <w:pPr>
        <w:spacing w:after="0" w:line="10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addition to fiduciary duties, directors owe a duty of care, diligence and skill.</w:t>
      </w:r>
    </w:p>
    <w:p>
      <w:pPr>
        <w:spacing w:after="0" w:line="121"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Such duties are owed to the company but may be owed direct to creditors or shareholders in certain limited circumstances.</w:t>
      </w:r>
    </w:p>
    <w:p>
      <w:pPr>
        <w:spacing w:after="0" w:line="55"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auto"/>
        </w:rPr>
        <w:t>A Cayman Islands company generally may indemnify its directors or officers except with regard to fraud or willful default.</w:t>
      </w:r>
    </w:p>
    <w:p>
      <w:pPr>
        <w:spacing w:after="0" w:line="200" w:lineRule="exact"/>
        <w:rPr>
          <w:sz w:val="20"/>
          <w:szCs w:val="20"/>
          <w:color w:val="auto"/>
        </w:rPr>
      </w:pPr>
    </w:p>
    <w:p>
      <w:pPr>
        <w:spacing w:after="0" w:line="20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Liability of directors may be unlimited, except with regard to their own fraud or willful default.</w:t>
      </w:r>
    </w:p>
    <w:p>
      <w:pPr>
        <w:sectPr>
          <w:pgSz w:w="11900" w:h="16838" w:orient="portrait"/>
          <w:cols w:equalWidth="0" w:num="2">
            <w:col w:w="7440" w:space="120"/>
            <w:col w:w="3620"/>
          </w:cols>
          <w:pgMar w:left="340" w:top="1440" w:right="379" w:bottom="1440" w:gutter="0" w:footer="0" w:header="0"/>
        </w:sectPr>
      </w:pPr>
    </w:p>
    <w:bookmarkStart w:id="312" w:name="page313"/>
    <w:bookmarkEnd w:id="31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NAUTILUS SECURITIES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following summary of certain provisions of New Nautilus securities does not purport to be complete and is subject to the Proposed Certificate of Incorporation, the Proposed Bylaws and the provisions of applicable law. Copies of the Proposed Certificate of Incorporation and the Proposed Bylaws are attached to this proxy statement/prospectus as Annex C and Annex D,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authorized capital stock of New Nautilus will consist of 1,000,000,000 shares of New Nautilus Common Stock, par value $0.0001 per share, and 200,000,000 shares of New Nautilus Preferred Stock, par value $0.0001 per share. New Nautilus expects to have approximately 124,482,062 shares of New Nautilus Common Stock outstanding immediately after the consummation of the Business Combination, assuming that none of ARYA’s outstanding Class A ordinary shares are redeemed in connection with the Business Combination, or approximately 115,729,962 shares of New Nautilus Common Stock outstanding immediately after the consummation of the Business Combination, assuming holders of ARYA public shares have exercised redemption rights with respect to 8,752,100 shares, which is the estimated maximum number of shares that may be redeemed while still enabling the Aggregate Transaction Proceeds Condition to be met.</w:t>
      </w:r>
    </w:p>
    <w:p>
      <w:pPr>
        <w:spacing w:after="0" w:line="141"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following summary describes all material provisions of New Nautilus capital stock. You are urged to read the Proposed Certificate of Incorporation and the Proposed Bylaws in their entirety (copies of which are attached to this proxy statement/prospectus as Annex C and Annex D, respectively) as well as the applicable provisions of the DGCL.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Nautilus Common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share of New Nautilus Common Stock will be entitled to one vote per share on all matters (including the election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submitted to a vote of stockholders, unless otherwise required by law or the New Nautilus certificate of incorporation. The Proposed Certificate of Incorporation and the Proposed Bylaws do not provide for cumulative voting rights. Directors of New Nautilus will be elected by plurality vote of the shares of New Nautilus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then-outstanding preferred stock, holders of New Common Stock will be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receive dividends, if any, as may be declared from time to time by our board of directors out of legally available funds.</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New Nautilus Common Stock will be entitled to share ratably in the net assets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to stockholders after the payment of all of New Nautilus’ debts and other liabilities and the satisfaction of any liquidation preference granted to the holders of any then-outstanding shares of preferred stock.</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Holders of New Nautilus will have no preemptive, conversion, subscription or other rights, and as of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there will be no redemption or sinking fund provisions applicable to the New Nautilus Common Stock. The rights, preferences and privileges of the holders of the New Nautilus Common Stock are subject to, and may be adversely affected by, the rights of the holders of shares of any series of preferred stock that New Nautilus may designate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New Nautilus Board will have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the New Nautilus Common Stock. The issuance of preferred stock could adversely affect the voting power of holders of New Nautilus Common Stock and the likelihood that such holders will receive dividend payments and payments upon liquidation. In addition, the issuance of preferred stock could have the effect of delaying, deferring or preventing a change in control of New Nautilus or other corporate action. Upon closing of the Business Combination, no shares of preferred stock will be outstanding, and New Nautilus has no present plan to issue any shares of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5"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the New Nautilus Board shall be fixed solely and exclusively by resolution duly adopted from time to time by the New Nautilus Board, but shall initially consist of nine (9) directors, which shall be divided into three (3) classes, designated Class I, II and III, with each class consisting of three (3) directors.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Proposed Bylaws, at all meetings of stockholders called for the election of directors, directors shall be elected by a plurality of the voting power of the shares present in person or represented by proxy at the meeting and entitled to vote on the election of directors. All directors will be elected to hold office until the expiration of the term for which they are elected and until their successors have been duly elected and qualified or until their earlier resignation or removal.</w:t>
      </w:r>
    </w:p>
    <w:p>
      <w:pPr>
        <w:spacing w:after="0" w:line="13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New Nautilus Preferred Stock, newly created directorships resulting from any increase in the number of directors and any vacancies on the New Nautilus Board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Subject to the rights, if any, of any series of New Nautilus Preferred Stock, any director or the entire New Nautilus Board may be removed from office at any time, but only for cause and only by the affirmative vote of the holders of at least 66 2/3% of the voting power of the issued and outstanding capital stock of New Nautilus entitled to vote in the election of directors.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addition to the powers and authority expressly conferred upon them by statute or by the Proposed Certificate of Incorporation or Proposed Bylaws, the directors are empowered to exercise all such powers and do all such acts and things as may be exercised or done by New Nautilus, subject, nevertheless, to the provisions of the DGCL, the Proposed Certificate of Incorporation and the Proposed Bylaws adopted and in effect from time to time; provided, however, that no Bylaw adopted, amended, altered or repealed after the date of the Proposed Bylaws will invalidate any prior act of the directors or officers of New Nautilus which would have been valid if such Bylaw had not been adopted, amended, altered or repealed.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Proposed Certificate of Incorporation or Proposed Bylaws, each as amended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Proposed Certificate of Incorporation and the Proposed Bylaws</w:t>
      </w:r>
    </w:p>
    <w:p>
      <w:pPr>
        <w:spacing w:after="0" w:line="17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Proposed Certificate of Incorporation and the Proposed Bylaws contain provisions that may delay, defer or discourage another party from acquiring control of New Nautilus. We expect that these provisions, which are summarized below, may discourage coercive takeover practices or inadequate takeover bids. These provisions are also designed to encourage persons seeking to acquire control of New Nautilus to first negotiate with the New Nautilus Board, which we believe may result in an improvement of the terms of any such acquisition in favor of New Nautilus’ stockholders. However, they also give the New Nautilus Board the power to discourage acquisitions that some stockholders may favor.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the New Nautilus Common Stock remains listed on Nasdaq, require stockholder approval of certain issuances equal to or exceeding 20% of the then outstanding voting power or then outstanding number of shares of New Nautilus Common Stock. Additional shares that may be issued in the future may be used for a variety of corporate purposes, including future public offerings, to raise additional capital or to facilitate acquisitions.</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may be to enable the New Nautilus Board to issue shares to persons friendly to New Nautilus management, which issuance could render more difficult or discourage an attempt to obtain control of New Nautilus by means of a merger, tender offer, proxy contest or otherwise and thereby protect the continuity of New Nautilus management and possibly deprive stockholders of opportunities to sell their shares of New Nautilus Common Stock at prices higher than prevailing market prices.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Unless otherwise required by law, and subject to the rights, if any, of the holders of any series of New Nautilus Preferred Stock, special meetings of the stockholders of New Nautilus may be called only by the Chairperson of the New Nautilus Board, the New Nautilus Chief Executive Officer, the New Nautilus President, or the New Nautilus Board acting pursuant to a resolution adopted by a majority of the New Nautilus Board.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Bylaws also provide that unless otherwise restricted by the Proposed Certificate of Incorporation or the Proposed Bylaws, any action required or permitted to be taken at any meeting of the New Nautilus Board or of any committee thereof may be taken without a meeting, if all members of the New Nautilus Board or of such committee, as the case may be, consent thereto in writing or by electronic transmission.</w:t>
      </w:r>
    </w:p>
    <w:p>
      <w:pPr>
        <w:spacing w:after="0" w:line="11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addition, the Proposed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New Nautilus Board, or by a stockholder of record on the record date for the meeting, who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5" w:name="page316"/>
    <w:bookmarkEnd w:id="31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entitled to vote at the meeting and who has delivered a timely written notice in proper form to the New Nautilus secretary, of the stockholder’s intention to bring such business before the meeting.</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New Nautilus’ outstanding voting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Certificate of Incorporation will provide that the following provisions therein may be amended, altered, repealed or rescinded only by the affirmative vote of the holders of at least 66 2/3% in voting power of all the then outstanding shares of New Nautilus’ stock entitled to vote thereon and the affirmative vote of at least 662/3% of the then outstanding voting securities of the Company, voting together as a single class:</w:t>
      </w:r>
    </w:p>
    <w:p>
      <w:pPr>
        <w:spacing w:after="0" w:line="111" w:lineRule="exact"/>
        <w:rPr>
          <w:sz w:val="20"/>
          <w:szCs w:val="20"/>
          <w:color w:val="auto"/>
        </w:rPr>
      </w:pPr>
    </w:p>
    <w:p>
      <w:pPr>
        <w:ind w:left="660" w:right="12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authorizing the New Nautilus Board to issues shares of New Nautilus Preferred Stock, with any rights, preferences or privileges as they may designate;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dividing the New Nautilus Board into three classes, each of which stands for election once every three years;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provisions providing that a director may only be removed from the New Nautilus Board for cause only by the affirmative vote of the holders of at least 66 2/3% of the voting power of the issued and outstanding capital stock of New Nautilus entitled to vote in the election of directors;</w:t>
      </w:r>
    </w:p>
    <w:p>
      <w:pPr>
        <w:spacing w:after="0" w:line="69"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New Nautilus’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New Nautilus’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Proposed Bylaws may be amended or repealed (A) by the affirmative vote of a majority of the entire New Nautilus Board then in office (subject to any bylaw requiring the affirmative vote of a larger percentage of the members of the New Nautilus Board) or (B) by the New Nautilus stockholders, provided that the affirmative vote of the holders of at least 66 2/3% of the total voting power of outstanding voting securities, voting together as a single class, shall be required for the New Nautilus stockholders to alter, amend or repeal, or adopt certain provisions of the Proposed Bylaws.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holders of 66 2/3% of the voting power of the outstanding capital stock held by stockholders unaffiliated with the interested stockholder approve the business combination. A business combination includes, among other things,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6" w:name="page317"/>
    <w:bookmarkEnd w:id="316"/>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Proposed Certificate of Incorporation limits the liability of the directors of New Nautilus to the fullest extent permitted by the DGCL, and the Proposed Bylaws provide that New Nautilus will indemnify them to the fullest extent permitted by such law. ARYA has entered into indemnification agreements with its directors and officers and New Nautilus expects to continue to enter into agreements to indemnify its directors, executive officers and other employees as determined by the New Nautilus Board. Under the terms of such indemnification agreements, New Nautilus will be required to indemnify each of its directors and officers, to the fullest extent permitted by the laws of the state of Delaware, if the basis of the indemnitee’s involvement was by reason of the fact that the indemnitee is or was a director or officer of New Nautilus or any of its subsidiaries or was serving at New Nautilus’ request in an official capacity for another entity. Any claims for indemnification by New Nautilus’ directors and officers may reduce New Nautilus’ available funds to satisfy successful third-party claims against it and may reduce the amount of money available to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New Nautilus Common Stock will be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ACT RESTRICTIONS ON RESALE OF NEW NAUTILUS COMMON STOCK</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restricted New Nautilus Common Stock for at least six months would be entitled to sell their securities provided that (i) such person is not deemed to have been an affiliate of New Nautilus at the time of, or at any time during the three months preceding, a sale and (ii) New Nautilus is subject to the Exchange Act periodic reporting requirements for at least three months before the sale and have filed all required reports under Section 13 or 15(d) of the Exchange Act during the twelve months (or such shorter period as New Nautilus was required to file reports) preceding the sale.</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Persons who have beneficially owned restricted New Nautilus Common Stock shares for at least six months but who are affiliates of New Nautilus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1% of the total number of New Nautilus Common Stock then outstanding; or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New Nautilus Common Stock during the four calendar weeks preceding the filing of a notice on Form 144 with respect to the sale.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Sales by affiliates of New Nautilus under Rule 144 are also limited by manner of sale provisions and notice requirements and to the availability of current public information about New Nautilus.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a result, our initial shareholders will be able to sell their Class B ordinary shares and private placement shares, as applicable, pursuant to Rule 144 without registration one year after we have completed our initial business combination.</w:t>
      </w:r>
    </w:p>
    <w:p>
      <w:pPr>
        <w:spacing w:after="0" w:line="116"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anticipate that following the consummation of the Business Combination, New Nautilus will no longer be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8" w:name="page319"/>
    <w:bookmarkEnd w:id="3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New Nautilus’ Proposed Bylaws establish an advance notice procedure for stockholders who wish to present a proposal before an annual meeting of stockholders. New Nautilus’ Proposed Bylaws provide that the only business that may be conducted at an annual meeting of stockholders is business that is</w:t>
      </w:r>
    </w:p>
    <w:p>
      <w:pPr>
        <w:ind w:firstLine="8"/>
        <w:spacing w:after="0" w:line="271" w:lineRule="auto"/>
        <w:tabs>
          <w:tab w:leader="none" w:pos="21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specified in the notice of such meeting (or any supplement or amendment thereto) given by or at the direction of the New Nautilus Board, (ii) otherwise properly brought before such meeting by or at the direction of the New Nautilus Board, or (iii) otherwise properly brought before such meeting by a stockholder who is a stockholder of record on the date of giving of the notice and on the record date for determination of stockholders entitled to vote at such meeting who has complied with the notice procedures specified in New Nautilus’ Proposed Bylaws. To be timely for New Nautilus’ annual meeting of stockholders, New Nautilus’ secretary must receive the written notice at New Nautilus’ principal executive offices:</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not later than the 90th day;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not earlier than the 120th day before the one-year anniversary of the preceding year’s annual meeting.</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event that no annual meeting was held in the previous year (as would be the case for New Nautilus’ 2021 annual meeting) or if the date of the applicable annual meeting has been changed by more than 25 days from the first anniversary of the preceding year’s annual meeting, notice of a stockholder proposal must be received no earlier than 8:00 a.m., local time on the 120th day prior to the scheduled date of such annual meeting and no later than 5:00 p.m., local time, on the 10th day following the day on which public announcement of the date of such meeting is first made. Nominations and proposals also must satisfy other requirements set forth in the bylaws. The Chairperson of the applicable meeting of New Nautilus stockholders may refuse to acknowledge the introduction of any stockholder proposal not made in compliance with the foregoing procedures.</w:t>
      </w:r>
    </w:p>
    <w:p>
      <w:pPr>
        <w:spacing w:after="0" w:line="124" w:lineRule="exact"/>
        <w:rPr>
          <w:sz w:val="20"/>
          <w:szCs w:val="20"/>
          <w:color w:val="auto"/>
        </w:rPr>
      </w:pPr>
    </w:p>
    <w:p>
      <w:pPr>
        <w:jc w:val="both"/>
        <w:ind w:right="520" w:firstLine="324"/>
        <w:spacing w:after="0" w:line="286" w:lineRule="auto"/>
        <w:rPr>
          <w:sz w:val="20"/>
          <w:szCs w:val="20"/>
          <w:color w:val="auto"/>
        </w:rPr>
      </w:pPr>
      <w:r>
        <w:rPr>
          <w:rFonts w:ascii="Arial" w:cs="Arial" w:eastAsia="Arial" w:hAnsi="Arial"/>
          <w:sz w:val="17"/>
          <w:szCs w:val="17"/>
          <w:color w:val="auto"/>
        </w:rPr>
        <w:t>Under Rule 14a-8 of the Exchange Act, a shareholder proposal to be included in the proxy statement and proxy card for the 2021 annual general meeting pursuant to Rule 14a-8 must be received at our principal office a reasonable time before New Nautilus begins to print and send out its proxy materials for such 2021 annual meeting (and New Nautilus will publicly disclose such date when it is known).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Nominees</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New Nautilus’ Proposed Bylaws permit stockholders to nominate directors for election at an annual general meeting of stockholders. To nominate a director, the stockholder must provide the information required by New Nautilus’ Proposed Bylaws. In addition, the stockholder must give timely notice to New Nautilus’ secretary in accordance with New Nautilus’ Proposed Bylaws, which, in general, require that the notice be received by New Nautilus’ secretary within the time periods described above under </w:t>
      </w:r>
      <w:r>
        <w:rPr>
          <w:rFonts w:ascii="Arial" w:cs="Arial" w:eastAsia="Arial" w:hAnsi="Arial"/>
          <w:sz w:val="17"/>
          <w:szCs w:val="17"/>
          <w:i w:val="1"/>
          <w:iCs w:val="1"/>
          <w:color w:val="auto"/>
        </w:rPr>
        <w:t>“—Stockholder Proposals”</w:t>
      </w:r>
      <w:r>
        <w:rPr>
          <w:rFonts w:ascii="Arial" w:cs="Arial" w:eastAsia="Arial" w:hAnsi="Arial"/>
          <w:sz w:val="17"/>
          <w:szCs w:val="17"/>
          <w:color w:val="auto"/>
        </w:rPr>
        <w:t xml:space="preserve"> for stockholder proposals.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COMMUNICATIONS</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Shareholders and interested parties may communicate with the ARYA Board, any committee chairperson or the non-management directors as a group by writing to the board or committee chairperson in care of ARYA Sciences Acquisition Corp III, 51 Astor Place, 10th Floor, New York, New York 10003. Following the Business Combination, such communications should be sent in care of New Nautilus, 425 Pontius Ave N, Ste 202, Seattle, WA 98109. Each communication will be forwarded, depending on the subject matter, to the board of directors, the appropriate committee chairperson or all non-management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Kirkland &amp; Ellis LLP, New York, NY, has passed upon the validity of the securities of New Nautilus offered by this proxy statement/prospectus and certain other legal matters related 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appearing in this proxy statement/prospectus have been audited by WithumSmith+Brown, PC,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financial statements of Nautilus Biotechnology, Inc. as of December 31, 2020 and 2019 and for the years then ended included in this proxy statement/prospectus have been so included in reliance on the report of PricewaterhouseCoopers LLP, an independent registered public accounting firm, given 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SHAREHOLDERS</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Pursuant to the rules of the SEC, ARYA and services that it employs to deliver communications to its shareholders are permitted to deliver to two or more shareholders sharing the same address a single copy of each of ARYA’s annual report to shareholders and ARYA’s proxy statement. Upon written or oral request, ARYA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ARYA delivers single copies of such documents in the future. Shareholders receiving multiple copies of such documents may request that ARYA delivers single copies of such documents in the future. Shareholders may notify ARYA of their requests by calling or writing ARYA at its principal executive offices at 51 Astor Place, 10th Floor, New York, New York 10003 or (212) 284-2300.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LIABILITY</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ARYA is a Cayman Islands exempted company. If ARYA does not change its jurisdiction of incorporation from the Cayman Islands to Delaware by effecting the Domestication, you may have difficulty serving legal process within the United States upon ARYA. You may also have difficulty enforcing, both in and outside the United States, judgments you may obtain in U.S. courts against ARYA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ARYA may be served with process in the United States with respect to actions against ARYA arising out of or in connection with violation of U.S. federal securities laws relating to offers and sales of ARYA’s securities by serving ARYA’s U.S. agent irrevocably appointed for that purpose.</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ARYA’s securities is Continental Stock Transfer &amp; Trust Company.</w:t>
      </w:r>
    </w:p>
    <w:p>
      <w:pPr>
        <w:spacing w:after="0" w:line="16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ARYA has filed a registration statement on Form S-4 to register the issuance of securities described elsewhere in this proxy statement/prospectus. This proxy statement/prospectus is a part of that registration statement.</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ARYA files reports, proxy statements and other information with the SEC as required by the Exchange Act. You may access information on ARYA at the SEC website containing reports, proxy statements and other information at: http://www.sec.gov. Those filings are also available free of charge to the public on, or accessible through, ARYA’s corporate website at https://www.perceptivelife.com/arya3. ARYA’s website and the information contained on, or that can be accessed through, the website is not deemed to be incorporated by reference in, and is not considered part of, this proxy statement/prospectus.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 to the registration statement of which this proxy statement/prospectus forms a part, which includes exhibits incorporated by reference from other filings made with the SEC.</w:t>
      </w:r>
    </w:p>
    <w:p>
      <w:pPr>
        <w:spacing w:after="0" w:line="116"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All information contained in this proxy statement/prospectus relating to ARYA has been supplied by ARYA, and all such information relating to Nautilus has been supplied by Nautilus. Information provided by one another does not constitute any representation, estimate or projection of the other.</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you should contact via phone or in writing: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(203) 658-9400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To obtain timely delivery of the documents, you must request them no later than five business days before the date of the meeting, or no later than _________, 2021.</w:t>
      </w:r>
    </w:p>
    <w:p>
      <w:pPr>
        <w:spacing w:after="0" w:line="116"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All information contained in this document relating to ARYA has been supplied by ARYA and all such information relating to Nautilus has been supplied by the Nautilus Shareholders. Information provided by ARYA or Nautilus does not constitute any representation, estimate or projection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00" w:lineRule="exact"/>
        <w:rPr>
          <w:sz w:val="20"/>
          <w:szCs w:val="20"/>
          <w:color w:val="auto"/>
        </w:rPr>
      </w:pPr>
    </w:p>
    <w:p>
      <w:pPr>
        <w:spacing w:after="0" w:line="34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for ARYA Sciences Acquisition Corp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20" w:type="dxa"/>
            <w:vAlign w:val="bottom"/>
            <w:shd w:val="clear" w:color="auto" w:fill="CCEEFF"/>
          </w:tcPr>
          <w:p>
            <w:pPr>
              <w:spacing w:after="0"/>
              <w:rPr>
                <w:sz w:val="21"/>
                <w:szCs w:val="21"/>
                <w:color w:val="auto"/>
              </w:rPr>
            </w:pPr>
          </w:p>
        </w:tc>
        <w:tc>
          <w:tcPr>
            <w:tcW w:w="9620" w:type="dxa"/>
            <w:vAlign w:val="bottom"/>
            <w:gridSpan w:val="12"/>
            <w:shd w:val="clear" w:color="auto" w:fill="CCEEFF"/>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center"/>
              <w:ind w:right="360"/>
              <w:spacing w:after="0"/>
              <w:rPr>
                <w:rFonts w:ascii="Arial" w:cs="Arial" w:eastAsia="Arial" w:hAnsi="Arial"/>
                <w:sz w:val="18"/>
                <w:szCs w:val="18"/>
                <w:color w:val="0000FF"/>
                <w:w w:val="96"/>
              </w:rPr>
            </w:pPr>
            <w:hyperlink w:anchor="page322">
              <w:r>
                <w:rPr>
                  <w:rFonts w:ascii="Arial" w:cs="Arial" w:eastAsia="Arial" w:hAnsi="Arial"/>
                  <w:sz w:val="18"/>
                  <w:szCs w:val="18"/>
                  <w:color w:val="0000FF"/>
                  <w:w w:val="96"/>
                </w:rPr>
                <w:t>F-3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3">
              <w:r>
                <w:rPr>
                  <w:rFonts w:ascii="Arial" w:cs="Arial" w:eastAsia="Arial" w:hAnsi="Arial"/>
                  <w:sz w:val="18"/>
                  <w:szCs w:val="18"/>
                  <w:color w:val="0000FF"/>
                </w:rPr>
                <w:t>Balance Sheet as of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3">
              <w:r>
                <w:rPr>
                  <w:rFonts w:ascii="Arial" w:cs="Arial" w:eastAsia="Arial" w:hAnsi="Arial"/>
                  <w:sz w:val="18"/>
                  <w:szCs w:val="18"/>
                  <w:color w:val="0000FF"/>
                  <w:w w:val="96"/>
                </w:rPr>
                <w:t>F-4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4">
              <w:r>
                <w:rPr>
                  <w:rFonts w:ascii="Arial" w:cs="Arial" w:eastAsia="Arial" w:hAnsi="Arial"/>
                  <w:sz w:val="18"/>
                  <w:szCs w:val="18"/>
                  <w:color w:val="0000FF"/>
                </w:rPr>
                <w:t>Statement of Operations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4">
              <w:r>
                <w:rPr>
                  <w:rFonts w:ascii="Arial" w:cs="Arial" w:eastAsia="Arial" w:hAnsi="Arial"/>
                  <w:sz w:val="18"/>
                  <w:szCs w:val="18"/>
                  <w:color w:val="0000FF"/>
                  <w:w w:val="96"/>
                </w:rPr>
                <w:t>F-5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6"/>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w w:val="99"/>
              </w:rPr>
            </w:pPr>
            <w:hyperlink w:anchor="page325">
              <w:r>
                <w:rPr>
                  <w:rFonts w:ascii="Arial" w:cs="Arial" w:eastAsia="Arial" w:hAnsi="Arial"/>
                  <w:sz w:val="18"/>
                  <w:szCs w:val="18"/>
                  <w:color w:val="0000FF"/>
                  <w:w w:val="99"/>
                </w:rPr>
                <w:t>Statement of Changes in Shareholders’ Equity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5">
              <w:r>
                <w:rPr>
                  <w:rFonts w:ascii="Arial" w:cs="Arial" w:eastAsia="Arial" w:hAnsi="Arial"/>
                  <w:sz w:val="18"/>
                  <w:szCs w:val="18"/>
                  <w:color w:val="0000FF"/>
                  <w:w w:val="96"/>
                </w:rPr>
                <w:t>F-6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6">
              <w:r>
                <w:rPr>
                  <w:rFonts w:ascii="Arial" w:cs="Arial" w:eastAsia="Arial" w:hAnsi="Arial"/>
                  <w:sz w:val="18"/>
                  <w:szCs w:val="18"/>
                  <w:color w:val="0000FF"/>
                </w:rPr>
                <w:t>Statement of Cash Flows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6">
              <w:r>
                <w:rPr>
                  <w:rFonts w:ascii="Arial" w:cs="Arial" w:eastAsia="Arial" w:hAnsi="Arial"/>
                  <w:sz w:val="18"/>
                  <w:szCs w:val="18"/>
                  <w:color w:val="0000FF"/>
                  <w:w w:val="96"/>
                </w:rPr>
                <w:t>F-7</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89"/>
              </w:rPr>
            </w:pPr>
            <w:hyperlink w:anchor="page327">
              <w:r>
                <w:rPr>
                  <w:rFonts w:ascii="Arial" w:cs="Arial" w:eastAsia="Arial" w:hAnsi="Arial"/>
                  <w:sz w:val="18"/>
                  <w:szCs w:val="18"/>
                  <w:color w:val="0000FF"/>
                  <w:w w:val="89"/>
                </w:rPr>
                <w:t>Notes to Financial Statements</w:t>
              </w:r>
            </w:hyperlink>
          </w:p>
        </w:tc>
        <w:tc>
          <w:tcPr>
            <w:tcW w:w="7460" w:type="dxa"/>
            <w:vAlign w:val="bottom"/>
            <w:tcBorders>
              <w:bottom w:val="single" w:sz="8" w:color="CCEEFF"/>
            </w:tcBorders>
            <w:gridSpan w:val="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FF"/>
            </w:tcBorders>
            <w:shd w:val="clear" w:color="auto" w:fill="CCEEFF"/>
          </w:tcPr>
          <w:p>
            <w:pPr>
              <w:jc w:val="center"/>
              <w:spacing w:after="0" w:line="202" w:lineRule="exact"/>
              <w:rPr>
                <w:rFonts w:ascii="Arial" w:cs="Arial" w:eastAsia="Arial" w:hAnsi="Arial"/>
                <w:sz w:val="18"/>
                <w:szCs w:val="18"/>
                <w:color w:val="0000FF"/>
                <w:w w:val="96"/>
              </w:rPr>
            </w:pPr>
            <w:hyperlink w:anchor="page327">
              <w:r>
                <w:rPr>
                  <w:rFonts w:ascii="Arial" w:cs="Arial" w:eastAsia="Arial" w:hAnsi="Arial"/>
                  <w:sz w:val="18"/>
                  <w:szCs w:val="18"/>
                  <w:color w:val="0000FF"/>
                  <w:w w:val="96"/>
                </w:rPr>
                <w:t>F-8</w:t>
              </w:r>
            </w:hyperlink>
          </w:p>
        </w:tc>
        <w:tc>
          <w:tcPr>
            <w:tcW w:w="400" w:type="dxa"/>
            <w:vAlign w:val="bottom"/>
            <w:tcBorders>
              <w:bottom w:val="single" w:sz="8" w:color="CCEEFF"/>
            </w:tcBorders>
            <w:gridSpan w:val="2"/>
            <w:shd w:val="clear" w:color="auto" w:fill="CCEEFF"/>
          </w:tcPr>
          <w:p>
            <w:pPr>
              <w:spacing w:after="0"/>
              <w:rPr>
                <w:sz w:val="20"/>
                <w:szCs w:val="20"/>
                <w:color w:val="auto"/>
              </w:rPr>
            </w:pPr>
          </w:p>
        </w:tc>
      </w:tr>
      <w:tr>
        <w:trPr>
          <w:trHeight w:val="783"/>
        </w:trPr>
        <w:tc>
          <w:tcPr>
            <w:tcW w:w="9640" w:type="dxa"/>
            <w:vAlign w:val="bottom"/>
            <w:gridSpan w:val="13"/>
          </w:tcPr>
          <w:p>
            <w:pPr>
              <w:spacing w:after="0"/>
              <w:rPr>
                <w:sz w:val="20"/>
                <w:szCs w:val="20"/>
                <w:color w:val="auto"/>
              </w:rPr>
            </w:pPr>
            <w:r>
              <w:rPr>
                <w:rFonts w:ascii="Arial" w:cs="Arial" w:eastAsia="Arial" w:hAnsi="Arial"/>
                <w:sz w:val="18"/>
                <w:szCs w:val="18"/>
                <w:b w:val="1"/>
                <w:bCs w:val="1"/>
                <w:color w:val="auto"/>
                <w:w w:val="99"/>
              </w:rPr>
              <w:t>Financial Statements for Nautilus Biotechnology, Inc. As of and for the Years Ended December 31, 2020 and 2019</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86"/>
              </w:rPr>
              <w:t>Page(s)</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3340" w:type="dxa"/>
            <w:vAlign w:val="bottom"/>
            <w:gridSpan w:val="3"/>
          </w:tcPr>
          <w:p>
            <w:pPr>
              <w:spacing w:after="0"/>
              <w:rPr>
                <w:sz w:val="2"/>
                <w:szCs w:val="2"/>
                <w:color w:val="auto"/>
              </w:rPr>
            </w:pPr>
          </w:p>
        </w:tc>
        <w:tc>
          <w:tcPr>
            <w:tcW w:w="374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0">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0">
              <w:r>
                <w:rPr>
                  <w:rFonts w:ascii="Arial" w:cs="Arial" w:eastAsia="Arial" w:hAnsi="Arial"/>
                  <w:sz w:val="18"/>
                  <w:szCs w:val="18"/>
                  <w:color w:val="0000FF"/>
                  <w:w w:val="91"/>
                </w:rPr>
                <w:t>F-21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1680" w:type="dxa"/>
            <w:vAlign w:val="bottom"/>
            <w:tcBorders>
              <w:top w:val="single" w:sz="8" w:color="0000FF"/>
            </w:tcBorders>
            <w:gridSpan w:val="2"/>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3340" w:type="dxa"/>
            <w:vAlign w:val="bottom"/>
            <w:gridSpan w:val="3"/>
          </w:tcPr>
          <w:p>
            <w:pPr>
              <w:spacing w:after="0"/>
              <w:rPr>
                <w:sz w:val="23"/>
                <w:szCs w:val="23"/>
                <w:color w:val="auto"/>
              </w:rPr>
            </w:pPr>
          </w:p>
        </w:tc>
        <w:tc>
          <w:tcPr>
            <w:tcW w:w="3740" w:type="dxa"/>
            <w:vAlign w:val="bottom"/>
            <w:gridSpan w:val="4"/>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gridSpan w:val="3"/>
          </w:tcPr>
          <w:p>
            <w:pPr>
              <w:spacing w:after="0"/>
              <w:rPr>
                <w:sz w:val="23"/>
                <w:szCs w:val="23"/>
                <w:color w:val="auto"/>
              </w:rPr>
            </w:pPr>
          </w:p>
        </w:tc>
        <w:tc>
          <w:tcPr>
            <w:tcW w:w="36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1">
              <w:r>
                <w:rPr>
                  <w:rFonts w:ascii="Arial" w:cs="Arial" w:eastAsia="Arial" w:hAnsi="Arial"/>
                  <w:sz w:val="18"/>
                  <w:szCs w:val="18"/>
                  <w:color w:val="0000FF"/>
                </w:rPr>
                <w:t>Balance Sheets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1">
              <w:r>
                <w:rPr>
                  <w:rFonts w:ascii="Arial" w:cs="Arial" w:eastAsia="Arial" w:hAnsi="Arial"/>
                  <w:sz w:val="18"/>
                  <w:szCs w:val="18"/>
                  <w:color w:val="0000FF"/>
                  <w:w w:val="91"/>
                </w:rPr>
                <w:t>F-22</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2">
              <w:r>
                <w:rPr>
                  <w:rFonts w:ascii="Arial" w:cs="Arial" w:eastAsia="Arial" w:hAnsi="Arial"/>
                  <w:sz w:val="18"/>
                  <w:szCs w:val="18"/>
                  <w:color w:val="0000FF"/>
                </w:rPr>
                <w:t>Statements of Operations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2">
              <w:r>
                <w:rPr>
                  <w:rFonts w:ascii="Arial" w:cs="Arial" w:eastAsia="Arial" w:hAnsi="Arial"/>
                  <w:sz w:val="18"/>
                  <w:szCs w:val="18"/>
                  <w:color w:val="0000FF"/>
                  <w:w w:val="91"/>
                </w:rPr>
                <w:t>F-23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3">
              <w:r>
                <w:rPr>
                  <w:rFonts w:ascii="Arial" w:cs="Arial" w:eastAsia="Arial" w:hAnsi="Arial"/>
                  <w:sz w:val="18"/>
                  <w:szCs w:val="18"/>
                  <w:color w:val="0000FF"/>
                </w:rPr>
                <w:t>Statements of Comprehensive Loss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3">
              <w:r>
                <w:rPr>
                  <w:rFonts w:ascii="Arial" w:cs="Arial" w:eastAsia="Arial" w:hAnsi="Arial"/>
                  <w:sz w:val="18"/>
                  <w:szCs w:val="18"/>
                  <w:color w:val="0000FF"/>
                  <w:w w:val="91"/>
                </w:rPr>
                <w:t>F-24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4">
              <w:r>
                <w:rPr>
                  <w:rFonts w:ascii="Arial" w:cs="Arial" w:eastAsia="Arial" w:hAnsi="Arial"/>
                  <w:sz w:val="18"/>
                  <w:szCs w:val="18"/>
                  <w:color w:val="0000FF"/>
                </w:rPr>
                <w:t>Statements of Redeemable Convertible Preferred Stock and Stockholders’ Deficit</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4">
              <w:r>
                <w:rPr>
                  <w:rFonts w:ascii="Arial" w:cs="Arial" w:eastAsia="Arial" w:hAnsi="Arial"/>
                  <w:sz w:val="18"/>
                  <w:szCs w:val="18"/>
                  <w:color w:val="0000FF"/>
                  <w:w w:val="91"/>
                </w:rPr>
                <w:t>F-25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0000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5">
              <w:r>
                <w:rPr>
                  <w:rFonts w:ascii="Arial" w:cs="Arial" w:eastAsia="Arial" w:hAnsi="Arial"/>
                  <w:sz w:val="18"/>
                  <w:szCs w:val="18"/>
                  <w:color w:val="0000FF"/>
                </w:rPr>
                <w:t>Statements of Cash Flows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5">
              <w:r>
                <w:rPr>
                  <w:rFonts w:ascii="Arial" w:cs="Arial" w:eastAsia="Arial" w:hAnsi="Arial"/>
                  <w:sz w:val="18"/>
                  <w:szCs w:val="18"/>
                  <w:color w:val="0000FF"/>
                  <w:w w:val="91"/>
                </w:rPr>
                <w:t>F-26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6">
              <w:r>
                <w:rPr>
                  <w:rFonts w:ascii="Arial" w:cs="Arial" w:eastAsia="Arial" w:hAnsi="Arial"/>
                  <w:sz w:val="18"/>
                  <w:szCs w:val="18"/>
                  <w:color w:val="0000FF"/>
                </w:rPr>
                <w:t>Notes to Financial Statements</w:t>
              </w:r>
            </w:hyperlink>
          </w:p>
        </w:tc>
        <w:tc>
          <w:tcPr>
            <w:tcW w:w="9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6">
              <w:r>
                <w:rPr>
                  <w:rFonts w:ascii="Arial" w:cs="Arial" w:eastAsia="Arial" w:hAnsi="Arial"/>
                  <w:sz w:val="18"/>
                  <w:szCs w:val="18"/>
                  <w:color w:val="0000FF"/>
                  <w:w w:val="91"/>
                </w:rPr>
                <w:t>F-27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rPr>
              <w:t>ARYA SCIENCES ACQUISITION CORP III</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held in Trust Account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57"/>
        </w:trPr>
        <w:tc>
          <w:tcPr>
            <w:tcW w:w="9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ordinary shares, $0.0001 par value; 14,023,673 shares subject to possible redemption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140,236,730</w:t>
            </w:r>
          </w:p>
        </w:tc>
        <w:tc>
          <w:tcPr>
            <w:tcW w:w="0" w:type="dxa"/>
            <w:vAlign w:val="bottom"/>
          </w:tcPr>
          <w:p>
            <w:pPr>
              <w:spacing w:after="0"/>
              <w:rPr>
                <w:sz w:val="1"/>
                <w:szCs w:val="1"/>
                <w:color w:val="auto"/>
              </w:rPr>
            </w:pPr>
          </w:p>
        </w:tc>
      </w:tr>
      <w:tr>
        <w:trPr>
          <w:trHeight w:val="257"/>
        </w:trPr>
        <w:tc>
          <w:tcPr>
            <w:tcW w:w="9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Class A ordinary shares, $0.0001 par value; 479,000,000 shares authorized; 1,425,327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14,023,673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income per share, Class A ordinary share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Basic and diluted weighted average shares outstanding of Class A ordinary shares not subject to redemption and Class B</w:t>
            </w:r>
          </w:p>
        </w:tc>
        <w:tc>
          <w:tcPr>
            <w:tcW w:w="4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3,764,852</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ordinary shares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w w:val="99"/>
              </w:rPr>
              <w:t>Basic and diluted net loss per share, Class A ordinary shares subject to redemption and Class B ordinary shares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88"/>
              </w:rPr>
              <w:t>Ordinary Shares</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center"/>
              <w:ind w:right="11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158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A</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B</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20"/>
              <w:spacing w:after="0" w:line="85"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220" w:type="dxa"/>
            <w:vAlign w:val="bottom"/>
            <w:gridSpan w:val="2"/>
          </w:tcPr>
          <w:p>
            <w:pPr>
              <w:ind w:left="100"/>
              <w:spacing w:after="0" w:line="85" w:lineRule="exact"/>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7"/>
                <w:szCs w:val="7"/>
                <w:color w:val="auto"/>
              </w:rPr>
            </w:pPr>
          </w:p>
        </w:tc>
        <w:tc>
          <w:tcPr>
            <w:tcW w:w="1100" w:type="dxa"/>
            <w:vAlign w:val="bottom"/>
          </w:tcPr>
          <w:p>
            <w:pPr>
              <w:jc w:val="center"/>
              <w:ind w:right="92"/>
              <w:spacing w:after="0" w:line="85" w:lineRule="exact"/>
              <w:rPr>
                <w:sz w:val="20"/>
                <w:szCs w:val="20"/>
                <w:color w:val="auto"/>
              </w:rPr>
            </w:pPr>
            <w:r>
              <w:rPr>
                <w:rFonts w:ascii="Arial" w:cs="Arial" w:eastAsia="Arial" w:hAnsi="Arial"/>
                <w:sz w:val="9"/>
                <w:szCs w:val="9"/>
                <w:b w:val="1"/>
                <w:bCs w:val="1"/>
                <w:color w:val="auto"/>
              </w:rPr>
              <w:t>Shareholders'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2"/>
        </w:trPr>
        <w:tc>
          <w:tcPr>
            <w:tcW w:w="202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Balance -</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March 27, 2020 (inception)</w:t>
            </w:r>
          </w:p>
        </w:tc>
        <w:tc>
          <w:tcPr>
            <w:tcW w:w="13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Class B ordinary</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to Sponsor</w:t>
            </w:r>
          </w:p>
        </w:tc>
        <w:tc>
          <w:tcPr>
            <w:tcW w:w="13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rPr>
              <w:t>Sale of units in initial public</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14,950,000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149,498,505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149,500,000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offering, gross</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w w:val="95"/>
              </w:rPr>
              <w:t>Sale of private placement units to</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499,000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4,989,950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Sponsor in private placement</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subject to possible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(140,235,328)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4"/>
                <w:szCs w:val="14"/>
                <w:color w:val="auto"/>
                <w:w w:val="93"/>
              </w:rPr>
              <w:t>(523,083)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(523,083)</w:t>
            </w:r>
          </w:p>
        </w:tc>
        <w:tc>
          <w:tcPr>
            <w:tcW w:w="0" w:type="dxa"/>
            <w:vAlign w:val="bottom"/>
          </w:tcPr>
          <w:p>
            <w:pPr>
              <w:spacing w:after="0"/>
              <w:rPr>
                <w:sz w:val="1"/>
                <w:szCs w:val="1"/>
                <w:color w:val="auto"/>
              </w:rPr>
            </w:pPr>
          </w:p>
        </w:tc>
      </w:tr>
      <w:tr>
        <w:trPr>
          <w:trHeight w:val="211"/>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w w:val="93"/>
              </w:rPr>
              <w:t>(523,083)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5,000,006</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0"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FOR THE PERIOD FROM MARCH 27, 2020 (INCEPTION) THROUGH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gain, dividends and interest on investments held in Trust Account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included in accrued expenses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funded with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underwriting commissions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17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80" w:hanging="673"/>
        <w:spacing w:after="0"/>
        <w:tabs>
          <w:tab w:leader="none" w:pos="6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(523,083)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11,717</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(303,759)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318,507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(549,570)</w:t>
      </w: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9086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0" w:lineRule="exact"/>
        <w:rPr>
          <w:sz w:val="20"/>
          <w:szCs w:val="20"/>
          <w:color w:val="auto"/>
        </w:rPr>
      </w:pP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149,500,000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4,990,000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151,050,602</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1,001,032</w:t>
      </w: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ind w:left="620" w:hanging="613"/>
        <w:spacing w:after="0"/>
        <w:tabs>
          <w:tab w:leader="none" w:pos="62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1,001,032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9086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860" w:hanging="853"/>
        <w:spacing w:after="0"/>
        <w:tabs>
          <w:tab w:leader="none" w:pos="8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25,000</w:t>
      </w:r>
    </w:p>
    <w:p>
      <w:pPr>
        <w:spacing w:after="0" w:line="35" w:lineRule="exact"/>
        <w:rPr>
          <w:sz w:val="20"/>
          <w:szCs w:val="20"/>
          <w:color w:val="auto"/>
        </w:rPr>
      </w:pPr>
    </w:p>
    <w:p>
      <w:pPr>
        <w:ind w:left="860" w:hanging="853"/>
        <w:spacing w:after="0"/>
        <w:tabs>
          <w:tab w:leader="none" w:pos="8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70,000</w:t>
      </w:r>
    </w:p>
    <w:p>
      <w:pPr>
        <w:spacing w:after="0" w:line="34" w:lineRule="exact"/>
        <w:rPr>
          <w:sz w:val="20"/>
          <w:szCs w:val="20"/>
          <w:color w:val="auto"/>
        </w:rPr>
      </w:pPr>
    </w:p>
    <w:p>
      <w:pPr>
        <w:ind w:left="860" w:hanging="853"/>
        <w:spacing w:after="0"/>
        <w:tabs>
          <w:tab w:leader="none" w:pos="8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51,693</w:t>
      </w:r>
    </w:p>
    <w:p>
      <w:pPr>
        <w:spacing w:after="0" w:line="34" w:lineRule="exact"/>
        <w:rPr>
          <w:sz w:val="20"/>
          <w:szCs w:val="20"/>
          <w:color w:val="auto"/>
        </w:rPr>
      </w:pPr>
    </w:p>
    <w:p>
      <w:pPr>
        <w:ind w:left="620" w:hanging="613"/>
        <w:spacing w:after="0"/>
        <w:tabs>
          <w:tab w:leader="none" w:pos="6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5,232,500</w:t>
      </w:r>
    </w:p>
    <w:p>
      <w:pPr>
        <w:spacing w:after="0" w:line="34" w:lineRule="exact"/>
        <w:rPr>
          <w:sz w:val="20"/>
          <w:szCs w:val="20"/>
          <w:color w:val="auto"/>
        </w:rPr>
      </w:pPr>
    </w:p>
    <w:p>
      <w:pPr>
        <w:ind w:left="440" w:hanging="433"/>
        <w:spacing w:after="0"/>
        <w:tabs>
          <w:tab w:leader="none" w:pos="4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140,714,240</w:t>
      </w:r>
    </w:p>
    <w:p>
      <w:pPr>
        <w:spacing w:after="0" w:line="34" w:lineRule="exact"/>
        <w:rPr>
          <w:rFonts w:ascii="Arial" w:cs="Arial" w:eastAsia="Arial" w:hAnsi="Arial"/>
          <w:sz w:val="17"/>
          <w:szCs w:val="17"/>
          <w:color w:val="auto"/>
        </w:rPr>
      </w:pPr>
    </w:p>
    <w:p>
      <w:pPr>
        <w:ind w:left="680" w:hanging="673"/>
        <w:spacing w:after="0"/>
        <w:tabs>
          <w:tab w:leader="none" w:pos="6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(477,510)</w:t>
      </w:r>
    </w:p>
    <w:p>
      <w:pPr>
        <w:sectPr>
          <w:pgSz w:w="11900" w:h="16838" w:orient="portrait"/>
          <w:cols w:equalWidth="0" w:num="2">
            <w:col w:w="9360" w:space="440"/>
            <w:col w:w="1400"/>
          </w:cols>
          <w:pgMar w:left="340" w:top="1440" w:right="359" w:bottom="1440" w:gutter="0" w:footer="0" w:header="0"/>
        </w:sectPr>
      </w:pPr>
    </w:p>
    <w:bookmarkStart w:id="327" w:name="page328"/>
    <w:bookmarkEnd w:id="32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22"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Trust Account</w:t>
      </w:r>
    </w:p>
    <w:p>
      <w:pPr>
        <w:spacing w:after="0" w:line="17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the Company or are payable by the Company and, in case the Company does not complete its initial Business Combination within the Combination Period, $100,000 of the interest income may be used to pay dissolution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4"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spacing w:after="0" w:line="12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1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1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0" w:name="page331"/>
    <w:bookmarkEnd w:id="330"/>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Proposed Nautilus Business Combination and related Proposed Transactions</w:t>
      </w:r>
    </w:p>
    <w:p>
      <w:pPr>
        <w:spacing w:after="0" w:line="17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9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1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7"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w:t>
      </w:r>
    </w:p>
    <w:p>
      <w:pPr>
        <w:spacing w:after="0" w:line="1" w:lineRule="exact"/>
        <w:rPr>
          <w:sz w:val="20"/>
          <w:szCs w:val="20"/>
          <w:color w:val="auto"/>
        </w:rPr>
      </w:pPr>
    </w:p>
    <w:p>
      <w:pPr>
        <w:ind w:right="100" w:firstLine="8"/>
        <w:spacing w:after="0" w:line="273" w:lineRule="auto"/>
        <w:tabs>
          <w:tab w:leader="none" w:pos="26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1" w:name="page332"/>
    <w:bookmarkEnd w:id="331"/>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agreements related to the Nautilus Business Combination, including a restriction on transfers with respect to his, her or its shares in Nautilus prior to the closing of the Nautilus Business Combination</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copy of each of the above referenced agreements is filed as exhibits with a Current Report on Form 8-K, filed with the SEC on February 8, 2021.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 Company had approximately $1.0 million in its operating bank account and working capital of approximately $916,000.</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spacing w:after="0" w:line="138"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2" w:name="page333"/>
    <w:bookmarkEnd w:id="3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Growth Company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1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$1,926 in cash equivalents as of December 31, 2020 held in the Trust Account.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3" w:name="page334"/>
    <w:bookmarkEnd w:id="333"/>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$250,000, and investments held in Trust Account. At December 31, 2020, the Company has not experienced losses on these accounts and management believes the Company is not exposed to significant risks on such accounts.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Offering costs consisted of underwriters' commissions, legal, accounting, and other costs incurred that were directly related to the Initial Public Offering and that were charged to shareholders’ equity upon the completion of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4" w:name="page335"/>
    <w:bookmarkEnd w:id="33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 (Loss) Per Ordinary Share</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w:t>
      </w:r>
    </w:p>
    <w:p>
      <w:pPr>
        <w:spacing w:after="0" w:line="1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5" w:name="page336"/>
    <w:bookmarkEnd w:id="3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7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1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1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6" w:name="page337"/>
    <w:bookmarkEnd w:id="336"/>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&amp;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Underwriting Agreement</w:t>
      </w:r>
    </w:p>
    <w:p>
      <w:pPr>
        <w:spacing w:after="0" w:line="17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 </w:t>
      </w:r>
      <w:r>
        <w:rPr>
          <w:rFonts w:ascii="Arial" w:cs="Arial" w:eastAsia="Arial" w:hAnsi="Arial"/>
          <w:sz w:val="18"/>
          <w:szCs w:val="18"/>
          <w:color w:val="auto"/>
        </w:rPr>
        <w:t>The Company is authorized to issue 479,000,000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15,449,000 Class A common shares outstanding, including 14,023,673 Class A ordinary shares common stock subject to possible redemption that were classified as temporary equity in the accompanying balance sheet.</w:t>
      </w:r>
    </w:p>
    <w:p>
      <w:pPr>
        <w:spacing w:after="0" w:line="13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Class B Ordinary Shares — </w:t>
      </w:r>
      <w:r>
        <w:rPr>
          <w:rFonts w:ascii="Arial" w:cs="Arial" w:eastAsia="Arial" w:hAnsi="Arial"/>
          <w:sz w:val="18"/>
          <w:szCs w:val="18"/>
          <w:color w:val="auto"/>
        </w:rPr>
        <w:t>The Company is authorized to issue 20,000,000 Class B ordinary shares with a par value of $0.0001 per share. On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2020, the Company issued 3,593,750 Class B ordinary shares. On August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7" w:name="page338"/>
    <w:bookmarkEnd w:id="337"/>
    <w:p>
      <w:pPr>
        <w:spacing w:after="0" w:line="14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2020, there were no preference shares issued or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17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35"/>
        </w:trPr>
        <w:tc>
          <w:tcPr>
            <w:tcW w:w="6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149,552,952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March 27, 2020 (inception) through December 31, 2020.</w:t>
      </w:r>
    </w:p>
    <w:p>
      <w:pPr>
        <w:spacing w:after="0" w:line="116"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discussed in Note 1, on February 7, 2021, the Company entered into the Business Combination Agreement and a series of other agreements related to the Business Combination.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9" w:name="page340"/>
    <w:bookmarkEnd w:id="3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Nautilus Biotechnology, Inc.</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0" w:name="page341"/>
    <w:bookmarkEnd w:id="340"/>
    <w:p>
      <w:pPr>
        <w:spacing w:after="0" w:line="140" w:lineRule="exact"/>
        <w:rPr>
          <w:sz w:val="20"/>
          <w:szCs w:val="20"/>
          <w:color w:val="auto"/>
        </w:rPr>
      </w:pPr>
    </w:p>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1" w:name="page342"/>
    <w:bookmarkEnd w:id="34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Series Seed redeemable convertible preferred stock - par value $0.0001, 3,631,354 shares authorized, issued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and outstanding as of December 31, 2020 and 2019 (liquidation preference of $7,263 as of December 31,</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7"/>
              </w:rPr>
              <w:t>Series A redeemable convertible preferred stock - par value $0.0001, 4,640,604 and 4,640,608 shares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authorized as of December 31, 2020 and 2019, respectively, 4,640,604 shares issued and outstanding as of</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w w:val="97"/>
              </w:rPr>
              <w:t>December 31, 2020 and 2019 (liquidation preference of $27,200 as of December 31, 2020 and 2019)</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Series B redeemable convertible preferred stock - par value $0.0001, 6,209,233 and 0 shares authorized as of</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December 31, 2020 and 2019, respectively, 6,109,232 and 0 shares issued and outstanding as of December</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31, 2020 and 2019, respectively (liquidation preference of $76,060 and $0 as of December 31, 2020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Common stock, $0.0001 par value, 27,196,999 and 19,189,462 shares authorized as of December 31, 2020</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and 2019, respectively; 9,114,904 and 9,077,062 shares issued and outstanding as of December 31, 2020</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2" w:name="page343"/>
    <w:bookmarkEnd w:id="34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Operations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3" w:name="page344"/>
    <w:bookmarkEnd w:id="34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4" w:name="page345"/>
    <w:bookmarkEnd w:id="34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Redeemable Convertible Preferred Stock and Stockholders’ Deficit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rPr>
              <w:t>Redeemable Convertible Preferred Stock</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1960" w:type="dxa"/>
            <w:vAlign w:val="bottom"/>
          </w:tcPr>
          <w:p>
            <w:pPr>
              <w:spacing w:after="0"/>
              <w:rPr>
                <w:sz w:val="6"/>
                <w:szCs w:val="6"/>
                <w:color w:val="auto"/>
              </w:rPr>
            </w:pPr>
          </w:p>
        </w:tc>
        <w:tc>
          <w:tcPr>
            <w:tcW w:w="1340" w:type="dxa"/>
            <w:vAlign w:val="bottom"/>
            <w:gridSpan w:val="4"/>
            <w:vMerge w:val="restart"/>
          </w:tcPr>
          <w:p>
            <w:pPr>
              <w:jc w:val="right"/>
              <w:ind w:right="309"/>
              <w:spacing w:after="0"/>
              <w:rPr>
                <w:sz w:val="20"/>
                <w:szCs w:val="20"/>
                <w:color w:val="auto"/>
              </w:rPr>
            </w:pPr>
            <w:r>
              <w:rPr>
                <w:rFonts w:ascii="Arial" w:cs="Arial" w:eastAsia="Arial" w:hAnsi="Arial"/>
                <w:sz w:val="13"/>
                <w:szCs w:val="13"/>
                <w:b w:val="1"/>
                <w:bCs w:val="1"/>
                <w:color w:val="auto"/>
              </w:rPr>
              <w:t>Series Seed</w:t>
            </w:r>
          </w:p>
        </w:tc>
        <w:tc>
          <w:tcPr>
            <w:tcW w:w="80" w:type="dxa"/>
            <w:vAlign w:val="bottom"/>
            <w:vMerge w:val="restart"/>
          </w:tcPr>
          <w:p>
            <w:pPr>
              <w:spacing w:after="0"/>
              <w:rPr>
                <w:sz w:val="6"/>
                <w:szCs w:val="6"/>
                <w:color w:val="auto"/>
              </w:rPr>
            </w:pPr>
          </w:p>
        </w:tc>
        <w:tc>
          <w:tcPr>
            <w:tcW w:w="1360" w:type="dxa"/>
            <w:vAlign w:val="bottom"/>
            <w:gridSpan w:val="3"/>
            <w:vMerge w:val="restart"/>
          </w:tcPr>
          <w:p>
            <w:pPr>
              <w:jc w:val="right"/>
              <w:ind w:right="389"/>
              <w:spacing w:after="0"/>
              <w:rPr>
                <w:sz w:val="20"/>
                <w:szCs w:val="20"/>
                <w:color w:val="auto"/>
              </w:rPr>
            </w:pPr>
            <w:r>
              <w:rPr>
                <w:rFonts w:ascii="Arial" w:cs="Arial" w:eastAsia="Arial" w:hAnsi="Arial"/>
                <w:sz w:val="13"/>
                <w:szCs w:val="13"/>
                <w:b w:val="1"/>
                <w:bCs w:val="1"/>
                <w:color w:val="auto"/>
              </w:rPr>
              <w:t>Series A</w:t>
            </w:r>
          </w:p>
        </w:tc>
        <w:tc>
          <w:tcPr>
            <w:tcW w:w="80" w:type="dxa"/>
            <w:vAlign w:val="bottom"/>
            <w:vMerge w:val="restart"/>
          </w:tcPr>
          <w:p>
            <w:pPr>
              <w:spacing w:after="0"/>
              <w:rPr>
                <w:sz w:val="6"/>
                <w:szCs w:val="6"/>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6"/>
                <w:szCs w:val="6"/>
                <w:color w:val="auto"/>
              </w:rPr>
            </w:pPr>
          </w:p>
        </w:tc>
        <w:tc>
          <w:tcPr>
            <w:tcW w:w="920" w:type="dxa"/>
            <w:vAlign w:val="bottom"/>
            <w:gridSpan w:val="2"/>
            <w:vMerge w:val="restart"/>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2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1020" w:type="dxa"/>
            <w:vAlign w:val="bottom"/>
            <w:gridSpan w:val="3"/>
          </w:tcPr>
          <w:p>
            <w:pPr>
              <w:jc w:val="center"/>
              <w:ind w:right="60"/>
              <w:spacing w:after="0" w:line="95"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w w:val="88"/>
              </w:rPr>
              <w:t>(in thousands, except share amounts)</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Balances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77,062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2019</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9,077,062</w:t>
            </w:r>
          </w:p>
        </w:tc>
        <w:tc>
          <w:tcPr>
            <w:tcW w:w="80" w:type="dxa"/>
            <w:vAlign w:val="bottom"/>
          </w:tcPr>
          <w:p>
            <w:pPr>
              <w:spacing w:after="0"/>
              <w:rPr>
                <w:sz w:val="17"/>
                <w:szCs w:val="17"/>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(14,706)</w:t>
            </w:r>
          </w:p>
        </w:tc>
        <w:tc>
          <w:tcPr>
            <w:tcW w:w="8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41"/>
        </w:trPr>
        <w:tc>
          <w:tcPr>
            <w:tcW w:w="19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37,842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3"/>
              </w:rPr>
              <w:t>Issuance of Series B redeemable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5" w:name="page346"/>
    <w:bookmarkEnd w:id="34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gain on investments,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other cash flow information: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46" w:name="page347"/>
    <w:bookmarkEnd w:id="34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financial statements and accompanying notes were prepared in accordance with accounting principles generally accepted in the United States of America (“U.S. GAAP”). The Company’s reporting currency is the U.S. dollar.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347" w:name="page348"/>
    <w:bookmarkEnd w:id="34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10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9" w:name="page350"/>
    <w:bookmarkEnd w:id="349"/>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11" w:lineRule="exact"/>
        <w:rPr>
          <w:sz w:val="20"/>
          <w:szCs w:val="20"/>
          <w:color w:val="auto"/>
        </w:rPr>
      </w:pPr>
    </w:p>
    <w:p>
      <w:pPr>
        <w:ind w:right="660"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71" w:lineRule="exact"/>
        <w:rPr>
          <w:sz w:val="20"/>
          <w:szCs w:val="20"/>
          <w:color w:val="auto"/>
        </w:rPr>
      </w:pPr>
    </w:p>
    <w:p>
      <w:pPr>
        <w:ind w:left="660" w:right="140" w:hanging="647"/>
        <w:spacing w:after="0" w:line="342" w:lineRule="auto"/>
        <w:rPr>
          <w:sz w:val="20"/>
          <w:szCs w:val="20"/>
          <w:color w:val="auto"/>
        </w:rPr>
      </w:pPr>
      <w:r>
        <w:rPr>
          <w:rFonts w:ascii="Arial" w:cs="Arial" w:eastAsia="Arial" w:hAnsi="Arial"/>
          <w:sz w:val="16"/>
          <w:szCs w:val="16"/>
          <w:color w:val="auto"/>
        </w:rPr>
        <w:t>Level 2 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Level 3 Inputs are unobservable inputs based on the Company’s assumptions and valuation techniques used to measure assets and liabilities at fair value.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inputs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1" w:name="page352"/>
    <w:bookmarkEnd w:id="351"/>
    <w:p>
      <w:pPr>
        <w:spacing w:after="0" w:line="14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recorded amounts of certain financial instruments, including cash and cash equivalents, prepaid expenses and other assets accounts, accounts payable, and accrued expenses and other liabilities approximate fair value due to their relatively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2" w:name="page353"/>
    <w:bookmarkEnd w:id="352"/>
    <w:p>
      <w:pPr>
        <w:spacing w:after="0" w:line="14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spacing w:after="0" w:line="13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ASU amends the disclosure requirement in ASC 820, Fair Value Measurement, by adding, changing, or</w:t>
      </w:r>
      <w:r>
        <w:rPr>
          <w:rFonts w:ascii="Arial" w:cs="Arial" w:eastAsia="Arial" w:hAnsi="Arial"/>
          <w:sz w:val="16"/>
          <w:szCs w:val="16"/>
          <w:i w:val="1"/>
          <w:iCs w:val="1"/>
          <w:color w:val="auto"/>
        </w:rPr>
        <w:t xml:space="preserve"> </w:t>
      </w:r>
      <w:r>
        <w:rPr>
          <w:rFonts w:ascii="Arial" w:cs="Arial" w:eastAsia="Arial" w:hAnsi="Arial"/>
          <w:sz w:val="16"/>
          <w:szCs w:val="16"/>
          <w:color w:val="auto"/>
        </w:rPr>
        <w:t>removing certain 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spacing w:after="0" w:line="1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2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related disclosures and does not anticipate adoption to have a material impact on its financial statements.</w:t>
      </w:r>
    </w:p>
    <w:p>
      <w:pPr>
        <w:spacing w:after="0" w:line="167"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46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2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0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6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6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167" w:lineRule="exact"/>
        <w:rPr>
          <w:sz w:val="20"/>
          <w:szCs w:val="20"/>
          <w:color w:val="auto"/>
        </w:rPr>
      </w:pPr>
    </w:p>
    <w:p>
      <w:pPr>
        <w:ind w:right="6320" w:firstLine="8"/>
        <w:spacing w:after="0" w:line="440" w:lineRule="auto"/>
        <w:tabs>
          <w:tab w:leader="none" w:pos="648"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recorded $0.7 million and $0.5 million of depreciation expense for the year ended December 31, 2020 and 2019,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88"/>
              </w:rPr>
              <w:t>Deposits</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tax</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0" w:type="dxa"/>
            <w:vAlign w:val="bottom"/>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w w:val="94"/>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4,640,604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Series B</w:t>
            </w:r>
          </w:p>
        </w:tc>
        <w:tc>
          <w:tcPr>
            <w:tcW w:w="36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14,481,191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14,381,190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110,523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w w:val="98"/>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tcBorders>
              <w:bottom w:val="single" w:sz="8" w:color="CCEEFF"/>
            </w:tcBorders>
            <w:gridSpan w:val="3"/>
          </w:tcPr>
          <w:p>
            <w:pPr>
              <w:jc w:val="right"/>
              <w:ind w:right="4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5.86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5" w:name="page356"/>
    <w:bookmarkEnd w:id="35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6" w:name="page357"/>
    <w:bookmarkEnd w:id="356"/>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w:t>
      </w:r>
    </w:p>
    <w:p>
      <w:pPr>
        <w:ind w:right="120" w:firstLine="8"/>
        <w:spacing w:after="0" w:line="253" w:lineRule="auto"/>
        <w:tabs>
          <w:tab w:leader="none" w:pos="21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3"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6"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right="380" w:firstLine="324"/>
        <w:spacing w:after="0" w:line="301" w:lineRule="auto"/>
        <w:rPr>
          <w:sz w:val="20"/>
          <w:szCs w:val="20"/>
          <w:color w:val="auto"/>
        </w:rPr>
      </w:pPr>
      <w:r>
        <w:rPr>
          <w:rFonts w:ascii="Arial" w:cs="Arial" w:eastAsia="Arial" w:hAnsi="Arial"/>
          <w:sz w:val="16"/>
          <w:szCs w:val="16"/>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spacing w:after="0" w:line="103"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warrants as of December 31, 2020 and 2019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 2020 and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2"/>
          </w:tcPr>
          <w:p>
            <w:pPr>
              <w:ind w:left="34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465,788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9,212,396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2020, the Company had federal net operating loss carryforwards of $0.5 million that begin to expire in 2037 and federal net operating loss carryforwards of $13.1 million that arose after the 2017 tax year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will carryforward indefinitely. The Company has state net operating loss carryforwards of $7.7 million that will begin to expire in 2037.</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the liability for uncertain tax positions, excluding potential interest and penalties,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06"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w:t>
      </w:r>
    </w:p>
    <w:p>
      <w:pPr>
        <w:spacing w:after="0" w:line="138"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tcPr>
          <w:p>
            <w:pPr>
              <w:jc w:val="right"/>
              <w:ind w:right="45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5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91.0% - 96.5%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86.7% - 101.1%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0.3% - 1.4%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 - 2.6%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 $16.21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 $1.66</w:t>
            </w: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13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for the year ended December 31,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295,500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457,150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1,018,950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1,418,267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34,562,932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3"/>
              </w:rPr>
              <w:t>Options vested and expected to vest as of December 31, 2020</w:t>
            </w:r>
          </w:p>
        </w:tc>
        <w:tc>
          <w:tcPr>
            <w:tcW w:w="156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1,418,267</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The total intrinsic value of options exercised during the year ended December 31, 2020 and 2019 was $0.1 million. Aggregate intrinsic value represents the difference between the fair market value of the common stock and the exercise price of outstanding, in-the-money options.</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and December 31, 2019 was $8.30 and $1.23 per share, respectively.</w:t>
      </w:r>
    </w:p>
    <w:p>
      <w:pPr>
        <w:spacing w:after="0" w:line="11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2020, there was $8.4 million of total unrecognized compensation expense expected to be recognized over a weighted average-period of 3.9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with respect to restricted stock for the year ended December 31, 2020 and 2019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statement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spacing w:after="0" w:line="9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spacing w:after="0" w:line="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4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year ended December 31, 2020, cash paid for amounts included in the measurement of lease liabilities included in cash flows used in operating activities was $2.0 million.</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December 31, 2020, the weighted-average remaining lease term and weighted-average discount rate for operating leases is 2.7 years and 8.0%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r>
      <w:tr>
        <w:trPr>
          <w:trHeight w:val="21"/>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2019, prior to the adoption of the new lease accounting guidance, the Company’s future principal contractual obligations for operating lease commitments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San Carlos lease agreement, the Company issued a cash-collateralized letter of credit in lieu of security deposit of $0.6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0"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15,973,988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evaluated subsequent events through March 26, 2021, the date on which the financial statements were available to be issued.</w:t>
      </w:r>
    </w:p>
    <w:p>
      <w:pPr>
        <w:spacing w:after="0" w:line="194"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w:t>
      </w:r>
    </w:p>
    <w:p>
      <w:pPr>
        <w:spacing w:after="0" w:line="9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ANNEXES</w:t>
      </w:r>
    </w:p>
    <w:p>
      <w:pPr>
        <w:spacing w:after="0" w:line="216" w:lineRule="exact"/>
        <w:rPr>
          <w:sz w:val="20"/>
          <w:szCs w:val="20"/>
          <w:color w:val="auto"/>
        </w:rPr>
      </w:pPr>
    </w:p>
    <w:p>
      <w:pPr>
        <w:spacing w:after="0"/>
        <w:rPr>
          <w:rFonts w:ascii="Arial" w:cs="Arial" w:eastAsia="Arial" w:hAnsi="Arial"/>
          <w:sz w:val="18"/>
          <w:szCs w:val="18"/>
          <w:u w:val="single" w:color="auto"/>
          <w:color w:val="0000FF"/>
        </w:rPr>
      </w:pPr>
      <w:hyperlink w:anchor="page365">
        <w:r>
          <w:rPr>
            <w:rFonts w:ascii="Arial" w:cs="Arial" w:eastAsia="Arial" w:hAnsi="Arial"/>
            <w:sz w:val="18"/>
            <w:szCs w:val="18"/>
            <w:u w:val="single" w:color="auto"/>
            <w:color w:val="0000FF"/>
          </w:rPr>
          <w:t>Annex A: Business Combination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450">
        <w:r>
          <w:rPr>
            <w:rFonts w:ascii="Arial" w:cs="Arial" w:eastAsia="Arial" w:hAnsi="Arial"/>
            <w:sz w:val="16"/>
            <w:szCs w:val="16"/>
            <w:u w:val="single" w:color="auto"/>
            <w:color w:val="0000FF"/>
          </w:rPr>
          <w:t>Annex B: Amended and Restated Memorandum and Articles of Association of ARYA</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504">
        <w:r>
          <w:rPr>
            <w:rFonts w:ascii="Arial" w:cs="Arial" w:eastAsia="Arial" w:hAnsi="Arial"/>
            <w:sz w:val="18"/>
            <w:szCs w:val="18"/>
            <w:u w:val="single" w:color="auto"/>
            <w:color w:val="0000FF"/>
          </w:rPr>
          <w:t>Annex C: Proposed Certificate of Incorporation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09">
        <w:r>
          <w:rPr>
            <w:rFonts w:ascii="Arial" w:cs="Arial" w:eastAsia="Arial" w:hAnsi="Arial"/>
            <w:sz w:val="18"/>
            <w:szCs w:val="18"/>
            <w:u w:val="single" w:color="auto"/>
            <w:color w:val="0000FF"/>
          </w:rPr>
          <w:t>Annex D: Proposed Bylaws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33">
        <w:r>
          <w:rPr>
            <w:rFonts w:ascii="Arial" w:cs="Arial" w:eastAsia="Arial" w:hAnsi="Arial"/>
            <w:sz w:val="18"/>
            <w:szCs w:val="18"/>
            <w:u w:val="single" w:color="auto"/>
            <w:color w:val="0000FF"/>
          </w:rPr>
          <w:t>Annex E: Sponsor Letter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47">
        <w:r>
          <w:rPr>
            <w:rFonts w:ascii="Arial" w:cs="Arial" w:eastAsia="Arial" w:hAnsi="Arial"/>
            <w:sz w:val="18"/>
            <w:szCs w:val="18"/>
            <w:u w:val="single" w:color="auto"/>
            <w:color w:val="0000FF"/>
          </w:rPr>
          <w:t>Annex F: Form of Subscription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564">
        <w:r>
          <w:rPr>
            <w:rFonts w:ascii="Arial" w:cs="Arial" w:eastAsia="Arial" w:hAnsi="Arial"/>
            <w:sz w:val="16"/>
            <w:szCs w:val="16"/>
            <w:u w:val="single" w:color="auto"/>
            <w:color w:val="0000FF"/>
          </w:rPr>
          <w:t>Annex G: Form of Amended and Restated Registration Rights and Lock-Up Agreement</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603">
        <w:r>
          <w:rPr>
            <w:rFonts w:ascii="Arial" w:cs="Arial" w:eastAsia="Arial" w:hAnsi="Arial"/>
            <w:sz w:val="18"/>
            <w:szCs w:val="18"/>
            <w:u w:val="single" w:color="auto"/>
            <w:color w:val="0000FF"/>
          </w:rPr>
          <w:t>Annex H: Nautilus Shareholder Transaction Support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15">
        <w:r>
          <w:rPr>
            <w:rFonts w:ascii="Arial" w:cs="Arial" w:eastAsia="Arial" w:hAnsi="Arial"/>
            <w:sz w:val="18"/>
            <w:szCs w:val="18"/>
            <w:u w:val="single" w:color="auto"/>
            <w:color w:val="0000FF"/>
          </w:rPr>
          <w:t>Annex I: Form of Nautilus Biotechnology, Inc. 2021 Equity Incentive Plan</w:t>
        </w:r>
      </w:hyperlink>
    </w:p>
    <w:p>
      <w:pPr>
        <w:spacing w:after="0" w:line="23" w:lineRule="exact"/>
        <w:rPr>
          <w:sz w:val="20"/>
          <w:szCs w:val="20"/>
          <w:color w:val="auto"/>
        </w:rPr>
      </w:pPr>
    </w:p>
    <w:p>
      <w:pPr>
        <w:spacing w:after="0"/>
        <w:rPr>
          <w:rFonts w:ascii="Arial" w:cs="Arial" w:eastAsia="Arial" w:hAnsi="Arial"/>
          <w:sz w:val="17"/>
          <w:szCs w:val="17"/>
          <w:u w:val="single" w:color="auto"/>
          <w:color w:val="0000FF"/>
        </w:rPr>
      </w:pPr>
      <w:hyperlink w:anchor="page631">
        <w:r>
          <w:rPr>
            <w:rFonts w:ascii="Arial" w:cs="Arial" w:eastAsia="Arial" w:hAnsi="Arial"/>
            <w:sz w:val="17"/>
            <w:szCs w:val="17"/>
            <w:u w:val="single" w:color="auto"/>
            <w:color w:val="0000FF"/>
          </w:rPr>
          <w:t>Annex J: Form of Nautilus Biotechnology, Inc. 2021 Employee Stock Purchase Plan</w:t>
        </w:r>
      </w:hyperlink>
    </w:p>
    <w:p>
      <w:pPr>
        <w:spacing w:after="0" w:line="34" w:lineRule="exact"/>
        <w:rPr>
          <w:sz w:val="20"/>
          <w:szCs w:val="20"/>
          <w:color w:val="auto"/>
        </w:rPr>
      </w:pPr>
    </w:p>
    <w:p>
      <w:pPr>
        <w:spacing w:after="0"/>
        <w:rPr>
          <w:rFonts w:ascii="Arial" w:cs="Arial" w:eastAsia="Arial" w:hAnsi="Arial"/>
          <w:sz w:val="18"/>
          <w:szCs w:val="18"/>
          <w:u w:val="single" w:color="auto"/>
          <w:color w:val="0000FF"/>
        </w:rPr>
      </w:pPr>
      <w:hyperlink w:anchor="page649">
        <w:r>
          <w:rPr>
            <w:rFonts w:ascii="Arial" w:cs="Arial" w:eastAsia="Arial" w:hAnsi="Arial"/>
            <w:sz w:val="18"/>
            <w:szCs w:val="18"/>
            <w:u w:val="single" w:color="auto"/>
            <w:color w:val="0000FF"/>
          </w:rPr>
          <w:t>Annex K: Form of Proxy for the Extraordinary General Meeting</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BUSINESS COMBINATION AGREEMENT</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MAKO MERGER SUB, INC.</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366" w:name="page367"/>
    <w:bookmarkEnd w:id="366"/>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740" w:type="dxa"/>
            <w:vAlign w:val="bottom"/>
            <w:gridSpan w:val="3"/>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1 CERTAIN DEFINITIONS</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40" w:type="dxa"/>
            <w:vAlign w:val="bottom"/>
            <w:gridSpan w:val="4"/>
            <w:vMerge w:val="continue"/>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6"/>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1.1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59"/>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2 MERGER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18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Closing Transactions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color w:val="auto"/>
              </w:rPr>
              <w:t>Closing of the Transactions Contemplated by this Agreement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color w:val="auto"/>
              </w:rPr>
              <w:t>Allocation Schedule; Aggregate Transaction Proceeds Schedule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color w:val="auto"/>
              </w:rPr>
              <w:t>Treatment of Company Options and Company Warrants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Company Shareholder Deliverables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Withholding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Company Dissenting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3 REPRESENTATIONS AND WARRANTIES RELATING TO THE GROUP COMPANIES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color w:val="auto"/>
              </w:rPr>
              <w:t>Capitalization of the Group Companies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3.3</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color w:val="auto"/>
              </w:rPr>
              <w:t>Financial Statements; Undisclosed 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color w:val="auto"/>
              </w:rPr>
              <w:t>Consents and Requisite Governmental Approvals; No Violations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Permits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3.7</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Material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color w:val="auto"/>
              </w:rPr>
              <w:t>Absence of Changes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3.9</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color w:val="auto"/>
              </w:rPr>
              <w:t>Compliance with Applicable Law</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3.11</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Employee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Environmental Matters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3.14</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Labor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3.15</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3.16</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3.17</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Brokers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color w:val="auto"/>
              </w:rPr>
              <w:t>Real and Personal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color w:val="auto"/>
              </w:rPr>
              <w:t>Transactions with Affiliates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color w:val="auto"/>
              </w:rPr>
              <w:t>Data Privacy and Security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color w:val="auto"/>
              </w:rPr>
              <w:t>Compliance with International Trade &amp; Anti-Corruption Laws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Information Supplied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Regulatory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color w:val="auto"/>
              </w:rPr>
              <w:t>Investigation; No Other Representations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color w:val="auto"/>
              </w:rPr>
              <w:t>EXCLUSIVITY OF REPRESENTATIONS AND 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4 REPRESENTATIONS AND WARRANTIES RELATING TO THE ARYA PARTIES</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39</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4.2</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367" w:name="page368"/>
    <w:bookmarkEnd w:id="36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color w:val="auto"/>
              </w:rPr>
              <w:t>Consents and Requisite Governmental Approvals; No Violations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4.4</w:t>
            </w:r>
          </w:p>
        </w:tc>
        <w:tc>
          <w:tcPr>
            <w:tcW w:w="7060" w:type="dxa"/>
            <w:vAlign w:val="bottom"/>
          </w:tcPr>
          <w:p>
            <w:pPr>
              <w:ind w:left="40"/>
              <w:spacing w:after="0"/>
              <w:rPr>
                <w:sz w:val="20"/>
                <w:szCs w:val="20"/>
                <w:color w:val="auto"/>
              </w:rPr>
            </w:pPr>
            <w:r>
              <w:rPr>
                <w:rFonts w:ascii="Arial" w:cs="Arial" w:eastAsia="Arial" w:hAnsi="Arial"/>
                <w:sz w:val="18"/>
                <w:szCs w:val="18"/>
                <w:color w:val="auto"/>
              </w:rPr>
              <w:t>Brokers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4.5</w:t>
            </w:r>
          </w:p>
        </w:tc>
        <w:tc>
          <w:tcPr>
            <w:tcW w:w="70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color w:val="auto"/>
              </w:rPr>
              <w:t>Capitalization of the ARYA Parties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4.7</w:t>
            </w:r>
          </w:p>
        </w:tc>
        <w:tc>
          <w:tcPr>
            <w:tcW w:w="7060" w:type="dxa"/>
            <w:vAlign w:val="bottom"/>
          </w:tcPr>
          <w:p>
            <w:pPr>
              <w:ind w:left="40"/>
              <w:spacing w:after="0"/>
              <w:rPr>
                <w:sz w:val="20"/>
                <w:szCs w:val="20"/>
                <w:color w:val="auto"/>
              </w:rPr>
            </w:pPr>
            <w:r>
              <w:rPr>
                <w:rFonts w:ascii="Arial" w:cs="Arial" w:eastAsia="Arial" w:hAnsi="Arial"/>
                <w:sz w:val="18"/>
                <w:szCs w:val="18"/>
                <w:color w:val="auto"/>
              </w:rPr>
              <w:t>SEC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color w:val="auto"/>
              </w:rPr>
              <w:t>Absence of Changes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color w:val="auto"/>
              </w:rPr>
              <w:t>Contracts; No Defaults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color w:val="auto"/>
              </w:rPr>
              <w:t>Investment Company Act</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color w:val="auto"/>
              </w:rPr>
              <w:t>Trust Account; Financial 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color w:val="auto"/>
              </w:rPr>
              <w:t>Transactions with Affiliates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4.13</w:t>
            </w:r>
          </w:p>
        </w:tc>
        <w:tc>
          <w:tcPr>
            <w:tcW w:w="70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color w:val="auto"/>
              </w:rPr>
              <w:t>Compliance with Applicable Law</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4.15</w:t>
            </w:r>
          </w:p>
        </w:tc>
        <w:tc>
          <w:tcPr>
            <w:tcW w:w="7060" w:type="dxa"/>
            <w:vAlign w:val="bottom"/>
          </w:tcPr>
          <w:p>
            <w:pPr>
              <w:ind w:left="120"/>
              <w:spacing w:after="0"/>
              <w:rPr>
                <w:sz w:val="20"/>
                <w:szCs w:val="20"/>
                <w:color w:val="auto"/>
              </w:rPr>
            </w:pPr>
            <w:r>
              <w:rPr>
                <w:rFonts w:ascii="Arial" w:cs="Arial" w:eastAsia="Arial" w:hAnsi="Arial"/>
                <w:sz w:val="18"/>
                <w:szCs w:val="18"/>
                <w:color w:val="auto"/>
              </w:rPr>
              <w:t>ARYA Party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color w:val="auto"/>
              </w:rPr>
              <w:t>Internal Controls; Listing;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color w:val="auto"/>
              </w:rPr>
              <w:t>No Undisclosed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4.18</w:t>
            </w:r>
          </w:p>
        </w:tc>
        <w:tc>
          <w:tcPr>
            <w:tcW w:w="706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4.19</w:t>
            </w:r>
          </w:p>
        </w:tc>
        <w:tc>
          <w:tcPr>
            <w:tcW w:w="706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color w:val="auto"/>
              </w:rPr>
              <w:t>CFIUS Foreign Person Status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color w:val="auto"/>
              </w:rPr>
              <w:t>Compliance with International Trade &amp; Anti-Corruption Laws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Change of Control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4.23</w:t>
            </w:r>
          </w:p>
        </w:tc>
        <w:tc>
          <w:tcPr>
            <w:tcW w:w="7060" w:type="dxa"/>
            <w:vAlign w:val="bottom"/>
          </w:tcPr>
          <w:p>
            <w:pPr>
              <w:ind w:left="140"/>
              <w:spacing w:after="0"/>
              <w:rPr>
                <w:sz w:val="20"/>
                <w:szCs w:val="20"/>
                <w:color w:val="auto"/>
              </w:rPr>
            </w:pPr>
            <w:r>
              <w:rPr>
                <w:rFonts w:ascii="Arial" w:cs="Arial" w:eastAsia="Arial" w:hAnsi="Arial"/>
                <w:sz w:val="18"/>
                <w:szCs w:val="18"/>
                <w:color w:val="auto"/>
              </w:rPr>
              <w:t>PIPE 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4.24  </w:t>
            </w:r>
            <w:r>
              <w:rPr>
                <w:rFonts w:ascii="Arial" w:cs="Arial" w:eastAsia="Arial" w:hAnsi="Arial"/>
                <w:sz w:val="18"/>
                <w:szCs w:val="18"/>
                <w:color w:val="auto"/>
              </w:rPr>
              <w:t>Investigation; No Other Representations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color w:val="auto"/>
              </w:rPr>
              <w:t>EXCLUSIVITY OF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86"/>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color w:val="auto"/>
              </w:rPr>
              <w:t>Conduct of Business of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color w:val="auto"/>
              </w:rPr>
              <w:t>Efforts to Consummate; Transaction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color w:val="auto"/>
              </w:rPr>
              <w:t>Confidentiality and Access to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5.4</w:t>
            </w:r>
          </w:p>
        </w:tc>
        <w:tc>
          <w:tcPr>
            <w:tcW w:w="706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5.5</w:t>
            </w:r>
          </w:p>
        </w:tc>
        <w:tc>
          <w:tcPr>
            <w:tcW w:w="70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color w:val="auto"/>
              </w:rPr>
              <w:t>Company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color w:val="auto"/>
              </w:rPr>
              <w:t>ARYA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color w:val="auto"/>
              </w:rPr>
              <w:t>Preparation of Registration Statement / Proxy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color w:val="auto"/>
              </w:rPr>
              <w:t>ARYA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color w:val="auto"/>
              </w:rPr>
              <w:t>Merger Sub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color w:val="auto"/>
              </w:rPr>
              <w:t>Conduct of Business of ARYA</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color w:val="auto"/>
              </w:rPr>
              <w:t>Nasdaq Listing; ARYA Public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5.13</w:t>
            </w:r>
          </w:p>
        </w:tc>
        <w:tc>
          <w:tcPr>
            <w:tcW w:w="7060" w:type="dxa"/>
            <w:vAlign w:val="bottom"/>
          </w:tcPr>
          <w:p>
            <w:pPr>
              <w:ind w:left="140"/>
              <w:spacing w:after="0"/>
              <w:rPr>
                <w:sz w:val="20"/>
                <w:szCs w:val="20"/>
                <w:color w:val="auto"/>
              </w:rPr>
            </w:pPr>
            <w:r>
              <w:rPr>
                <w:rFonts w:ascii="Arial" w:cs="Arial" w:eastAsia="Arial" w:hAnsi="Arial"/>
                <w:sz w:val="18"/>
                <w:szCs w:val="18"/>
                <w:color w:val="auto"/>
              </w:rPr>
              <w:t>Trust Account</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color w:val="auto"/>
              </w:rPr>
              <w:t>Company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5.15</w:t>
            </w:r>
          </w:p>
        </w:tc>
        <w:tc>
          <w:tcPr>
            <w:tcW w:w="7060" w:type="dxa"/>
            <w:vAlign w:val="bottom"/>
          </w:tcPr>
          <w:p>
            <w:pPr>
              <w:ind w:left="140"/>
              <w:spacing w:after="0"/>
              <w:rPr>
                <w:sz w:val="20"/>
                <w:szCs w:val="20"/>
                <w:color w:val="auto"/>
              </w:rPr>
            </w:pPr>
            <w:r>
              <w:rPr>
                <w:rFonts w:ascii="Arial" w:cs="Arial" w:eastAsia="Arial" w:hAnsi="Arial"/>
                <w:sz w:val="18"/>
                <w:szCs w:val="18"/>
                <w:color w:val="auto"/>
              </w:rPr>
              <w:t>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color w:val="auto"/>
              </w:rPr>
              <w:t>ARYA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color w:val="auto"/>
              </w:rPr>
              <w:t>Company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color w:val="auto"/>
              </w:rPr>
              <w:t>Post-Closing Directors and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5.19</w:t>
            </w:r>
          </w:p>
        </w:tc>
        <w:tc>
          <w:tcPr>
            <w:tcW w:w="7060" w:type="dxa"/>
            <w:vAlign w:val="bottom"/>
          </w:tcPr>
          <w:p>
            <w:pPr>
              <w:ind w:left="140"/>
              <w:spacing w:after="0"/>
              <w:rPr>
                <w:sz w:val="20"/>
                <w:szCs w:val="20"/>
                <w:color w:val="auto"/>
              </w:rPr>
            </w:pPr>
            <w:r>
              <w:rPr>
                <w:rFonts w:ascii="Arial" w:cs="Arial" w:eastAsia="Arial" w:hAnsi="Arial"/>
                <w:sz w:val="18"/>
                <w:szCs w:val="18"/>
                <w:color w:val="auto"/>
              </w:rPr>
              <w:t>PCAOB Financials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5.20  </w:t>
            </w:r>
            <w:r>
              <w:rPr>
                <w:rFonts w:ascii="Arial" w:cs="Arial" w:eastAsia="Arial" w:hAnsi="Arial"/>
                <w:sz w:val="18"/>
                <w:szCs w:val="18"/>
                <w:color w:val="auto"/>
              </w:rPr>
              <w:t>ARYA Incentive Equity Plan; ARYA Employee Stock Purchase Plan</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ectPr>
          <w:pgSz w:w="11900" w:h="16838" w:orient="portrait"/>
          <w:cols w:equalWidth="0" w:num="1">
            <w:col w:w="10920"/>
          </w:cols>
          <w:pgMar w:left="34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type w:val="continuous"/>
        </w:sectPr>
      </w:pPr>
    </w:p>
    <w:bookmarkStart w:id="368" w:name="page369"/>
    <w:bookmarkEnd w:id="368"/>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5.21</w:t>
            </w:r>
          </w:p>
        </w:tc>
        <w:tc>
          <w:tcPr>
            <w:tcW w:w="8580" w:type="dxa"/>
            <w:vAlign w:val="bottom"/>
          </w:tcPr>
          <w:p>
            <w:pPr>
              <w:ind w:left="140"/>
              <w:spacing w:after="0"/>
              <w:rPr>
                <w:sz w:val="20"/>
                <w:szCs w:val="20"/>
                <w:color w:val="auto"/>
              </w:rPr>
            </w:pPr>
            <w:r>
              <w:rPr>
                <w:rFonts w:ascii="Arial" w:cs="Arial" w:eastAsia="Arial" w:hAnsi="Arial"/>
                <w:sz w:val="18"/>
                <w:szCs w:val="18"/>
                <w:color w:val="auto"/>
              </w:rPr>
              <w:t>FIRPTA Certificates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5.22  </w:t>
            </w:r>
            <w:r>
              <w:rPr>
                <w:rFonts w:ascii="Arial" w:cs="Arial" w:eastAsia="Arial" w:hAnsi="Arial"/>
                <w:sz w:val="18"/>
                <w:szCs w:val="18"/>
                <w:color w:val="auto"/>
              </w:rPr>
              <w:t>Employee Benefits Matters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5.23</w:t>
            </w:r>
          </w:p>
        </w:tc>
        <w:tc>
          <w:tcPr>
            <w:tcW w:w="8580" w:type="dxa"/>
            <w:vAlign w:val="bottom"/>
          </w:tcPr>
          <w:p>
            <w:pPr>
              <w:ind w:left="140"/>
              <w:spacing w:after="0"/>
              <w:rPr>
                <w:sz w:val="20"/>
                <w:szCs w:val="20"/>
                <w:color w:val="auto"/>
              </w:rPr>
            </w:pPr>
            <w:r>
              <w:rPr>
                <w:rFonts w:ascii="Arial" w:cs="Arial" w:eastAsia="Arial" w:hAnsi="Arial"/>
                <w:sz w:val="18"/>
                <w:szCs w:val="18"/>
                <w:color w:val="auto"/>
              </w:rPr>
              <w:t>Bylaws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6 CONDITIONS TO CONSUMMATION OF THE TRANSACTIONS CONTEMPLATED BY THIS AGREEMENT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color w:val="auto"/>
              </w:rPr>
              <w:t>Conditions to the Obligations of the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color w:val="auto"/>
              </w:rPr>
              <w:t>Other Conditions to the Obligations of the ARYA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color w:val="auto"/>
              </w:rPr>
              <w:t>Other Conditions to the Obligations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color w:val="auto"/>
              </w:rPr>
              <w:t>Frustration of Closing Conditions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7.1</w:t>
            </w:r>
          </w:p>
        </w:tc>
        <w:tc>
          <w:tcPr>
            <w:tcW w:w="85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color w:val="auto"/>
              </w:rPr>
              <w:t>Effect of 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8.1</w:t>
            </w:r>
          </w:p>
        </w:tc>
        <w:tc>
          <w:tcPr>
            <w:tcW w:w="8580" w:type="dxa"/>
            <w:vAlign w:val="bottom"/>
          </w:tcPr>
          <w:p>
            <w:pPr>
              <w:ind w:left="40"/>
              <w:spacing w:after="0"/>
              <w:rPr>
                <w:sz w:val="20"/>
                <w:szCs w:val="20"/>
                <w:color w:val="auto"/>
              </w:rPr>
            </w:pPr>
            <w:r>
              <w:rPr>
                <w:rFonts w:ascii="Arial" w:cs="Arial" w:eastAsia="Arial" w:hAnsi="Arial"/>
                <w:sz w:val="18"/>
                <w:szCs w:val="18"/>
                <w:color w:val="auto"/>
              </w:rPr>
              <w:t>Non-Survival</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color w:val="auto"/>
              </w:rPr>
              <w:t>Entire Agreement; Assignment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8.3</w:t>
            </w:r>
          </w:p>
        </w:tc>
        <w:tc>
          <w:tcPr>
            <w:tcW w:w="8580" w:type="dxa"/>
            <w:vAlign w:val="bottom"/>
          </w:tcPr>
          <w:p>
            <w:pPr>
              <w:ind w:left="40"/>
              <w:spacing w:after="0"/>
              <w:rPr>
                <w:sz w:val="20"/>
                <w:szCs w:val="20"/>
                <w:color w:val="auto"/>
              </w:rPr>
            </w:pPr>
            <w:r>
              <w:rPr>
                <w:rFonts w:ascii="Arial" w:cs="Arial" w:eastAsia="Arial" w:hAnsi="Arial"/>
                <w:sz w:val="18"/>
                <w:szCs w:val="18"/>
                <w:color w:val="auto"/>
              </w:rPr>
              <w:t>Amendment</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8.4</w:t>
            </w:r>
          </w:p>
        </w:tc>
        <w:tc>
          <w:tcPr>
            <w:tcW w:w="8580" w:type="dxa"/>
            <w:vAlign w:val="bottom"/>
          </w:tcPr>
          <w:p>
            <w:pPr>
              <w:ind w:left="40"/>
              <w:spacing w:after="0"/>
              <w:rPr>
                <w:sz w:val="20"/>
                <w:szCs w:val="20"/>
                <w:color w:val="auto"/>
              </w:rPr>
            </w:pPr>
            <w:r>
              <w:rPr>
                <w:rFonts w:ascii="Arial" w:cs="Arial" w:eastAsia="Arial" w:hAnsi="Arial"/>
                <w:sz w:val="18"/>
                <w:szCs w:val="18"/>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8.5</w:t>
            </w:r>
          </w:p>
        </w:tc>
        <w:tc>
          <w:tcPr>
            <w:tcW w:w="85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color w:val="auto"/>
              </w:rPr>
              <w:t>Fees and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8.7</w:t>
            </w:r>
          </w:p>
        </w:tc>
        <w:tc>
          <w:tcPr>
            <w:tcW w:w="8580" w:type="dxa"/>
            <w:vAlign w:val="bottom"/>
          </w:tcPr>
          <w:p>
            <w:pPr>
              <w:ind w:left="40"/>
              <w:spacing w:after="0"/>
              <w:rPr>
                <w:sz w:val="20"/>
                <w:szCs w:val="20"/>
                <w:color w:val="auto"/>
              </w:rPr>
            </w:pPr>
            <w:r>
              <w:rPr>
                <w:rFonts w:ascii="Arial" w:cs="Arial" w:eastAsia="Arial" w:hAnsi="Arial"/>
                <w:sz w:val="18"/>
                <w:szCs w:val="18"/>
                <w:color w:val="auto"/>
              </w:rPr>
              <w:t>Construction; Interpretation</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8.8  </w:t>
            </w:r>
            <w:r>
              <w:rPr>
                <w:rFonts w:ascii="Arial" w:cs="Arial" w:eastAsia="Arial" w:hAnsi="Arial"/>
                <w:sz w:val="18"/>
                <w:szCs w:val="18"/>
                <w:color w:val="auto"/>
              </w:rPr>
              <w:t>Exhibits and Schedules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color w:val="auto"/>
              </w:rPr>
              <w:t>Parties in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8.10</w:t>
            </w:r>
          </w:p>
        </w:tc>
        <w:tc>
          <w:tcPr>
            <w:tcW w:w="85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color w:val="auto"/>
              </w:rPr>
              <w:t>Counterparts; Electronic Signatures</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color w:val="auto"/>
              </w:rPr>
              <w:t>Knowledge of Company; Knowledge of ARYA</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8.13</w:t>
            </w:r>
          </w:p>
        </w:tc>
        <w:tc>
          <w:tcPr>
            <w:tcW w:w="8580" w:type="dxa"/>
            <w:vAlign w:val="bottom"/>
          </w:tcPr>
          <w:p>
            <w:pPr>
              <w:ind w:left="140"/>
              <w:spacing w:after="0"/>
              <w:rPr>
                <w:sz w:val="20"/>
                <w:szCs w:val="20"/>
                <w:color w:val="auto"/>
              </w:rPr>
            </w:pPr>
            <w:r>
              <w:rPr>
                <w:rFonts w:ascii="Arial" w:cs="Arial" w:eastAsia="Arial" w:hAnsi="Arial"/>
                <w:sz w:val="18"/>
                <w:szCs w:val="18"/>
                <w:color w:val="auto"/>
              </w:rPr>
              <w:t>No Recourse</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8.14</w:t>
            </w:r>
          </w:p>
        </w:tc>
        <w:tc>
          <w:tcPr>
            <w:tcW w:w="8580" w:type="dxa"/>
            <w:vAlign w:val="bottom"/>
          </w:tcPr>
          <w:p>
            <w:pPr>
              <w:ind w:left="140"/>
              <w:spacing w:after="0"/>
              <w:rPr>
                <w:sz w:val="20"/>
                <w:szCs w:val="20"/>
                <w:color w:val="auto"/>
              </w:rPr>
            </w:pPr>
            <w:r>
              <w:rPr>
                <w:rFonts w:ascii="Arial" w:cs="Arial" w:eastAsia="Arial" w:hAnsi="Arial"/>
                <w:sz w:val="18"/>
                <w:szCs w:val="18"/>
                <w:color w:val="auto"/>
              </w:rPr>
              <w:t>Extension;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color w:val="auto"/>
              </w:rPr>
              <w:t>Waiver of Jury Trial</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color w:val="auto"/>
              </w:rPr>
              <w:t>Submission to Jurisdiction</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8.17</w:t>
            </w:r>
          </w:p>
        </w:tc>
        <w:tc>
          <w:tcPr>
            <w:tcW w:w="8580" w:type="dxa"/>
            <w:vAlign w:val="bottom"/>
          </w:tcPr>
          <w:p>
            <w:pPr>
              <w:ind w:left="14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40"/>
        <w:spacing w:after="0"/>
        <w:tabs>
          <w:tab w:leader="none" w:pos="18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color w:val="auto"/>
        </w:rPr>
        <w:t>Trust Account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440" w:right="639" w:bottom="1440" w:gutter="0" w:footer="0" w:header="0"/>
        </w:sectPr>
      </w:pPr>
    </w:p>
    <w:bookmarkStart w:id="369" w:name="page370"/>
    <w:bookmarkEnd w:id="3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Annex A-1</w:t>
            </w:r>
          </w:p>
        </w:tc>
        <w:tc>
          <w:tcPr>
            <w:tcW w:w="10080" w:type="dxa"/>
            <w:vAlign w:val="bottom"/>
          </w:tcPr>
          <w:p>
            <w:pPr>
              <w:ind w:left="280"/>
              <w:spacing w:after="0"/>
              <w:rPr>
                <w:sz w:val="20"/>
                <w:szCs w:val="20"/>
                <w:color w:val="auto"/>
              </w:rPr>
            </w:pPr>
            <w:r>
              <w:rPr>
                <w:rFonts w:ascii="Arial" w:cs="Arial" w:eastAsia="Arial" w:hAnsi="Arial"/>
                <w:sz w:val="18"/>
                <w:szCs w:val="18"/>
                <w:color w:val="auto"/>
              </w:rPr>
              <w:t>Company PIPE Investors</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Annex A-2</w:t>
            </w:r>
          </w:p>
        </w:tc>
        <w:tc>
          <w:tcPr>
            <w:tcW w:w="10080" w:type="dxa"/>
            <w:vAlign w:val="bottom"/>
          </w:tcPr>
          <w:p>
            <w:pPr>
              <w:ind w:left="280"/>
              <w:spacing w:after="0"/>
              <w:rPr>
                <w:sz w:val="20"/>
                <w:szCs w:val="20"/>
                <w:color w:val="auto"/>
              </w:rPr>
            </w:pPr>
            <w:r>
              <w:rPr>
                <w:rFonts w:ascii="Arial" w:cs="Arial" w:eastAsia="Arial" w:hAnsi="Arial"/>
                <w:sz w:val="18"/>
                <w:szCs w:val="18"/>
                <w:color w:val="auto"/>
              </w:rPr>
              <w:t>Third Party PIPE Investors</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Annex B</w:t>
            </w:r>
          </w:p>
        </w:tc>
        <w:tc>
          <w:tcPr>
            <w:tcW w:w="10080" w:type="dxa"/>
            <w:vAlign w:val="bottom"/>
          </w:tcPr>
          <w:p>
            <w:pPr>
              <w:ind w:left="280"/>
              <w:spacing w:after="0"/>
              <w:rPr>
                <w:sz w:val="20"/>
                <w:szCs w:val="20"/>
                <w:color w:val="auto"/>
              </w:rPr>
            </w:pPr>
            <w:r>
              <w:rPr>
                <w:rFonts w:ascii="Arial" w:cs="Arial" w:eastAsia="Arial" w:hAnsi="Arial"/>
                <w:sz w:val="18"/>
                <w:szCs w:val="18"/>
                <w:color w:val="auto"/>
              </w:rPr>
              <w:t>Supporting Company Shareholders</w:t>
            </w:r>
          </w:p>
        </w:tc>
      </w:tr>
      <w:tr>
        <w:trPr>
          <w:trHeight w:val="499"/>
        </w:trPr>
        <w:tc>
          <w:tcPr>
            <w:tcW w:w="1160" w:type="dxa"/>
            <w:vAlign w:val="bottom"/>
          </w:tcPr>
          <w:p>
            <w:pPr>
              <w:ind w:left="20"/>
              <w:spacing w:after="0"/>
              <w:rPr>
                <w:sz w:val="20"/>
                <w:szCs w:val="20"/>
                <w:color w:val="auto"/>
              </w:rPr>
            </w:pPr>
            <w:r>
              <w:rPr>
                <w:rFonts w:ascii="Arial" w:cs="Arial" w:eastAsia="Arial" w:hAnsi="Arial"/>
                <w:sz w:val="18"/>
                <w:szCs w:val="18"/>
                <w:color w:val="auto"/>
              </w:rPr>
              <w:t>Exhibit A-1</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Perceptive PIPE Subscription Agreement</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A-2</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Company and Third Party PIPE Subscription Agreement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B</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Investor Rights Agreement</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C</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Transaction Support Agreement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D</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Letter of Transmittal</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E</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ARYA Certificate of Incorporation</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F</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ARYA Bylaws</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G</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Company Shareholder Written Consent</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Exhibit H</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Incentive Equity Plan</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Exhibit I</w:t>
            </w:r>
          </w:p>
        </w:tc>
        <w:tc>
          <w:tcPr>
            <w:tcW w:w="10080" w:type="dxa"/>
            <w:vAlign w:val="bottom"/>
          </w:tcPr>
          <w:p>
            <w:pPr>
              <w:ind w:left="280"/>
              <w:spacing w:after="0"/>
              <w:rPr>
                <w:sz w:val="20"/>
                <w:szCs w:val="20"/>
                <w:color w:val="auto"/>
              </w:rPr>
            </w:pPr>
            <w:r>
              <w:rPr>
                <w:rFonts w:ascii="Arial" w:cs="Arial" w:eastAsia="Arial" w:hAnsi="Arial"/>
                <w:sz w:val="18"/>
                <w:szCs w:val="18"/>
                <w:color w:val="auto"/>
              </w:rPr>
              <w:t>Form of Employee Stock Purchase Plan</w:t>
            </w:r>
          </w:p>
        </w:tc>
      </w:tr>
      <w:tr>
        <w:trPr>
          <w:trHeight w:val="1573"/>
        </w:trPr>
        <w:tc>
          <w:tcPr>
            <w:tcW w:w="1160" w:type="dxa"/>
            <w:vAlign w:val="bottom"/>
            <w:tcBorders>
              <w:bottom w:val="single" w:sz="8" w:color="9A9A9A"/>
            </w:tcBorders>
          </w:tcPr>
          <w:p>
            <w:pPr>
              <w:spacing w:after="0"/>
              <w:rPr>
                <w:sz w:val="24"/>
                <w:szCs w:val="24"/>
                <w:color w:val="auto"/>
              </w:rPr>
            </w:pPr>
          </w:p>
        </w:tc>
        <w:tc>
          <w:tcPr>
            <w:tcW w:w="10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This BUSINESS COMBINATION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7, 2021, is made by and among ARYA Sciences Acquisition Corp III, an exempted company incorporated in the Cayman Islands with limited liability,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ARYA, Merger Sub and the Company shall be referred to herein from time to time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Capitalized terms used but not otherwise defined herein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as of the date of this Agreement, ARYA Sciences Holdings III, an exempted company incorporated in the Cayman Islands with limited liability (the “</w:t>
      </w:r>
      <w:r>
        <w:rPr>
          <w:rFonts w:ascii="Arial" w:cs="Arial" w:eastAsia="Arial" w:hAnsi="Arial"/>
          <w:sz w:val="18"/>
          <w:szCs w:val="18"/>
          <w:u w:val="single" w:color="auto"/>
          <w:color w:val="auto"/>
        </w:rPr>
        <w:t>ARYA Sponsor</w:t>
      </w:r>
      <w:r>
        <w:rPr>
          <w:rFonts w:ascii="Arial" w:cs="Arial" w:eastAsia="Arial" w:hAnsi="Arial"/>
          <w:sz w:val="18"/>
          <w:szCs w:val="18"/>
          <w:color w:val="auto"/>
        </w:rPr>
        <w:t>”), and the Other Class B Shareholders collectively own 3,737,500 ARYA Class B Shares;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WHEREAS, concurrently with the execution of this Agreement, the ARYA Sponsor, the Other Class B Shareholders, ARYA and the Company are entering into the sponsor letter agreement (the “</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Part XII of the Cayman Islands Companies Act (2020 Revision), on the terms and subject to the conditions set forth in this Agreement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WHEREAS, concurrently with the execution of this Agreement, each of Perceptive Life Sciences Master Fund Ltd., an exempted company incorporated in the Cayman Islands with limited liability (the “</w:t>
      </w:r>
      <w:r>
        <w:rPr>
          <w:rFonts w:ascii="Arial" w:cs="Arial" w:eastAsia="Arial" w:hAnsi="Arial"/>
          <w:sz w:val="17"/>
          <w:szCs w:val="17"/>
          <w:u w:val="single" w:color="auto"/>
          <w:color w:val="auto"/>
        </w:rPr>
        <w:t>Perceptive PIPE Investor</w:t>
      </w:r>
      <w:r>
        <w:rPr>
          <w:rFonts w:ascii="Arial" w:cs="Arial" w:eastAsia="Arial" w:hAnsi="Arial"/>
          <w:sz w:val="17"/>
          <w:szCs w:val="17"/>
          <w:color w:val="auto"/>
        </w:rPr>
        <w:t xml:space="preserve">”), the investors set forth on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PIPE Investors</w:t>
      </w:r>
      <w:r>
        <w:rPr>
          <w:rFonts w:ascii="Arial" w:cs="Arial" w:eastAsia="Arial" w:hAnsi="Arial"/>
          <w:sz w:val="17"/>
          <w:szCs w:val="17"/>
          <w:color w:val="auto"/>
        </w:rPr>
        <w:t>”) and the investors set forth on Annex A-2 hereto (the “</w:t>
      </w:r>
      <w:r>
        <w:rPr>
          <w:rFonts w:ascii="Arial" w:cs="Arial" w:eastAsia="Arial" w:hAnsi="Arial"/>
          <w:sz w:val="17"/>
          <w:szCs w:val="17"/>
          <w:u w:val="single" w:color="auto"/>
          <w:color w:val="auto"/>
        </w:rPr>
        <w:t>Third Party PIPE Investors</w:t>
      </w:r>
      <w:r>
        <w:rPr>
          <w:rFonts w:ascii="Arial" w:cs="Arial" w:eastAsia="Arial" w:hAnsi="Arial"/>
          <w:sz w:val="17"/>
          <w:szCs w:val="17"/>
          <w:color w:val="auto"/>
        </w:rPr>
        <w:t>”, and collectively with the Perceptive PIPE Investor and the Company PIPE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xml:space="preserve">”) are entering into a subscription agreement, substantially in the form attached hereto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and </w:t>
      </w:r>
      <w:r>
        <w:rPr>
          <w:rFonts w:ascii="Arial" w:cs="Arial" w:eastAsia="Arial" w:hAnsi="Arial"/>
          <w:sz w:val="17"/>
          <w:szCs w:val="17"/>
          <w:u w:val="single" w:color="auto"/>
          <w:color w:val="auto"/>
        </w:rPr>
        <w:t>Exhibit A-2</w:t>
      </w:r>
      <w:r>
        <w:rPr>
          <w:rFonts w:ascii="Arial" w:cs="Arial" w:eastAsia="Arial" w:hAnsi="Arial"/>
          <w:sz w:val="17"/>
          <w:szCs w:val="17"/>
          <w:color w:val="auto"/>
        </w:rPr>
        <w:t>, in the case of the Company PIPE Investors and the Third Party PIPE Investors (each, as amended, restated or otherwise modified from time to time in accordance with its terms, the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under all PIPE Subscription Agreements, collectively, the “</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and the equity financing under all PIPE Subscription Agreements, collectively, the “</w:t>
      </w:r>
      <w:r>
        <w:rPr>
          <w:rFonts w:ascii="Arial" w:cs="Arial" w:eastAsia="Arial" w:hAnsi="Arial"/>
          <w:sz w:val="18"/>
          <w:szCs w:val="18"/>
          <w:u w:val="single" w:color="auto"/>
          <w:color w:val="auto"/>
        </w:rPr>
        <w:t>PIPE Financing</w:t>
      </w:r>
      <w:r>
        <w:rPr>
          <w:rFonts w:ascii="Arial" w:cs="Arial" w:eastAsia="Arial" w:hAnsi="Arial"/>
          <w:sz w:val="18"/>
          <w:szCs w:val="18"/>
          <w:color w:val="auto"/>
        </w:rPr>
        <w:t>”), in each case, on the terms and subject to the conditions set forth therein;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ARYA (the “</w:t>
      </w:r>
      <w:r>
        <w:rPr>
          <w:rFonts w:ascii="Arial" w:cs="Arial" w:eastAsia="Arial" w:hAnsi="Arial"/>
          <w:sz w:val="18"/>
          <w:szCs w:val="18"/>
          <w:u w:val="single" w:color="auto"/>
          <w:color w:val="auto"/>
        </w:rPr>
        <w:t>ARYA Board</w:t>
      </w:r>
      <w:r>
        <w:rPr>
          <w:rFonts w:ascii="Arial" w:cs="Arial" w:eastAsia="Arial" w:hAnsi="Arial"/>
          <w:sz w:val="18"/>
          <w:szCs w:val="18"/>
          <w:color w:val="auto"/>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as promptly as reasonably practicable (and in any event within 24 hours) following the execution of this Agreement, each Company Shareholder set forth on Annex B hereto (collectively, the “</w:t>
      </w:r>
      <w:r>
        <w:rPr>
          <w:rFonts w:ascii="Arial" w:cs="Arial" w:eastAsia="Arial" w:hAnsi="Arial"/>
          <w:sz w:val="17"/>
          <w:szCs w:val="17"/>
          <w:u w:val="single" w:color="auto"/>
          <w:color w:val="auto"/>
        </w:rPr>
        <w:t>Supporting Company Shareholders</w:t>
      </w:r>
      <w:r>
        <w:rPr>
          <w:rFonts w:ascii="Arial" w:cs="Arial" w:eastAsia="Arial" w:hAnsi="Arial"/>
          <w:sz w:val="17"/>
          <w:szCs w:val="17"/>
          <w:color w:val="auto"/>
        </w:rPr>
        <w:t xml:space="preserve">”) will duly execute and deliver to ARYA a transaction support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Transaction Support Agreements</w:t>
      </w:r>
      <w:r>
        <w:rPr>
          <w:rFonts w:ascii="Arial" w:cs="Arial" w:eastAsia="Arial" w:hAnsi="Arial"/>
          <w:sz w:val="17"/>
          <w:szCs w:val="17"/>
          <w:color w:val="auto"/>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8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CERTAIN 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terms have the respective meanings set forth below.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Equity Value</w:t>
      </w:r>
      <w:r>
        <w:rPr>
          <w:rFonts w:ascii="Arial" w:cs="Arial" w:eastAsia="Arial" w:hAnsi="Arial"/>
          <w:sz w:val="18"/>
          <w:szCs w:val="18"/>
          <w:color w:val="auto"/>
        </w:rPr>
        <w:t xml:space="preserve">” means (a) the Equity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Company Option Exercise Price.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Transaction Share Consideration</w:t>
      </w:r>
      <w:r>
        <w:rPr>
          <w:rFonts w:ascii="Arial" w:cs="Arial" w:eastAsia="Arial" w:hAnsi="Arial"/>
          <w:sz w:val="18"/>
          <w:szCs w:val="18"/>
          <w:color w:val="auto"/>
        </w:rPr>
        <w:t xml:space="preserve">” means an aggregate number of ARYA Shares equal to (a) the Adjusted Equity Value,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ARYA Share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PIPE Proceeds</w:t>
      </w:r>
      <w:r>
        <w:rPr>
          <w:rFonts w:ascii="Arial" w:cs="Arial" w:eastAsia="Arial" w:hAnsi="Arial"/>
          <w:sz w:val="18"/>
          <w:szCs w:val="18"/>
          <w:color w:val="auto"/>
        </w:rPr>
        <w:t>” 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Company Option Exercise Price</w:t>
      </w:r>
      <w:r>
        <w:rPr>
          <w:rFonts w:ascii="Arial" w:cs="Arial" w:eastAsia="Arial" w:hAnsi="Arial"/>
          <w:sz w:val="18"/>
          <w:szCs w:val="18"/>
          <w:color w:val="auto"/>
        </w:rPr>
        <w:t>” means the aggregate exercise price that would be paid to the Company in respect of all Company Options if all Company Options were exercised in full immediately prior to the Effective Time (without giving effect to any “net” exercise or similar concept).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w:t>
      </w:r>
      <w:r>
        <w:rPr>
          <w:rFonts w:ascii="Arial" w:cs="Arial" w:eastAsia="Arial" w:hAnsi="Arial"/>
          <w:sz w:val="18"/>
          <w:szCs w:val="18"/>
          <w:color w:val="auto"/>
        </w:rPr>
        <w:t>” 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(i.e.,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(i.e., reduced by any distribution of any such other amounts) (collectively, the “</w:t>
      </w:r>
      <w:r>
        <w:rPr>
          <w:rFonts w:ascii="Arial" w:cs="Arial" w:eastAsia="Arial" w:hAnsi="Arial"/>
          <w:sz w:val="18"/>
          <w:szCs w:val="18"/>
          <w:u w:val="single" w:color="auto"/>
          <w:color w:val="auto"/>
        </w:rPr>
        <w:t>Trust Satisfied Obligations</w:t>
      </w:r>
      <w:r>
        <w:rPr>
          <w:rFonts w:ascii="Arial" w:cs="Arial" w:eastAsia="Arial" w:hAnsi="Arial"/>
          <w:sz w:val="18"/>
          <w:szCs w:val="18"/>
          <w:color w:val="auto"/>
        </w:rPr>
        <w:t xml:space="preserve">”)) and (ii) the Aggregate Closing PIPE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Unpaid ARYA Expenses and the Unpaid ARYA Liabilities.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Merger Structure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s”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w:t>
      </w:r>
      <w:r>
        <w:rPr>
          <w:rFonts w:ascii="Arial" w:cs="Arial" w:eastAsia="Arial" w:hAnsi="Arial"/>
          <w:sz w:val="18"/>
          <w:szCs w:val="18"/>
          <w:color w:val="auto"/>
        </w:rPr>
        <w:t>” 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Acquisition Proposal</w:t>
      </w:r>
      <w:r>
        <w:rPr>
          <w:rFonts w:ascii="Arial" w:cs="Arial" w:eastAsia="Arial" w:hAnsi="Arial"/>
          <w:sz w:val="17"/>
          <w:szCs w:val="17"/>
          <w:color w:val="auto"/>
        </w:rPr>
        <w:t>” 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Benefit Plan</w:t>
      </w:r>
      <w:r>
        <w:rPr>
          <w:rFonts w:ascii="Arial" w:cs="Arial" w:eastAsia="Arial" w:hAnsi="Arial"/>
          <w:sz w:val="18"/>
          <w:szCs w:val="18"/>
          <w:color w:val="auto"/>
        </w:rPr>
        <w:t>” 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Bylaws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Certificate of Incorporation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Change of Control Payment</w:t>
      </w:r>
      <w:r>
        <w:rPr>
          <w:rFonts w:ascii="Arial" w:cs="Arial" w:eastAsia="Arial" w:hAnsi="Arial"/>
          <w:sz w:val="16"/>
          <w:szCs w:val="16"/>
          <w:color w:val="auto"/>
        </w:rPr>
        <w:t xml:space="preserve">” 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“ARYA Change</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Control Payment” shall not include any ARYA Expenses, or, for the avoidance of doubt, any Liabilities that become payable on the basis any ARYA Party has breached, defaulted or failed to comply with or perform any obligations or covenants under a Contract.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A Share</w:t>
      </w:r>
      <w:r>
        <w:rPr>
          <w:rFonts w:ascii="Arial" w:cs="Arial" w:eastAsia="Arial" w:hAnsi="Arial"/>
          <w:sz w:val="18"/>
          <w:szCs w:val="18"/>
          <w:color w:val="auto"/>
        </w:rPr>
        <w:t>s” means, prior to the Domestication, ARYA’s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B Shares</w:t>
      </w:r>
      <w:r>
        <w:rPr>
          <w:rFonts w:ascii="Arial" w:cs="Arial" w:eastAsia="Arial" w:hAnsi="Arial"/>
          <w:sz w:val="18"/>
          <w:szCs w:val="18"/>
          <w:color w:val="auto"/>
        </w:rPr>
        <w:t>” means, prior to the Domestication, ARYA’s Class B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Disclosure Schedules</w:t>
      </w:r>
      <w:r>
        <w:rPr>
          <w:rFonts w:ascii="Arial" w:cs="Arial" w:eastAsia="Arial" w:hAnsi="Arial"/>
          <w:sz w:val="18"/>
          <w:szCs w:val="18"/>
          <w:color w:val="auto"/>
        </w:rPr>
        <w:t>” means the disclosure schedules to this Agreement delivered to the Company by ARYA on the date of this Agreement in connection with the execution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Employee Stock Purchase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Excluded Cash</w:t>
      </w:r>
      <w:r>
        <w:rPr>
          <w:rFonts w:ascii="Arial" w:cs="Arial" w:eastAsia="Arial" w:hAnsi="Arial"/>
          <w:sz w:val="18"/>
          <w:szCs w:val="18"/>
          <w:color w:val="auto"/>
        </w:rPr>
        <w:t>” 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Expenses</w:t>
      </w:r>
      <w:r>
        <w:rPr>
          <w:rFonts w:ascii="Arial" w:cs="Arial" w:eastAsia="Arial" w:hAnsi="Arial"/>
          <w:sz w:val="17"/>
          <w:szCs w:val="17"/>
          <w:color w:val="auto"/>
        </w:rPr>
        <w:t xml:space="preserve">” 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Financial Statements</w:t>
      </w:r>
      <w:r>
        <w:rPr>
          <w:rFonts w:ascii="Arial" w:cs="Arial" w:eastAsia="Arial" w:hAnsi="Arial"/>
          <w:sz w:val="18"/>
          <w:szCs w:val="18"/>
          <w:color w:val="auto"/>
        </w:rPr>
        <w:t>” means all of the financial statements of ARYA included in the ARYA SEC Reports.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of the ARYA Parties),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(Absence of Changes), </w:t>
      </w:r>
      <w:r>
        <w:rPr>
          <w:rFonts w:ascii="Arial" w:cs="Arial" w:eastAsia="Arial" w:hAnsi="Arial"/>
          <w:sz w:val="18"/>
          <w:szCs w:val="18"/>
          <w:u w:val="single" w:color="auto"/>
          <w:color w:val="auto"/>
        </w:rPr>
        <w:t>Section 4.19(h)</w:t>
      </w:r>
      <w:r>
        <w:rPr>
          <w:rFonts w:ascii="Arial" w:cs="Arial" w:eastAsia="Arial" w:hAnsi="Arial"/>
          <w:sz w:val="18"/>
          <w:szCs w:val="18"/>
          <w:color w:val="auto"/>
        </w:rPr>
        <w:t xml:space="preserve"> (Tax Matters) and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(Change of Control Payments).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Liabilities</w:t>
      </w:r>
      <w:r>
        <w:rPr>
          <w:rFonts w:ascii="Arial" w:cs="Arial" w:eastAsia="Arial" w:hAnsi="Arial"/>
          <w:sz w:val="16"/>
          <w:szCs w:val="16"/>
          <w:color w:val="auto"/>
        </w:rPr>
        <w:t xml:space="preserve">” 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(a),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Parties</w:t>
      </w:r>
      <w:r>
        <w:rPr>
          <w:rFonts w:ascii="Arial" w:cs="Arial" w:eastAsia="Arial" w:hAnsi="Arial"/>
          <w:sz w:val="18"/>
          <w:szCs w:val="18"/>
          <w:color w:val="auto"/>
        </w:rPr>
        <w:t>” means, collectively, ARYA and Merger Sub.</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 Value</w:t>
      </w:r>
      <w:r>
        <w:rPr>
          <w:rFonts w:ascii="Arial" w:cs="Arial" w:eastAsia="Arial" w:hAnsi="Arial"/>
          <w:sz w:val="18"/>
          <w:szCs w:val="18"/>
          <w:color w:val="auto"/>
        </w:rPr>
        <w:t>” means $10.00.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Shareholder Approval</w:t>
      </w:r>
      <w:r>
        <w:rPr>
          <w:rFonts w:ascii="Arial" w:cs="Arial" w:eastAsia="Arial" w:hAnsi="Arial"/>
          <w:sz w:val="17"/>
          <w:szCs w:val="17"/>
          <w:color w:val="auto"/>
        </w:rPr>
        <w:t>” means, collectively, the Required ARYA Shareholder Approval and the Other ARYA Shareholder Approval.</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 Redemption</w:t>
      </w:r>
      <w:r>
        <w:rPr>
          <w:rFonts w:ascii="Arial" w:cs="Arial" w:eastAsia="Arial" w:hAnsi="Arial"/>
          <w:sz w:val="18"/>
          <w:szCs w:val="18"/>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Shares</w:t>
      </w:r>
      <w:r>
        <w:rPr>
          <w:rFonts w:ascii="Arial" w:cs="Arial" w:eastAsia="Arial" w:hAnsi="Arial"/>
          <w:sz w:val="16"/>
          <w:szCs w:val="16"/>
          <w:color w:val="auto"/>
        </w:rPr>
        <w:t>” means (a) prior to the consummation of the Domestication, collectively, the ARYA Class A Shares and the ARYA Class B Shares and</w:t>
      </w:r>
    </w:p>
    <w:p>
      <w:pPr>
        <w:spacing w:after="0" w:line="46" w:lineRule="exact"/>
        <w:rPr>
          <w:sz w:val="20"/>
          <w:szCs w:val="20"/>
          <w:color w:val="auto"/>
        </w:rPr>
      </w:pPr>
    </w:p>
    <w:p>
      <w:pPr>
        <w:ind w:right="20" w:firstLine="8"/>
        <w:spacing w:after="0" w:line="260" w:lineRule="auto"/>
        <w:tabs>
          <w:tab w:leader="none" w:pos="25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from and after the consummation of the Domestication, shares of common stock, par value $0.0001 per share, of ARYA as contemplated pursuant to the ARYA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Incorporation. Any reference to the ARYA Shares in this Agreement or any Ancillary Document shall be deemed to refer to clause (a) and/or clause (b) of this definition, as the context so requires.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Sponsor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and San Francisco, California are open for the general transaction of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labor organization, or works council.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means (a) any direct or indirect acquisition (or other business combination), in one or a series of related transactions,</w:t>
      </w:r>
    </w:p>
    <w:p>
      <w:pPr>
        <w:spacing w:after="0" w:line="46" w:lineRule="exact"/>
        <w:rPr>
          <w:sz w:val="20"/>
          <w:szCs w:val="20"/>
          <w:color w:val="auto"/>
        </w:rPr>
      </w:pPr>
    </w:p>
    <w:p>
      <w:pPr>
        <w:jc w:val="both"/>
        <w:ind w:firstLine="8"/>
        <w:spacing w:after="0" w:line="286" w:lineRule="auto"/>
        <w:tabs>
          <w:tab w:leader="none" w:pos="21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means the Amended and Restated Certificate of Incorporation of the Company.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Change of Control Payment</w:t>
      </w:r>
      <w:r>
        <w:rPr>
          <w:rFonts w:ascii="Arial" w:cs="Arial" w:eastAsia="Arial" w:hAnsi="Arial"/>
          <w:sz w:val="17"/>
          <w:szCs w:val="17"/>
          <w:color w:val="auto"/>
        </w:rPr>
        <w:t xml:space="preserve">” 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spacing w:after="0" w:line="1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Shares</w:t>
      </w:r>
      <w:r>
        <w:rPr>
          <w:rFonts w:ascii="Arial" w:cs="Arial" w:eastAsia="Arial" w:hAnsi="Arial"/>
          <w:sz w:val="18"/>
          <w:szCs w:val="18"/>
          <w:color w:val="auto"/>
        </w:rPr>
        <w:t>” means shares of common stock, par value $0.0001 per share, of the Company designated as “Common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ARYA by the Company on the date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130"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Equity Plan</w:t>
      </w:r>
      <w:r>
        <w:rPr>
          <w:rFonts w:ascii="Arial" w:cs="Arial" w:eastAsia="Arial" w:hAnsi="Arial"/>
          <w:sz w:val="16"/>
          <w:szCs w:val="16"/>
          <w:color w:val="auto"/>
        </w:rPr>
        <w:t>” 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9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Equityholders</w:t>
      </w:r>
      <w:r>
        <w:rPr>
          <w:rFonts w:ascii="Arial" w:cs="Arial" w:eastAsia="Arial" w:hAnsi="Arial"/>
          <w:sz w:val="18"/>
          <w:szCs w:val="18"/>
          <w:color w:val="auto"/>
        </w:rPr>
        <w:t>” means, collectively, the Company Shareholders and the holders of Company Equity Awards as of any determination time prior to the Effective Time.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 xml:space="preserve">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spacing w:after="0" w:line="12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Fundamental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(Organization and Qualification), </w:t>
      </w:r>
      <w:r>
        <w:rPr>
          <w:rFonts w:ascii="Arial" w:cs="Arial" w:eastAsia="Arial" w:hAnsi="Arial"/>
          <w:sz w:val="17"/>
          <w:szCs w:val="17"/>
          <w:u w:val="single" w:color="auto"/>
          <w:color w:val="auto"/>
        </w:rPr>
        <w:t>Sections 3.2(a)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3.2(f)</w:t>
      </w:r>
      <w:r>
        <w:rPr>
          <w:rFonts w:ascii="Arial" w:cs="Arial" w:eastAsia="Arial" w:hAnsi="Arial"/>
          <w:sz w:val="17"/>
          <w:szCs w:val="17"/>
          <w:color w:val="auto"/>
        </w:rPr>
        <w:t xml:space="preserve"> (Capitalization of the Group Companies),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(Authority),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3.8(b)(iii)</w:t>
      </w:r>
      <w:r>
        <w:rPr>
          <w:rFonts w:ascii="Arial" w:cs="Arial" w:eastAsia="Arial" w:hAnsi="Arial"/>
          <w:sz w:val="17"/>
          <w:szCs w:val="17"/>
          <w:color w:val="auto"/>
        </w:rPr>
        <w:t xml:space="preserve"> (Absence of Changes), </w:t>
      </w:r>
      <w:r>
        <w:rPr>
          <w:rFonts w:ascii="Arial" w:cs="Arial" w:eastAsia="Arial" w:hAnsi="Arial"/>
          <w:sz w:val="17"/>
          <w:szCs w:val="17"/>
          <w:u w:val="single" w:color="auto"/>
          <w:color w:val="auto"/>
        </w:rPr>
        <w:t>Section 3.16(n)</w:t>
      </w:r>
      <w:r>
        <w:rPr>
          <w:rFonts w:ascii="Arial" w:cs="Arial" w:eastAsia="Arial" w:hAnsi="Arial"/>
          <w:sz w:val="17"/>
          <w:szCs w:val="17"/>
          <w:color w:val="auto"/>
        </w:rPr>
        <w:t xml:space="preserve"> (Tax Matters) and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(Brokers).</w:t>
      </w:r>
    </w:p>
    <w:p>
      <w:pPr>
        <w:spacing w:after="0" w:line="11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IT Systems</w:t>
      </w:r>
      <w:r>
        <w:rPr>
          <w:rFonts w:ascii="Arial" w:cs="Arial" w:eastAsia="Arial" w:hAnsi="Arial"/>
          <w:sz w:val="16"/>
          <w:szCs w:val="16"/>
          <w:color w:val="auto"/>
        </w:rPr>
        <w:t>” means all computer systems, Software and hardware, communication systems, servers, network equipment and related documentation, including any outsourced systems and processes, in each case, relied on, owned, licensed or leased by a Group Company.</w:t>
      </w:r>
    </w:p>
    <w:p>
      <w:pPr>
        <w:spacing w:after="0" w:line="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16"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provided, however,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11" w:lineRule="exact"/>
        <w:rPr>
          <w:sz w:val="20"/>
          <w:szCs w:val="20"/>
          <w:color w:val="auto"/>
        </w:rPr>
      </w:pPr>
    </w:p>
    <w:p>
      <w:pPr>
        <w:ind w:left="320" w:hanging="312"/>
        <w:spacing w:after="0"/>
        <w:tabs>
          <w:tab w:leader="none" w:pos="320" w:val="left"/>
        </w:tabs>
        <w:numPr>
          <w:ilvl w:val="0"/>
          <w:numId w:val="276"/>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w:t>
      </w:r>
    </w:p>
    <w:p>
      <w:pPr>
        <w:spacing w:after="0" w:line="32" w:lineRule="exact"/>
        <w:rPr>
          <w:rFonts w:ascii="Arial" w:cs="Arial" w:eastAsia="Arial" w:hAnsi="Arial"/>
          <w:sz w:val="16"/>
          <w:szCs w:val="16"/>
          <w:u w:val="single" w:color="auto"/>
          <w:color w:val="auto"/>
        </w:rPr>
      </w:pPr>
    </w:p>
    <w:p>
      <w:pPr>
        <w:ind w:right="80"/>
        <w:spacing w:after="0" w:line="271" w:lineRule="auto"/>
        <w:rPr>
          <w:rFonts w:ascii="Arial" w:cs="Arial" w:eastAsia="Arial" w:hAnsi="Arial"/>
          <w:sz w:val="16"/>
          <w:szCs w:val="16"/>
          <w:u w:val="single" w:color="auto"/>
          <w:color w:val="auto"/>
        </w:rPr>
      </w:pPr>
      <w:r>
        <w:rPr>
          <w:rFonts w:ascii="Arial" w:cs="Arial" w:eastAsia="Arial" w:hAnsi="Arial"/>
          <w:sz w:val="17"/>
          <w:szCs w:val="17"/>
          <w:color w:val="auto"/>
        </w:rPr>
        <w:t xml:space="preserve">19) or quarantines, acts of God or other natural disasters or comparable events in the United States or any other country or region in the world, or any escalation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event, effect or occurrence resulting from a matter described in any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9" w:name="page380"/>
    <w:bookmarkEnd w:id="379"/>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as of any determination time, each option to purchase Company Common Shares that is outstanding and unexercised, whether granted under a Company Equity Plan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means all Intellectual Property Rights that are owned or purported to be owned by the Group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Shares</w:t>
      </w:r>
      <w:r>
        <w:rPr>
          <w:rFonts w:ascii="Arial" w:cs="Arial" w:eastAsia="Arial" w:hAnsi="Arial"/>
          <w:sz w:val="18"/>
          <w:szCs w:val="18"/>
          <w:color w:val="auto"/>
        </w:rPr>
        <w:t>” means, collectively, the Company Series A Preferred Shares, the Company Series B Preferred Shares and the Company Series Seed Preferred Shares.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platform or product candidate that is being researched, tested, developed or manufactured by or on behalf of the Group Companies.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 that has not been cancelled, expired, lapsed, or been abandoned.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Required Shareholder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Shares</w:t>
      </w:r>
      <w:r>
        <w:rPr>
          <w:rFonts w:ascii="Arial" w:cs="Arial" w:eastAsia="Arial" w:hAnsi="Arial"/>
          <w:sz w:val="18"/>
          <w:szCs w:val="18"/>
          <w:color w:val="auto"/>
        </w:rPr>
        <w:t>” means shares of preferred stock, par value $0.0001 per share, of the Company designated as “Series A Preferred Stock” pursuant to the Company Certificate of Incorporation.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Shares</w:t>
      </w:r>
      <w:r>
        <w:rPr>
          <w:rFonts w:ascii="Arial" w:cs="Arial" w:eastAsia="Arial" w:hAnsi="Arial"/>
          <w:sz w:val="18"/>
          <w:szCs w:val="18"/>
          <w:color w:val="auto"/>
        </w:rPr>
        <w:t>” means shares of preferred stock, par value $0.0001 per share, of the Company designated as “Series B Preferred Stock” pursuant to the Company Certificate of Incorporation.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Seed Preferred Shares</w:t>
      </w:r>
      <w:r>
        <w:rPr>
          <w:rFonts w:ascii="Arial" w:cs="Arial" w:eastAsia="Arial" w:hAnsi="Arial"/>
          <w:sz w:val="18"/>
          <w:szCs w:val="18"/>
          <w:color w:val="auto"/>
        </w:rPr>
        <w:t>” means shares of preferred stock, par value $0.0001 per share, of the Company designated as “Series Seed Preferred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 Deadline</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xml:space="preserve">” 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Shareholders Agreement</w:t>
      </w:r>
      <w:r>
        <w:rPr>
          <w:rFonts w:ascii="Arial" w:cs="Arial" w:eastAsia="Arial" w:hAnsi="Arial"/>
          <w:sz w:val="16"/>
          <w:szCs w:val="16"/>
          <w:color w:val="auto"/>
        </w:rPr>
        <w:t>” 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Company Series A Preferred Shares, the Company Series B Preferred Shares, the Company Series Seed Preferred Shares and the Company Common Shares.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Warrants</w:t>
      </w:r>
      <w:r>
        <w:rPr>
          <w:rFonts w:ascii="Arial" w:cs="Arial" w:eastAsia="Arial" w:hAnsi="Arial"/>
          <w:sz w:val="18"/>
          <w:szCs w:val="18"/>
          <w:color w:val="auto"/>
        </w:rPr>
        <w:t>” means, as of any determination time, each warrant to purchase Company Common Shares that is outstanding and granted pursuant to the Company Warrant Agreement.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 Agreement</w:t>
      </w:r>
      <w:r>
        <w:rPr>
          <w:rFonts w:ascii="Arial" w:cs="Arial" w:eastAsia="Arial" w:hAnsi="Arial"/>
          <w:sz w:val="18"/>
          <w:szCs w:val="18"/>
          <w:color w:val="auto"/>
        </w:rPr>
        <w:t>” means the Warrant to Purchase Common Stock, dated as of September 7, 2017, by and between the Company and Silicon Valley Bank.</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Confidentiality Agreement, dated as of December 16, 2020, by and between the Company and 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that is legally binding upon a Person or any of his, her or its properties or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evolutions thereof or related or associated epidemics, pandemic or disease outbreaks.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had the meaning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 (as related to exposure to Hazardous Substances).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Value</w:t>
      </w:r>
      <w:r>
        <w:rPr>
          <w:rFonts w:ascii="Arial" w:cs="Arial" w:eastAsia="Arial" w:hAnsi="Arial"/>
          <w:sz w:val="18"/>
          <w:szCs w:val="18"/>
          <w:color w:val="auto"/>
        </w:rPr>
        <w:t>” means $900,000,000.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the quotient obtained by dividing (a) the Adjusted Transaction Share Consideration, by (b) the number of Fully-Diluted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1" w:name="page382"/>
    <w:bookmarkEnd w:id="381"/>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Benefit Plan</w:t>
      </w:r>
      <w:r>
        <w:rPr>
          <w:rFonts w:ascii="Arial" w:cs="Arial" w:eastAsia="Arial" w:hAnsi="Arial"/>
          <w:sz w:val="18"/>
          <w:szCs w:val="18"/>
          <w:color w:val="auto"/>
        </w:rPr>
        <w:t>” means each Employee Benefit Plan maintained by any of the Group Companies for its current or former employees, officers, directors or other individual service providers located outside of the United States.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Shares</w:t>
      </w:r>
      <w:r>
        <w:rPr>
          <w:rFonts w:ascii="Arial" w:cs="Arial" w:eastAsia="Arial" w:hAnsi="Arial"/>
          <w:sz w:val="18"/>
          <w:szCs w:val="18"/>
          <w:color w:val="auto"/>
        </w:rPr>
        <w:t xml:space="preserve">”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plus (b) the aggregate number of shares of Company Common Shares issuable upon the full exercise, exchange or conversion of Company Options that are outstanding as of immediately prior to the Effective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 thereunder.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Equity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 Company Option intended to be an “incentive stock option” (as defined in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7"/>
          <w:szCs w:val="17"/>
          <w:u w:val="single" w:color="auto"/>
          <w:color w:val="auto"/>
        </w:rPr>
        <w:t>Marks</w:t>
      </w:r>
      <w:r>
        <w:rPr>
          <w:rFonts w:ascii="Arial" w:cs="Arial" w:eastAsia="Arial" w:hAnsi="Arial"/>
          <w:sz w:val="17"/>
          <w:szCs w:val="17"/>
          <w:color w:val="auto"/>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ARYA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means the letter of transmittal,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w:t>
      </w:r>
      <w:r>
        <w:rPr>
          <w:rFonts w:ascii="Arial" w:cs="Arial" w:eastAsia="Arial" w:hAnsi="Arial"/>
          <w:sz w:val="17"/>
          <w:szCs w:val="17"/>
          <w:color w:val="auto"/>
        </w:rPr>
        <w:t>” or “</w:t>
      </w:r>
      <w:r>
        <w:rPr>
          <w:rFonts w:ascii="Arial" w:cs="Arial" w:eastAsia="Arial" w:hAnsi="Arial"/>
          <w:sz w:val="17"/>
          <w:szCs w:val="17"/>
          <w:u w:val="single" w:color="auto"/>
          <w:color w:val="auto"/>
        </w:rPr>
        <w:t>liability</w:t>
      </w:r>
      <w:r>
        <w:rPr>
          <w:rFonts w:ascii="Arial" w:cs="Arial" w:eastAsia="Arial" w:hAnsi="Arial"/>
          <w:sz w:val="17"/>
          <w:szCs w:val="17"/>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Off-the-Shelf Software</w:t>
      </w:r>
      <w:r>
        <w:rPr>
          <w:rFonts w:ascii="Arial" w:cs="Arial" w:eastAsia="Arial" w:hAnsi="Arial"/>
          <w:sz w:val="17"/>
          <w:szCs w:val="17"/>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settlement, decision, determination, award, ruling, subpoena, verdict or decree entered, issued or rendered by any Governmental Entity.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ARYA Shareholder Approva</w:t>
      </w:r>
      <w:r>
        <w:rPr>
          <w:rFonts w:ascii="Arial" w:cs="Arial" w:eastAsia="Arial" w:hAnsi="Arial"/>
          <w:sz w:val="18"/>
          <w:szCs w:val="18"/>
          <w:color w:val="auto"/>
        </w:rPr>
        <w:t>l”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Class B Shareholders</w:t>
      </w:r>
      <w:r>
        <w:rPr>
          <w:rFonts w:ascii="Arial" w:cs="Arial" w:eastAsia="Arial" w:hAnsi="Arial"/>
          <w:sz w:val="18"/>
          <w:szCs w:val="18"/>
          <w:color w:val="auto"/>
        </w:rPr>
        <w:t>” means, collectively, Bradley Campbell, Saqib Islam and Todd Wider.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Transaction Proposal</w:t>
      </w:r>
      <w:r>
        <w:rPr>
          <w:rFonts w:ascii="Arial" w:cs="Arial" w:eastAsia="Arial" w:hAnsi="Arial"/>
          <w:sz w:val="18"/>
          <w:szCs w:val="18"/>
          <w:color w:val="auto"/>
        </w:rPr>
        <w:t>” means each Transaction Proposal, other than the Required Transaction Proposals.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w:t>
      </w:r>
      <w:r>
        <w:rPr>
          <w:rFonts w:ascii="Arial" w:cs="Arial" w:eastAsia="Arial" w:hAnsi="Arial"/>
          <w:sz w:val="18"/>
          <w:szCs w:val="18"/>
          <w:color w:val="auto"/>
        </w:rPr>
        <w:t>” means Perceptive Advisors, LLC, a Delaware limited liability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PIPE Investor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Shareholders</w:t>
      </w:r>
      <w:r>
        <w:rPr>
          <w:rFonts w:ascii="Arial" w:cs="Arial" w:eastAsia="Arial" w:hAnsi="Arial"/>
          <w:sz w:val="18"/>
          <w:szCs w:val="18"/>
          <w:color w:val="auto"/>
        </w:rPr>
        <w:t>” means, collectively, the ARYA Sponsor and the Perceptive PIPE Investor.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any approvals, authorizations, clearances, business licenses, registrations, permits or certificates of a Governmental Entity.</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mechanic’s, materialmen’s, carriers’, repairers’ and other similar statutory Liens arising or incurred in the ordinary course of business for amounts that are not yet delinquent or are being contested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4" w:name="page385"/>
    <w:bookmarkEnd w:id="384"/>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spacing w:after="0" w:line="1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Governing Documents</w:t>
      </w:r>
      <w:r>
        <w:rPr>
          <w:rFonts w:ascii="Arial" w:cs="Arial" w:eastAsia="Arial" w:hAnsi="Arial"/>
          <w:sz w:val="18"/>
          <w:szCs w:val="18"/>
          <w:color w:val="auto"/>
        </w:rPr>
        <w:t>” means, collectively, (a) the Amended and Restated Memorandum of Association of ARYA, dated as of August 6, 2020, and (b) the Amended &amp; Restated Articles of Association of ARYA, dated as of August 6,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Shareholders</w:t>
      </w:r>
      <w:r>
        <w:rPr>
          <w:rFonts w:ascii="Arial" w:cs="Arial" w:eastAsia="Arial" w:hAnsi="Arial"/>
          <w:sz w:val="18"/>
          <w:szCs w:val="18"/>
          <w:color w:val="auto"/>
        </w:rPr>
        <w:t>” means the holders of ARYA Shares as of any determination time prior to the Effective Time.</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or “</w:t>
      </w:r>
      <w:r>
        <w:rPr>
          <w:rFonts w:ascii="Arial" w:cs="Arial" w:eastAsia="Arial" w:hAnsi="Arial"/>
          <w:sz w:val="16"/>
          <w:szCs w:val="16"/>
          <w:u w:val="single" w:color="auto"/>
          <w:color w:val="auto"/>
        </w:rPr>
        <w:t>Processes</w:t>
      </w:r>
      <w:r>
        <w:rPr>
          <w:rFonts w:ascii="Arial" w:cs="Arial" w:eastAsia="Arial" w:hAnsi="Arial"/>
          <w:sz w:val="16"/>
          <w:szCs w:val="16"/>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Laws</w:t>
      </w:r>
      <w:r>
        <w:rPr>
          <w:rFonts w:ascii="Arial" w:cs="Arial" w:eastAsia="Arial" w:hAnsi="Arial"/>
          <w:sz w:val="18"/>
          <w:szCs w:val="18"/>
          <w:color w:val="auto"/>
        </w:rPr>
        <w:t>”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et seq.) or similar federal, state or foreign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(e.g.,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 Proxy Statement</w:t>
      </w:r>
      <w:r>
        <w:rPr>
          <w:rFonts w:ascii="Arial" w:cs="Arial" w:eastAsia="Arial" w:hAnsi="Arial"/>
          <w:sz w:val="18"/>
          <w:szCs w:val="18"/>
          <w:color w:val="auto"/>
        </w:rPr>
        <w:t>” means a registration statement on Form S-4 relating to the transactions contemplated by this Agreement and the Ancillary Documents and containing a prospectus and proxy statement of ARYA.</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Permits</w:t>
      </w:r>
      <w:r>
        <w:rPr>
          <w:rFonts w:ascii="Arial" w:cs="Arial" w:eastAsia="Arial" w:hAnsi="Arial"/>
          <w:sz w:val="18"/>
          <w:szCs w:val="18"/>
          <w:color w:val="auto"/>
        </w:rPr>
        <w:t>” 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ARYA Shareholder Approval</w:t>
      </w:r>
      <w:r>
        <w:rPr>
          <w:rFonts w:ascii="Arial" w:cs="Arial" w:eastAsia="Arial" w:hAnsi="Arial"/>
          <w:sz w:val="17"/>
          <w:szCs w:val="17"/>
          <w:color w:val="auto"/>
        </w:rPr>
        <w:t>” 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Transaction Proposals</w:t>
      </w:r>
      <w:r>
        <w:rPr>
          <w:rFonts w:ascii="Arial" w:cs="Arial" w:eastAsia="Arial" w:hAnsi="Arial"/>
          <w:sz w:val="18"/>
          <w:szCs w:val="18"/>
          <w:color w:val="auto"/>
        </w:rPr>
        <w:t>” means, collectively, the Business Combination Proposal, the Domestication Proposal, the Nasdaq Proposal, the Required Governing Document Proposal, the Incentive Equity Plan Proposal and the Employee Stock Purchase Plan Proposal.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and Export Control Laws</w:t>
      </w:r>
      <w:r>
        <w:rPr>
          <w:rFonts w:ascii="Arial" w:cs="Arial" w:eastAsia="Arial" w:hAnsi="Arial"/>
          <w:sz w:val="16"/>
          <w:szCs w:val="16"/>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ARYA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Company Shareholders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or administration of Taxes or Tax Returns.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required to be filed with any Governmental Entity, including any amendment of any of the foregoing.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Support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Expenses</w:t>
      </w:r>
      <w:r>
        <w:rPr>
          <w:rFonts w:ascii="Arial" w:cs="Arial" w:eastAsia="Arial" w:hAnsi="Arial"/>
          <w:sz w:val="18"/>
          <w:szCs w:val="18"/>
          <w:color w:val="auto"/>
        </w:rPr>
        <w:t>” means the ARYA Expenses calculated as of immediately prior to the Closing, in each case, to the extent unpaid as of such time.</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Liabilities</w:t>
      </w:r>
      <w:r>
        <w:rPr>
          <w:rFonts w:ascii="Arial" w:cs="Arial" w:eastAsia="Arial" w:hAnsi="Arial"/>
          <w:sz w:val="18"/>
          <w:szCs w:val="18"/>
          <w:color w:val="auto"/>
        </w:rPr>
        <w:t>” means the ARYA Liabilities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as of immediately prior to the Effective Time that is not a Vested Company Option.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Vested Company Option</w:t>
      </w:r>
      <w:r>
        <w:rPr>
          <w:rFonts w:ascii="Arial" w:cs="Arial" w:eastAsia="Arial" w:hAnsi="Arial"/>
          <w:sz w:val="17"/>
          <w:szCs w:val="17"/>
          <w:color w:val="auto"/>
        </w:rPr>
        <w:t>” means each Company Option outstanding as of immediately prior to the Effective Time that is vested as of such time or will vest in connection with the consummation of the transactions contemplated hereby (whether at the Effective Time or otherwise).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Retraining and Notification Act of 1988, as well as similar foreign, state or local Laws.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set forth in this Agreement, the following transactions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 in 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2" w:lineRule="exact"/>
        <w:rPr>
          <w:sz w:val="20"/>
          <w:szCs w:val="20"/>
          <w:color w:val="auto"/>
        </w:rPr>
      </w:pPr>
    </w:p>
    <w:p>
      <w:pPr>
        <w:jc w:val="both"/>
        <w:ind w:firstLine="1304"/>
        <w:spacing w:after="0" w:line="284" w:lineRule="auto"/>
        <w:tabs>
          <w:tab w:leader="none" w:pos="1941"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Domestication</w:t>
      </w:r>
      <w:r>
        <w:rPr>
          <w:rFonts w:ascii="Arial" w:cs="Arial" w:eastAsia="Arial" w:hAnsi="Arial"/>
          <w:sz w:val="16"/>
          <w:szCs w:val="16"/>
          <w:color w:val="auto"/>
        </w:rPr>
        <w:t>.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w:t>
      </w:r>
    </w:p>
    <w:p>
      <w:pPr>
        <w:spacing w:after="0" w:line="4" w:lineRule="exact"/>
        <w:rPr>
          <w:rFonts w:ascii="Arial" w:cs="Arial" w:eastAsia="Arial" w:hAnsi="Arial"/>
          <w:sz w:val="16"/>
          <w:szCs w:val="16"/>
          <w:color w:val="auto"/>
        </w:rPr>
      </w:pPr>
    </w:p>
    <w:p>
      <w:pPr>
        <w:jc w:val="both"/>
        <w:ind w:firstLine="8"/>
        <w:spacing w:after="0" w:line="290" w:lineRule="auto"/>
        <w:tabs>
          <w:tab w:leader="none" w:pos="29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 Governing Documents of ARYA to become the certificate of incorporation,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Certificate of Incorporation</w:t>
      </w:r>
      <w:r>
        <w:rPr>
          <w:rFonts w:ascii="Arial" w:cs="Arial" w:eastAsia="Arial" w:hAnsi="Arial"/>
          <w:sz w:val="16"/>
          <w:szCs w:val="16"/>
          <w:color w:val="auto"/>
        </w:rPr>
        <w:t xml:space="preserve">”), and the bylaws,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Bylaws</w:t>
      </w:r>
      <w:r>
        <w:rPr>
          <w:rFonts w:ascii="Arial" w:cs="Arial" w:eastAsia="Arial" w:hAnsi="Arial"/>
          <w:sz w:val="16"/>
          <w:szCs w:val="16"/>
          <w:color w:val="auto"/>
        </w:rPr>
        <w:t>”)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Representatives shall give the Company and its pertinent Representatives a reasonable opportunity to review any applicable documents, certificates or filings in connection with the Domestication and will consider, in good faith, any comments thereto.</w:t>
      </w:r>
    </w:p>
    <w:p>
      <w:pPr>
        <w:spacing w:after="0" w:line="116" w:lineRule="exact"/>
        <w:rPr>
          <w:sz w:val="20"/>
          <w:szCs w:val="20"/>
          <w:color w:val="auto"/>
        </w:rPr>
      </w:pPr>
    </w:p>
    <w:p>
      <w:pPr>
        <w:ind w:left="1940" w:hanging="636"/>
        <w:spacing w:after="0"/>
        <w:tabs>
          <w:tab w:leader="none" w:pos="19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The Merger.</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DGCL, on the Closing Date promptly following the consummation of the Domestication, Merger Sub shall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existence of Merger Sub shall cease, and the Company shall continue as the surviving company of the Merger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1300" w:firstLine="652"/>
        <w:spacing w:after="0" w:line="273" w:lineRule="auto"/>
        <w:tabs>
          <w:tab w:leader="none" w:pos="2586"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1300" w:firstLine="652"/>
        <w:spacing w:after="0" w:line="257" w:lineRule="auto"/>
        <w:tabs>
          <w:tab w:leader="none" w:pos="2596"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33"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At the Effective Time, the Governing Documents of Merger Sub shall be the Governing Documents of the Surviving Company, in each case, until thereafter changed or amended as provided therein or by applicable Law.</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$0.0001, of the Surviving Company (each such share, a “</w:t>
      </w:r>
      <w:r>
        <w:rPr>
          <w:rFonts w:ascii="Arial" w:cs="Arial" w:eastAsia="Arial" w:hAnsi="Arial"/>
          <w:sz w:val="18"/>
          <w:szCs w:val="18"/>
          <w:u w:val="single" w:color="auto"/>
          <w:color w:val="auto"/>
        </w:rPr>
        <w:t>Surviving Company Shar</w:t>
      </w:r>
      <w:r>
        <w:rPr>
          <w:rFonts w:ascii="Arial" w:cs="Arial" w:eastAsia="Arial" w:hAnsi="Arial"/>
          <w:sz w:val="18"/>
          <w:szCs w:val="18"/>
          <w:color w:val="auto"/>
        </w:rPr>
        <w:t>e”).</w:t>
      </w:r>
    </w:p>
    <w:p>
      <w:pPr>
        <w:spacing w:after="0" w:line="171" w:lineRule="exact"/>
        <w:rPr>
          <w:sz w:val="20"/>
          <w:szCs w:val="20"/>
          <w:color w:val="auto"/>
        </w:rPr>
      </w:pPr>
    </w:p>
    <w:p>
      <w:pPr>
        <w:jc w:val="both"/>
        <w:ind w:left="1300" w:firstLine="652"/>
        <w:spacing w:after="0" w:line="272" w:lineRule="auto"/>
        <w:tabs>
          <w:tab w:leader="none" w:pos="259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At the Effective Time, by virtue of the Merger and without any action on the part of any Party or any other Person, each Company Share (other than the Company Shares cancelled and extinguished pursuant to </w:t>
      </w:r>
      <w:r>
        <w:rPr>
          <w:rFonts w:ascii="Arial" w:cs="Arial" w:eastAsia="Arial" w:hAnsi="Arial"/>
          <w:sz w:val="17"/>
          <w:szCs w:val="17"/>
          <w:u w:val="single" w:color="auto"/>
          <w:color w:val="auto"/>
        </w:rPr>
        <w:t>Section 2.1(b)(x)</w:t>
      </w:r>
      <w:r>
        <w:rPr>
          <w:rFonts w:ascii="Arial" w:cs="Arial" w:eastAsia="Arial" w:hAnsi="Arial"/>
          <w:sz w:val="17"/>
          <w:szCs w:val="17"/>
          <w:color w:val="auto"/>
        </w:rPr>
        <w:t xml:space="preserve"> and any Company Dissenting Shares) issued and outstanding as of immediately prior to the Effective Time shall be automatically canceled and extinguished and converted into the right to receive a number of ARYA Shares equal to the Exchange Ratio (the “</w:t>
      </w:r>
      <w:r>
        <w:rPr>
          <w:rFonts w:ascii="Arial" w:cs="Arial" w:eastAsia="Arial" w:hAnsi="Arial"/>
          <w:sz w:val="17"/>
          <w:szCs w:val="17"/>
          <w:u w:val="single" w:color="auto"/>
          <w:color w:val="auto"/>
        </w:rPr>
        <w:t>Per Share Merger Consideration</w:t>
      </w:r>
      <w:r>
        <w:rPr>
          <w:rFonts w:ascii="Arial" w:cs="Arial" w:eastAsia="Arial" w:hAnsi="Arial"/>
          <w:sz w:val="17"/>
          <w:szCs w:val="17"/>
          <w:color w:val="auto"/>
        </w:rPr>
        <w:t>”). From and after the Effective Time, each Company Shareholder’s certificates (the “</w:t>
      </w:r>
      <w:r>
        <w:rPr>
          <w:rFonts w:ascii="Arial" w:cs="Arial" w:eastAsia="Arial" w:hAnsi="Arial"/>
          <w:sz w:val="17"/>
          <w:szCs w:val="17"/>
          <w:u w:val="single" w:color="auto"/>
          <w:color w:val="auto"/>
        </w:rPr>
        <w:t>Certificates</w:t>
      </w:r>
      <w:r>
        <w:rPr>
          <w:rFonts w:ascii="Arial" w:cs="Arial" w:eastAsia="Arial" w:hAnsi="Arial"/>
          <w:sz w:val="17"/>
          <w:szCs w:val="17"/>
          <w:color w:val="auto"/>
        </w:rPr>
        <w:t>”), if any, evidencing ownership of the Company Shares and the Company Shares held in book-entry form issued and outstanding immediately prior to the Effective Time shall each cease to have any rights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spacing w:after="0" w:line="130" w:lineRule="exact"/>
        <w:rPr>
          <w:sz w:val="20"/>
          <w:szCs w:val="20"/>
          <w:color w:val="auto"/>
        </w:rPr>
      </w:pPr>
    </w:p>
    <w:p>
      <w:pPr>
        <w:jc w:val="both"/>
        <w:ind w:left="1300" w:firstLine="652"/>
        <w:spacing w:after="0" w:line="259" w:lineRule="auto"/>
        <w:tabs>
          <w:tab w:leader="none" w:pos="25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For purposes of calculating the aggregate number of ARYA Shares issuable to each holder of Company Shares pursuant to the terms of </w:t>
      </w:r>
      <w:r>
        <w:rPr>
          <w:rFonts w:ascii="Arial" w:cs="Arial" w:eastAsia="Arial" w:hAnsi="Arial"/>
          <w:sz w:val="18"/>
          <w:szCs w:val="18"/>
          <w:u w:val="single" w:color="auto"/>
          <w:color w:val="auto"/>
        </w:rPr>
        <w:t>Section 2.1(b)(vii)</w:t>
      </w:r>
      <w:r>
        <w:rPr>
          <w:rFonts w:ascii="Arial" w:cs="Arial" w:eastAsia="Arial" w:hAnsi="Arial"/>
          <w:sz w:val="18"/>
          <w:szCs w:val="18"/>
          <w:color w:val="auto"/>
        </w:rPr>
        <w:t>, all Company Shares held by such holder shall be aggregated, and the Exchange Ratio shall be applied to that aggregate number of shares held by such holder, and not on a share-by-share basis and the number of ARYA Shares to be issued shall be rounded down to the nearest whole share.</w:t>
      </w:r>
    </w:p>
    <w:p>
      <w:pPr>
        <w:spacing w:after="0" w:line="132" w:lineRule="exact"/>
        <w:rPr>
          <w:rFonts w:ascii="Arial" w:cs="Arial" w:eastAsia="Arial" w:hAnsi="Arial"/>
          <w:sz w:val="18"/>
          <w:szCs w:val="18"/>
          <w:color w:val="auto"/>
        </w:rPr>
      </w:pPr>
    </w:p>
    <w:p>
      <w:pPr>
        <w:jc w:val="both"/>
        <w:ind w:left="1300" w:firstLine="652"/>
        <w:spacing w:after="0" w:line="270" w:lineRule="auto"/>
        <w:tabs>
          <w:tab w:leader="none" w:pos="258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provided, however, that this </w:t>
      </w:r>
      <w:r>
        <w:rPr>
          <w:rFonts w:ascii="Arial" w:cs="Arial" w:eastAsia="Arial" w:hAnsi="Arial"/>
          <w:sz w:val="17"/>
          <w:szCs w:val="17"/>
          <w:u w:val="single" w:color="auto"/>
          <w:color w:val="auto"/>
        </w:rPr>
        <w:t>Section 2.1(b)(ix)</w:t>
      </w:r>
      <w:r>
        <w:rPr>
          <w:rFonts w:ascii="Arial" w:cs="Arial" w:eastAsia="Arial" w:hAnsi="Arial"/>
          <w:sz w:val="17"/>
          <w:szCs w:val="17"/>
          <w:color w:val="auto"/>
        </w:rPr>
        <w:t xml:space="preserve"> 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26" w:lineRule="exact"/>
        <w:rPr>
          <w:rFonts w:ascii="Arial" w:cs="Arial" w:eastAsia="Arial" w:hAnsi="Arial"/>
          <w:sz w:val="17"/>
          <w:szCs w:val="17"/>
          <w:color w:val="auto"/>
        </w:rPr>
      </w:pPr>
    </w:p>
    <w:p>
      <w:pPr>
        <w:jc w:val="both"/>
        <w:ind w:left="1300" w:firstLine="652"/>
        <w:spacing w:after="0" w:line="263" w:lineRule="auto"/>
        <w:tabs>
          <w:tab w:leader="none" w:pos="25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spacing w:after="0" w:line="126"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Closing of the Transactions Contemplated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“Closing”) shall take place electronically by exchange of the closing deliverables by the means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satisfaction or waiver of such conditions) (the date upon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place, date and/or time as ARYA and the Company may agree in writing.</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u w:val="single" w:color="auto"/>
          <w:color w:val="auto"/>
        </w:rPr>
        <w:t>Allocation Schedule; Aggregate Transaction Proceeds Schedule.</w:t>
      </w:r>
    </w:p>
    <w:p>
      <w:pPr>
        <w:spacing w:after="0" w:line="175" w:lineRule="exact"/>
        <w:rPr>
          <w:sz w:val="20"/>
          <w:szCs w:val="20"/>
          <w:color w:val="auto"/>
        </w:rPr>
      </w:pPr>
    </w:p>
    <w:p>
      <w:pPr>
        <w:jc w:val="both"/>
        <w:ind w:firstLine="1304"/>
        <w:spacing w:after="0" w:line="269" w:lineRule="auto"/>
        <w:tabs>
          <w:tab w:leader="none" w:pos="1941"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Allocation Schedule</w:t>
      </w:r>
      <w:r>
        <w:rPr>
          <w:rFonts w:ascii="Arial" w:cs="Arial" w:eastAsia="Arial" w:hAnsi="Arial"/>
          <w:sz w:val="17"/>
          <w:szCs w:val="17"/>
          <w:color w:val="auto"/>
        </w:rPr>
        <w:t>. At least two (2) Business Days prior to the Closing Date, the Company shall deliver to ARYA an allocation schedule (the “</w:t>
      </w:r>
      <w:r>
        <w:rPr>
          <w:rFonts w:ascii="Arial" w:cs="Arial" w:eastAsia="Arial" w:hAnsi="Arial"/>
          <w:sz w:val="17"/>
          <w:szCs w:val="17"/>
          <w:u w:val="single" w:color="auto"/>
          <w:color w:val="auto"/>
        </w:rPr>
        <w:t>Allocation Schedule</w:t>
      </w:r>
      <w:r>
        <w:rPr>
          <w:rFonts w:ascii="Arial" w:cs="Arial" w:eastAsia="Arial" w:hAnsi="Arial"/>
          <w:sz w:val="17"/>
          <w:szCs w:val="17"/>
          <w:color w:val="auto"/>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the portion of the Adjusted Transaction Share Consideration allocated to each Company Share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(including, for the avoidance of doubt, each Company Share that is issued upon exercise of the Company Warrants immediately prior to the Closing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the Company Warrant Agreement (collectively, the “</w:t>
      </w:r>
      <w:r>
        <w:rPr>
          <w:rFonts w:ascii="Arial" w:cs="Arial" w:eastAsia="Arial" w:hAnsi="Arial"/>
          <w:sz w:val="16"/>
          <w:szCs w:val="16"/>
          <w:u w:val="single" w:color="auto"/>
          <w:color w:val="auto"/>
        </w:rPr>
        <w:t>Allocation Schedule Principles</w:t>
      </w:r>
      <w:r>
        <w:rPr>
          <w:rFonts w:ascii="Arial" w:cs="Arial" w:eastAsia="Arial" w:hAnsi="Arial"/>
          <w:sz w:val="16"/>
          <w:szCs w:val="16"/>
          <w:color w:val="auto"/>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spacing w:after="0" w:line="114" w:lineRule="exact"/>
        <w:rPr>
          <w:sz w:val="20"/>
          <w:szCs w:val="20"/>
          <w:color w:val="auto"/>
        </w:rPr>
      </w:pPr>
    </w:p>
    <w:p>
      <w:pPr>
        <w:jc w:val="both"/>
        <w:ind w:firstLine="1304"/>
        <w:spacing w:after="0" w:line="269" w:lineRule="auto"/>
        <w:tabs>
          <w:tab w:leader="none" w:pos="1938"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At least two (2) Business Days prior to the Closing Date, ARYA shall deliver to the Company a reasonably detailed calculation of the Aggregate Transaction Proceeds (the “</w:t>
      </w: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 (ii) 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Treatment of Company Options and Company Warrants.</w:t>
      </w:r>
    </w:p>
    <w:p>
      <w:pPr>
        <w:spacing w:after="0" w:line="175" w:lineRule="exact"/>
        <w:rPr>
          <w:sz w:val="20"/>
          <w:szCs w:val="20"/>
          <w:color w:val="auto"/>
        </w:rPr>
      </w:pPr>
    </w:p>
    <w:p>
      <w:pPr>
        <w:jc w:val="both"/>
        <w:ind w:firstLine="1304"/>
        <w:spacing w:after="0" w:line="286" w:lineRule="auto"/>
        <w:tabs>
          <w:tab w:leader="none" w:pos="194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Merger and without any action of any Party or any other Person (but subject to, in the case of the Company, </w:t>
      </w:r>
      <w:r>
        <w:rPr>
          <w:rFonts w:ascii="Arial" w:cs="Arial" w:eastAsia="Arial" w:hAnsi="Arial"/>
          <w:sz w:val="16"/>
          <w:szCs w:val="16"/>
          <w:u w:val="single" w:color="auto"/>
          <w:color w:val="auto"/>
        </w:rPr>
        <w:t>Section 2.4(d)</w:t>
      </w:r>
      <w:r>
        <w:rPr>
          <w:rFonts w:ascii="Arial" w:cs="Arial" w:eastAsia="Arial" w:hAnsi="Arial"/>
          <w:sz w:val="16"/>
          <w:szCs w:val="16"/>
          <w:color w:val="auto"/>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Arial" w:cs="Arial" w:eastAsia="Arial" w:hAnsi="Arial"/>
          <w:sz w:val="16"/>
          <w:szCs w:val="16"/>
          <w:u w:val="single" w:color="auto"/>
          <w:color w:val="auto"/>
        </w:rPr>
        <w:t>Rollover Option</w:t>
      </w:r>
      <w:r>
        <w:rPr>
          <w:rFonts w:ascii="Arial" w:cs="Arial" w:eastAsia="Arial" w:hAnsi="Arial"/>
          <w:sz w:val="16"/>
          <w:szCs w:val="16"/>
          <w:color w:val="auto"/>
        </w:rPr>
        <w:t xml:space="preserve">”) equal to the product (rounded down to the nearest whole number) of (x) the number of Company Common Shares subject to such Company Option immediately prior to the Effective Time,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(ii) the Exchange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Arial" w:cs="Arial" w:eastAsia="Arial" w:hAnsi="Arial"/>
          <w:sz w:val="16"/>
          <w:szCs w:val="16"/>
          <w:u w:val="single" w:color="auto"/>
          <w:color w:val="auto"/>
        </w:rPr>
        <w:t>Section 2.4(a)</w:t>
      </w:r>
      <w:r>
        <w:rPr>
          <w:rFonts w:ascii="Arial" w:cs="Arial" w:eastAsia="Arial" w:hAnsi="Arial"/>
          <w:sz w:val="16"/>
          <w:szCs w:val="16"/>
          <w:color w:val="auto"/>
        </w:rPr>
        <w:t>,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w:t>
      </w:r>
    </w:p>
    <w:p>
      <w:pPr>
        <w:spacing w:after="0" w:line="119" w:lineRule="exact"/>
        <w:rPr>
          <w:rFonts w:ascii="Arial" w:cs="Arial" w:eastAsia="Arial" w:hAnsi="Arial"/>
          <w:sz w:val="16"/>
          <w:szCs w:val="16"/>
          <w:color w:val="auto"/>
        </w:rPr>
      </w:pPr>
    </w:p>
    <w:p>
      <w:pPr>
        <w:ind w:firstLine="1304"/>
        <w:spacing w:after="0" w:line="277" w:lineRule="auto"/>
        <w:tabs>
          <w:tab w:leader="none" w:pos="193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Immediately prior to the Closing, all Company Warrants shall be “net” exercised in exchange for Company Common Shares in accordance with the terms of the Company Warrant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spacing w:after="0" w:line="130" w:lineRule="exact"/>
        <w:rPr>
          <w:sz w:val="20"/>
          <w:szCs w:val="20"/>
          <w:color w:val="auto"/>
        </w:rPr>
      </w:pPr>
    </w:p>
    <w:p>
      <w:pPr>
        <w:jc w:val="both"/>
        <w:ind w:firstLine="1304"/>
        <w:spacing w:after="0" w:line="263" w:lineRule="auto"/>
        <w:tabs>
          <w:tab w:leader="none" w:pos="194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As of immediately prior to the Effective Time, all Company Equity Plans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Rollover Options shall continue to be governed by the terms of the Company Equity Plan under which the Rollover Option was granted subject to the adjustments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Company Shareholder Deliverables.</w:t>
      </w:r>
    </w:p>
    <w:p>
      <w:pPr>
        <w:spacing w:after="0" w:line="175" w:lineRule="exact"/>
        <w:rPr>
          <w:sz w:val="20"/>
          <w:szCs w:val="20"/>
          <w:color w:val="auto"/>
        </w:rPr>
      </w:pPr>
    </w:p>
    <w:p>
      <w:pPr>
        <w:jc w:val="both"/>
        <w:ind w:firstLine="1304"/>
        <w:spacing w:after="0" w:line="287" w:lineRule="auto"/>
        <w:tabs>
          <w:tab w:leader="none" w:pos="194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but in no event later than ten (10) Business Days prior to the Closing Date, ARYA shall appoint an exchange agent reasonably acceptable to the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Arial" w:cs="Arial" w:eastAsia="Arial" w:hAnsi="Arial"/>
          <w:sz w:val="16"/>
          <w:szCs w:val="16"/>
          <w:u w:val="single" w:color="auto"/>
          <w:color w:val="auto"/>
        </w:rPr>
        <w:t>Exchange Agent Agreement</w:t>
      </w:r>
      <w:r>
        <w:rPr>
          <w:rFonts w:ascii="Arial" w:cs="Arial" w:eastAsia="Arial" w:hAnsi="Arial"/>
          <w:sz w:val="16"/>
          <w:szCs w:val="16"/>
          <w:color w:val="auto"/>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17" w:lineRule="exact"/>
        <w:rPr>
          <w:rFonts w:ascii="Arial" w:cs="Arial" w:eastAsia="Arial" w:hAnsi="Arial"/>
          <w:sz w:val="16"/>
          <w:szCs w:val="16"/>
          <w:color w:val="auto"/>
        </w:rPr>
      </w:pPr>
    </w:p>
    <w:p>
      <w:pPr>
        <w:ind w:firstLine="1304"/>
        <w:spacing w:after="0" w:line="277" w:lineRule="auto"/>
        <w:tabs>
          <w:tab w:leader="none" w:pos="193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the Company shall mail or otherwise deliver, or shall cause to be mailed or otherwise delivered, to the Company Shareholders a Letter of Transmittal.</w:t>
      </w:r>
    </w:p>
    <w:p>
      <w:pPr>
        <w:spacing w:after="0" w:line="116" w:lineRule="exact"/>
        <w:rPr>
          <w:rFonts w:ascii="Arial" w:cs="Arial" w:eastAsia="Arial" w:hAnsi="Arial"/>
          <w:sz w:val="18"/>
          <w:szCs w:val="18"/>
          <w:color w:val="auto"/>
        </w:rPr>
      </w:pPr>
    </w:p>
    <w:p>
      <w:pPr>
        <w:jc w:val="both"/>
        <w:ind w:firstLine="1304"/>
        <w:spacing w:after="0" w:line="296" w:lineRule="auto"/>
        <w:tabs>
          <w:tab w:leader="none" w:pos="194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At the Effective Time, ARYA shall deposit, or cause to be deposited, with the Exchange Agent, for the benefit of the Company Shareholders and for exchange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through the Exchange Agent, evidence of ARYA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in exchange for the Company Shares outstanding immediately prior to the Effective Time. All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deposited with the Exchange Agent shall be referred to in this Agreement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firstLine="1304"/>
        <w:spacing w:after="0" w:line="291" w:lineRule="auto"/>
        <w:tabs>
          <w:tab w:leader="none" w:pos="193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Each Company Shareholder whose Company Shares have been converted into the right to receive a portion of the Adjusted Transaction Share Consideration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shall be entitled to receive the portion of the Adjusted Transaction Share Consideration to which he, she or it is entitled on the date provided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ind w:firstLine="1304"/>
        <w:spacing w:after="0" w:line="272" w:lineRule="auto"/>
        <w:tabs>
          <w:tab w:leader="none" w:pos="194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spacing w:after="0" w:line="123" w:lineRule="exact"/>
        <w:rPr>
          <w:rFonts w:ascii="Arial" w:cs="Arial" w:eastAsia="Arial" w:hAnsi="Arial"/>
          <w:sz w:val="17"/>
          <w:szCs w:val="17"/>
          <w:color w:val="auto"/>
        </w:rPr>
      </w:pPr>
    </w:p>
    <w:p>
      <w:pPr>
        <w:jc w:val="both"/>
        <w:ind w:firstLine="1304"/>
        <w:spacing w:after="0" w:line="291" w:lineRule="auto"/>
        <w:tabs>
          <w:tab w:leader="none" w:pos="193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spacing w:after="0" w:line="112" w:lineRule="exact"/>
        <w:rPr>
          <w:rFonts w:ascii="Arial" w:cs="Arial" w:eastAsia="Arial" w:hAnsi="Arial"/>
          <w:sz w:val="16"/>
          <w:szCs w:val="16"/>
          <w:color w:val="auto"/>
        </w:rPr>
      </w:pPr>
    </w:p>
    <w:p>
      <w:pPr>
        <w:jc w:val="both"/>
        <w:ind w:firstLine="1304"/>
        <w:spacing w:after="0" w:line="301" w:lineRule="auto"/>
        <w:tabs>
          <w:tab w:leader="none" w:pos="193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No interest will be paid or accrued on the Adjusted Transaction Share Consideration (or any portion thereof). From and after the Effective Time, until surrendered or transferred, as applicable,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each Company Share (other than, for the avoidance of doubt, the Company Shares cancelled and extinguished pursuant to </w:t>
      </w:r>
      <w:r>
        <w:rPr>
          <w:rFonts w:ascii="Arial" w:cs="Arial" w:eastAsia="Arial" w:hAnsi="Arial"/>
          <w:sz w:val="16"/>
          <w:szCs w:val="16"/>
          <w:u w:val="single" w:color="auto"/>
          <w:color w:val="auto"/>
        </w:rPr>
        <w:t>Section 2.1(b)(x)</w:t>
      </w:r>
      <w:r>
        <w:rPr>
          <w:rFonts w:ascii="Arial" w:cs="Arial" w:eastAsia="Arial" w:hAnsi="Arial"/>
          <w:sz w:val="16"/>
          <w:szCs w:val="16"/>
          <w:color w:val="auto"/>
        </w:rPr>
        <w:t xml:space="preserve"> or any Company Dissenting Shares) shall solely represent the right to receive a portion of the Adjusted Transaction Share Consideration to which such Company Share is entitled to receive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right="480" w:firstLine="1304"/>
        <w:spacing w:after="0" w:line="277" w:lineRule="auto"/>
        <w:tabs>
          <w:tab w:leader="none" w:pos="193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At the Effective Time, the stock transfer books of the Company shall be closed and there shall be no transfers of Company Shares that were outstanding immediately prior to the Effective Time.</w:t>
      </w:r>
    </w:p>
    <w:p>
      <w:pPr>
        <w:spacing w:after="0" w:line="116" w:lineRule="exact"/>
        <w:rPr>
          <w:rFonts w:ascii="Arial" w:cs="Arial" w:eastAsia="Arial" w:hAnsi="Arial"/>
          <w:sz w:val="18"/>
          <w:szCs w:val="18"/>
          <w:color w:val="auto"/>
        </w:rPr>
      </w:pPr>
    </w:p>
    <w:p>
      <w:pPr>
        <w:jc w:val="both"/>
        <w:ind w:firstLine="1304"/>
        <w:spacing w:after="0" w:line="270" w:lineRule="auto"/>
        <w:tabs>
          <w:tab w:leader="none" w:pos="193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spacing w:after="0" w:line="1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the Group Companies and the Exchange Agent shall be entitled to deduct and withhold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1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Company Dissenting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any Company Shares for which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 has not voted in favor of the Merger or consented to 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writing and (b) has demanded the appraisal of such Company Shares in accordance with, and has complied in all respects with, Section 262 of the DGCL (collectively, such shareholders, the “</w:t>
      </w:r>
      <w:r>
        <w:rPr>
          <w:rFonts w:ascii="Arial" w:cs="Arial" w:eastAsia="Arial" w:hAnsi="Arial"/>
          <w:sz w:val="17"/>
          <w:szCs w:val="17"/>
          <w:u w:val="single" w:color="auto"/>
          <w:color w:val="auto"/>
        </w:rPr>
        <w:t>Company Dissenting Shareholders</w:t>
      </w:r>
      <w:r>
        <w:rPr>
          <w:rFonts w:ascii="Arial" w:cs="Arial" w:eastAsia="Arial" w:hAnsi="Arial"/>
          <w:sz w:val="17"/>
          <w:szCs w:val="17"/>
          <w:color w:val="auto"/>
        </w:rPr>
        <w:t>”, and such shares, the “</w:t>
      </w:r>
      <w:r>
        <w:rPr>
          <w:rFonts w:ascii="Arial" w:cs="Arial" w:eastAsia="Arial" w:hAnsi="Arial"/>
          <w:sz w:val="17"/>
          <w:szCs w:val="17"/>
          <w:u w:val="single" w:color="auto"/>
          <w:color w:val="auto"/>
        </w:rPr>
        <w:t>Company Dissenting Shares</w:t>
      </w:r>
      <w:r>
        <w:rPr>
          <w:rFonts w:ascii="Arial" w:cs="Arial" w:eastAsia="Arial" w:hAnsi="Arial"/>
          <w:sz w:val="17"/>
          <w:szCs w:val="17"/>
          <w:color w:val="auto"/>
        </w:rPr>
        <w:t xml:space="preserve">”) shall not be converted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From and after the Effective Time, (i) the Company Dissenting Shares shall be cancelled and extinguished and shall cease to exist and (ii) the Company Dissenting Shareholders shall be entitled only to such rights as may be granted to them under </w:t>
      </w:r>
      <w:r>
        <w:rPr>
          <w:rFonts w:ascii="Arial" w:cs="Arial" w:eastAsia="Arial" w:hAnsi="Arial"/>
          <w:sz w:val="17"/>
          <w:szCs w:val="17"/>
          <w:u w:val="single" w:color="auto"/>
          <w:color w:val="auto"/>
        </w:rPr>
        <w:t>Section 262</w:t>
      </w:r>
      <w:r>
        <w:rPr>
          <w:rFonts w:ascii="Arial" w:cs="Arial" w:eastAsia="Arial" w:hAnsi="Arial"/>
          <w:sz w:val="17"/>
          <w:szCs w:val="17"/>
          <w:color w:val="auto"/>
        </w:rPr>
        <w:t xml:space="preserve"> of the DGCL and shall not be entitled to exercise any of the voting rights or other rights of a stockholder of ARYA, the Surviving Company or any of its Affiliates (including ARYA);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upon delivery of a properly completed and duly executed Letter of Transmittal (including, for the avoidance of doubt, any other documents or agreements required by the Letter of Transmittal) and the surrender of the applicable documents and other deliverables set forth in </w:t>
      </w:r>
      <w:r>
        <w:rPr>
          <w:rFonts w:ascii="Arial" w:cs="Arial" w:eastAsia="Arial" w:hAnsi="Arial"/>
          <w:sz w:val="17"/>
          <w:szCs w:val="17"/>
          <w:u w:val="single" w:color="auto"/>
          <w:color w:val="auto"/>
        </w:rPr>
        <w:t>Section 2.5(d)</w:t>
      </w:r>
      <w:r>
        <w:rPr>
          <w:rFonts w:ascii="Arial" w:cs="Arial" w:eastAsia="Arial" w:hAnsi="Arial"/>
          <w:sz w:val="17"/>
          <w:szCs w:val="17"/>
          <w:color w:val="auto"/>
        </w:rPr>
        <w:t>.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GROUP COMPANIES</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as set forth in the Company Disclosure Schedules (which shall only qualify the representations and warranties in this Article 3 in the manner set forth in Section 8.8), the Company hereby represents and warrants to the ARYA Parties, in each case, as of the date of this Agreement and as of the Closing, as follows: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Organization and Qualification.</w:t>
      </w:r>
    </w:p>
    <w:p>
      <w:pPr>
        <w:spacing w:after="0" w:line="175" w:lineRule="exact"/>
        <w:rPr>
          <w:sz w:val="20"/>
          <w:szCs w:val="20"/>
          <w:color w:val="auto"/>
        </w:rPr>
      </w:pPr>
    </w:p>
    <w:p>
      <w:pPr>
        <w:jc w:val="both"/>
        <w:ind w:firstLine="1304"/>
        <w:spacing w:after="0" w:line="254" w:lineRule="auto"/>
        <w:tabs>
          <w:tab w:leader="none" w:pos="194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spacing w:after="0" w:line="132"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necessary, except where the failure to be so duly qualified or licensed and in good standing would not have a Company Material Adverse Effect.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Capitalization of the Group Companies.</w:t>
      </w:r>
    </w:p>
    <w:p>
      <w:pPr>
        <w:spacing w:after="0" w:line="175" w:lineRule="exact"/>
        <w:rPr>
          <w:sz w:val="20"/>
          <w:szCs w:val="20"/>
          <w:color w:val="auto"/>
        </w:rPr>
      </w:pPr>
    </w:p>
    <w:p>
      <w:pPr>
        <w:jc w:val="both"/>
        <w:ind w:firstLine="1304"/>
        <w:spacing w:after="0" w:line="289" w:lineRule="auto"/>
        <w:tabs>
          <w:tab w:leader="none" w:pos="1941"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or for Equity Securities issued or granted after the date hereof either permitted by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as set forth in Section 5.1(b)(v) of the Company Disclosure Schedules), or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(i.e., the value of the Adjusted Transaction Share Consideration allocated to each Company Option (determined by reference to, for the avoidance of doubt, the ARYA Share Value) is in excess of the exercise (or similar) price applicable to such Company Option).</w:t>
      </w:r>
    </w:p>
    <w:p>
      <w:pPr>
        <w:spacing w:after="0" w:line="112" w:lineRule="exact"/>
        <w:rPr>
          <w:rFonts w:ascii="Arial" w:cs="Arial" w:eastAsia="Arial" w:hAnsi="Arial"/>
          <w:sz w:val="16"/>
          <w:szCs w:val="16"/>
          <w:color w:val="auto"/>
        </w:rPr>
      </w:pPr>
    </w:p>
    <w:p>
      <w:pPr>
        <w:jc w:val="both"/>
        <w:ind w:firstLine="1304"/>
        <w:spacing w:after="0" w:line="287" w:lineRule="auto"/>
        <w:tabs>
          <w:tab w:leader="none" w:pos="193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w:t>
      </w:r>
    </w:p>
    <w:p>
      <w:pPr>
        <w:spacing w:after="0" w:line="2" w:lineRule="exact"/>
        <w:rPr>
          <w:rFonts w:ascii="Arial" w:cs="Arial" w:eastAsia="Arial" w:hAnsi="Arial"/>
          <w:sz w:val="16"/>
          <w:szCs w:val="16"/>
          <w:color w:val="auto"/>
        </w:rPr>
      </w:pPr>
    </w:p>
    <w:p>
      <w:pPr>
        <w:jc w:val="both"/>
        <w:ind w:firstLine="8"/>
        <w:spacing w:after="0" w:line="269" w:lineRule="auto"/>
        <w:tabs>
          <w:tab w:leader="none" w:pos="3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have been offered, sold and issued in compliance with applicable Law, including Securities Laws, in each case under clauses (ii) and (iii), in all material respects. Except for the Company Options and Company Warrants set forth on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of the Company Disclosure Schedules and those either permitted by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(including as set forth in Section 5.1(b)(v) of the Company Disclosure Schedules), or issued, granted or entered into in accordance with </w:t>
      </w:r>
      <w:r>
        <w:rPr>
          <w:rFonts w:ascii="Arial" w:cs="Arial" w:eastAsia="Arial" w:hAnsi="Arial"/>
          <w:sz w:val="17"/>
          <w:szCs w:val="17"/>
          <w:u w:val="single" w:color="auto"/>
          <w:color w:val="auto"/>
        </w:rPr>
        <w:t>Section 5.1(b)(v)</w:t>
      </w:r>
      <w:r>
        <w:rPr>
          <w:rFonts w:ascii="Arial" w:cs="Arial" w:eastAsia="Arial" w:hAnsi="Arial"/>
          <w:sz w:val="17"/>
          <w:szCs w:val="17"/>
          <w:color w:val="auto"/>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26" w:lineRule="exact"/>
        <w:rPr>
          <w:rFonts w:ascii="Arial" w:cs="Arial" w:eastAsia="Arial" w:hAnsi="Arial"/>
          <w:sz w:val="17"/>
          <w:szCs w:val="17"/>
          <w:color w:val="auto"/>
        </w:rPr>
      </w:pPr>
    </w:p>
    <w:p>
      <w:pPr>
        <w:jc w:val="both"/>
        <w:ind w:firstLine="1304"/>
        <w:spacing w:after="0" w:line="270" w:lineRule="auto"/>
        <w:tabs>
          <w:tab w:leader="none" w:pos="1941"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126" w:lineRule="exact"/>
        <w:rPr>
          <w:rFonts w:ascii="Arial" w:cs="Arial" w:eastAsia="Arial" w:hAnsi="Arial"/>
          <w:sz w:val="17"/>
          <w:szCs w:val="17"/>
          <w:color w:val="auto"/>
        </w:rPr>
      </w:pPr>
    </w:p>
    <w:p>
      <w:pPr>
        <w:ind w:firstLine="1304"/>
        <w:spacing w:after="0" w:line="277" w:lineRule="auto"/>
        <w:tabs>
          <w:tab w:leader="none" w:pos="193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of the Company Disclosure Schedules, there are no voting trusts, proxies or other Contracts with respect to the voting or transfer of the Company’s Equity Securities between the Company and any other Person.</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ind w:left="1940" w:hanging="636"/>
        <w:spacing w:after="0"/>
        <w:tabs>
          <w:tab w:leader="none" w:pos="1940"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Section 3.2(f)</w:t>
      </w:r>
      <w:r>
        <w:rPr>
          <w:rFonts w:ascii="Arial" w:cs="Arial" w:eastAsia="Arial" w:hAnsi="Arial"/>
          <w:sz w:val="16"/>
          <w:szCs w:val="16"/>
          <w:color w:val="auto"/>
        </w:rPr>
        <w:t xml:space="preserve"> of the Company Disclosure Schedules sets forth a list of all Company Change of Control Payments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56"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Section 3.2(h)</w:t>
      </w:r>
      <w:r>
        <w:rPr>
          <w:rFonts w:ascii="Arial" w:cs="Arial" w:eastAsia="Arial" w:hAnsi="Arial"/>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1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Company has the requisite corporate power and authority to execute and deliver this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w:t>
      </w:r>
      <w:r>
        <w:rPr>
          <w:rFonts w:ascii="Arial" w:cs="Arial" w:eastAsia="Arial" w:hAnsi="Arial"/>
          <w:sz w:val="16"/>
          <w:szCs w:val="16"/>
          <w:u w:val="single" w:color="auto"/>
          <w:color w:val="auto"/>
        </w:rPr>
        <w:t>Company Required 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3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u w:val="single" w:color="auto"/>
          <w:color w:val="auto"/>
        </w:rPr>
        <w:t>Financial Statements; Undisclosed Liabilities.</w:t>
      </w:r>
    </w:p>
    <w:p>
      <w:pPr>
        <w:spacing w:after="0" w:line="175" w:lineRule="exact"/>
        <w:rPr>
          <w:sz w:val="20"/>
          <w:szCs w:val="20"/>
          <w:color w:val="auto"/>
        </w:rPr>
      </w:pPr>
    </w:p>
    <w:p>
      <w:pPr>
        <w:jc w:val="both"/>
        <w:ind w:firstLine="1304"/>
        <w:spacing w:after="0" w:line="293" w:lineRule="auto"/>
        <w:tabs>
          <w:tab w:leader="none" w:pos="194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Company has made available to ARYA a true and complete copy of the audited consolidated balance sheet of the Company as of December 31, 2019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audited consolidated statements of operations and comprehensive loss, convertible preferred stock and stockholders’ deficit and cash flows of the Company for the year then ended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which are attached as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jc w:val="both"/>
        <w:ind w:firstLine="1304"/>
        <w:spacing w:after="0" w:line="270" w:lineRule="auto"/>
        <w:tabs>
          <w:tab w:leader="none" w:pos="193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5.1(b)(i)-(vi)</w:t>
      </w:r>
      <w:r>
        <w:rPr>
          <w:rFonts w:ascii="Arial" w:cs="Arial" w:eastAsia="Arial" w:hAnsi="Arial"/>
          <w:sz w:val="17"/>
          <w:szCs w:val="17"/>
          <w:color w:val="auto"/>
        </w:rPr>
        <w:t xml:space="preserve"> of the Company Disclosure Schedules) and (vi) for Liabilities that are not and would not reasonably be expected to be, individually or in the aggregate, material to the Group Companies, taken as a whole, no Group Company has any Liabilities.</w:t>
      </w:r>
    </w:p>
    <w:p>
      <w:pPr>
        <w:spacing w:after="0" w:line="126" w:lineRule="exact"/>
        <w:rPr>
          <w:rFonts w:ascii="Arial" w:cs="Arial" w:eastAsia="Arial" w:hAnsi="Arial"/>
          <w:sz w:val="17"/>
          <w:szCs w:val="17"/>
          <w:color w:val="auto"/>
        </w:rPr>
      </w:pPr>
    </w:p>
    <w:p>
      <w:pPr>
        <w:ind w:right="80" w:firstLine="1304"/>
        <w:spacing w:after="0" w:line="255" w:lineRule="auto"/>
        <w:tabs>
          <w:tab w:leader="none" w:pos="194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38"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3.4(d)</w:t>
      </w:r>
      <w:r>
        <w:rPr>
          <w:rFonts w:ascii="Arial" w:cs="Arial" w:eastAsia="Arial" w:hAnsi="Arial"/>
          <w:sz w:val="18"/>
          <w:szCs w:val="18"/>
          <w:color w:val="auto"/>
        </w:rPr>
        <w:t xml:space="preserve"> 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spacing w:after="0" w:line="13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71" w:lineRule="auto"/>
        <w:tabs>
          <w:tab w:leader="none" w:pos="194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spacing w:after="0" w:line="124" w:lineRule="exact"/>
        <w:rPr>
          <w:rFonts w:ascii="Arial" w:cs="Arial" w:eastAsia="Arial" w:hAnsi="Arial"/>
          <w:sz w:val="17"/>
          <w:szCs w:val="17"/>
          <w:color w:val="auto"/>
        </w:rPr>
      </w:pPr>
    </w:p>
    <w:p>
      <w:pPr>
        <w:jc w:val="both"/>
        <w:ind w:firstLine="1304"/>
        <w:spacing w:after="0" w:line="253" w:lineRule="auto"/>
        <w:tabs>
          <w:tab w:leader="none" w:pos="193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Permits.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Group Companies has all Permits (the “Material Permits”) that are required to own, lease or operate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u w:val="single" w:color="auto"/>
          <w:color w:val="auto"/>
        </w:rPr>
        <w:t>Material Contracts.</w:t>
      </w:r>
    </w:p>
    <w:p>
      <w:pPr>
        <w:spacing w:after="0" w:line="175" w:lineRule="exact"/>
        <w:rPr>
          <w:sz w:val="20"/>
          <w:szCs w:val="20"/>
          <w:color w:val="auto"/>
        </w:rPr>
      </w:pPr>
    </w:p>
    <w:p>
      <w:pPr>
        <w:jc w:val="both"/>
        <w:ind w:firstLine="1304"/>
        <w:spacing w:after="0" w:line="279" w:lineRule="auto"/>
        <w:tabs>
          <w:tab w:leader="none" w:pos="1941"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300" w:right="20" w:firstLine="652"/>
        <w:spacing w:after="0" w:line="277" w:lineRule="auto"/>
        <w:tabs>
          <w:tab w:leader="none" w:pos="259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Contract relating to Indebtedness for borrowed money of any Group Company or to the placing of a Lien (other than a Permitted Lien) on any material assets or properties of any Group Company;</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9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57" w:lineRule="auto"/>
        <w:tabs>
          <w:tab w:leader="none" w:pos="258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spacing w:after="0" w:line="133" w:lineRule="exact"/>
        <w:rPr>
          <w:rFonts w:ascii="Arial" w:cs="Arial" w:eastAsia="Arial" w:hAnsi="Arial"/>
          <w:sz w:val="18"/>
          <w:szCs w:val="18"/>
          <w:color w:val="auto"/>
        </w:rPr>
      </w:pPr>
    </w:p>
    <w:p>
      <w:pPr>
        <w:jc w:val="both"/>
        <w:ind w:left="1300" w:firstLine="652"/>
        <w:spacing w:after="0" w:line="254" w:lineRule="auto"/>
        <w:tabs>
          <w:tab w:leader="none" w:pos="259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spacing w:after="0" w:line="140" w:lineRule="exact"/>
        <w:rPr>
          <w:rFonts w:ascii="Arial" w:cs="Arial" w:eastAsia="Arial" w:hAnsi="Arial"/>
          <w:sz w:val="18"/>
          <w:szCs w:val="18"/>
          <w:color w:val="auto"/>
        </w:rPr>
      </w:pPr>
    </w:p>
    <w:p>
      <w:pPr>
        <w:ind w:left="1300" w:firstLine="652"/>
        <w:spacing w:after="0" w:line="308" w:lineRule="auto"/>
        <w:tabs>
          <w:tab w:leader="none" w:pos="2586"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any Contract requiring any future capital commitment or capital expenditure (or series of capital expenditures) by any Group Company in an amount in excess of (A) $2,000,000 annually or (B) $5,000,000 over the life of the agreement;</w:t>
      </w:r>
    </w:p>
    <w:p>
      <w:pPr>
        <w:spacing w:after="0" w:line="92"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jc w:val="both"/>
        <w:ind w:left="1300" w:firstLine="652"/>
        <w:spacing w:after="0" w:line="263" w:lineRule="auto"/>
        <w:tabs>
          <w:tab w:leader="none" w:pos="25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spacing w:after="0" w:line="129" w:lineRule="exact"/>
        <w:rPr>
          <w:rFonts w:ascii="Arial" w:cs="Arial" w:eastAsia="Arial" w:hAnsi="Arial"/>
          <w:sz w:val="18"/>
          <w:szCs w:val="18"/>
          <w:color w:val="auto"/>
        </w:rPr>
      </w:pPr>
    </w:p>
    <w:p>
      <w:pPr>
        <w:ind w:left="2580" w:hanging="628"/>
        <w:spacing w:after="0"/>
        <w:tabs>
          <w:tab w:leader="none" w:pos="25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71" w:lineRule="exact"/>
        <w:rPr>
          <w:rFonts w:ascii="Arial" w:cs="Arial" w:eastAsia="Arial" w:hAnsi="Arial"/>
          <w:sz w:val="18"/>
          <w:szCs w:val="18"/>
          <w:color w:val="auto"/>
        </w:rPr>
      </w:pPr>
    </w:p>
    <w:p>
      <w:pPr>
        <w:jc w:val="both"/>
        <w:ind w:left="1300" w:firstLine="652"/>
        <w:spacing w:after="0" w:line="296" w:lineRule="auto"/>
        <w:tabs>
          <w:tab w:leader="none" w:pos="259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spacing w:after="0" w:line="107" w:lineRule="exact"/>
        <w:rPr>
          <w:rFonts w:ascii="Arial" w:cs="Arial" w:eastAsia="Arial" w:hAnsi="Arial"/>
          <w:sz w:val="16"/>
          <w:szCs w:val="16"/>
          <w:color w:val="auto"/>
        </w:rPr>
      </w:pPr>
    </w:p>
    <w:p>
      <w:pPr>
        <w:ind w:left="2580" w:hanging="628"/>
        <w:spacing w:after="0"/>
        <w:tabs>
          <w:tab w:leader="none" w:pos="25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Contract providing for any Company Change of Control Payment;</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64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91"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w:t>
      </w:r>
    </w:p>
    <w:p>
      <w:pPr>
        <w:spacing w:after="0" w:line="129" w:lineRule="exact"/>
        <w:rPr>
          <w:rFonts w:ascii="Arial" w:cs="Arial" w:eastAsia="Arial" w:hAnsi="Arial"/>
          <w:sz w:val="18"/>
          <w:szCs w:val="18"/>
          <w:color w:val="auto"/>
        </w:rPr>
      </w:pPr>
    </w:p>
    <w:p>
      <w:pPr>
        <w:jc w:val="both"/>
        <w:ind w:left="1300" w:firstLine="652"/>
        <w:spacing w:after="0" w:line="259" w:lineRule="auto"/>
        <w:tabs>
          <w:tab w:leader="none" w:pos="259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spacing w:after="0" w:line="132"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January 1, 2020 and ending on the date of this Agreement, (a)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and (iii) no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w:t>
      </w:r>
      <w:r>
        <w:rPr>
          <w:rFonts w:ascii="Arial" w:cs="Arial" w:eastAsia="Arial" w:hAnsi="Arial"/>
          <w:sz w:val="18"/>
          <w:szCs w:val="18"/>
          <w:color w:val="auto"/>
        </w:rPr>
        <w:t>).</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(and since January 1, 2018 there has been) no Proceeding, by any counterparty not a Party hereto,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to 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w:t>
      </w:r>
    </w:p>
    <w:p>
      <w:pPr>
        <w:spacing w:after="0" w:line="11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Compliance with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Group Company (a) conducts (and since January 1, 2018 has conducted)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5"/>
          <w:szCs w:val="15"/>
          <w:b w:val="1"/>
          <w:bCs w:val="1"/>
          <w:u w:val="single" w:color="auto"/>
          <w:color w:val="auto"/>
        </w:rPr>
        <w:t>Employee Plans.</w:t>
      </w:r>
    </w:p>
    <w:p>
      <w:pPr>
        <w:spacing w:after="0" w:line="175" w:lineRule="exact"/>
        <w:rPr>
          <w:sz w:val="20"/>
          <w:szCs w:val="20"/>
          <w:color w:val="auto"/>
        </w:rPr>
      </w:pPr>
    </w:p>
    <w:p>
      <w:pPr>
        <w:jc w:val="both"/>
        <w:ind w:firstLine="1304"/>
        <w:spacing w:after="0" w:line="286" w:lineRule="auto"/>
        <w:tabs>
          <w:tab w:leader="none" w:pos="1941"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11"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29" w:lineRule="exact"/>
        <w:rPr>
          <w:rFonts w:ascii="Arial" w:cs="Arial" w:eastAsia="Arial" w:hAnsi="Arial"/>
          <w:sz w:val="18"/>
          <w:szCs w:val="18"/>
          <w:color w:val="auto"/>
        </w:rPr>
      </w:pPr>
    </w:p>
    <w:p>
      <w:pPr>
        <w:jc w:val="both"/>
        <w:ind w:firstLine="1304"/>
        <w:spacing w:after="0" w:line="279" w:lineRule="auto"/>
        <w:tabs>
          <w:tab w:leader="none" w:pos="193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spacing w:after="0" w:line="117" w:lineRule="exact"/>
        <w:rPr>
          <w:rFonts w:ascii="Arial" w:cs="Arial" w:eastAsia="Arial" w:hAnsi="Arial"/>
          <w:sz w:val="17"/>
          <w:szCs w:val="17"/>
          <w:color w:val="auto"/>
        </w:rPr>
      </w:pPr>
    </w:p>
    <w:p>
      <w:pPr>
        <w:jc w:val="both"/>
        <w:ind w:firstLine="1304"/>
        <w:spacing w:after="0" w:line="257" w:lineRule="auto"/>
        <w:tabs>
          <w:tab w:leader="none" w:pos="194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due have been timely made, except as is not and would not reasonably be expected to be, individually or in the aggregate, material to the Group Companies, taken as a whole.</w:t>
      </w:r>
    </w:p>
    <w:p>
      <w:pPr>
        <w:spacing w:after="0" w:line="116" w:lineRule="exact"/>
        <w:rPr>
          <w:sz w:val="20"/>
          <w:szCs w:val="20"/>
          <w:color w:val="auto"/>
        </w:rPr>
      </w:pPr>
    </w:p>
    <w:p>
      <w:pPr>
        <w:jc w:val="both"/>
        <w:ind w:firstLine="1304"/>
        <w:spacing w:after="0" w:line="272" w:lineRule="auto"/>
        <w:tabs>
          <w:tab w:leader="none" w:pos="193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32" w:lineRule="exact"/>
        <w:rPr>
          <w:rFonts w:ascii="Arial" w:cs="Arial" w:eastAsia="Arial" w:hAnsi="Arial"/>
          <w:sz w:val="18"/>
          <w:szCs w:val="18"/>
          <w:color w:val="auto"/>
        </w:rPr>
      </w:pPr>
    </w:p>
    <w:p>
      <w:pPr>
        <w:ind w:firstLine="1304"/>
        <w:spacing w:after="0" w:line="277" w:lineRule="auto"/>
        <w:tabs>
          <w:tab w:leader="none" w:pos="193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Group Companies have no material obligation to make a “gross-up” or similar payment in respect of any taxes that may become payable under Section 4999 or 409A of the Code.</w:t>
      </w:r>
    </w:p>
    <w:p>
      <w:pPr>
        <w:spacing w:after="0" w:line="116"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6"/>
          <w:szCs w:val="16"/>
          <w:b w:val="1"/>
          <w:bCs w:val="1"/>
          <w:u w:val="single" w:color="auto"/>
          <w:color w:val="auto"/>
        </w:rPr>
        <w:t xml:space="preserve">Environmental Matters. </w:t>
      </w:r>
      <w:r>
        <w:rPr>
          <w:rFonts w:ascii="Arial" w:cs="Arial" w:eastAsia="Arial" w:hAnsi="Arial"/>
          <w:sz w:val="16"/>
          <w:szCs w:val="16"/>
          <w:color w:val="auto"/>
        </w:rPr>
        <w:t>Except as would not have a Company Material Adverse Effect:</w:t>
      </w:r>
    </w:p>
    <w:p>
      <w:pPr>
        <w:spacing w:after="0" w:line="175" w:lineRule="exact"/>
        <w:rPr>
          <w:sz w:val="20"/>
          <w:szCs w:val="20"/>
          <w:color w:val="auto"/>
        </w:rPr>
      </w:pPr>
    </w:p>
    <w:p>
      <w:pPr>
        <w:ind w:firstLine="1304"/>
        <w:spacing w:after="0" w:line="342" w:lineRule="auto"/>
        <w:tabs>
          <w:tab w:leader="none" w:pos="194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69" w:lineRule="exact"/>
        <w:rPr>
          <w:rFonts w:ascii="Arial" w:cs="Arial" w:eastAsia="Arial" w:hAnsi="Arial"/>
          <w:sz w:val="16"/>
          <w:szCs w:val="16"/>
          <w:color w:val="auto"/>
        </w:rPr>
      </w:pPr>
    </w:p>
    <w:p>
      <w:pPr>
        <w:ind w:right="500" w:firstLine="1304"/>
        <w:spacing w:after="0" w:line="277" w:lineRule="auto"/>
        <w:tabs>
          <w:tab w:leader="none" w:pos="193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Proceeding pending or, to the Company’s knowledge, threatened in writing against or involving any Group Company in respect to any Environmental Laws.</w:t>
      </w:r>
    </w:p>
    <w:p>
      <w:pPr>
        <w:spacing w:after="0" w:line="116" w:lineRule="exact"/>
        <w:rPr>
          <w:rFonts w:ascii="Arial" w:cs="Arial" w:eastAsia="Arial" w:hAnsi="Arial"/>
          <w:sz w:val="18"/>
          <w:szCs w:val="18"/>
          <w:color w:val="auto"/>
        </w:rPr>
      </w:pPr>
    </w:p>
    <w:p>
      <w:pPr>
        <w:ind w:firstLine="1304"/>
        <w:spacing w:after="0" w:line="342" w:lineRule="auto"/>
        <w:tabs>
          <w:tab w:leader="none" w:pos="194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6"/>
          <w:szCs w:val="16"/>
          <w:b w:val="1"/>
          <w:bCs w:val="1"/>
          <w:u w:val="single" w:color="auto"/>
          <w:color w:val="auto"/>
        </w:rPr>
        <w:t>Intellectual Property.</w:t>
      </w:r>
    </w:p>
    <w:p>
      <w:pPr>
        <w:spacing w:after="0" w:line="175" w:lineRule="exact"/>
        <w:rPr>
          <w:sz w:val="20"/>
          <w:szCs w:val="20"/>
          <w:color w:val="auto"/>
        </w:rPr>
      </w:pPr>
    </w:p>
    <w:p>
      <w:pPr>
        <w:jc w:val="both"/>
        <w:ind w:firstLine="1304"/>
        <w:spacing w:after="0" w:line="279" w:lineRule="auto"/>
        <w:tabs>
          <w:tab w:leader="none" w:pos="1941"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lists, for each item of Company Registered Intellectual Property as of the date of this Agreement (A) the record owner of such item, (B) the jurisdictions in which such item has been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registered or filed, (C) the issuance, registration or application date, as applicable, for such item and (D) the issuance, registration or application number, as applicable, for such item.</w:t>
      </w:r>
    </w:p>
    <w:p>
      <w:pPr>
        <w:spacing w:after="0" w:line="116" w:lineRule="exact"/>
        <w:rPr>
          <w:sz w:val="20"/>
          <w:szCs w:val="20"/>
          <w:color w:val="auto"/>
        </w:rPr>
      </w:pPr>
    </w:p>
    <w:p>
      <w:pPr>
        <w:jc w:val="both"/>
        <w:ind w:firstLine="1304"/>
        <w:spacing w:after="0" w:line="253" w:lineRule="auto"/>
        <w:tabs>
          <w:tab w:leader="none" w:pos="193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142" w:lineRule="exact"/>
        <w:rPr>
          <w:rFonts w:ascii="Arial" w:cs="Arial" w:eastAsia="Arial" w:hAnsi="Arial"/>
          <w:sz w:val="18"/>
          <w:szCs w:val="18"/>
          <w:color w:val="auto"/>
        </w:rPr>
      </w:pPr>
    </w:p>
    <w:p>
      <w:pPr>
        <w:jc w:val="both"/>
        <w:ind w:firstLine="1304"/>
        <w:spacing w:after="0" w:line="284" w:lineRule="auto"/>
        <w:tabs>
          <w:tab w:leader="none" w:pos="194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Arial" w:cs="Arial" w:eastAsia="Arial" w:hAnsi="Arial"/>
          <w:sz w:val="16"/>
          <w:szCs w:val="16"/>
          <w:u w:val="single" w:color="auto"/>
          <w:color w:val="auto"/>
        </w:rPr>
        <w:t>Non-Scheduled Contracts</w:t>
      </w:r>
      <w:r>
        <w:rPr>
          <w:rFonts w:ascii="Arial" w:cs="Arial" w:eastAsia="Arial" w:hAnsi="Arial"/>
          <w:sz w:val="16"/>
          <w:szCs w:val="16"/>
          <w:color w:val="auto"/>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25"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Arial" w:cs="Arial" w:eastAsia="Arial" w:hAnsi="Arial"/>
          <w:sz w:val="17"/>
          <w:szCs w:val="17"/>
          <w:u w:val="single" w:color="auto"/>
          <w:color w:val="auto"/>
        </w:rPr>
        <w:t>Creator</w:t>
      </w:r>
      <w:r>
        <w:rPr>
          <w:rFonts w:ascii="Arial" w:cs="Arial" w:eastAsia="Arial" w:hAnsi="Arial"/>
          <w:sz w:val="17"/>
          <w:szCs w:val="17"/>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engagement with such Group Company, other than such Intellectual Property Rights that cannot be assigned under applicable Law.</w:t>
      </w:r>
    </w:p>
    <w:p>
      <w:pPr>
        <w:spacing w:after="0" w:line="171" w:lineRule="exact"/>
        <w:rPr>
          <w:sz w:val="20"/>
          <w:szCs w:val="20"/>
          <w:color w:val="auto"/>
        </w:rPr>
      </w:pPr>
    </w:p>
    <w:p>
      <w:pPr>
        <w:jc w:val="both"/>
        <w:ind w:firstLine="1304"/>
        <w:spacing w:after="0" w:line="293" w:lineRule="auto"/>
        <w:tabs>
          <w:tab w:leader="none" w:pos="1941"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spacing w:after="0" w:line="110" w:lineRule="exact"/>
        <w:rPr>
          <w:rFonts w:ascii="Arial" w:cs="Arial" w:eastAsia="Arial" w:hAnsi="Arial"/>
          <w:sz w:val="16"/>
          <w:szCs w:val="16"/>
          <w:color w:val="auto"/>
        </w:rPr>
      </w:pPr>
    </w:p>
    <w:p>
      <w:pPr>
        <w:jc w:val="both"/>
        <w:ind w:firstLine="1304"/>
        <w:spacing w:after="0" w:line="259" w:lineRule="auto"/>
        <w:tabs>
          <w:tab w:leader="none" w:pos="193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32"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38" w:lineRule="exact"/>
        <w:rPr>
          <w:rFonts w:ascii="Arial" w:cs="Arial" w:eastAsia="Arial" w:hAnsi="Arial"/>
          <w:sz w:val="18"/>
          <w:szCs w:val="18"/>
          <w:color w:val="auto"/>
        </w:rPr>
      </w:pPr>
    </w:p>
    <w:p>
      <w:pPr>
        <w:jc w:val="both"/>
        <w:ind w:firstLine="1304"/>
        <w:spacing w:after="0" w:line="273" w:lineRule="auto"/>
        <w:tabs>
          <w:tab w:leader="none" w:pos="193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jc w:val="both"/>
        <w:ind w:firstLine="1304"/>
        <w:spacing w:after="0" w:line="287" w:lineRule="auto"/>
        <w:tabs>
          <w:tab w:leader="none" w:pos="193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7"/>
          <w:szCs w:val="17"/>
          <w:b w:val="1"/>
          <w:bCs w:val="1"/>
          <w:u w:val="single" w:color="auto"/>
          <w:color w:val="auto"/>
        </w:rPr>
        <w:t>Labor Matters</w:t>
      </w:r>
      <w:r>
        <w:rPr>
          <w:rFonts w:ascii="Arial" w:cs="Arial" w:eastAsia="Arial" w:hAnsi="Arial"/>
          <w:sz w:val="17"/>
          <w:szCs w:val="17"/>
          <w:color w:val="auto"/>
        </w:rPr>
        <w:t>.</w:t>
      </w:r>
    </w:p>
    <w:p>
      <w:pPr>
        <w:spacing w:after="0" w:line="175" w:lineRule="exact"/>
        <w:rPr>
          <w:sz w:val="20"/>
          <w:szCs w:val="20"/>
          <w:color w:val="auto"/>
        </w:rPr>
      </w:pPr>
    </w:p>
    <w:p>
      <w:pPr>
        <w:jc w:val="both"/>
        <w:ind w:firstLine="1304"/>
        <w:spacing w:after="0" w:line="290" w:lineRule="auto"/>
        <w:tabs>
          <w:tab w:leader="none" w:pos="194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spacing w:after="0" w:line="111"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129" w:lineRule="exact"/>
        <w:rPr>
          <w:rFonts w:ascii="Arial" w:cs="Arial" w:eastAsia="Arial" w:hAnsi="Arial"/>
          <w:sz w:val="18"/>
          <w:szCs w:val="18"/>
          <w:color w:val="auto"/>
        </w:rPr>
      </w:pPr>
    </w:p>
    <w:p>
      <w:pPr>
        <w:ind w:right="40" w:firstLine="1304"/>
        <w:spacing w:after="0" w:line="271" w:lineRule="auto"/>
        <w:tabs>
          <w:tab w:leader="none" w:pos="194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spacing w:after="0" w:line="124" w:lineRule="exact"/>
        <w:rPr>
          <w:rFonts w:ascii="Arial" w:cs="Arial" w:eastAsia="Arial" w:hAnsi="Arial"/>
          <w:sz w:val="17"/>
          <w:szCs w:val="17"/>
          <w:color w:val="auto"/>
        </w:rPr>
      </w:pPr>
    </w:p>
    <w:p>
      <w:pPr>
        <w:jc w:val="both"/>
        <w:ind w:firstLine="1304"/>
        <w:spacing w:after="0" w:line="293" w:lineRule="auto"/>
        <w:tabs>
          <w:tab w:leader="none" w:pos="193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sets forth a list of all material policies of fire, liability,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11"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right="20" w:firstLine="1304"/>
        <w:spacing w:after="0" w:line="342" w:lineRule="auto"/>
        <w:tabs>
          <w:tab w:leader="none" w:pos="194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29" w:lineRule="exact"/>
        <w:rPr>
          <w:rFonts w:ascii="Arial" w:cs="Arial" w:eastAsia="Arial" w:hAnsi="Arial"/>
          <w:sz w:val="18"/>
          <w:szCs w:val="18"/>
          <w:color w:val="auto"/>
        </w:rPr>
      </w:pPr>
    </w:p>
    <w:p>
      <w:pPr>
        <w:ind w:right="20" w:firstLine="1304"/>
        <w:spacing w:after="0" w:line="277" w:lineRule="auto"/>
        <w:tabs>
          <w:tab w:leader="none" w:pos="193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33" w:lineRule="exact"/>
        <w:rPr>
          <w:rFonts w:ascii="Arial" w:cs="Arial" w:eastAsia="Arial" w:hAnsi="Arial"/>
          <w:sz w:val="18"/>
          <w:szCs w:val="18"/>
          <w:color w:val="auto"/>
        </w:rPr>
      </w:pPr>
    </w:p>
    <w:p>
      <w:pPr>
        <w:ind w:right="20" w:firstLine="1304"/>
        <w:spacing w:after="0" w:line="308" w:lineRule="auto"/>
        <w:tabs>
          <w:tab w:leader="none" w:pos="193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92" w:lineRule="exact"/>
        <w:rPr>
          <w:rFonts w:ascii="Arial" w:cs="Arial" w:eastAsia="Arial" w:hAnsi="Arial"/>
          <w:sz w:val="17"/>
          <w:szCs w:val="17"/>
          <w:color w:val="auto"/>
        </w:rPr>
      </w:pPr>
    </w:p>
    <w:p>
      <w:pPr>
        <w:ind w:right="20" w:firstLine="1304"/>
        <w:spacing w:after="0" w:line="277" w:lineRule="auto"/>
        <w:tabs>
          <w:tab w:leader="none" w:pos="193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Group Company is a party to any Tax allocation, Tax sharing or Tax indemnity or similar agreements (other than one that is included in a Contract entered into in the ordinary course of business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is not primarily related to Taxes) and no Group Company is a party to any joint venture, partnership or other arrangement that is treated as a partnership for U.S. federal income Tax purposes.</w:t>
      </w:r>
    </w:p>
    <w:p>
      <w:pPr>
        <w:spacing w:after="0" w:line="116" w:lineRule="exact"/>
        <w:rPr>
          <w:sz w:val="20"/>
          <w:szCs w:val="20"/>
          <w:color w:val="auto"/>
        </w:rPr>
      </w:pPr>
    </w:p>
    <w:p>
      <w:pPr>
        <w:ind w:left="1940" w:hanging="636"/>
        <w:spacing w:after="0"/>
        <w:tabs>
          <w:tab w:leader="none" w:pos="19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formation.</w:t>
      </w:r>
    </w:p>
    <w:p>
      <w:pPr>
        <w:spacing w:after="0" w:line="171" w:lineRule="exact"/>
        <w:rPr>
          <w:rFonts w:ascii="Arial" w:cs="Arial" w:eastAsia="Arial" w:hAnsi="Arial"/>
          <w:sz w:val="18"/>
          <w:szCs w:val="18"/>
          <w:color w:val="auto"/>
        </w:rPr>
      </w:pPr>
    </w:p>
    <w:p>
      <w:pPr>
        <w:ind w:right="160" w:firstLine="1304"/>
        <w:spacing w:after="0" w:line="277" w:lineRule="auto"/>
        <w:tabs>
          <w:tab w:leader="none" w:pos="193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fees (including a good faith estimate of the amounts due and payable assuming the Closing occurs)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3.18</w:t>
      </w:r>
      <w:r>
        <w:rPr>
          <w:sz w:val="20"/>
          <w:szCs w:val="20"/>
          <w:color w:val="auto"/>
        </w:rPr>
        <w:tab/>
      </w:r>
      <w:r>
        <w:rPr>
          <w:rFonts w:ascii="Arial" w:cs="Arial" w:eastAsia="Arial" w:hAnsi="Arial"/>
          <w:sz w:val="16"/>
          <w:szCs w:val="16"/>
          <w:b w:val="1"/>
          <w:bCs w:val="1"/>
          <w:u w:val="single" w:color="auto"/>
          <w:color w:val="auto"/>
        </w:rPr>
        <w:t>Real and Personal Property.</w:t>
      </w:r>
    </w:p>
    <w:p>
      <w:pPr>
        <w:spacing w:after="0" w:line="175" w:lineRule="exact"/>
        <w:rPr>
          <w:sz w:val="20"/>
          <w:szCs w:val="20"/>
          <w:color w:val="auto"/>
        </w:rPr>
      </w:pPr>
    </w:p>
    <w:p>
      <w:pPr>
        <w:ind w:left="1940" w:hanging="636"/>
        <w:spacing w:after="0"/>
        <w:tabs>
          <w:tab w:leader="none" w:pos="194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owns any real property.</w:t>
      </w:r>
    </w:p>
    <w:p>
      <w:pPr>
        <w:spacing w:after="0" w:line="171" w:lineRule="exact"/>
        <w:rPr>
          <w:rFonts w:ascii="Arial" w:cs="Arial" w:eastAsia="Arial" w:hAnsi="Arial"/>
          <w:sz w:val="18"/>
          <w:szCs w:val="18"/>
          <w:color w:val="auto"/>
        </w:rPr>
      </w:pPr>
    </w:p>
    <w:p>
      <w:pPr>
        <w:jc w:val="both"/>
        <w:ind w:firstLine="1304"/>
        <w:spacing w:after="0" w:line="287" w:lineRule="auto"/>
        <w:tabs>
          <w:tab w:leader="none" w:pos="1938"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of the Company Disclosure Schedules sets forth a true and complete list (including street addresses) of all real property leased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spacing w:after="0" w:line="117"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129" w:lineRule="exact"/>
        <w:rPr>
          <w:rFonts w:ascii="Arial" w:cs="Arial" w:eastAsia="Arial" w:hAnsi="Arial"/>
          <w:sz w:val="18"/>
          <w:szCs w:val="18"/>
          <w:color w:val="auto"/>
        </w:rPr>
      </w:pPr>
    </w:p>
    <w:p>
      <w:pPr>
        <w:ind w:right="60" w:firstLine="1304"/>
        <w:spacing w:after="0" w:line="259"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spacing w:after="0" w:line="1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3.19 of the Company Disclosure Schedules sets forth all Contracts between (a) any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one hand, and (b) any employee, officer, director, equityholder or Affiliate of any Group Company or any spouse, child or member of the same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hold of any officer, director or employee of any Group Company or any Affiliate of any Group Company, on the other hand (each Person identified in this clause (b), a “</w:t>
      </w:r>
      <w:r>
        <w:rPr>
          <w:rFonts w:ascii="Arial" w:cs="Arial" w:eastAsia="Arial" w:hAnsi="Arial"/>
          <w:sz w:val="16"/>
          <w:szCs w:val="16"/>
          <w:u w:val="single" w:color="auto"/>
          <w:color w:val="auto"/>
        </w:rPr>
        <w:t>Company Affiliated Party</w:t>
      </w:r>
      <w:r>
        <w:rPr>
          <w:rFonts w:ascii="Arial" w:cs="Arial" w:eastAsia="Arial" w:hAnsi="Arial"/>
          <w:sz w:val="16"/>
          <w:szCs w:val="16"/>
          <w:color w:val="auto"/>
        </w:rPr>
        <w:t xml:space="preserve">”),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5.1(b)(i)-(vi)</w:t>
      </w:r>
      <w:r>
        <w:rPr>
          <w:rFonts w:ascii="Arial" w:cs="Arial" w:eastAsia="Arial" w:hAnsi="Arial"/>
          <w:sz w:val="16"/>
          <w:szCs w:val="16"/>
          <w:color w:val="auto"/>
        </w:rPr>
        <w:t xml:space="preserve"> of the Company Disclosure Schedules) or entered into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(iii) Contracts with respect to a Company Shareholder’s or a holder of Company Equity Award’s status as a holder of Equity Securities of the Company, and (iv) customary director and officer indemnification agreements that have been made available to ARYA. No Company Affiliated Party</w:t>
      </w:r>
    </w:p>
    <w:p>
      <w:pPr>
        <w:spacing w:after="0" w:line="2" w:lineRule="exact"/>
        <w:rPr>
          <w:sz w:val="20"/>
          <w:szCs w:val="20"/>
          <w:color w:val="auto"/>
        </w:rPr>
      </w:pPr>
    </w:p>
    <w:p>
      <w:pPr>
        <w:jc w:val="both"/>
        <w:ind w:firstLine="8"/>
        <w:spacing w:after="0" w:line="253" w:lineRule="auto"/>
        <w:tabs>
          <w:tab w:leader="none" w:pos="32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(including, for the avoidance of doubt, pursuant to the second sentence of this </w:t>
      </w:r>
      <w:r>
        <w:rPr>
          <w:rFonts w:ascii="Arial" w:cs="Arial" w:eastAsia="Arial" w:hAnsi="Arial"/>
          <w:sz w:val="18"/>
          <w:szCs w:val="18"/>
          <w:u w:val="single" w:color="auto"/>
          <w:color w:val="auto"/>
        </w:rPr>
        <w:t>Section 3.19</w:t>
      </w:r>
      <w:r>
        <w:rPr>
          <w:rFonts w:ascii="Arial" w:cs="Arial" w:eastAsia="Arial" w:hAnsi="Arial"/>
          <w:sz w:val="18"/>
          <w:szCs w:val="18"/>
          <w:color w:val="auto"/>
        </w:rPr>
        <w:t>) are referred to herein as “</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6"/>
          <w:szCs w:val="16"/>
          <w:b w:val="1"/>
          <w:bCs w:val="1"/>
          <w:u w:val="single" w:color="auto"/>
          <w:color w:val="auto"/>
        </w:rPr>
        <w:t>Data Privacy and Security.</w:t>
      </w:r>
    </w:p>
    <w:p>
      <w:pPr>
        <w:spacing w:after="0" w:line="175" w:lineRule="exact"/>
        <w:rPr>
          <w:sz w:val="20"/>
          <w:szCs w:val="20"/>
          <w:color w:val="auto"/>
        </w:rPr>
      </w:pPr>
    </w:p>
    <w:p>
      <w:pPr>
        <w:jc w:val="both"/>
        <w:ind w:firstLine="1304"/>
        <w:spacing w:after="0" w:line="279" w:lineRule="auto"/>
        <w:tabs>
          <w:tab w:leader="none" w:pos="194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spacing w:after="0" w:line="117" w:lineRule="exact"/>
        <w:rPr>
          <w:rFonts w:ascii="Arial" w:cs="Arial" w:eastAsia="Arial" w:hAnsi="Arial"/>
          <w:sz w:val="17"/>
          <w:szCs w:val="17"/>
          <w:color w:val="auto"/>
        </w:rPr>
      </w:pPr>
    </w:p>
    <w:p>
      <w:pPr>
        <w:jc w:val="both"/>
        <w:ind w:firstLine="1304"/>
        <w:spacing w:after="0" w:line="296" w:lineRule="auto"/>
        <w:tabs>
          <w:tab w:leader="none" w:pos="193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 (ii) 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spacing w:after="0" w:line="107" w:lineRule="exact"/>
        <w:rPr>
          <w:rFonts w:ascii="Arial" w:cs="Arial" w:eastAsia="Arial" w:hAnsi="Arial"/>
          <w:sz w:val="16"/>
          <w:szCs w:val="16"/>
          <w:color w:val="auto"/>
        </w:rPr>
      </w:pPr>
    </w:p>
    <w:p>
      <w:pPr>
        <w:ind w:right="20" w:firstLine="1304"/>
        <w:spacing w:after="0" w:line="272" w:lineRule="auto"/>
        <w:tabs>
          <w:tab w:leader="none" w:pos="194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jc w:val="both"/>
        <w:ind w:firstLine="1304"/>
        <w:spacing w:after="0" w:line="257" w:lineRule="auto"/>
        <w:tabs>
          <w:tab w:leader="none" w:pos="193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3.22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the Group Companies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3.22</w:t>
      </w:r>
      <w:r>
        <w:rPr>
          <w:rFonts w:ascii="Arial" w:cs="Arial" w:eastAsia="Arial" w:hAnsi="Arial"/>
          <w:sz w:val="17"/>
          <w:szCs w:val="17"/>
          <w:color w:val="auto"/>
        </w:rPr>
        <w:t>,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6"/>
          <w:szCs w:val="16"/>
          <w:b w:val="1"/>
          <w:bCs w:val="1"/>
          <w:u w:val="single" w:color="auto"/>
          <w:color w:val="auto"/>
        </w:rPr>
        <w:t>Regulatory Compliance.</w:t>
      </w:r>
    </w:p>
    <w:p>
      <w:pPr>
        <w:spacing w:after="0" w:line="175" w:lineRule="exact"/>
        <w:rPr>
          <w:sz w:val="20"/>
          <w:szCs w:val="20"/>
          <w:color w:val="auto"/>
        </w:rPr>
      </w:pPr>
    </w:p>
    <w:p>
      <w:pPr>
        <w:jc w:val="both"/>
        <w:ind w:firstLine="1304"/>
        <w:spacing w:after="0" w:line="255" w:lineRule="auto"/>
        <w:tabs>
          <w:tab w:leader="none" w:pos="194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w:t>
      </w:r>
    </w:p>
    <w:p>
      <w:pPr>
        <w:spacing w:after="0" w:line="138" w:lineRule="exact"/>
        <w:rPr>
          <w:rFonts w:ascii="Arial" w:cs="Arial" w:eastAsia="Arial" w:hAnsi="Arial"/>
          <w:sz w:val="18"/>
          <w:szCs w:val="18"/>
          <w:color w:val="auto"/>
        </w:rPr>
      </w:pPr>
    </w:p>
    <w:p>
      <w:pPr>
        <w:jc w:val="both"/>
        <w:ind w:right="20" w:firstLine="1304"/>
        <w:spacing w:after="0" w:line="259" w:lineRule="auto"/>
        <w:tabs>
          <w:tab w:leader="none" w:pos="193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spacing w:after="0" w:line="129" w:lineRule="exact"/>
        <w:rPr>
          <w:rFonts w:ascii="Arial" w:cs="Arial" w:eastAsia="Arial" w:hAnsi="Arial"/>
          <w:sz w:val="18"/>
          <w:szCs w:val="18"/>
          <w:color w:val="auto"/>
        </w:rPr>
      </w:pPr>
    </w:p>
    <w:p>
      <w:pPr>
        <w:ind w:firstLine="1304"/>
        <w:spacing w:after="0" w:line="277" w:lineRule="auto"/>
        <w:tabs>
          <w:tab w:leader="none" w:pos="193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Since January 1, 2018, no Group Company has undergone, or is currently undergoing, any inspection related to any Company Product or any other Governmental Entity investigation under any Public Health Law.</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3.24</w:t>
      </w:r>
      <w:r>
        <w:rPr>
          <w:sz w:val="20"/>
          <w:szCs w:val="20"/>
          <w:color w:val="auto"/>
        </w:rPr>
        <w:tab/>
      </w:r>
      <w:r>
        <w:rPr>
          <w:rFonts w:ascii="Arial" w:cs="Arial" w:eastAsia="Arial" w:hAnsi="Arial"/>
          <w:sz w:val="16"/>
          <w:szCs w:val="16"/>
          <w:b w:val="1"/>
          <w:bCs w:val="1"/>
          <w:u w:val="single" w:color="auto"/>
          <w:color w:val="auto"/>
        </w:rPr>
        <w:t>Investigation; No Other Representations.</w:t>
      </w:r>
    </w:p>
    <w:p>
      <w:pPr>
        <w:spacing w:after="0" w:line="175" w:lineRule="exact"/>
        <w:rPr>
          <w:sz w:val="20"/>
          <w:szCs w:val="20"/>
          <w:color w:val="auto"/>
        </w:rPr>
      </w:pPr>
    </w:p>
    <w:p>
      <w:pPr>
        <w:jc w:val="both"/>
        <w:ind w:firstLine="1304"/>
        <w:spacing w:after="0" w:line="296" w:lineRule="auto"/>
        <w:tabs>
          <w:tab w:leader="none" w:pos="194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44" w:lineRule="exact"/>
        <w:rPr>
          <w:sz w:val="20"/>
          <w:szCs w:val="20"/>
          <w:color w:val="auto"/>
        </w:rPr>
      </w:pPr>
    </w:p>
    <w:p>
      <w:pPr>
        <w:jc w:val="both"/>
        <w:ind w:firstLine="1304"/>
        <w:spacing w:after="0" w:line="254" w:lineRule="auto"/>
        <w:tabs>
          <w:tab w:leader="none" w:pos="193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ARYA PARTIES</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Except (a) as set forth on the ARYA Disclosure Schedules, (which will only qualify the representations and warranties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manner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set forth in or disclosed in the ARYA SEC Reports will qualify, or been deemed to qualify, the representations and warranties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each ARYA Party hereby represents and warrants to the Company, in each case, as of the date of this Agreement and as of the Closing,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ARYA Party is an exempted company, corporation, limited liability company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w:t>
      </w:r>
    </w:p>
    <w:p>
      <w:pPr>
        <w:spacing w:after="0" w:line="1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ARYA Party has the requisite exempted company, corporate, limited liability company or other similar power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w:t>
      </w:r>
    </w:p>
    <w:p>
      <w:pPr>
        <w:spacing w:after="0" w:line="33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53" w:lineRule="auto"/>
        <w:tabs>
          <w:tab w:leader="none" w:pos="194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 (v) the filing of the Certificate of Merger, or (vi) any other consents, approvals, authorizations, designations, declarations, waivers or filings,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absence of which would not have an ARYA Material Adverse Effect. ARYA is its own ultimate parent entity (as such term is defined in the HSR Act).</w:t>
      </w:r>
    </w:p>
    <w:p>
      <w:pPr>
        <w:spacing w:after="0" w:line="183" w:lineRule="exact"/>
        <w:rPr>
          <w:sz w:val="20"/>
          <w:szCs w:val="20"/>
          <w:color w:val="auto"/>
        </w:rPr>
      </w:pPr>
    </w:p>
    <w:p>
      <w:pPr>
        <w:jc w:val="both"/>
        <w:ind w:firstLine="1304"/>
        <w:spacing w:after="0" w:line="253" w:lineRule="auto"/>
        <w:tabs>
          <w:tab w:leader="none" w:pos="19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an ARYA Material Adverse Effect.</w:t>
      </w:r>
    </w:p>
    <w:p>
      <w:pPr>
        <w:spacing w:after="0" w:line="13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fees (including a good faith estimate of the amounts due and payable assuming the Closing occurs)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either ARYA Party expressly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no representation or warranty is made by either ARYA Party with respect to information or statements made or incorporated by reference in the Registration Statement / Proxy Statement that were not supplied by or on behalf of the ARYA Parties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Capitalization of the ARYA Parties.</w:t>
      </w:r>
    </w:p>
    <w:p>
      <w:pPr>
        <w:spacing w:after="0" w:line="175" w:lineRule="exact"/>
        <w:rPr>
          <w:sz w:val="20"/>
          <w:szCs w:val="20"/>
          <w:color w:val="auto"/>
        </w:rPr>
      </w:pPr>
    </w:p>
    <w:p>
      <w:pPr>
        <w:jc w:val="both"/>
        <w:ind w:firstLine="1304"/>
        <w:spacing w:after="0" w:line="268" w:lineRule="auto"/>
        <w:tabs>
          <w:tab w:leader="none" w:pos="1941"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4" w:lineRule="exact"/>
        <w:rPr>
          <w:sz w:val="20"/>
          <w:szCs w:val="20"/>
          <w:color w:val="auto"/>
        </w:rPr>
      </w:pPr>
    </w:p>
    <w:p>
      <w:pPr>
        <w:jc w:val="both"/>
        <w:ind w:firstLine="1304"/>
        <w:spacing w:after="0" w:line="267" w:lineRule="auto"/>
        <w:tabs>
          <w:tab w:leader="none" w:pos="1938"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2.3(a)</w:t>
      </w:r>
      <w:r>
        <w:rPr>
          <w:rFonts w:ascii="Arial" w:cs="Arial" w:eastAsia="Arial" w:hAnsi="Arial"/>
          <w:sz w:val="17"/>
          <w:szCs w:val="17"/>
          <w:color w:val="auto"/>
        </w:rPr>
        <w:t xml:space="preserve"> and the Company has complied in all respects with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and (B) other than the Rollover Options, any Equity Securities either permitted to be issued or granted pursuant to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of the ARYA Disclosure Schedules or in accordance with Section 5.11(h))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spacing w:after="0" w:line="137" w:lineRule="exact"/>
        <w:rPr>
          <w:rFonts w:ascii="Arial" w:cs="Arial" w:eastAsia="Arial" w:hAnsi="Arial"/>
          <w:sz w:val="17"/>
          <w:szCs w:val="17"/>
          <w:color w:val="auto"/>
        </w:rPr>
      </w:pPr>
    </w:p>
    <w:p>
      <w:pPr>
        <w:jc w:val="both"/>
        <w:ind w:firstLine="1304"/>
        <w:spacing w:after="0" w:line="286" w:lineRule="auto"/>
        <w:tabs>
          <w:tab w:leader="none" w:pos="194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Except (w) as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of the ARYA Disclosure Schedules) in accordance with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116"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jc w:val="both"/>
        <w:ind w:right="20" w:firstLine="1304"/>
        <w:spacing w:after="0" w:line="263" w:lineRule="auto"/>
        <w:tabs>
          <w:tab w:leader="none" w:pos="19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spacing w:after="0" w:line="12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SEC Filings.</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timely filed or furnished all statements, forms, reports and documents required to be filed or furnished</w:t>
      </w:r>
      <w:r>
        <w:rPr>
          <w:rFonts w:ascii="Arial" w:cs="Arial" w:eastAsia="Arial" w:hAnsi="Arial"/>
          <w:sz w:val="17"/>
          <w:szCs w:val="17"/>
          <w:b w:val="1"/>
          <w:bCs w:val="1"/>
          <w:color w:val="auto"/>
        </w:rPr>
        <w:t xml:space="preserve"> </w:t>
      </w:r>
      <w:r>
        <w:rPr>
          <w:rFonts w:ascii="Arial" w:cs="Arial" w:eastAsia="Arial" w:hAnsi="Arial"/>
          <w:sz w:val="17"/>
          <w:szCs w:val="17"/>
          <w:color w:val="auto"/>
        </w:rPr>
        <w:t>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Arial" w:cs="Arial" w:eastAsia="Arial" w:hAnsi="Arial"/>
          <w:sz w:val="17"/>
          <w:szCs w:val="17"/>
          <w:u w:val="single" w:color="auto"/>
          <w:color w:val="auto"/>
        </w:rPr>
        <w:t>ARYA SEC Reports</w:t>
      </w:r>
      <w:r>
        <w:rPr>
          <w:rFonts w:ascii="Arial" w:cs="Arial" w:eastAsia="Arial" w:hAnsi="Arial"/>
          <w:sz w:val="17"/>
          <w:szCs w:val="17"/>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Arial" w:cs="Arial" w:eastAsia="Arial" w:hAnsi="Arial"/>
          <w:sz w:val="17"/>
          <w:szCs w:val="17"/>
          <w:u w:val="single" w:color="auto"/>
          <w:color w:val="auto"/>
        </w:rPr>
        <w:t>Additional ARYA SEC Reports</w:t>
      </w:r>
      <w:r>
        <w:rPr>
          <w:rFonts w:ascii="Arial" w:cs="Arial" w:eastAsia="Arial" w:hAnsi="Arial"/>
          <w:sz w:val="17"/>
          <w:szCs w:val="17"/>
          <w:color w:val="auto"/>
        </w:rPr>
        <w:t xml:space="preserve">”).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w:t>
      </w:r>
    </w:p>
    <w:p>
      <w:pPr>
        <w:spacing w:after="0" w:line="1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March 27, 2020 and ending on the date of this Agreement, no ARYA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has occurred.</w:t>
      </w:r>
    </w:p>
    <w:p>
      <w:pPr>
        <w:spacing w:after="0" w:line="10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u w:val="single" w:color="auto"/>
          <w:color w:val="auto"/>
        </w:rPr>
        <w:t>Contracts; No Defaults.</w:t>
      </w:r>
    </w:p>
    <w:p>
      <w:pPr>
        <w:spacing w:after="0" w:line="175" w:lineRule="exact"/>
        <w:rPr>
          <w:sz w:val="20"/>
          <w:szCs w:val="20"/>
          <w:color w:val="auto"/>
        </w:rPr>
      </w:pPr>
    </w:p>
    <w:p>
      <w:pPr>
        <w:jc w:val="both"/>
        <w:ind w:firstLine="1304"/>
        <w:spacing w:after="0" w:line="263" w:lineRule="auto"/>
        <w:tabs>
          <w:tab w:leader="none" w:pos="194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Each Contract of a type required to be listed on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of the ARYA Disclosure Schedules (each, an “</w:t>
      </w:r>
      <w:r>
        <w:rPr>
          <w:rFonts w:ascii="Arial" w:cs="Arial" w:eastAsia="Arial" w:hAnsi="Arial"/>
          <w:sz w:val="17"/>
          <w:szCs w:val="17"/>
          <w:u w:val="single" w:color="auto"/>
          <w:color w:val="auto"/>
        </w:rPr>
        <w:t>ARYA 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(i) 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u w:val="single" w:color="auto"/>
          <w:color w:val="auto"/>
        </w:rPr>
        <w:t xml:space="preserve">Investment Company Act. </w:t>
      </w:r>
      <w:r>
        <w:rPr>
          <w:rFonts w:ascii="Arial" w:cs="Arial" w:eastAsia="Arial" w:hAnsi="Arial"/>
          <w:sz w:val="16"/>
          <w:szCs w:val="16"/>
          <w:color w:val="auto"/>
        </w:rPr>
        <w:t>No ARYA Party is an “investment company” within the meaning of the Investment Company Act.</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Trust Account; Financial 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of this Agreement, ARYA has an amount in cash in the Trust Account equal to</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between ARYA and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ARYA Disclosure Schedules sets forth all Contracts between (a) ARYA, on</w:t>
      </w:r>
      <w:r>
        <w:rPr>
          <w:rFonts w:ascii="Arial" w:cs="Arial" w:eastAsia="Arial" w:hAnsi="Arial"/>
          <w:sz w:val="17"/>
          <w:szCs w:val="17"/>
          <w:b w:val="1"/>
          <w:bCs w:val="1"/>
          <w:color w:val="auto"/>
        </w:rPr>
        <w:t xml:space="preserve"> </w:t>
      </w:r>
      <w:r>
        <w:rPr>
          <w:rFonts w:ascii="Arial" w:cs="Arial" w:eastAsia="Arial" w:hAnsi="Arial"/>
          <w:sz w:val="17"/>
          <w:szCs w:val="17"/>
          <w:color w:val="auto"/>
        </w:rPr>
        <w:t>the one 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w:t>
      </w:r>
      <w:r>
        <w:rPr>
          <w:rFonts w:ascii="Arial" w:cs="Arial" w:eastAsia="Arial" w:hAnsi="Arial"/>
          <w:sz w:val="17"/>
          <w:szCs w:val="17"/>
          <w:u w:val="single" w:color="auto"/>
          <w:color w:val="auto"/>
        </w:rPr>
        <w:t>ARYA Affiliated Party</w:t>
      </w:r>
      <w:r>
        <w:rPr>
          <w:rFonts w:ascii="Arial" w:cs="Arial" w:eastAsia="Arial" w:hAnsi="Arial"/>
          <w:sz w:val="17"/>
          <w:szCs w:val="17"/>
          <w:color w:val="auto"/>
        </w:rPr>
        <w:t xml:space="preserve">”),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entered into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(iii) Contracts with respect to a Person’s status as a holder of ARYA Shares and (iv) 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ARYA Affiliated Party Transactions</w:t>
      </w:r>
      <w:r>
        <w:rPr>
          <w:rFonts w:ascii="Arial" w:cs="Arial" w:eastAsia="Arial" w:hAnsi="Arial"/>
          <w:sz w:val="17"/>
          <w:szCs w:val="17"/>
          <w:color w:val="auto"/>
        </w:rPr>
        <w:t>”.</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(and since its organization, incorporation or formation, as applicable, there has been) no Proceeding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not a Party hereto, pending or, to ARYA’s knowledge,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Each ARYA Party (a) is (and since its organization, incorporation or formation,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4.15</w:t>
      </w:r>
      <w:r>
        <w:rPr>
          <w:sz w:val="20"/>
          <w:szCs w:val="20"/>
          <w:color w:val="auto"/>
        </w:rPr>
        <w:tab/>
      </w:r>
      <w:r>
        <w:rPr>
          <w:rFonts w:ascii="Arial" w:cs="Arial" w:eastAsia="Arial" w:hAnsi="Arial"/>
          <w:sz w:val="16"/>
          <w:szCs w:val="16"/>
          <w:b w:val="1"/>
          <w:bCs w:val="1"/>
          <w:u w:val="single" w:color="auto"/>
          <w:color w:val="auto"/>
        </w:rPr>
        <w:t>ARYA Party Activities.</w:t>
      </w:r>
    </w:p>
    <w:p>
      <w:pPr>
        <w:spacing w:after="0" w:line="175" w:lineRule="exact"/>
        <w:rPr>
          <w:sz w:val="20"/>
          <w:szCs w:val="20"/>
          <w:color w:val="auto"/>
        </w:rPr>
      </w:pPr>
    </w:p>
    <w:p>
      <w:pPr>
        <w:jc w:val="both"/>
        <w:ind w:firstLine="1304"/>
        <w:spacing w:after="0" w:line="273" w:lineRule="auto"/>
        <w:tabs>
          <w:tab w:leader="none" w:pos="194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spacing w:after="0" w:line="123" w:lineRule="exact"/>
        <w:rPr>
          <w:rFonts w:ascii="Arial" w:cs="Arial" w:eastAsia="Arial" w:hAnsi="Arial"/>
          <w:sz w:val="17"/>
          <w:szCs w:val="17"/>
          <w:color w:val="auto"/>
        </w:rPr>
      </w:pPr>
    </w:p>
    <w:p>
      <w:pPr>
        <w:jc w:val="both"/>
        <w:ind w:firstLine="1304"/>
        <w:spacing w:after="0" w:line="271" w:lineRule="auto"/>
        <w:tabs>
          <w:tab w:leader="none" w:pos="193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2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4.16</w:t>
      </w:r>
      <w:r>
        <w:rPr>
          <w:sz w:val="20"/>
          <w:szCs w:val="20"/>
          <w:color w:val="auto"/>
        </w:rPr>
        <w:tab/>
      </w:r>
      <w:r>
        <w:rPr>
          <w:rFonts w:ascii="Arial" w:cs="Arial" w:eastAsia="Arial" w:hAnsi="Arial"/>
          <w:sz w:val="16"/>
          <w:szCs w:val="16"/>
          <w:b w:val="1"/>
          <w:bCs w:val="1"/>
          <w:u w:val="single" w:color="auto"/>
          <w:color w:val="auto"/>
        </w:rPr>
        <w:t>Internal Controls; Listing; Financial Statements.</w:t>
      </w:r>
    </w:p>
    <w:p>
      <w:pPr>
        <w:spacing w:after="0" w:line="175" w:lineRule="exact"/>
        <w:rPr>
          <w:sz w:val="20"/>
          <w:szCs w:val="20"/>
          <w:color w:val="auto"/>
        </w:rPr>
      </w:pPr>
    </w:p>
    <w:p>
      <w:pPr>
        <w:jc w:val="both"/>
        <w:ind w:firstLine="1304"/>
        <w:spacing w:after="0" w:line="291" w:lineRule="auto"/>
        <w:tabs>
          <w:tab w:leader="none" w:pos="194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112" w:lineRule="exact"/>
        <w:rPr>
          <w:rFonts w:ascii="Arial" w:cs="Arial" w:eastAsia="Arial" w:hAnsi="Arial"/>
          <w:sz w:val="16"/>
          <w:szCs w:val="16"/>
          <w:color w:val="auto"/>
        </w:rPr>
      </w:pPr>
    </w:p>
    <w:p>
      <w:pPr>
        <w:ind w:firstLine="1304"/>
        <w:spacing w:after="0" w:line="308" w:lineRule="auto"/>
        <w:tabs>
          <w:tab w:leader="none" w:pos="193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ARYA has not taken any action prohibited by Section 402 of the Sarbanes-Oxley Act. There are no outstanding loans or other extensions of credit made by ARYA to any executive officer (as defined in Rule 3b-7 under the Exchange Act) or director of ARYA.</w:t>
      </w:r>
    </w:p>
    <w:p>
      <w:pPr>
        <w:spacing w:after="0" w:line="92" w:lineRule="exact"/>
        <w:rPr>
          <w:rFonts w:ascii="Arial" w:cs="Arial" w:eastAsia="Arial" w:hAnsi="Arial"/>
          <w:sz w:val="17"/>
          <w:szCs w:val="17"/>
          <w:color w:val="auto"/>
        </w:rPr>
      </w:pPr>
    </w:p>
    <w:p>
      <w:pPr>
        <w:ind w:firstLine="1304"/>
        <w:spacing w:after="0" w:line="277" w:lineRule="auto"/>
        <w:tabs>
          <w:tab w:leader="none" w:pos="194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Since its initial public offering, except as set forth on </w:t>
      </w:r>
      <w:r>
        <w:rPr>
          <w:rFonts w:ascii="Arial" w:cs="Arial" w:eastAsia="Arial" w:hAnsi="Arial"/>
          <w:sz w:val="18"/>
          <w:szCs w:val="18"/>
          <w:u w:val="single" w:color="auto"/>
          <w:color w:val="auto"/>
        </w:rPr>
        <w:t>Section 4.16(c)</w:t>
      </w:r>
      <w:r>
        <w:rPr>
          <w:rFonts w:ascii="Arial" w:cs="Arial" w:eastAsia="Arial" w:hAnsi="Arial"/>
          <w:sz w:val="18"/>
          <w:szCs w:val="18"/>
          <w:color w:val="auto"/>
        </w:rPr>
        <w:t xml:space="preserve"> of the ARYA Disclosure Schedules, ARYA has complied in all material respects with all applicable listing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17" w:lineRule="exact"/>
        <w:rPr>
          <w:sz w:val="20"/>
          <w:szCs w:val="20"/>
          <w:color w:val="auto"/>
        </w:rPr>
      </w:pPr>
    </w:p>
    <w:p>
      <w:pPr>
        <w:jc w:val="both"/>
        <w:ind w:firstLine="1304"/>
        <w:spacing w:after="0" w:line="284" w:lineRule="auto"/>
        <w:tabs>
          <w:tab w:leader="none" w:pos="1938" w:val="left"/>
        </w:tabs>
        <w:numPr>
          <w:ilvl w:val="1"/>
          <w:numId w:val="324"/>
        </w:numPr>
        <w:rPr>
          <w:rFonts w:ascii="Arial" w:cs="Arial" w:eastAsia="Arial" w:hAnsi="Arial"/>
          <w:sz w:val="16"/>
          <w:szCs w:val="16"/>
          <w:color w:val="auto"/>
        </w:rPr>
      </w:pPr>
      <w:r>
        <w:rPr>
          <w:rFonts w:ascii="Arial" w:cs="Arial" w:eastAsia="Arial" w:hAnsi="Arial"/>
          <w:sz w:val="16"/>
          <w:szCs w:val="16"/>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w:t>
      </w:r>
    </w:p>
    <w:p>
      <w:pPr>
        <w:spacing w:after="0" w:line="2" w:lineRule="exact"/>
        <w:rPr>
          <w:rFonts w:ascii="Arial" w:cs="Arial" w:eastAsia="Arial" w:hAnsi="Arial"/>
          <w:sz w:val="16"/>
          <w:szCs w:val="16"/>
          <w:color w:val="auto"/>
        </w:rPr>
      </w:pPr>
    </w:p>
    <w:p>
      <w:pPr>
        <w:ind w:firstLine="8"/>
        <w:spacing w:after="0" w:line="260" w:lineRule="auto"/>
        <w:tabs>
          <w:tab w:leader="none" w:pos="31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31" w:lineRule="exact"/>
        <w:rPr>
          <w:rFonts w:ascii="Arial" w:cs="Arial" w:eastAsia="Arial" w:hAnsi="Arial"/>
          <w:sz w:val="18"/>
          <w:szCs w:val="18"/>
          <w:color w:val="auto"/>
        </w:rPr>
      </w:pPr>
    </w:p>
    <w:p>
      <w:pPr>
        <w:jc w:val="both"/>
        <w:ind w:firstLine="1304"/>
        <w:spacing w:after="0" w:line="296" w:lineRule="auto"/>
        <w:tabs>
          <w:tab w:leader="none" w:pos="194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spacing w:after="0" w:line="107" w:lineRule="exact"/>
        <w:rPr>
          <w:rFonts w:ascii="Arial" w:cs="Arial" w:eastAsia="Arial" w:hAnsi="Arial"/>
          <w:sz w:val="16"/>
          <w:szCs w:val="16"/>
          <w:color w:val="auto"/>
        </w:rPr>
      </w:pPr>
    </w:p>
    <w:p>
      <w:pPr>
        <w:jc w:val="both"/>
        <w:ind w:firstLine="1304"/>
        <w:spacing w:after="0" w:line="259" w:lineRule="auto"/>
        <w:tabs>
          <w:tab w:leader="none" w:pos="193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 (iii) fraud, whether or not material, that involves management or other employees of ARYA who have a significant role in the internal controls over financial reporting of ARYA.</w:t>
      </w:r>
    </w:p>
    <w:p>
      <w:pPr>
        <w:spacing w:after="0" w:line="1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b w:val="1"/>
          <w:bCs w:val="1"/>
          <w:u w:val="single" w:color="auto"/>
          <w:color w:val="auto"/>
        </w:rPr>
        <w:t>No Undisclosed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the Liabilities (a)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ARYA Disclosure Schedules, (b)</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ARYA 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w:t>
      </w:r>
    </w:p>
    <w:p>
      <w:pPr>
        <w:spacing w:after="0" w:line="1" w:lineRule="exact"/>
        <w:rPr>
          <w:sz w:val="20"/>
          <w:szCs w:val="20"/>
          <w:color w:val="auto"/>
        </w:rPr>
      </w:pPr>
    </w:p>
    <w:p>
      <w:pPr>
        <w:ind w:right="60" w:firstLine="8"/>
        <w:spacing w:after="0" w:line="270" w:lineRule="auto"/>
        <w:tabs>
          <w:tab w:leader="none" w:pos="24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set forth on (or in the notes to) the balance sheet of ARYA contained in the Quarterly Report on Form 10-Q, filed with the SEC on November 13, 2020 (the “</w:t>
      </w:r>
      <w:r>
        <w:rPr>
          <w:rFonts w:ascii="Arial" w:cs="Arial" w:eastAsia="Arial" w:hAnsi="Arial"/>
          <w:sz w:val="17"/>
          <w:szCs w:val="17"/>
          <w:u w:val="single" w:color="auto"/>
          <w:color w:val="auto"/>
        </w:rPr>
        <w:t>Latest ARYA Balance Sheet</w:t>
      </w:r>
      <w:r>
        <w:rPr>
          <w:rFonts w:ascii="Arial" w:cs="Arial" w:eastAsia="Arial" w:hAnsi="Arial"/>
          <w:sz w:val="17"/>
          <w:szCs w:val="17"/>
          <w:color w:val="auto"/>
        </w:rPr>
        <w:t xml:space="preserve">”),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incurred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(h) that are not, and would not reasonably be expected to be, individually or in the aggregate, material to the ARYA Parties, taken as a whole, the ARYA Parties do not have any Liabilities.</w:t>
      </w:r>
    </w:p>
    <w:p>
      <w:pPr>
        <w:spacing w:after="0" w:line="1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officers as described in the ARYA SEC Reports, ARYA and Merger Sub have never employed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retained any contractors. ARYA and Merger Sub have never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w:t>
      </w:r>
    </w:p>
    <w:p>
      <w:pPr>
        <w:spacing w:after="0" w:line="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(1)(B) of the Code. There is no contract, agreement, plan or arrangement to which ARYA or Merger Sub is a party which requires payment by any party of a Tax gross-up or Tax reimbursement payment to any person, including under Section 4999 or 409A of the Code.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4.19</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63" w:lineRule="auto"/>
        <w:tabs>
          <w:tab w:leader="none" w:pos="194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firstLine="1304"/>
        <w:spacing w:after="0" w:line="308" w:lineRule="auto"/>
        <w:tabs>
          <w:tab w:leader="none" w:pos="194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92"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spacing w:after="0" w:line="129" w:lineRule="exact"/>
        <w:rPr>
          <w:rFonts w:ascii="Arial" w:cs="Arial" w:eastAsia="Arial" w:hAnsi="Arial"/>
          <w:sz w:val="18"/>
          <w:szCs w:val="18"/>
          <w:color w:val="auto"/>
        </w:rPr>
      </w:pPr>
    </w:p>
    <w:p>
      <w:pPr>
        <w:ind w:firstLine="1304"/>
        <w:spacing w:after="0" w:line="342" w:lineRule="auto"/>
        <w:tabs>
          <w:tab w:leader="none" w:pos="193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spacing w:after="0" w:line="69" w:lineRule="exact"/>
        <w:rPr>
          <w:rFonts w:ascii="Arial" w:cs="Arial" w:eastAsia="Arial" w:hAnsi="Arial"/>
          <w:sz w:val="16"/>
          <w:szCs w:val="16"/>
          <w:color w:val="auto"/>
        </w:rPr>
      </w:pPr>
    </w:p>
    <w:p>
      <w:pPr>
        <w:ind w:left="1940" w:hanging="636"/>
        <w:spacing w:after="0"/>
        <w:tabs>
          <w:tab w:leader="none" w:pos="19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ARYA Party is tax resident only in its jurisdiction of organization, incorporation or formation, as applicable.</w:t>
      </w:r>
    </w:p>
    <w:p>
      <w:pPr>
        <w:spacing w:after="0" w:line="171"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spacing w:after="0" w:line="9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CFIUS Foreign Person Status</w:t>
      </w:r>
      <w:r>
        <w:rPr>
          <w:rFonts w:ascii="Arial" w:cs="Arial" w:eastAsia="Arial" w:hAnsi="Arial"/>
          <w:sz w:val="18"/>
          <w:szCs w:val="18"/>
          <w:color w:val="auto"/>
        </w:rPr>
        <w:t>. No ARYA Party is a “foreign person” or a “foreign entity,” as defined in Section 721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Production Act of 1950, including all implementing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thereof (the “</w:t>
      </w:r>
      <w:r>
        <w:rPr>
          <w:rFonts w:ascii="Arial" w:cs="Arial" w:eastAsia="Arial" w:hAnsi="Arial"/>
          <w:sz w:val="17"/>
          <w:szCs w:val="17"/>
          <w:u w:val="single" w:color="auto"/>
          <w:color w:val="auto"/>
        </w:rPr>
        <w:t>DPA</w:t>
      </w:r>
      <w:r>
        <w:rPr>
          <w:rFonts w:ascii="Arial" w:cs="Arial" w:eastAsia="Arial" w:hAnsi="Arial"/>
          <w:sz w:val="17"/>
          <w:szCs w:val="17"/>
          <w:color w:val="auto"/>
        </w:rPr>
        <w:t>”).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 (ii) membership or observer rights on the Board</w:t>
      </w:r>
    </w:p>
    <w:p>
      <w:pPr>
        <w:spacing w:after="0" w:line="1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spacing w:after="0" w:line="10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spacing w:after="0" w:line="123"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b w:val="1"/>
          <w:bCs w:val="1"/>
          <w:u w:val="single" w:color="auto"/>
          <w:color w:val="auto"/>
        </w:rPr>
        <w:t>Change of Control Payments.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sets forth a list of all ARYA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of the date of this Agreement.</w:t>
      </w:r>
    </w:p>
    <w:p>
      <w:pPr>
        <w:spacing w:after="0" w:line="1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4.23 </w:t>
      </w:r>
      <w:r>
        <w:rPr>
          <w:rFonts w:ascii="Arial" w:cs="Arial" w:eastAsia="Arial" w:hAnsi="Arial"/>
          <w:sz w:val="17"/>
          <w:szCs w:val="17"/>
          <w:b w:val="1"/>
          <w:bCs w:val="1"/>
          <w:u w:val="single" w:color="auto"/>
          <w:color w:val="auto"/>
        </w:rPr>
        <w:t>PIPE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delivered to the Company a true, correct and complete copy of the fully executed PIPE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Subscription Agreements as in effect as of the date hereof, each of which is substantially in the form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or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all material respects and, with respect to each PIPE Investor (other than the Perceptive PIPE Investor), the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4.24</w:t>
      </w:r>
      <w:r>
        <w:rPr>
          <w:sz w:val="20"/>
          <w:szCs w:val="20"/>
          <w:color w:val="auto"/>
        </w:rPr>
        <w:tab/>
      </w:r>
      <w:r>
        <w:rPr>
          <w:rFonts w:ascii="Arial" w:cs="Arial" w:eastAsia="Arial" w:hAnsi="Arial"/>
          <w:sz w:val="16"/>
          <w:szCs w:val="16"/>
          <w:b w:val="1"/>
          <w:bCs w:val="1"/>
          <w:u w:val="single" w:color="auto"/>
          <w:color w:val="auto"/>
        </w:rPr>
        <w:t>Investigation; No Other Representations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38" w:lineRule="exact"/>
        <w:rPr>
          <w:rFonts w:ascii="Arial" w:cs="Arial" w:eastAsia="Arial" w:hAnsi="Arial"/>
          <w:sz w:val="18"/>
          <w:szCs w:val="18"/>
          <w:color w:val="auto"/>
        </w:rPr>
      </w:pPr>
    </w:p>
    <w:p>
      <w:pPr>
        <w:ind w:right="20" w:firstLine="1304"/>
        <w:spacing w:after="0" w:line="254" w:lineRule="auto"/>
        <w:tabs>
          <w:tab w:leader="none" w:pos="193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4.25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OR ANY OF ITS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u w:val="single" w:color="auto"/>
          <w:color w:val="auto"/>
        </w:rPr>
        <w:t>Conduct of Business of the Company</w:t>
      </w:r>
      <w:r>
        <w:rPr>
          <w:rFonts w:ascii="Arial" w:cs="Arial" w:eastAsia="Arial" w:hAnsi="Arial"/>
          <w:sz w:val="15"/>
          <w:szCs w:val="15"/>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spacing w:after="0" w:line="138"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ARYA (such consent, other than in the case of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not to be unreasonably withheld, conditioned or delayed), not do any of the following:</w:t>
      </w:r>
    </w:p>
    <w:p>
      <w:pPr>
        <w:spacing w:after="0" w:line="138"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11" w:lineRule="exact"/>
        <w:rPr>
          <w:rFonts w:ascii="Arial" w:cs="Arial" w:eastAsia="Arial" w:hAnsi="Arial"/>
          <w:sz w:val="17"/>
          <w:szCs w:val="17"/>
          <w:color w:val="auto"/>
        </w:rPr>
      </w:pPr>
    </w:p>
    <w:p>
      <w:pPr>
        <w:ind w:left="1300" w:right="20" w:firstLine="652"/>
        <w:spacing w:after="0" w:line="277" w:lineRule="auto"/>
        <w:tabs>
          <w:tab w:leader="none" w:pos="259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Shareholders Agreement;</w:t>
      </w:r>
    </w:p>
    <w:p>
      <w:pPr>
        <w:spacing w:after="0" w:line="116"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 sell, assign, abandon, lease, exclusively license or otherwise dispose of any material assets or properties of the Group Companies, other than inventory or obsolete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 the ordinary course of business, or (B) subject any material assets or properties of the Group Companies to any Lien (other than any Permitted Liens);</w:t>
      </w:r>
    </w:p>
    <w:p>
      <w:pPr>
        <w:spacing w:after="0" w:line="116" w:lineRule="exact"/>
        <w:rPr>
          <w:sz w:val="20"/>
          <w:szCs w:val="20"/>
          <w:color w:val="auto"/>
        </w:rPr>
      </w:pPr>
    </w:p>
    <w:p>
      <w:pPr>
        <w:ind w:left="180" w:right="300" w:firstLine="652"/>
        <w:spacing w:after="0" w:line="273" w:lineRule="auto"/>
        <w:tabs>
          <w:tab w:leader="none" w:pos="147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spacing w:after="0" w:line="123" w:lineRule="exact"/>
        <w:rPr>
          <w:rFonts w:ascii="Arial" w:cs="Arial" w:eastAsia="Arial" w:hAnsi="Arial"/>
          <w:sz w:val="17"/>
          <w:szCs w:val="17"/>
          <w:color w:val="auto"/>
        </w:rPr>
      </w:pPr>
    </w:p>
    <w:p>
      <w:pPr>
        <w:ind w:left="1460" w:hanging="628"/>
        <w:spacing w:after="0"/>
        <w:tabs>
          <w:tab w:leader="none" w:pos="14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incur, create or assume any Indebtedness, other than ordinary course trade payables, or guarantee any Liability of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6" w:lineRule="exact"/>
        <w:rPr>
          <w:rFonts w:ascii="Arial" w:cs="Arial" w:eastAsia="Arial" w:hAnsi="Arial"/>
          <w:sz w:val="16"/>
          <w:szCs w:val="16"/>
          <w:color w:val="auto"/>
        </w:rPr>
      </w:pPr>
    </w:p>
    <w:p>
      <w:pPr>
        <w:jc w:val="both"/>
        <w:ind w:left="180" w:firstLine="652"/>
        <w:spacing w:after="0" w:line="271" w:lineRule="auto"/>
        <w:tabs>
          <w:tab w:leader="none" w:pos="1475"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(A) amend or modify, in either case in a manner materially adverse to the Company, or terminate any Material Contract of the type described in </w:t>
      </w:r>
      <w:r>
        <w:rPr>
          <w:rFonts w:ascii="Arial" w:cs="Arial" w:eastAsia="Arial" w:hAnsi="Arial"/>
          <w:sz w:val="17"/>
          <w:szCs w:val="17"/>
          <w:u w:val="single" w:color="auto"/>
          <w:color w:val="auto"/>
        </w:rPr>
        <w:t>Section 3.7(a)(iv)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3.7(a)(xi)</w:t>
      </w:r>
      <w:r>
        <w:rPr>
          <w:rFonts w:ascii="Arial" w:cs="Arial" w:eastAsia="Arial" w:hAnsi="Arial"/>
          <w:sz w:val="17"/>
          <w:szCs w:val="17"/>
          <w:color w:val="auto"/>
        </w:rPr>
        <w:t xml:space="preserve"> (such types of Material Contracts, collectively, the “</w:t>
      </w:r>
      <w:r>
        <w:rPr>
          <w:rFonts w:ascii="Arial" w:cs="Arial" w:eastAsia="Arial" w:hAnsi="Arial"/>
          <w:sz w:val="17"/>
          <w:szCs w:val="17"/>
          <w:u w:val="single" w:color="auto"/>
          <w:color w:val="auto"/>
        </w:rPr>
        <w:t>Designated Material Contracts</w:t>
      </w:r>
      <w:r>
        <w:rPr>
          <w:rFonts w:ascii="Arial" w:cs="Arial" w:eastAsia="Arial" w:hAnsi="Arial"/>
          <w:sz w:val="17"/>
          <w:szCs w:val="17"/>
          <w:color w:val="auto"/>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spacing w:after="0" w:line="124" w:lineRule="exact"/>
        <w:rPr>
          <w:rFonts w:ascii="Arial" w:cs="Arial" w:eastAsia="Arial" w:hAnsi="Arial"/>
          <w:sz w:val="17"/>
          <w:szCs w:val="17"/>
          <w:color w:val="auto"/>
        </w:rPr>
      </w:pPr>
    </w:p>
    <w:p>
      <w:pPr>
        <w:jc w:val="both"/>
        <w:ind w:left="180" w:firstLine="652"/>
        <w:spacing w:after="0" w:line="291" w:lineRule="auto"/>
        <w:tabs>
          <w:tab w:leader="none" w:pos="1471" w:val="left"/>
        </w:tabs>
        <w:numPr>
          <w:ilvl w:val="1"/>
          <w:numId w:val="331"/>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guarantees for the benefit of, or any investments in, any Person, other than (A) intercompany loans or capital contributions between the Company and any of its wholly owned Subsidiaries, and</w:t>
      </w:r>
    </w:p>
    <w:p>
      <w:pPr>
        <w:ind w:left="460" w:hanging="276"/>
        <w:spacing w:after="0"/>
        <w:tabs>
          <w:tab w:leader="none" w:pos="4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reimbursement of expenses of employees or advancements of expenses, in each case, in the ordinary course of business;</w:t>
      </w:r>
    </w:p>
    <w:p>
      <w:pPr>
        <w:spacing w:after="0" w:line="168" w:lineRule="exact"/>
        <w:rPr>
          <w:rFonts w:ascii="Arial" w:cs="Arial" w:eastAsia="Arial" w:hAnsi="Arial"/>
          <w:sz w:val="17"/>
          <w:szCs w:val="17"/>
          <w:color w:val="auto"/>
        </w:rPr>
      </w:pPr>
    </w:p>
    <w:p>
      <w:pPr>
        <w:jc w:val="both"/>
        <w:ind w:left="180" w:firstLine="652"/>
        <w:spacing w:after="0" w:line="268" w:lineRule="auto"/>
        <w:tabs>
          <w:tab w:leader="none" w:pos="1466"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21" w:name="page422"/>
    <w:bookmarkEnd w:id="421"/>
    <w:p>
      <w:pPr>
        <w:spacing w:after="0" w:line="144" w:lineRule="exact"/>
        <w:rPr>
          <w:sz w:val="20"/>
          <w:szCs w:val="20"/>
          <w:color w:val="auto"/>
        </w:rPr>
      </w:pPr>
    </w:p>
    <w:p>
      <w:pPr>
        <w:jc w:val="both"/>
        <w:ind w:left="1300" w:firstLine="652"/>
        <w:spacing w:after="0" w:line="259" w:lineRule="auto"/>
        <w:tabs>
          <w:tab w:leader="none" w:pos="259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w:t>
      </w:r>
    </w:p>
    <w:p>
      <w:pPr>
        <w:spacing w:after="0" w:line="111"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129" w:lineRule="exact"/>
        <w:rPr>
          <w:rFonts w:ascii="Arial" w:cs="Arial" w:eastAsia="Arial" w:hAnsi="Arial"/>
          <w:sz w:val="18"/>
          <w:szCs w:val="18"/>
          <w:color w:val="auto"/>
        </w:rPr>
      </w:pPr>
    </w:p>
    <w:p>
      <w:pPr>
        <w:ind w:left="1300" w:firstLine="652"/>
        <w:spacing w:after="0" w:line="277" w:lineRule="auto"/>
        <w:tabs>
          <w:tab w:leader="none" w:pos="259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change any Group Company’s methods of accounting in any material respect, other than changes that are made in accordance with PCAOB standards;</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9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make any material Company Change of Control Payment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 make any material payment with respect to a Company Affiliated Party Transaction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5.1(b)(xvi)</w:t>
      </w:r>
      <w:r>
        <w:rPr>
          <w:rFonts w:ascii="Arial" w:cs="Arial" w:eastAsia="Arial" w:hAnsi="Arial"/>
          <w:sz w:val="16"/>
          <w:szCs w:val="16"/>
          <w:color w:val="auto"/>
        </w:rPr>
        <w:t xml:space="preserve"> (to the extent related to any of the foregoing).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Efforts to Consummate; Transaction Litigation.</w:t>
      </w:r>
    </w:p>
    <w:p>
      <w:pPr>
        <w:spacing w:after="0" w:line="175" w:lineRule="exact"/>
        <w:rPr>
          <w:sz w:val="20"/>
          <w:szCs w:val="20"/>
          <w:color w:val="auto"/>
        </w:rPr>
      </w:pPr>
    </w:p>
    <w:p>
      <w:pPr>
        <w:ind w:firstLine="1304"/>
        <w:spacing w:after="0" w:line="277" w:lineRule="auto"/>
        <w:tabs>
          <w:tab w:leader="none" w:pos="194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shall use reasonable best efforts to take, or cause to be taken, all actions and to do, or cause to be done, all things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necessary or advisable to consummate and make effective as promptly as reasonably practicable the transactions contemplated by this Agreement (including (i) by using reasonable best efforts with respect to the satisfaction, but not waiver, of the closing conditions set forth in Article 6)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w:t>
      </w:r>
    </w:p>
    <w:p>
      <w:pPr>
        <w:spacing w:after="0" w:line="11" w:lineRule="exact"/>
        <w:rPr>
          <w:sz w:val="20"/>
          <w:szCs w:val="20"/>
          <w:color w:val="auto"/>
        </w:rPr>
      </w:pPr>
    </w:p>
    <w:p>
      <w:pPr>
        <w:jc w:val="both"/>
        <w:ind w:firstLine="8"/>
        <w:spacing w:after="0" w:line="285" w:lineRule="auto"/>
        <w:tabs>
          <w:tab w:leader="none" w:pos="27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spacing w:after="0" w:line="115" w:lineRule="exact"/>
        <w:rPr>
          <w:rFonts w:ascii="Arial" w:cs="Arial" w:eastAsia="Arial" w:hAnsi="Arial"/>
          <w:sz w:val="16"/>
          <w:szCs w:val="16"/>
          <w:color w:val="auto"/>
        </w:rPr>
      </w:pPr>
    </w:p>
    <w:p>
      <w:pPr>
        <w:jc w:val="both"/>
        <w:ind w:firstLine="1304"/>
        <w:spacing w:after="0" w:line="271" w:lineRule="auto"/>
        <w:tabs>
          <w:tab w:leader="none" w:pos="1938" w:val="left"/>
        </w:tabs>
        <w:numPr>
          <w:ilvl w:val="1"/>
          <w:numId w:val="335"/>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jc w:val="both"/>
        <w:ind w:firstLine="1304"/>
        <w:spacing w:after="0" w:line="263" w:lineRule="auto"/>
        <w:tabs>
          <w:tab w:leader="none" w:pos="194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29"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u w:val="single" w:color="auto"/>
          <w:color w:val="auto"/>
        </w:rPr>
        <w:t>Confidentiality and Access to Information</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38" w:lineRule="exact"/>
        <w:rPr>
          <w:rFonts w:ascii="Arial" w:cs="Arial" w:eastAsia="Arial" w:hAnsi="Arial"/>
          <w:sz w:val="18"/>
          <w:szCs w:val="18"/>
          <w:color w:val="auto"/>
        </w:rPr>
      </w:pPr>
    </w:p>
    <w:p>
      <w:pPr>
        <w:jc w:val="both"/>
        <w:ind w:firstLine="1304"/>
        <w:spacing w:after="0" w:line="285" w:lineRule="auto"/>
        <w:tabs>
          <w:tab w:leader="none" w:pos="193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to provide, or caused to be provided, to ARYA or any of its Representatives any information (i) if and to the extent doing so would</w:t>
      </w:r>
    </w:p>
    <w:p>
      <w:pPr>
        <w:spacing w:after="0" w:line="1" w:lineRule="exact"/>
        <w:rPr>
          <w:rFonts w:ascii="Arial" w:cs="Arial" w:eastAsia="Arial" w:hAnsi="Arial"/>
          <w:sz w:val="16"/>
          <w:szCs w:val="16"/>
          <w:color w:val="auto"/>
        </w:rPr>
      </w:pPr>
    </w:p>
    <w:p>
      <w:pPr>
        <w:jc w:val="both"/>
        <w:ind w:firstLine="8"/>
        <w:spacing w:after="0" w:line="286" w:lineRule="auto"/>
        <w:tabs>
          <w:tab w:leader="none" w:pos="29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provide prompt written notice of the withholding of access or information on any such basis unless such written notice is prohibited by applicable Law.</w:t>
      </w:r>
    </w:p>
    <w:p>
      <w:pPr>
        <w:spacing w:after="0" w:line="118" w:lineRule="exact"/>
        <w:rPr>
          <w:rFonts w:ascii="Arial" w:cs="Arial" w:eastAsia="Arial" w:hAnsi="Arial"/>
          <w:sz w:val="16"/>
          <w:szCs w:val="16"/>
          <w:color w:val="auto"/>
        </w:rPr>
      </w:pPr>
    </w:p>
    <w:p>
      <w:pPr>
        <w:ind w:firstLine="1304"/>
        <w:spacing w:after="0" w:line="277" w:lineRule="auto"/>
        <w:tabs>
          <w:tab w:leader="none" w:pos="194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Date or the termination of this Agreement in accordance with its terms, upon reasonable advance written notice, ARYA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case of each of clauses (A) through (D),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in the case of clause (i) or (ii), provide prompt written notice of the withholding of access or information on any such basis unless such written notice is prohibited by applicable Law.</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u w:val="single" w:color="auto"/>
          <w:color w:val="auto"/>
        </w:rPr>
        <w:t>Public Announcements.</w:t>
      </w:r>
    </w:p>
    <w:p>
      <w:pPr>
        <w:spacing w:after="0" w:line="175" w:lineRule="exact"/>
        <w:rPr>
          <w:sz w:val="20"/>
          <w:szCs w:val="20"/>
          <w:color w:val="auto"/>
        </w:rPr>
      </w:pPr>
    </w:p>
    <w:p>
      <w:pPr>
        <w:jc w:val="both"/>
        <w:ind w:firstLine="1304"/>
        <w:spacing w:after="0" w:line="285" w:lineRule="auto"/>
        <w:tabs>
          <w:tab w:leader="none" w:pos="194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to Governmental Entities in connection with any Consents required to be made under this Agreement, the Ancillary Documents or the transactions contemplated hereby or thereby. Notwithstanding anything to the contrary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122" w:lineRule="exact"/>
        <w:rPr>
          <w:rFonts w:ascii="Arial" w:cs="Arial" w:eastAsia="Arial" w:hAnsi="Arial"/>
          <w:sz w:val="16"/>
          <w:szCs w:val="16"/>
          <w:color w:val="auto"/>
        </w:rPr>
      </w:pPr>
    </w:p>
    <w:p>
      <w:pPr>
        <w:jc w:val="both"/>
        <w:ind w:firstLine="1304"/>
        <w:spacing w:after="0" w:line="253" w:lineRule="auto"/>
        <w:tabs>
          <w:tab w:leader="none" w:pos="193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ARYA prior to the execution of this Agreement and such initial press release (the “</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Arial" w:cs="Arial" w:eastAsia="Arial" w:hAnsi="Arial"/>
          <w:sz w:val="18"/>
          <w:szCs w:val="18"/>
          <w:u w:val="single" w:color="auto"/>
          <w:color w:val="auto"/>
        </w:rPr>
        <w:t>Signing Filing</w:t>
      </w:r>
      <w:r>
        <w:rPr>
          <w:rFonts w:ascii="Arial" w:cs="Arial" w:eastAsia="Arial" w:hAnsi="Arial"/>
          <w:sz w:val="18"/>
          <w:szCs w:val="18"/>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Arial" w:cs="Arial" w:eastAsia="Arial" w:hAnsi="Arial"/>
          <w:sz w:val="18"/>
          <w:szCs w:val="18"/>
          <w:u w:val="single" w:color="auto"/>
          <w:color w:val="auto"/>
        </w:rPr>
        <w:t>Closing Filing</w:t>
      </w:r>
      <w:r>
        <w:rPr>
          <w:rFonts w:ascii="Arial" w:cs="Arial" w:eastAsia="Arial" w:hAnsi="Arial"/>
          <w:sz w:val="18"/>
          <w:szCs w:val="18"/>
          <w:color w:val="auto"/>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b w:val="1"/>
          <w:bCs w:val="1"/>
          <w:color w:val="auto"/>
        </w:rPr>
        <w:t>.</w:t>
      </w:r>
    </w:p>
    <w:p>
      <w:pPr>
        <w:spacing w:after="0" w:line="175" w:lineRule="exact"/>
        <w:rPr>
          <w:sz w:val="20"/>
          <w:szCs w:val="20"/>
          <w:color w:val="auto"/>
        </w:rPr>
      </w:pPr>
    </w:p>
    <w:p>
      <w:pPr>
        <w:ind w:left="1940" w:hanging="636"/>
        <w:spacing w:after="0"/>
        <w:tabs>
          <w:tab w:leader="none" w:pos="194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300" w:firstLine="652"/>
        <w:spacing w:after="0" w:line="286" w:lineRule="auto"/>
        <w:tabs>
          <w:tab w:leader="none" w:pos="259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Arial" w:cs="Arial" w:eastAsia="Arial" w:hAnsi="Arial"/>
          <w:sz w:val="16"/>
          <w:szCs w:val="16"/>
          <w:u w:val="single" w:color="auto"/>
          <w:color w:val="auto"/>
        </w:rPr>
        <w:t>Alternative Merger Structure</w:t>
      </w:r>
      <w:r>
        <w:rPr>
          <w:rFonts w:ascii="Arial" w:cs="Arial" w:eastAsia="Arial" w:hAnsi="Arial"/>
          <w:sz w:val="16"/>
          <w:szCs w:val="16"/>
          <w:color w:val="auto"/>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(“Newco”), with Newco being the surviving company in such second merger.</w:t>
      </w:r>
    </w:p>
    <w:p>
      <w:pPr>
        <w:spacing w:after="0" w:line="119" w:lineRule="exact"/>
        <w:rPr>
          <w:rFonts w:ascii="Arial" w:cs="Arial" w:eastAsia="Arial" w:hAnsi="Arial"/>
          <w:sz w:val="16"/>
          <w:szCs w:val="16"/>
          <w:color w:val="auto"/>
        </w:rPr>
      </w:pPr>
    </w:p>
    <w:p>
      <w:pPr>
        <w:jc w:val="both"/>
        <w:ind w:left="1300" w:firstLine="652"/>
        <w:spacing w:after="0" w:line="257" w:lineRule="auto"/>
        <w:tabs>
          <w:tab w:leader="none" w:pos="258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ARYA, the Domestication qualifying for the Intended Tax Treatment.</w:t>
      </w:r>
    </w:p>
    <w:p>
      <w:pPr>
        <w:spacing w:after="0" w:line="133" w:lineRule="exact"/>
        <w:rPr>
          <w:rFonts w:ascii="Arial" w:cs="Arial" w:eastAsia="Arial" w:hAnsi="Arial"/>
          <w:sz w:val="18"/>
          <w:szCs w:val="18"/>
          <w:color w:val="auto"/>
        </w:rPr>
      </w:pPr>
    </w:p>
    <w:p>
      <w:pPr>
        <w:jc w:val="both"/>
        <w:ind w:left="1300" w:firstLine="652"/>
        <w:spacing w:after="0" w:line="270" w:lineRule="auto"/>
        <w:tabs>
          <w:tab w:leader="none" w:pos="2596" w:val="left"/>
        </w:tabs>
        <w:numPr>
          <w:ilvl w:val="1"/>
          <w:numId w:val="340"/>
        </w:numPr>
        <w:rPr>
          <w:rFonts w:ascii="Arial" w:cs="Arial" w:eastAsia="Arial" w:hAnsi="Arial"/>
          <w:sz w:val="17"/>
          <w:szCs w:val="17"/>
          <w:color w:val="auto"/>
        </w:rPr>
      </w:pPr>
      <w:r>
        <w:rPr>
          <w:rFonts w:ascii="Arial" w:cs="Arial" w:eastAsia="Arial" w:hAnsi="Arial"/>
          <w:sz w:val="17"/>
          <w:szCs w:val="17"/>
          <w:color w:val="auto"/>
        </w:rPr>
        <w:t>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ind w:right="40" w:firstLine="1304"/>
        <w:spacing w:after="0" w:line="269" w:lineRule="auto"/>
        <w:tabs>
          <w:tab w:leader="none" w:pos="1938"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Tax Matters Cooperation</w:t>
      </w:r>
      <w:r>
        <w:rPr>
          <w:rFonts w:ascii="Arial" w:cs="Arial" w:eastAsia="Arial" w:hAnsi="Arial"/>
          <w:sz w:val="17"/>
          <w:szCs w:val="17"/>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ARYA Shareholders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27" w:lineRule="exact"/>
        <w:rPr>
          <w:rFonts w:ascii="Arial" w:cs="Arial" w:eastAsia="Arial" w:hAnsi="Arial"/>
          <w:sz w:val="17"/>
          <w:szCs w:val="17"/>
          <w:color w:val="auto"/>
        </w:rPr>
      </w:pPr>
    </w:p>
    <w:p>
      <w:pPr>
        <w:ind w:firstLine="1304"/>
        <w:spacing w:after="0" w:line="277" w:lineRule="auto"/>
        <w:tabs>
          <w:tab w:leader="none" w:pos="1941"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ARYA Taxable Year</w:t>
      </w:r>
      <w:r>
        <w:rPr>
          <w:rFonts w:ascii="Arial" w:cs="Arial" w:eastAsia="Arial" w:hAnsi="Arial"/>
          <w:sz w:val="18"/>
          <w:szCs w:val="18"/>
          <w:color w:val="auto"/>
        </w:rPr>
        <w:t>. The Parties agree to treat the taxable year of ARYA as ending on the date that the Domestication is consummated for U.S. federal income tax purposes.</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u w:val="single" w:color="auto"/>
          <w:color w:val="auto"/>
        </w:rPr>
        <w:t>Company Exclusive Dealing.</w:t>
      </w:r>
    </w:p>
    <w:p>
      <w:pPr>
        <w:spacing w:after="0" w:line="175" w:lineRule="exact"/>
        <w:rPr>
          <w:sz w:val="20"/>
          <w:szCs w:val="20"/>
          <w:color w:val="auto"/>
        </w:rPr>
      </w:pPr>
    </w:p>
    <w:p>
      <w:pPr>
        <w:jc w:val="both"/>
        <w:ind w:firstLine="1304"/>
        <w:spacing w:after="0" w:line="269" w:lineRule="auto"/>
        <w:tabs>
          <w:tab w:leader="none" w:pos="1941" w:val="left"/>
        </w:tabs>
        <w:numPr>
          <w:ilvl w:val="0"/>
          <w:numId w:val="342"/>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Section 5.6).</w:t>
      </w:r>
    </w:p>
    <w:p>
      <w:pPr>
        <w:spacing w:after="0" w:line="131"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u w:val="single" w:color="auto"/>
          <w:color w:val="auto"/>
        </w:rPr>
        <w:t>ARYA Exclusive Dealing.</w:t>
      </w:r>
    </w:p>
    <w:p>
      <w:pPr>
        <w:spacing w:after="0" w:line="175" w:lineRule="exact"/>
        <w:rPr>
          <w:sz w:val="20"/>
          <w:szCs w:val="20"/>
          <w:color w:val="auto"/>
        </w:rPr>
      </w:pPr>
    </w:p>
    <w:p>
      <w:pPr>
        <w:ind w:right="120" w:firstLine="1304"/>
        <w:spacing w:after="0" w:line="269" w:lineRule="auto"/>
        <w:tabs>
          <w:tab w:leader="none" w:pos="1941" w:val="left"/>
        </w:tabs>
        <w:numPr>
          <w:ilvl w:val="0"/>
          <w:numId w:val="343"/>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any negotiations or discussions with, any Person in connection any ARYA Acquisition Proposal or a transaction of the type in clause (iv) (other than to inform such Person of the existence of the ARYA Parties’ obligations under this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16" w:lineRule="exact"/>
        <w:rPr>
          <w:sz w:val="20"/>
          <w:szCs w:val="20"/>
          <w:color w:val="auto"/>
        </w:rPr>
      </w:pPr>
    </w:p>
    <w:p>
      <w:pPr>
        <w:jc w:val="both"/>
        <w:ind w:firstLine="1304"/>
        <w:spacing w:after="0" w:line="311" w:lineRule="auto"/>
        <w:tabs>
          <w:tab w:leader="none" w:pos="193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spacing w:after="0" w:line="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Preparation of Registration Statement /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w:t>
      </w:r>
      <w:r>
        <w:rPr>
          <w:rFonts w:ascii="Arial" w:cs="Arial" w:eastAsia="Arial" w:hAnsi="Arial"/>
          <w:sz w:val="16"/>
          <w:szCs w:val="16"/>
          <w:u w:val="single" w:color="auto"/>
          <w:color w:val="auto"/>
        </w:rPr>
        <w:t>Section 5.5(a)(iii)</w:t>
      </w:r>
      <w:r>
        <w:rPr>
          <w:rFonts w:ascii="Arial" w:cs="Arial" w:eastAsia="Arial" w:hAnsi="Arial"/>
          <w:sz w:val="16"/>
          <w:szCs w:val="16"/>
          <w:color w:val="auto"/>
        </w:rPr>
        <w:t>. If any Party becomes aware of any information that should be disclosed in an amendment or supplement to the Registration Statement / Proxy Statement, then (i) such Party shall promptly inform, in the case of any ARYA Party, the Company, or, in the case of the Company, ARYA, thereof;</w:t>
      </w:r>
    </w:p>
    <w:p>
      <w:pPr>
        <w:spacing w:after="0" w:line="14" w:lineRule="exact"/>
        <w:rPr>
          <w:sz w:val="20"/>
          <w:szCs w:val="20"/>
          <w:color w:val="auto"/>
        </w:rPr>
      </w:pPr>
    </w:p>
    <w:p>
      <w:pPr>
        <w:jc w:val="both"/>
        <w:ind w:firstLine="8"/>
        <w:spacing w:after="0" w:line="267" w:lineRule="auto"/>
        <w:tabs>
          <w:tab w:leader="none" w:pos="26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ARYA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time at which the Registration Statement /</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is declared effective under the Securities Act, (A) ARYA shall (a) duly give not less than five clear days’ notice of a meeting of the ARYA shareholders (the “</w:t>
      </w:r>
      <w:r>
        <w:rPr>
          <w:rFonts w:ascii="Arial" w:cs="Arial" w:eastAsia="Arial" w:hAnsi="Arial"/>
          <w:sz w:val="16"/>
          <w:szCs w:val="16"/>
          <w:u w:val="single" w:color="auto"/>
          <w:color w:val="auto"/>
        </w:rPr>
        <w:t>ARYA Shareholders Meeting</w:t>
      </w:r>
      <w:r>
        <w:rPr>
          <w:rFonts w:ascii="Arial" w:cs="Arial" w:eastAsia="Arial" w:hAnsi="Arial"/>
          <w:sz w:val="16"/>
          <w:szCs w:val="16"/>
          <w:color w:val="auto"/>
        </w:rPr>
        <w:t>”),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w:t>
      </w:r>
      <w:r>
        <w:rPr>
          <w:rFonts w:ascii="Arial" w:cs="Arial" w:eastAsia="Arial" w:hAnsi="Arial"/>
          <w:sz w:val="16"/>
          <w:szCs w:val="16"/>
          <w:u w:val="single" w:color="auto"/>
          <w:color w:val="auto"/>
        </w:rPr>
        <w:t>ARYA Board Recommendation</w:t>
      </w:r>
      <w:r>
        <w:rPr>
          <w:rFonts w:ascii="Arial" w:cs="Arial" w:eastAsia="Arial" w:hAnsi="Arial"/>
          <w:sz w:val="16"/>
          <w:szCs w:val="16"/>
          <w:color w:val="auto"/>
        </w:rPr>
        <w:t>”): (A) the adoption and approval of this Agreement and the transactions contemplated hereby (including the Merger)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(B) the adoption and the approval of the Domestication in accordance with applicable Law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Arial" w:cs="Arial" w:eastAsia="Arial" w:hAnsi="Arial"/>
          <w:sz w:val="16"/>
          <w:szCs w:val="16"/>
          <w:u w:val="single" w:color="auto"/>
          <w:color w:val="auto"/>
        </w:rPr>
        <w:t>Required Governing Document Proposal</w:t>
      </w:r>
      <w:r>
        <w:rPr>
          <w:rFonts w:ascii="Arial" w:cs="Arial" w:eastAsia="Arial" w:hAnsi="Arial"/>
          <w:sz w:val="16"/>
          <w:szCs w:val="16"/>
          <w:color w:val="auto"/>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not being satisfied (assuming for purposes of this clause (4) that the full PIPE Financing Amount will be funded pursuant to the terms of the PIPE Subscription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Arial" w:cs="Arial" w:eastAsia="Arial" w:hAnsi="Arial"/>
          <w:sz w:val="16"/>
          <w:szCs w:val="16"/>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w:t>
      </w:r>
    </w:p>
    <w:p>
      <w:pPr>
        <w:spacing w:after="0" w:line="343"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Merger Sub Shareholder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reasonably practicable (and in any event within one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date of this Agreement, ARYA, as the sole stockholder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 will approve and adopt this Agreement, the Ancillary Documents to which Merger Sub is or will be a party and the transactions contemplated hereby and thereby (including the Merger).</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5.11 </w:t>
      </w:r>
      <w:r>
        <w:rPr>
          <w:rFonts w:ascii="Arial" w:cs="Arial" w:eastAsia="Arial" w:hAnsi="Arial"/>
          <w:sz w:val="17"/>
          <w:szCs w:val="17"/>
          <w:b w:val="1"/>
          <w:bCs w:val="1"/>
          <w:u w:val="single" w:color="auto"/>
          <w:color w:val="auto"/>
        </w:rPr>
        <w:t>Conduct of Business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of this Agreement until the earlier of the Closing or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of the ARYA Disclosure Schedules or as consented to in writing by the Company (such consent, other than in the case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5.11(j)</w:t>
      </w:r>
      <w:r>
        <w:rPr>
          <w:rFonts w:ascii="Arial" w:cs="Arial" w:eastAsia="Arial" w:hAnsi="Arial"/>
          <w:sz w:val="17"/>
          <w:szCs w:val="17"/>
          <w:color w:val="auto"/>
        </w:rPr>
        <w:t>, not to be unreasonably withheld, conditioned or delayed), do any of the following:</w:t>
      </w:r>
    </w:p>
    <w:p>
      <w:pPr>
        <w:spacing w:after="0" w:line="123" w:lineRule="exact"/>
        <w:rPr>
          <w:sz w:val="20"/>
          <w:szCs w:val="20"/>
          <w:color w:val="auto"/>
        </w:rPr>
      </w:pPr>
    </w:p>
    <w:p>
      <w:pPr>
        <w:ind w:left="1940" w:hanging="636"/>
        <w:spacing w:after="0"/>
        <w:tabs>
          <w:tab w:leader="none" w:pos="19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Trust Agreement or the Governing Documents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 Party;</w:t>
      </w:r>
    </w:p>
    <w:p>
      <w:pPr>
        <w:spacing w:after="0" w:line="157" w:lineRule="exact"/>
        <w:rPr>
          <w:sz w:val="20"/>
          <w:szCs w:val="20"/>
          <w:color w:val="auto"/>
        </w:rPr>
      </w:pPr>
    </w:p>
    <w:p>
      <w:pPr>
        <w:ind w:left="1940" w:hanging="636"/>
        <w:spacing w:after="0"/>
        <w:tabs>
          <w:tab w:leader="none" w:pos="19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create or form any Subsidiary;</w:t>
      </w:r>
    </w:p>
    <w:p>
      <w:pPr>
        <w:spacing w:after="0" w:line="171"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11" w:lineRule="exact"/>
        <w:rPr>
          <w:rFonts w:ascii="Arial" w:cs="Arial" w:eastAsia="Arial" w:hAnsi="Arial"/>
          <w:sz w:val="17"/>
          <w:szCs w:val="17"/>
          <w:color w:val="auto"/>
        </w:rPr>
      </w:pPr>
    </w:p>
    <w:p>
      <w:pPr>
        <w:jc w:val="both"/>
        <w:ind w:firstLine="1304"/>
        <w:spacing w:after="0" w:line="279" w:lineRule="auto"/>
        <w:tabs>
          <w:tab w:leader="none" w:pos="193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spacing w:after="0" w:line="117" w:lineRule="exact"/>
        <w:rPr>
          <w:rFonts w:ascii="Arial" w:cs="Arial" w:eastAsia="Arial" w:hAnsi="Arial"/>
          <w:sz w:val="17"/>
          <w:szCs w:val="17"/>
          <w:color w:val="auto"/>
        </w:rPr>
      </w:pPr>
    </w:p>
    <w:p>
      <w:pPr>
        <w:ind w:firstLine="1304"/>
        <w:spacing w:after="0" w:line="277" w:lineRule="auto"/>
        <w:tabs>
          <w:tab w:leader="none" w:pos="194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incur, create or assume any Indebtedness, or guarantee any Liability of any Person;</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issue any Equity Securities or grant any additional options, warrants or stock appreciation rights with respect to its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6" w:lineRule="exact"/>
        <w:rPr>
          <w:rFonts w:ascii="Arial" w:cs="Arial" w:eastAsia="Arial" w:hAnsi="Arial"/>
          <w:sz w:val="17"/>
          <w:szCs w:val="17"/>
          <w:color w:val="auto"/>
        </w:rPr>
      </w:pPr>
    </w:p>
    <w:p>
      <w:pPr>
        <w:ind w:right="400" w:firstLine="1304"/>
        <w:spacing w:after="0" w:line="311" w:lineRule="auto"/>
        <w:tabs>
          <w:tab w:leader="none" w:pos="193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of the ARYA Disclosure Schedules), or (ii) enter into any Contract that would constitute an ARYA Affiliated Party Transaction;</w:t>
      </w:r>
    </w:p>
    <w:p>
      <w:pPr>
        <w:spacing w:after="0" w:line="94" w:lineRule="exact"/>
        <w:rPr>
          <w:rFonts w:ascii="Arial" w:cs="Arial" w:eastAsia="Arial" w:hAnsi="Arial"/>
          <w:sz w:val="16"/>
          <w:szCs w:val="16"/>
          <w:color w:val="auto"/>
        </w:rPr>
      </w:pPr>
    </w:p>
    <w:p>
      <w:pPr>
        <w:jc w:val="both"/>
        <w:ind w:firstLine="1304"/>
        <w:spacing w:after="0" w:line="255" w:lineRule="auto"/>
        <w:tabs>
          <w:tab w:leader="none" w:pos="193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firstLine="1304"/>
        <w:spacing w:after="0" w:line="277" w:lineRule="auto"/>
        <w:tabs>
          <w:tab w:leader="none" w:pos="193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enter into, or amend or modify any material term of (in a manner adverse to any ARYA Party), terminate (excluding any expiration in accordance with its terms), or waive or release any material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claims or benefits under, any Contract of a type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 (or any Contract, that if existing on the date hereof, would have been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w:t>
      </w:r>
    </w:p>
    <w:p>
      <w:pPr>
        <w:spacing w:after="0" w:line="116" w:lineRule="exact"/>
        <w:rPr>
          <w:sz w:val="20"/>
          <w:szCs w:val="20"/>
          <w:color w:val="auto"/>
        </w:rPr>
      </w:pPr>
    </w:p>
    <w:p>
      <w:pPr>
        <w:ind w:firstLine="1304"/>
        <w:spacing w:after="0" w:line="277" w:lineRule="auto"/>
        <w:tabs>
          <w:tab w:leader="none" w:pos="193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 adopt or amend any ARYA Benefit Plan, or enter into any employment contract or collective bargaining agreement or (ii) hire any person as an employee of ARYA or Merger Sub;</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change any ARYA Party’s methods of accounting in any material respect, other than changes that are made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PCAOB standards;</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liquidation or dissolution;</w:t>
      </w:r>
    </w:p>
    <w:p>
      <w:pPr>
        <w:spacing w:after="0" w:line="182" w:lineRule="exact"/>
        <w:rPr>
          <w:rFonts w:ascii="Arial" w:cs="Arial" w:eastAsia="Arial" w:hAnsi="Arial"/>
          <w:sz w:val="17"/>
          <w:szCs w:val="17"/>
          <w:color w:val="auto"/>
        </w:rPr>
      </w:pPr>
    </w:p>
    <w:p>
      <w:pPr>
        <w:ind w:firstLine="1304"/>
        <w:spacing w:after="0" w:line="277" w:lineRule="auto"/>
        <w:tabs>
          <w:tab w:leader="none" w:pos="193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make any ARYA Change of Control Payment that is not set forth on </w:t>
      </w:r>
      <w:r>
        <w:rPr>
          <w:rFonts w:ascii="Arial" w:cs="Arial" w:eastAsia="Arial" w:hAnsi="Arial"/>
          <w:sz w:val="17"/>
          <w:szCs w:val="17"/>
          <w:u w:val="single" w:color="auto"/>
          <w:color w:val="auto"/>
        </w:rPr>
        <w:t>Section 4.22</w:t>
      </w:r>
      <w:r>
        <w:rPr>
          <w:rFonts w:ascii="Arial" w:cs="Arial" w:eastAsia="Arial" w:hAnsi="Arial"/>
          <w:sz w:val="17"/>
          <w:szCs w:val="17"/>
          <w:color w:val="auto"/>
        </w:rPr>
        <w:t xml:space="preserve"> of the ARYA Disclosure Schedules; or</w:t>
      </w:r>
    </w:p>
    <w:p>
      <w:pPr>
        <w:spacing w:after="0" w:line="182" w:lineRule="exact"/>
        <w:rPr>
          <w:rFonts w:ascii="Arial" w:cs="Arial" w:eastAsia="Arial" w:hAnsi="Arial"/>
          <w:sz w:val="17"/>
          <w:szCs w:val="17"/>
          <w:color w:val="auto"/>
        </w:rPr>
      </w:pPr>
    </w:p>
    <w:p>
      <w:pPr>
        <w:ind w:left="1940" w:hanging="636"/>
        <w:spacing w:after="0"/>
        <w:tabs>
          <w:tab w:leader="none" w:pos="19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this Agreement to the contrary, but without limiting the terms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nothing set forth in this Agreement shall give the Company, directly or indirectly, the right to control or direct the operations of any ARYA Party</w:t>
      </w:r>
    </w:p>
    <w:p>
      <w:pPr>
        <w:spacing w:after="0" w:line="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u w:val="single" w:color="auto"/>
          <w:color w:val="auto"/>
        </w:rPr>
        <w:t>Nasdaq Listing; ARYA Public Filings.</w:t>
      </w:r>
    </w:p>
    <w:p>
      <w:pPr>
        <w:spacing w:after="0" w:line="175" w:lineRule="exact"/>
        <w:rPr>
          <w:sz w:val="20"/>
          <w:szCs w:val="20"/>
          <w:color w:val="auto"/>
        </w:rPr>
      </w:pPr>
    </w:p>
    <w:p>
      <w:pPr>
        <w:jc w:val="both"/>
        <w:ind w:firstLine="1304"/>
        <w:spacing w:after="0" w:line="254" w:lineRule="auto"/>
        <w:tabs>
          <w:tab w:leader="none" w:pos="1941"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spacing w:after="0" w:line="140"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ARYA Public Filings</w:t>
      </w:r>
      <w:r>
        <w:rPr>
          <w:rFonts w:ascii="Arial" w:cs="Arial" w:eastAsia="Arial" w:hAnsi="Arial"/>
          <w:sz w:val="18"/>
          <w:szCs w:val="18"/>
          <w:color w:val="auto"/>
        </w:rPr>
        <w:t>.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3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5.13 </w:t>
      </w:r>
      <w:r>
        <w:rPr>
          <w:rFonts w:ascii="Arial" w:cs="Arial" w:eastAsia="Arial" w:hAnsi="Arial"/>
          <w:sz w:val="17"/>
          <w:szCs w:val="17"/>
          <w:b w:val="1"/>
          <w:bCs w:val="1"/>
          <w:u w:val="single" w:color="auto"/>
          <w:color w:val="auto"/>
        </w:rPr>
        <w:t>Trust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and 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u w:val="single" w:color="auto"/>
          <w:color w:val="auto"/>
        </w:rPr>
        <w:t>Company Shareholder Approval.</w:t>
      </w:r>
    </w:p>
    <w:p>
      <w:pPr>
        <w:spacing w:after="0" w:line="175" w:lineRule="exact"/>
        <w:rPr>
          <w:sz w:val="20"/>
          <w:szCs w:val="20"/>
          <w:color w:val="auto"/>
        </w:rPr>
      </w:pPr>
    </w:p>
    <w:p>
      <w:pPr>
        <w:jc w:val="both"/>
        <w:ind w:firstLine="1304"/>
        <w:spacing w:after="0" w:line="273" w:lineRule="auto"/>
        <w:tabs>
          <w:tab w:leader="none" w:pos="1941"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fifth (5th) Business Day following the date the Registration Statement / Proxy Statement is declared effective under the Securities Act, the “</w:t>
      </w:r>
      <w:r>
        <w:rPr>
          <w:rFonts w:ascii="Arial" w:cs="Arial" w:eastAsia="Arial" w:hAnsi="Arial"/>
          <w:sz w:val="17"/>
          <w:szCs w:val="17"/>
          <w:u w:val="single" w:color="auto"/>
          <w:color w:val="auto"/>
        </w:rPr>
        <w:t>Company Shareholder Written Consent Deadline</w:t>
      </w:r>
      <w:r>
        <w:rPr>
          <w:rFonts w:ascii="Arial" w:cs="Arial" w:eastAsia="Arial" w:hAnsi="Arial"/>
          <w:sz w:val="17"/>
          <w:szCs w:val="17"/>
          <w:color w:val="auto"/>
        </w:rPr>
        <w:t xml:space="preserve">”), the Company shall obtain and deliver to ARYA a true and correct copy of a written consent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adopting and approving this Agreement and the transactions contemplated hereby (including the Merger) from the Company Shareholders that hold at least a number of Company Shares equal to the Company Required Shareholder Approval (the “</w:t>
      </w:r>
      <w:r>
        <w:rPr>
          <w:rFonts w:ascii="Arial" w:cs="Arial" w:eastAsia="Arial" w:hAnsi="Arial"/>
          <w:sz w:val="17"/>
          <w:szCs w:val="17"/>
          <w:u w:val="single" w:color="auto"/>
          <w:color w:val="auto"/>
        </w:rPr>
        <w:t>Company Shareholder Written Consent</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u w:val="single" w:color="auto"/>
          <w:color w:val="auto"/>
        </w:rPr>
        <w:t>Financing.</w:t>
      </w:r>
    </w:p>
    <w:p>
      <w:pPr>
        <w:spacing w:after="0" w:line="175" w:lineRule="exact"/>
        <w:rPr>
          <w:sz w:val="20"/>
          <w:szCs w:val="20"/>
          <w:color w:val="auto"/>
        </w:rPr>
      </w:pPr>
    </w:p>
    <w:p>
      <w:pPr>
        <w:jc w:val="both"/>
        <w:ind w:firstLine="1304"/>
        <w:spacing w:after="0" w:line="287" w:lineRule="auto"/>
        <w:tabs>
          <w:tab w:leader="none" w:pos="1941"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Arial" w:cs="Arial" w:eastAsia="Arial" w:hAnsi="Arial"/>
          <w:sz w:val="16"/>
          <w:szCs w:val="16"/>
          <w:u w:val="single" w:color="auto"/>
          <w:color w:val="auto"/>
        </w:rPr>
        <w:t>Section 5.15(a)</w:t>
      </w:r>
      <w:r>
        <w:rPr>
          <w:rFonts w:ascii="Arial" w:cs="Arial" w:eastAsia="Arial" w:hAnsi="Arial"/>
          <w:sz w:val="16"/>
          <w:szCs w:val="16"/>
          <w:color w:val="auto"/>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spacing w:after="0" w:line="113" w:lineRule="exact"/>
        <w:rPr>
          <w:rFonts w:ascii="Arial" w:cs="Arial" w:eastAsia="Arial" w:hAnsi="Arial"/>
          <w:sz w:val="16"/>
          <w:szCs w:val="16"/>
          <w:color w:val="auto"/>
        </w:rPr>
      </w:pPr>
    </w:p>
    <w:p>
      <w:pPr>
        <w:jc w:val="both"/>
        <w:ind w:firstLine="1304"/>
        <w:spacing w:after="0" w:line="254" w:lineRule="auto"/>
        <w:tabs>
          <w:tab w:leader="none" w:pos="19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ARYA shall not amend, modify or waive any provisions of any PIPE Subscription Agreement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jc w:val="both"/>
        <w:ind w:firstLine="1304"/>
        <w:spacing w:after="0" w:line="253" w:lineRule="auto"/>
        <w:tabs>
          <w:tab w:leader="none" w:pos="194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5.16</w:t>
      </w:r>
      <w:r>
        <w:rPr>
          <w:sz w:val="20"/>
          <w:szCs w:val="20"/>
          <w:color w:val="auto"/>
        </w:rPr>
        <w:tab/>
      </w:r>
      <w:r>
        <w:rPr>
          <w:rFonts w:ascii="Arial" w:cs="Arial" w:eastAsia="Arial" w:hAnsi="Arial"/>
          <w:sz w:val="16"/>
          <w:szCs w:val="16"/>
          <w:b w:val="1"/>
          <w:bCs w:val="1"/>
          <w:u w:val="single" w:color="auto"/>
          <w:color w:val="auto"/>
        </w:rPr>
        <w:t>ARYA Indemnification; Directors’ and Officers’ Insurance.</w:t>
      </w:r>
    </w:p>
    <w:p>
      <w:pPr>
        <w:spacing w:after="0" w:line="175" w:lineRule="exact"/>
        <w:rPr>
          <w:sz w:val="20"/>
          <w:szCs w:val="20"/>
          <w:color w:val="auto"/>
        </w:rPr>
      </w:pPr>
    </w:p>
    <w:p>
      <w:pPr>
        <w:jc w:val="both"/>
        <w:ind w:firstLine="1304"/>
        <w:spacing w:after="0" w:line="286" w:lineRule="auto"/>
        <w:tabs>
          <w:tab w:leader="none" w:pos="1941" w:val="left"/>
        </w:tabs>
        <w:numPr>
          <w:ilvl w:val="1"/>
          <w:numId w:val="353"/>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Arial" w:cs="Arial" w:eastAsia="Arial" w:hAnsi="Arial"/>
          <w:sz w:val="16"/>
          <w:szCs w:val="16"/>
          <w:u w:val="single" w:color="auto"/>
          <w:color w:val="auto"/>
        </w:rPr>
        <w:t>ARYA D&amp;O Persons</w:t>
      </w:r>
      <w:r>
        <w:rPr>
          <w:rFonts w:ascii="Arial" w:cs="Arial" w:eastAsia="Arial" w:hAnsi="Arial"/>
          <w:sz w:val="16"/>
          <w:szCs w:val="16"/>
          <w:color w:val="auto"/>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 xml:space="preserve">ARYA shall not have any obligation under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71" w:lineRule="auto"/>
        <w:tabs>
          <w:tab w:leader="none" w:pos="1941" w:val="left"/>
        </w:tabs>
        <w:numPr>
          <w:ilvl w:val="1"/>
          <w:numId w:val="353"/>
        </w:numPr>
        <w:rPr>
          <w:rFonts w:ascii="Arial" w:cs="Arial" w:eastAsia="Arial" w:hAnsi="Arial"/>
          <w:sz w:val="17"/>
          <w:szCs w:val="17"/>
          <w:color w:val="auto"/>
        </w:rPr>
      </w:pPr>
      <w:r>
        <w:rPr>
          <w:rFonts w:ascii="Arial" w:cs="Arial" w:eastAsia="Arial" w:hAnsi="Arial"/>
          <w:sz w:val="17"/>
          <w:szCs w:val="17"/>
          <w:color w:val="auto"/>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w:t>
      </w:r>
    </w:p>
    <w:p>
      <w:pPr>
        <w:spacing w:after="0" w:line="124" w:lineRule="exact"/>
        <w:rPr>
          <w:rFonts w:ascii="Arial" w:cs="Arial" w:eastAsia="Arial" w:hAnsi="Arial"/>
          <w:sz w:val="17"/>
          <w:szCs w:val="17"/>
          <w:color w:val="auto"/>
        </w:rPr>
      </w:pPr>
    </w:p>
    <w:p>
      <w:pPr>
        <w:ind w:left="1940" w:hanging="636"/>
        <w:spacing w:after="0"/>
        <w:tabs>
          <w:tab w:leader="none" w:pos="194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ARYA shall obtain, at or prior to the Closing, and ARYA shall maintain, or cause to be maintained, in effect for a period of six</w:t>
      </w:r>
    </w:p>
    <w:p>
      <w:pPr>
        <w:spacing w:after="0" w:line="46" w:lineRule="exact"/>
        <w:rPr>
          <w:rFonts w:ascii="Arial" w:cs="Arial" w:eastAsia="Arial" w:hAnsi="Arial"/>
          <w:sz w:val="16"/>
          <w:szCs w:val="16"/>
          <w:color w:val="auto"/>
        </w:rPr>
      </w:pPr>
    </w:p>
    <w:p>
      <w:pPr>
        <w:jc w:val="both"/>
        <w:ind w:firstLine="8"/>
        <w:spacing w:after="0" w:line="255" w:lineRule="auto"/>
        <w:tabs>
          <w:tab w:leader="none" w:pos="27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policy of ARYA, providing the aforementioned coverage set forth in this </w:t>
      </w:r>
      <w:r>
        <w:rPr>
          <w:rFonts w:ascii="Arial" w:cs="Arial" w:eastAsia="Arial" w:hAnsi="Arial"/>
          <w:sz w:val="18"/>
          <w:szCs w:val="18"/>
          <w:u w:val="single" w:color="auto"/>
          <w:color w:val="auto"/>
        </w:rPr>
        <w:t>Section 5.16(d)</w:t>
      </w:r>
      <w:r>
        <w:rPr>
          <w:rFonts w:ascii="Arial" w:cs="Arial" w:eastAsia="Arial" w:hAnsi="Arial"/>
          <w:sz w:val="18"/>
          <w:szCs w:val="18"/>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spacing w:after="0" w:line="141" w:lineRule="exact"/>
        <w:rPr>
          <w:sz w:val="20"/>
          <w:szCs w:val="20"/>
          <w:color w:val="auto"/>
        </w:rPr>
      </w:pPr>
    </w:p>
    <w:p>
      <w:pPr>
        <w:jc w:val="both"/>
        <w:ind w:firstLine="1304"/>
        <w:spacing w:after="0" w:line="279" w:lineRule="auto"/>
        <w:tabs>
          <w:tab w:leader="none" w:pos="1941"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right="20" w:firstLine="1304"/>
        <w:spacing w:after="0" w:line="263" w:lineRule="auto"/>
        <w:tabs>
          <w:tab w:leader="none" w:pos="193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5.17</w:t>
      </w:r>
      <w:r>
        <w:rPr>
          <w:sz w:val="20"/>
          <w:szCs w:val="20"/>
          <w:color w:val="auto"/>
        </w:rPr>
        <w:tab/>
      </w:r>
      <w:r>
        <w:rPr>
          <w:rFonts w:ascii="Arial" w:cs="Arial" w:eastAsia="Arial" w:hAnsi="Arial"/>
          <w:sz w:val="16"/>
          <w:szCs w:val="16"/>
          <w:b w:val="1"/>
          <w:bCs w:val="1"/>
          <w:u w:val="single" w:color="auto"/>
          <w:color w:val="auto"/>
        </w:rPr>
        <w:t>Company Indemnification; Directors’ and Officers’ Insurance.</w:t>
      </w:r>
    </w:p>
    <w:p>
      <w:pPr>
        <w:spacing w:after="0" w:line="175" w:lineRule="exact"/>
        <w:rPr>
          <w:sz w:val="20"/>
          <w:szCs w:val="20"/>
          <w:color w:val="auto"/>
        </w:rPr>
      </w:pPr>
    </w:p>
    <w:p>
      <w:pPr>
        <w:ind w:right="80" w:firstLine="1304"/>
        <w:spacing w:after="0" w:line="286" w:lineRule="auto"/>
        <w:tabs>
          <w:tab w:leader="none" w:pos="194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Arial" w:cs="Arial" w:eastAsia="Arial" w:hAnsi="Arial"/>
          <w:sz w:val="16"/>
          <w:szCs w:val="16"/>
          <w:u w:val="single" w:color="auto"/>
          <w:color w:val="auto"/>
        </w:rPr>
        <w:t>Section 5.17(a</w:t>
      </w:r>
      <w:r>
        <w:rPr>
          <w:rFonts w:ascii="Arial" w:cs="Arial" w:eastAsia="Arial" w:hAnsi="Arial"/>
          <w:sz w:val="16"/>
          <w:szCs w:val="16"/>
          <w:color w:val="auto"/>
        </w:rPr>
        <w:t>)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Arial" w:cs="Arial" w:eastAsia="Arial" w:hAnsi="Arial"/>
          <w:sz w:val="16"/>
          <w:szCs w:val="16"/>
          <w:u w:val="single" w:color="auto"/>
          <w:color w:val="auto"/>
        </w:rPr>
        <w:t>Company D&amp;O Persons</w:t>
      </w:r>
      <w:r>
        <w:rPr>
          <w:rFonts w:ascii="Arial" w:cs="Arial" w:eastAsia="Arial" w:hAnsi="Arial"/>
          <w:sz w:val="16"/>
          <w:szCs w:val="16"/>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None of ARYA or the Group Companies shall have any obligation under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57" w:lineRule="auto"/>
        <w:tabs>
          <w:tab w:leader="none" w:pos="194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Arial" w:cs="Arial" w:eastAsia="Arial" w:hAnsi="Arial"/>
          <w:sz w:val="18"/>
          <w:szCs w:val="18"/>
          <w:u w:val="single" w:color="auto"/>
          <w:color w:val="auto"/>
        </w:rPr>
        <w:t>Section 5.17(a)</w:t>
      </w:r>
      <w:r>
        <w:rPr>
          <w:rFonts w:ascii="Arial" w:cs="Arial" w:eastAsia="Arial" w:hAnsi="Arial"/>
          <w:sz w:val="18"/>
          <w:szCs w:val="18"/>
          <w:color w:val="auto"/>
        </w:rPr>
        <w:t>, providing the aforementioned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coverage set forth in this </w:t>
      </w:r>
      <w:r>
        <w:rPr>
          <w:rFonts w:ascii="Arial" w:cs="Arial" w:eastAsia="Arial" w:hAnsi="Arial"/>
          <w:sz w:val="16"/>
          <w:szCs w:val="16"/>
          <w:u w:val="single" w:color="auto"/>
          <w:color w:val="auto"/>
        </w:rPr>
        <w:t>Section 5.17(c)</w:t>
      </w:r>
      <w:r>
        <w:rPr>
          <w:rFonts w:ascii="Arial" w:cs="Arial" w:eastAsia="Arial" w:hAnsi="Arial"/>
          <w:sz w:val="16"/>
          <w:szCs w:val="16"/>
          <w:color w:val="auto"/>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w:t>
      </w:r>
    </w:p>
    <w:p>
      <w:pPr>
        <w:spacing w:after="0" w:line="110" w:lineRule="exact"/>
        <w:rPr>
          <w:sz w:val="20"/>
          <w:szCs w:val="20"/>
          <w:color w:val="auto"/>
        </w:rPr>
      </w:pPr>
    </w:p>
    <w:p>
      <w:pPr>
        <w:ind w:right="100" w:firstLine="1304"/>
        <w:spacing w:after="0" w:line="279" w:lineRule="auto"/>
        <w:tabs>
          <w:tab w:leader="none" w:pos="1938"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Section 5.17 are intended to be third-party beneficiaries of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5.18</w:t>
      </w:r>
      <w:r>
        <w:rPr>
          <w:sz w:val="20"/>
          <w:szCs w:val="20"/>
          <w:color w:val="auto"/>
        </w:rPr>
        <w:tab/>
      </w:r>
      <w:r>
        <w:rPr>
          <w:rFonts w:ascii="Arial" w:cs="Arial" w:eastAsia="Arial" w:hAnsi="Arial"/>
          <w:sz w:val="16"/>
          <w:szCs w:val="16"/>
          <w:b w:val="1"/>
          <w:bCs w:val="1"/>
          <w:u w:val="single" w:color="auto"/>
          <w:color w:val="auto"/>
        </w:rPr>
        <w:t>Post-Closing Directors and Officers.</w:t>
      </w:r>
    </w:p>
    <w:p>
      <w:pPr>
        <w:spacing w:after="0" w:line="175" w:lineRule="exact"/>
        <w:rPr>
          <w:sz w:val="20"/>
          <w:szCs w:val="20"/>
          <w:color w:val="auto"/>
        </w:rPr>
      </w:pPr>
    </w:p>
    <w:p>
      <w:pPr>
        <w:jc w:val="both"/>
        <w:ind w:firstLine="1304"/>
        <w:spacing w:after="0" w:line="271" w:lineRule="auto"/>
        <w:tabs>
          <w:tab w:leader="none" w:pos="1941"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individual is not identified to serve as a director pursuant to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(iii) the members of the compensation committee, audit committee and nominating committee of the ARYA Board are the individuals determined in accordance with </w:t>
      </w:r>
      <w:r>
        <w:rPr>
          <w:rFonts w:ascii="Arial" w:cs="Arial" w:eastAsia="Arial" w:hAnsi="Arial"/>
          <w:sz w:val="17"/>
          <w:szCs w:val="17"/>
          <w:u w:val="single" w:color="auto"/>
          <w:color w:val="auto"/>
        </w:rPr>
        <w:t>Section 5.18(e)</w:t>
      </w:r>
      <w:r>
        <w:rPr>
          <w:rFonts w:ascii="Arial" w:cs="Arial" w:eastAsia="Arial" w:hAnsi="Arial"/>
          <w:sz w:val="17"/>
          <w:szCs w:val="17"/>
          <w:color w:val="auto"/>
        </w:rPr>
        <w:t>; and (iv) the officers of ARYA (the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are the individuals determined in accordance with </w:t>
      </w:r>
      <w:r>
        <w:rPr>
          <w:rFonts w:ascii="Arial" w:cs="Arial" w:eastAsia="Arial" w:hAnsi="Arial"/>
          <w:sz w:val="17"/>
          <w:szCs w:val="17"/>
          <w:u w:val="single" w:color="auto"/>
          <w:color w:val="auto"/>
        </w:rPr>
        <w:t>Section 5.18(f)</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firstLine="1304"/>
        <w:spacing w:after="0" w:line="273" w:lineRule="auto"/>
        <w:tabs>
          <w:tab w:leader="none" w:pos="193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The individual identified on </w:t>
      </w:r>
      <w:r>
        <w:rPr>
          <w:rFonts w:ascii="Arial" w:cs="Arial" w:eastAsia="Arial" w:hAnsi="Arial"/>
          <w:sz w:val="17"/>
          <w:szCs w:val="17"/>
          <w:u w:val="single" w:color="auto"/>
          <w:color w:val="auto"/>
        </w:rPr>
        <w:t>Section 5.18(b</w:t>
      </w:r>
      <w:r>
        <w:rPr>
          <w:rFonts w:ascii="Arial" w:cs="Arial" w:eastAsia="Arial" w:hAnsi="Arial"/>
          <w:sz w:val="17"/>
          <w:szCs w:val="17"/>
          <w:color w:val="auto"/>
        </w:rPr>
        <w:t>) of the ARYA Disclosure Schedules shall be a director on the ARYA Board immediately after the Effective Time, with such individual being in the class of directors set forth opposite his or her name (the “</w:t>
      </w:r>
      <w:r>
        <w:rPr>
          <w:rFonts w:ascii="Arial" w:cs="Arial" w:eastAsia="Arial" w:hAnsi="Arial"/>
          <w:sz w:val="17"/>
          <w:szCs w:val="17"/>
          <w:u w:val="single" w:color="auto"/>
          <w:color w:val="auto"/>
        </w:rPr>
        <w:t>ARYA Designee</w:t>
      </w:r>
      <w:r>
        <w:rPr>
          <w:rFonts w:ascii="Arial" w:cs="Arial" w:eastAsia="Arial" w:hAnsi="Arial"/>
          <w:sz w:val="17"/>
          <w:szCs w:val="17"/>
          <w:color w:val="auto"/>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of the ARYA Disclosure Schedules shall automatically be deemed amended to include such replacement individual as the ARYA Designee in lieu of, and to serve in the same class of directors as, the individual so replaced.</w:t>
      </w:r>
    </w:p>
    <w:p>
      <w:pPr>
        <w:spacing w:after="0" w:line="123" w:lineRule="exact"/>
        <w:rPr>
          <w:rFonts w:ascii="Arial" w:cs="Arial" w:eastAsia="Arial" w:hAnsi="Arial"/>
          <w:sz w:val="17"/>
          <w:szCs w:val="17"/>
          <w:color w:val="auto"/>
        </w:rPr>
      </w:pPr>
    </w:p>
    <w:p>
      <w:pPr>
        <w:jc w:val="both"/>
        <w:ind w:firstLine="1304"/>
        <w:spacing w:after="0" w:line="289" w:lineRule="auto"/>
        <w:tabs>
          <w:tab w:leader="none" w:pos="194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The seven (7) individuals identified on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be directors on the ARYA Board immediately after the Effective Time, with each such individual being in the class of directors set forth opposite his or her name (each,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Designee</w:t>
      </w:r>
      <w:r>
        <w:rPr>
          <w:rFonts w:ascii="Arial" w:cs="Arial" w:eastAsia="Arial" w:hAnsi="Arial"/>
          <w:sz w:val="16"/>
          <w:szCs w:val="16"/>
          <w:color w:val="auto"/>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consent to the replacement of any such Company Designee pursuant to this clause (ii), then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or otherwise).</w:t>
      </w:r>
    </w:p>
    <w:p>
      <w:pPr>
        <w:spacing w:after="0" w:line="122" w:lineRule="exact"/>
        <w:rPr>
          <w:sz w:val="20"/>
          <w:szCs w:val="20"/>
          <w:color w:val="auto"/>
        </w:rPr>
      </w:pPr>
    </w:p>
    <w:p>
      <w:pPr>
        <w:jc w:val="both"/>
        <w:ind w:firstLine="1304"/>
        <w:spacing w:after="0" w:line="263" w:lineRule="auto"/>
        <w:tabs>
          <w:tab w:leader="none" w:pos="193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w:t>
      </w:r>
    </w:p>
    <w:p>
      <w:pPr>
        <w:spacing w:after="0" w:line="111" w:lineRule="exact"/>
        <w:rPr>
          <w:rFonts w:ascii="Arial" w:cs="Arial" w:eastAsia="Arial" w:hAnsi="Arial"/>
          <w:sz w:val="17"/>
          <w:szCs w:val="17"/>
          <w:color w:val="auto"/>
        </w:rPr>
      </w:pPr>
    </w:p>
    <w:p>
      <w:pPr>
        <w:jc w:val="both"/>
        <w:ind w:firstLine="1304"/>
        <w:spacing w:after="0" w:line="254" w:lineRule="auto"/>
        <w:tabs>
          <w:tab w:leader="none" w:pos="193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individuals identified on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be Officers immediately after the Effective Time, with each such individual holding the title set forth opposite his or her name. In the event that any such individual identified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5.18(f)</w:t>
      </w:r>
      <w:r>
        <w:rPr>
          <w:rFonts w:ascii="Arial" w:cs="Arial" w:eastAsia="Arial" w:hAnsi="Arial"/>
          <w:sz w:val="18"/>
          <w:szCs w:val="18"/>
          <w:color w:val="auto"/>
        </w:rPr>
        <w:t xml:space="preserve"> 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137"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obligations of ARYA pursuant to </w:t>
      </w:r>
      <w:r>
        <w:rPr>
          <w:rFonts w:ascii="Arial" w:cs="Arial" w:eastAsia="Arial" w:hAnsi="Arial"/>
          <w:sz w:val="18"/>
          <w:szCs w:val="18"/>
          <w:u w:val="single" w:color="auto"/>
          <w:color w:val="auto"/>
        </w:rPr>
        <w:t>Section 5.18(a)</w:t>
      </w:r>
      <w:r>
        <w:rPr>
          <w:rFonts w:ascii="Arial" w:cs="Arial" w:eastAsia="Arial" w:hAnsi="Arial"/>
          <w:sz w:val="18"/>
          <w:szCs w:val="18"/>
          <w:color w:val="auto"/>
        </w:rPr>
        <w:t xml:space="preserve"> 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5.19</w:t>
      </w:r>
      <w:r>
        <w:rPr>
          <w:sz w:val="20"/>
          <w:szCs w:val="20"/>
          <w:color w:val="auto"/>
        </w:rPr>
        <w:tab/>
      </w:r>
      <w:r>
        <w:rPr>
          <w:rFonts w:ascii="Arial" w:cs="Arial" w:eastAsia="Arial" w:hAnsi="Arial"/>
          <w:sz w:val="16"/>
          <w:szCs w:val="16"/>
          <w:b w:val="1"/>
          <w:bCs w:val="1"/>
          <w:u w:val="single" w:color="auto"/>
          <w:color w:val="auto"/>
        </w:rPr>
        <w:t>PCAOB Financials.</w:t>
      </w:r>
    </w:p>
    <w:p>
      <w:pPr>
        <w:spacing w:after="0" w:line="175" w:lineRule="exact"/>
        <w:rPr>
          <w:sz w:val="20"/>
          <w:szCs w:val="20"/>
          <w:color w:val="auto"/>
        </w:rPr>
      </w:pPr>
    </w:p>
    <w:p>
      <w:pPr>
        <w:ind w:firstLine="1304"/>
        <w:spacing w:after="0" w:line="277" w:lineRule="auto"/>
        <w:tabs>
          <w:tab w:leader="none" w:pos="1941"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Company shall deliver to ARYA, (i) as promptly as reasonably practicable following the date of this Agreement, the audited consolidated balance sheets of the</w:t>
      </w:r>
    </w:p>
    <w:p>
      <w:pPr>
        <w:spacing w:after="0" w:line="116" w:lineRule="exact"/>
        <w:rPr>
          <w:sz w:val="20"/>
          <w:szCs w:val="20"/>
          <w:color w:val="auto"/>
        </w:rPr>
      </w:pPr>
    </w:p>
    <w:p>
      <w:pPr>
        <w:ind w:right="40" w:firstLine="1304"/>
        <w:spacing w:after="0" w:line="287" w:lineRule="auto"/>
        <w:tabs>
          <w:tab w:leader="none" w:pos="194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Arial" w:cs="Arial" w:eastAsia="Arial" w:hAnsi="Arial"/>
          <w:sz w:val="16"/>
          <w:szCs w:val="16"/>
          <w:u w:val="single" w:color="auto"/>
          <w:color w:val="auto"/>
        </w:rPr>
        <w:t>Other Closing Company Financial Statements</w:t>
      </w:r>
      <w:r>
        <w:rPr>
          <w:rFonts w:ascii="Arial" w:cs="Arial" w:eastAsia="Arial" w:hAnsi="Arial"/>
          <w:sz w:val="16"/>
          <w:szCs w:val="16"/>
          <w:color w:val="auto"/>
        </w:rPr>
        <w:t>”, and collectively with the Closing Company Audited Financial Statements, the “</w:t>
      </w:r>
      <w:r>
        <w:rPr>
          <w:rFonts w:ascii="Arial" w:cs="Arial" w:eastAsia="Arial" w:hAnsi="Arial"/>
          <w:sz w:val="16"/>
          <w:szCs w:val="16"/>
          <w:u w:val="single" w:color="auto"/>
          <w:color w:val="auto"/>
        </w:rPr>
        <w:t>Closing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30" w:lineRule="exact"/>
        <w:rPr>
          <w:sz w:val="20"/>
          <w:szCs w:val="20"/>
          <w:color w:val="auto"/>
        </w:rPr>
      </w:pPr>
    </w:p>
    <w:p>
      <w:pPr>
        <w:jc w:val="both"/>
        <w:ind w:firstLine="1304"/>
        <w:spacing w:after="0" w:line="255" w:lineRule="auto"/>
        <w:tabs>
          <w:tab w:leader="none" w:pos="193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ARYA Incentive Equity Plan; ARYA Employee Stock Purchase Plan.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ARYA Shareholders Meeting, the ARYA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approve and adopt (a) the equity incentive plan, in substantially the form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Incentive Equity Plan</w:t>
      </w:r>
      <w:r>
        <w:rPr>
          <w:rFonts w:ascii="Arial" w:cs="Arial" w:eastAsia="Arial" w:hAnsi="Arial"/>
          <w:sz w:val="16"/>
          <w:szCs w:val="16"/>
          <w:color w:val="auto"/>
        </w:rPr>
        <w:t xml:space="preserve">”),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Employee Stock Purchase Plan</w:t>
      </w:r>
      <w:r>
        <w:rPr>
          <w:rFonts w:ascii="Arial" w:cs="Arial" w:eastAsia="Arial" w:hAnsi="Arial"/>
          <w:sz w:val="16"/>
          <w:szCs w:val="16"/>
          <w:color w:val="auto"/>
        </w:rPr>
        <w:t>”),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w:t>
      </w:r>
    </w:p>
    <w:p>
      <w:pPr>
        <w:spacing w:after="0" w:line="1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5.21 </w:t>
      </w:r>
      <w:r>
        <w:rPr>
          <w:rFonts w:ascii="Arial" w:cs="Arial" w:eastAsia="Arial" w:hAnsi="Arial"/>
          <w:sz w:val="18"/>
          <w:szCs w:val="18"/>
          <w:b w:val="1"/>
          <w:bCs w:val="1"/>
          <w:u w:val="single" w:color="auto"/>
          <w:color w:val="auto"/>
        </w:rPr>
        <w:t>FIRPTA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At or prior to the Closing, the Company shall deliver, or cause to be delivered, to ARYA a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5.22</w:t>
      </w:r>
      <w:r>
        <w:rPr>
          <w:sz w:val="20"/>
          <w:szCs w:val="20"/>
          <w:color w:val="auto"/>
        </w:rPr>
        <w:tab/>
      </w:r>
      <w:r>
        <w:rPr>
          <w:rFonts w:ascii="Arial" w:cs="Arial" w:eastAsia="Arial" w:hAnsi="Arial"/>
          <w:sz w:val="16"/>
          <w:szCs w:val="16"/>
          <w:b w:val="1"/>
          <w:bCs w:val="1"/>
          <w:u w:val="single" w:color="auto"/>
          <w:color w:val="auto"/>
        </w:rPr>
        <w:t>Employee Benefits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63"/>
        </w:numPr>
        <w:rPr>
          <w:rFonts w:ascii="Arial" w:cs="Arial" w:eastAsia="Arial" w:hAnsi="Arial"/>
          <w:sz w:val="16"/>
          <w:szCs w:val="16"/>
          <w:color w:val="auto"/>
        </w:rPr>
      </w:pPr>
      <w:r>
        <w:rPr>
          <w:rFonts w:ascii="Arial" w:cs="Arial" w:eastAsia="Arial" w:hAnsi="Arial"/>
          <w:sz w:val="16"/>
          <w:szCs w:val="16"/>
          <w:color w:val="auto"/>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spacing w:after="0" w:line="133" w:lineRule="exact"/>
        <w:rPr>
          <w:sz w:val="20"/>
          <w:szCs w:val="20"/>
          <w:color w:val="auto"/>
        </w:rPr>
      </w:pPr>
    </w:p>
    <w:p>
      <w:pPr>
        <w:jc w:val="both"/>
        <w:ind w:firstLine="1304"/>
        <w:spacing w:after="0" w:line="270" w:lineRule="auto"/>
        <w:tabs>
          <w:tab w:leader="none" w:pos="1938"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5.23 </w:t>
      </w:r>
      <w:r>
        <w:rPr>
          <w:rFonts w:ascii="Arial" w:cs="Arial" w:eastAsia="Arial" w:hAnsi="Arial"/>
          <w:sz w:val="18"/>
          <w:szCs w:val="18"/>
          <w:b w:val="1"/>
          <w:bCs w:val="1"/>
          <w:u w:val="single" w:color="auto"/>
          <w:color w:val="auto"/>
        </w:rPr>
        <w:t>Bylaws.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occurrence of the Effective Time, ARYA shall adopt, or cause to be adopted, the ARYA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Law.</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5.24 </w:t>
      </w:r>
      <w:r>
        <w:rPr>
          <w:rFonts w:ascii="Arial" w:cs="Arial" w:eastAsia="Arial" w:hAnsi="Arial"/>
          <w:sz w:val="18"/>
          <w:szCs w:val="18"/>
          <w:b w:val="1"/>
          <w:bCs w:val="1"/>
          <w:u w:val="single" w:color="auto"/>
          <w:color w:val="auto"/>
        </w:rPr>
        <w:t>Company Change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two Business Days prior to the Closing Date, the Company shall cause its name to be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to “Nautilus Subsidiary, Inc.” (or such other name as may be mutually agreed by ARYA and the Company) and provide evidence of the same to ARYA.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CONSUMMATION OF THE TRANSACTIONS CONTEMPLATED BY THIS AGREEMENT</w:t>
      </w:r>
    </w:p>
    <w:p>
      <w:pPr>
        <w:spacing w:after="0" w:line="1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Conditions to the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the Parties to consummate the transactions contemplated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are subject to the satisfaction or, if permitted by applicable Law, written waiver by all of the Parties, of the following conditions:</w:t>
      </w:r>
    </w:p>
    <w:p>
      <w:pPr>
        <w:spacing w:after="0" w:line="90" w:lineRule="exact"/>
        <w:rPr>
          <w:sz w:val="20"/>
          <w:szCs w:val="20"/>
          <w:color w:val="auto"/>
        </w:rPr>
      </w:pPr>
    </w:p>
    <w:p>
      <w:pPr>
        <w:ind w:firstLine="1304"/>
        <w:spacing w:after="0" w:line="277" w:lineRule="auto"/>
        <w:tabs>
          <w:tab w:leader="none" w:pos="194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applicable waiting period under the HSR Act relating to the transactions contemplated by this Agreement shall have expired, been terminated or obtained (or deemed, by applicable Law, to have been obtained), as applicable;</w:t>
      </w:r>
    </w:p>
    <w:p>
      <w:pPr>
        <w:spacing w:after="0" w:line="116" w:lineRule="exact"/>
        <w:rPr>
          <w:rFonts w:ascii="Arial" w:cs="Arial" w:eastAsia="Arial" w:hAnsi="Arial"/>
          <w:sz w:val="18"/>
          <w:szCs w:val="18"/>
          <w:color w:val="auto"/>
        </w:rPr>
      </w:pPr>
    </w:p>
    <w:p>
      <w:pPr>
        <w:ind w:right="20" w:firstLine="1304"/>
        <w:spacing w:after="0" w:line="342"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no Order, Law or other legal restraint or prohibition issued by any court of competent jurisdiction or other Governmental Entity of competent jurisdiction enjoining or prohibiting the consummation of the Domestication or the Merger(the “</w:t>
      </w:r>
      <w:r>
        <w:rPr>
          <w:rFonts w:ascii="Arial" w:cs="Arial" w:eastAsia="Arial" w:hAnsi="Arial"/>
          <w:sz w:val="16"/>
          <w:szCs w:val="16"/>
          <w:u w:val="single" w:color="auto"/>
          <w:color w:val="auto"/>
        </w:rPr>
        <w:t>Closing Transactions</w:t>
      </w:r>
      <w:r>
        <w:rPr>
          <w:rFonts w:ascii="Arial" w:cs="Arial" w:eastAsia="Arial" w:hAnsi="Arial"/>
          <w:sz w:val="16"/>
          <w:szCs w:val="16"/>
          <w:color w:val="auto"/>
        </w:rPr>
        <w:t>”) shall be in effect;</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Company Required Shareholder Approval shall have been obtained;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Required ARYA Shareholder Approval shall have been obtained;</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93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the ARYA Shares (including the ARYA Shares to be issued hereunder) shall have been approved for listing on Nasdaq; and</w:t>
      </w:r>
    </w:p>
    <w:p>
      <w:pPr>
        <w:spacing w:after="0" w:line="171" w:lineRule="exact"/>
        <w:rPr>
          <w:sz w:val="20"/>
          <w:szCs w:val="20"/>
          <w:color w:val="auto"/>
        </w:rPr>
      </w:pPr>
    </w:p>
    <w:p>
      <w:pPr>
        <w:jc w:val="both"/>
        <w:ind w:firstLine="1304"/>
        <w:spacing w:after="0" w:line="291" w:lineRule="auto"/>
        <w:tabs>
          <w:tab w:leader="none" w:pos="1938"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after giving effect to the transactions contemplated hereby (including after giving effect to the PIPE Financing and after giving effect to the ARYA Shareholder Redemption), ARYA shall have at least $5,000,001 of net tangible assets (as determined in accordance with Rule 3a51-1(g)</w:t>
      </w:r>
    </w:p>
    <w:p>
      <w:pPr>
        <w:ind w:left="260" w:hanging="252"/>
        <w:spacing w:after="0"/>
        <w:tabs>
          <w:tab w:leader="none" w:pos="2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of the Exchange Act) immediately after the Effective Time.</w:t>
      </w:r>
    </w:p>
    <w:p>
      <w:pPr>
        <w:spacing w:after="0" w:line="1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Other Conditions to the Obligations of the ARYA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ARYA Parties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are subject to the satisfaction or, if permitted by applicable Law, written waiver by ARYA (on behalf of itself and the other ARYA Parties) of the following further conditions:</w:t>
      </w:r>
    </w:p>
    <w:p>
      <w:pPr>
        <w:spacing w:after="0" w:line="126" w:lineRule="exact"/>
        <w:rPr>
          <w:sz w:val="20"/>
          <w:szCs w:val="20"/>
          <w:color w:val="auto"/>
        </w:rPr>
      </w:pPr>
    </w:p>
    <w:p>
      <w:pPr>
        <w:jc w:val="both"/>
        <w:ind w:firstLine="1304"/>
        <w:spacing w:after="0" w:line="286" w:lineRule="auto"/>
        <w:tabs>
          <w:tab w:leader="none" w:pos="194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(other than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Company Material Adverse Effect is continuing and (iii) the representations and warranties of the of the Company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19" w:lineRule="exact"/>
        <w:rPr>
          <w:rFonts w:ascii="Arial" w:cs="Arial" w:eastAsia="Arial" w:hAnsi="Arial"/>
          <w:sz w:val="16"/>
          <w:szCs w:val="16"/>
          <w:color w:val="auto"/>
        </w:rPr>
      </w:pPr>
    </w:p>
    <w:p>
      <w:pPr>
        <w:ind w:right="20" w:firstLine="1304"/>
        <w:spacing w:after="0" w:line="277" w:lineRule="auto"/>
        <w:tabs>
          <w:tab w:leader="none" w:pos="193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the covenants and agreements required to be performed or complied with by the Company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at or prior to the Closing, the Company shall have delivered, or caused to be delivered, to ARYA the following documents:</w:t>
      </w:r>
    </w:p>
    <w:p>
      <w:pPr>
        <w:spacing w:after="0" w:line="223" w:lineRule="exact"/>
        <w:rPr>
          <w:rFonts w:ascii="Arial" w:cs="Arial" w:eastAsia="Arial" w:hAnsi="Arial"/>
          <w:sz w:val="17"/>
          <w:szCs w:val="17"/>
          <w:color w:val="auto"/>
        </w:rPr>
      </w:pPr>
    </w:p>
    <w:p>
      <w:pPr>
        <w:jc w:val="both"/>
        <w:ind w:left="1300" w:firstLine="652"/>
        <w:spacing w:after="0" w:line="238" w:lineRule="auto"/>
        <w:tabs>
          <w:tab w:leader="none" w:pos="2584" w:val="left"/>
        </w:tabs>
        <w:numPr>
          <w:ilvl w:val="1"/>
          <w:numId w:val="368"/>
        </w:numPr>
        <w:rPr>
          <w:rFonts w:ascii="Arial" w:cs="Arial" w:eastAsia="Arial" w:hAnsi="Arial"/>
          <w:sz w:val="22"/>
          <w:szCs w:val="22"/>
          <w:color w:val="010000"/>
        </w:rPr>
      </w:pPr>
      <w:r>
        <w:rPr>
          <w:rFonts w:ascii="Arial" w:cs="Arial" w:eastAsia="Arial" w:hAnsi="Arial"/>
          <w:sz w:val="18"/>
          <w:szCs w:val="18"/>
          <w:color w:val="auto"/>
        </w:rPr>
        <w:t xml:space="preserve">a certificate duly executed by an authorized officer of the Company, dated as of the Closing Date, to the effect that the conditions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are satisfied, in a form and substance reasonably satisfactory to ARYA; and</w:t>
      </w:r>
    </w:p>
    <w:p>
      <w:pPr>
        <w:spacing w:after="0" w:line="202" w:lineRule="exact"/>
        <w:rPr>
          <w:rFonts w:ascii="Arial" w:cs="Arial" w:eastAsia="Arial" w:hAnsi="Arial"/>
          <w:sz w:val="22"/>
          <w:szCs w:val="22"/>
          <w:color w:val="010000"/>
        </w:rPr>
      </w:pPr>
    </w:p>
    <w:p>
      <w:pPr>
        <w:ind w:left="1300" w:firstLine="652"/>
        <w:spacing w:after="0" w:line="277" w:lineRule="auto"/>
        <w:tabs>
          <w:tab w:leader="none" w:pos="2586"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the Investor Rights Agreement duly executed by the Company Shareholders set forth on </w:t>
      </w:r>
      <w:r>
        <w:rPr>
          <w:rFonts w:ascii="Arial" w:cs="Arial" w:eastAsia="Arial" w:hAnsi="Arial"/>
          <w:sz w:val="18"/>
          <w:szCs w:val="18"/>
          <w:u w:val="single" w:color="auto"/>
          <w:color w:val="auto"/>
        </w:rPr>
        <w:t>Section 6.2(d)(ii)</w:t>
      </w:r>
      <w:r>
        <w:rPr>
          <w:rFonts w:ascii="Arial" w:cs="Arial" w:eastAsia="Arial" w:hAnsi="Arial"/>
          <w:sz w:val="18"/>
          <w:szCs w:val="18"/>
          <w:color w:val="auto"/>
        </w:rPr>
        <w:t xml:space="preserve"> of the Company Disclosure Schedules.</w:t>
      </w:r>
    </w:p>
    <w:p>
      <w:pPr>
        <w:spacing w:after="0" w:line="1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written waiver by the Company of the following further conditions:</w:t>
      </w:r>
    </w:p>
    <w:p>
      <w:pPr>
        <w:spacing w:after="0" w:line="126" w:lineRule="exact"/>
        <w:rPr>
          <w:sz w:val="20"/>
          <w:szCs w:val="20"/>
          <w:color w:val="auto"/>
        </w:rPr>
      </w:pPr>
    </w:p>
    <w:p>
      <w:pPr>
        <w:ind w:firstLine="1304"/>
        <w:spacing w:after="0" w:line="277" w:lineRule="auto"/>
        <w:tabs>
          <w:tab w:leader="none" w:pos="19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 the ARYA Fundamental Representations (other than the representations and warranties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 shall be true and correct in all material respects as of the date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ARYA Material Adverse Effect is continuing, and (iii) the representations and warranties of the ARYA Parties (other than the ARYA Fundamental Representations)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spacing w:after="0" w:line="118" w:lineRule="exact"/>
        <w:rPr>
          <w:sz w:val="20"/>
          <w:szCs w:val="20"/>
          <w:color w:val="auto"/>
        </w:rPr>
      </w:pPr>
    </w:p>
    <w:p>
      <w:pPr>
        <w:ind w:firstLine="1304"/>
        <w:spacing w:after="0" w:line="277"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ARYA Parties shall have performed and complied in all material respects with the covenants and agreements required to be performed or complied with by them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since the date of this Agreement, no ARYA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$250,000,000;</w:t>
      </w:r>
    </w:p>
    <w:p>
      <w:pPr>
        <w:spacing w:after="0" w:line="171" w:lineRule="exact"/>
        <w:rPr>
          <w:rFonts w:ascii="Arial" w:cs="Arial" w:eastAsia="Arial" w:hAnsi="Arial"/>
          <w:sz w:val="18"/>
          <w:szCs w:val="18"/>
          <w:color w:val="auto"/>
        </w:rPr>
      </w:pPr>
    </w:p>
    <w:p>
      <w:pPr>
        <w:ind w:right="20" w:firstLine="1304"/>
        <w:spacing w:after="0" w:line="277" w:lineRule="auto"/>
        <w:tabs>
          <w:tab w:leader="none" w:pos="194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as of immediately following the Effective Time, the ARYA Board shall consist of the number of directors, and be comprised of the individuals, determined pursuant to </w:t>
      </w:r>
      <w:r>
        <w:rPr>
          <w:rFonts w:ascii="Arial" w:cs="Arial" w:eastAsia="Arial" w:hAnsi="Arial"/>
          <w:sz w:val="18"/>
          <w:szCs w:val="18"/>
          <w:u w:val="single" w:color="auto"/>
          <w:color w:val="auto"/>
        </w:rPr>
        <w:t>Section 5.18(a)(i)-(ii)</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340" w:firstLine="1304"/>
        <w:spacing w:after="0" w:line="308" w:lineRule="auto"/>
        <w:tabs>
          <w:tab w:leader="none" w:pos="193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ARYA Sponsor and the Other Class B Shareholders shall have complied in all material respects with their covenants and agreements required to be performed or complied with by them under the Sponsor Letter Agreement at or prior to the Closing;</w:t>
      </w:r>
    </w:p>
    <w:p>
      <w:pPr>
        <w:spacing w:after="0" w:line="92" w:lineRule="exact"/>
        <w:rPr>
          <w:rFonts w:ascii="Arial" w:cs="Arial" w:eastAsia="Arial" w:hAnsi="Arial"/>
          <w:sz w:val="17"/>
          <w:szCs w:val="17"/>
          <w:color w:val="auto"/>
        </w:rPr>
      </w:pPr>
    </w:p>
    <w:p>
      <w:pPr>
        <w:jc w:val="both"/>
        <w:ind w:right="20" w:firstLine="1304"/>
        <w:spacing w:after="0" w:line="263"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Domestication shall have been consummated on the Closing Date prior to the Effective Time in accordance with Section 2.1(a) and a time-stamped copy of the certificate issued by the Secretary of State of the State of Delaware in relation thereto shall have been delivered to the Company; and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at or prior to the Closing, ARYA shall have delivered, or caused to be delivered, the following documents:</w:t>
      </w:r>
    </w:p>
    <w:p>
      <w:pPr>
        <w:spacing w:after="0" w:line="171" w:lineRule="exact"/>
        <w:rPr>
          <w:rFonts w:ascii="Arial" w:cs="Arial" w:eastAsia="Arial" w:hAnsi="Arial"/>
          <w:sz w:val="18"/>
          <w:szCs w:val="18"/>
          <w:color w:val="auto"/>
        </w:rPr>
      </w:pPr>
    </w:p>
    <w:p>
      <w:pPr>
        <w:jc w:val="both"/>
        <w:ind w:left="1300" w:firstLine="652"/>
        <w:spacing w:after="0" w:line="263" w:lineRule="auto"/>
        <w:tabs>
          <w:tab w:leader="none" w:pos="259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a certificate duly executed by an authorized officer of ARYA, dated as of the Closing Date, to the effect that the conditions specified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6.3(c)</w:t>
      </w:r>
      <w:r>
        <w:rPr>
          <w:rFonts w:ascii="Arial" w:cs="Arial" w:eastAsia="Arial" w:hAnsi="Arial"/>
          <w:sz w:val="18"/>
          <w:szCs w:val="18"/>
          <w:color w:val="auto"/>
        </w:rPr>
        <w:t>, are satisfied, in a form and substance reasonably satisfactory to the Company; and</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Investor Rights Agreement duly executed by ARYA and the Perceptive Shareholders.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Frustration of Closing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not rely on the failure of any condition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satisfied if such failure was proximately caused by the Company’s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None of the ARYA Parties may rely on the failure of any condition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to be satisfied if such failure was proximately caused by an ARYA Party’s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and the transactions contemplated by this Agreement may be abandoned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the Closing:</w:t>
      </w:r>
    </w:p>
    <w:p>
      <w:pPr>
        <w:spacing w:after="0" w:line="112" w:lineRule="exact"/>
        <w:rPr>
          <w:sz w:val="20"/>
          <w:szCs w:val="20"/>
          <w:color w:val="auto"/>
        </w:rPr>
      </w:pPr>
    </w:p>
    <w:p>
      <w:pPr>
        <w:ind w:left="1940" w:hanging="636"/>
        <w:spacing w:after="0"/>
        <w:tabs>
          <w:tab w:leader="none" w:pos="19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by mutual written consent of ARYA and the Company;</w:t>
      </w:r>
    </w:p>
    <w:p>
      <w:pPr>
        <w:spacing w:after="0" w:line="171" w:lineRule="exact"/>
        <w:rPr>
          <w:rFonts w:ascii="Arial" w:cs="Arial" w:eastAsia="Arial" w:hAnsi="Arial"/>
          <w:sz w:val="18"/>
          <w:szCs w:val="18"/>
          <w:color w:val="auto"/>
        </w:rPr>
      </w:pPr>
    </w:p>
    <w:p>
      <w:pPr>
        <w:jc w:val="both"/>
        <w:ind w:firstLine="1304"/>
        <w:spacing w:after="0" w:line="271" w:lineRule="auto"/>
        <w:tabs>
          <w:tab w:leader="none" w:pos="193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by ARYA, if any of the representations or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ARYA Parties is then in breach of this Agreement so as to prevent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from being satisfied and the Perceptive PIPE Investor is not then in breach of the PIPE Subscription Agreement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4" w:lineRule="exact"/>
        <w:rPr>
          <w:rFonts w:ascii="Arial" w:cs="Arial" w:eastAsia="Arial" w:hAnsi="Arial"/>
          <w:sz w:val="17"/>
          <w:szCs w:val="17"/>
          <w:color w:val="auto"/>
        </w:rPr>
      </w:pPr>
    </w:p>
    <w:p>
      <w:pPr>
        <w:jc w:val="both"/>
        <w:ind w:firstLine="1304"/>
        <w:spacing w:after="0" w:line="270" w:lineRule="auto"/>
        <w:tabs>
          <w:tab w:leader="none" w:pos="1941"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by the Company, if any of the representations or warranties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Company is not then in breach of this Agreement so as to prevent the condition to Closing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from being satisfied and none of the Company PIPE Investors is then in breach of the PIPE Subscription Agreement (after taking into account any cure by a Company Related Substituted Party in accordance with clauses (A) through (C) of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6" w:lineRule="exact"/>
        <w:rPr>
          <w:rFonts w:ascii="Arial" w:cs="Arial" w:eastAsia="Arial" w:hAnsi="Arial"/>
          <w:sz w:val="17"/>
          <w:szCs w:val="17"/>
          <w:color w:val="auto"/>
        </w:rPr>
      </w:pPr>
    </w:p>
    <w:p>
      <w:pPr>
        <w:jc w:val="both"/>
        <w:ind w:firstLine="1304"/>
        <w:spacing w:after="0" w:line="267" w:lineRule="auto"/>
        <w:tabs>
          <w:tab w:leader="none" w:pos="1938" w:val="left"/>
        </w:tabs>
        <w:numPr>
          <w:ilvl w:val="0"/>
          <w:numId w:val="371"/>
        </w:numPr>
        <w:rPr>
          <w:rFonts w:ascii="Arial" w:cs="Arial" w:eastAsia="Arial" w:hAnsi="Arial"/>
          <w:sz w:val="17"/>
          <w:szCs w:val="17"/>
          <w:color w:val="auto"/>
        </w:rPr>
      </w:pPr>
      <w:r>
        <w:rPr>
          <w:rFonts w:ascii="Arial" w:cs="Arial" w:eastAsia="Arial" w:hAnsi="Arial"/>
          <w:sz w:val="17"/>
          <w:szCs w:val="17"/>
          <w:color w:val="auto"/>
        </w:rPr>
        <w:t>by either ARYA or the Company, if the transactions contemplated by this Agreement shall not have been consummated on or prior to 11:59 P.M. (pacific time) August 6, 2021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provided, that (i)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Arial" w:cs="Arial" w:eastAsia="Arial" w:hAnsi="Arial"/>
          <w:sz w:val="17"/>
          <w:szCs w:val="17"/>
          <w:u w:val="single" w:color="auto"/>
          <w:color w:val="auto"/>
        </w:rPr>
        <w:t>Company Related Breaching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the portion of the PIPE Financing Amount previously committed to be invested by the Company Related Breaching Party (each such investor, a “</w:t>
      </w:r>
      <w:r>
        <w:rPr>
          <w:rFonts w:ascii="Arial" w:cs="Arial" w:eastAsia="Arial" w:hAnsi="Arial"/>
          <w:sz w:val="17"/>
          <w:szCs w:val="17"/>
          <w:u w:val="single" w:color="auto"/>
          <w:color w:val="auto"/>
        </w:rPr>
        <w:t>Company Related Substituted Party</w:t>
      </w:r>
      <w:r>
        <w:rPr>
          <w:rFonts w:ascii="Arial" w:cs="Arial" w:eastAsia="Arial" w:hAnsi="Arial"/>
          <w:sz w:val="17"/>
          <w:szCs w:val="17"/>
          <w:color w:val="auto"/>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with each Company Substituted Party reflecting the portion of the PIPE Financing Amount such Company Related Substituted Party is committing to invest (the “</w:t>
      </w:r>
      <w:r>
        <w:rPr>
          <w:rFonts w:ascii="Arial" w:cs="Arial" w:eastAsia="Arial" w:hAnsi="Arial"/>
          <w:sz w:val="17"/>
          <w:szCs w:val="17"/>
          <w:u w:val="single" w:color="auto"/>
          <w:color w:val="auto"/>
        </w:rPr>
        <w:t>Substituted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Investment Amount</w:t>
      </w:r>
      <w:r>
        <w:rPr>
          <w:rFonts w:ascii="Arial" w:cs="Arial" w:eastAsia="Arial" w:hAnsi="Arial"/>
          <w:sz w:val="18"/>
          <w:szCs w:val="18"/>
          <w:color w:val="auto"/>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Arial" w:cs="Arial" w:eastAsia="Arial" w:hAnsi="Arial"/>
          <w:sz w:val="18"/>
          <w:szCs w:val="18"/>
          <w:u w:val="single" w:color="auto"/>
          <w:color w:val="auto"/>
        </w:rPr>
        <w:t>Section 7.1(c)</w:t>
      </w:r>
      <w:r>
        <w:rPr>
          <w:rFonts w:ascii="Arial" w:cs="Arial" w:eastAsia="Arial" w:hAnsi="Arial"/>
          <w:sz w:val="18"/>
          <w:szCs w:val="18"/>
          <w:color w:val="auto"/>
        </w:rPr>
        <w:t>, as applicable, and without limiting any rights or remedies with respect to the applicable Company Related Breaching Party under the applicable PIPE Subscription Agreement);</w:t>
      </w:r>
    </w:p>
    <w:p>
      <w:pPr>
        <w:spacing w:after="0" w:line="141" w:lineRule="exact"/>
        <w:rPr>
          <w:sz w:val="20"/>
          <w:szCs w:val="20"/>
          <w:color w:val="auto"/>
        </w:rPr>
      </w:pPr>
    </w:p>
    <w:p>
      <w:pPr>
        <w:ind w:right="20" w:firstLine="1304"/>
        <w:spacing w:after="0" w:line="277" w:lineRule="auto"/>
        <w:tabs>
          <w:tab w:leader="none" w:pos="194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by either ARYA or the Company, if any Governmental Entity of competent jurisdiction shall have issued an Order permanently enjoining or prohibiting any of the Closing Transactions and such Order shall have become final and nonappealable;</w:t>
      </w:r>
    </w:p>
    <w:p>
      <w:pPr>
        <w:spacing w:after="0" w:line="116" w:lineRule="exact"/>
        <w:rPr>
          <w:rFonts w:ascii="Arial" w:cs="Arial" w:eastAsia="Arial" w:hAnsi="Arial"/>
          <w:sz w:val="18"/>
          <w:szCs w:val="18"/>
          <w:color w:val="auto"/>
        </w:rPr>
      </w:pPr>
    </w:p>
    <w:p>
      <w:pPr>
        <w:ind w:firstLine="1304"/>
        <w:spacing w:after="0" w:line="308" w:lineRule="auto"/>
        <w:tabs>
          <w:tab w:leader="none" w:pos="193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by either ARYA or the Company, if the ARYA Shareholders Meeting has been held (including following any adjournment thereof), has concluded, ARYA’s shareholders have duly voted and the Required ARYA Shareholder Approval was not obtained; or</w:t>
      </w:r>
    </w:p>
    <w:p>
      <w:pPr>
        <w:spacing w:after="0" w:line="92"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rights under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shall expire and ARYA shall not be entitled to terminate this Agreement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if the Company Required Shareholder Approval has been obtained and delivered to ARYA prior to the time that this Agreement is terminated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a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7.1(a)</w:t>
      </w:r>
      <w:r>
        <w:rPr>
          <w:rFonts w:ascii="Arial" w:cs="Arial" w:eastAsia="Arial" w:hAnsi="Arial"/>
          <w:sz w:val="16"/>
          <w:szCs w:val="16"/>
          <w:color w:val="auto"/>
        </w:rPr>
        <w:t>, any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will be effective (subject to the cure periods (if any) provided above) immediately upon the delivery of a valid written notice of the terminating Party to each of the other Parties hereto. In the event of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 this entire Agreement shall forthwith become void (and there shall be no Liability or obligation on the part of the Parties and their respective Representatives) with the exception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5.3(a)</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with respect to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Non-Survival.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and each of the agreements and covenants (to the extent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Entire Agreement;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Ancillary Documents)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such assignment following the Closing relates to the ARYA Sponsor Specified Provisions, the assigning Party shall continue to be bound by its obligations under such provisions. Any attempted assignment of this Agreement not in accordance with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void.</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agreement executed and delivered by ARYA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84" w:lineRule="exact"/>
        <w:rPr>
          <w:sz w:val="20"/>
          <w:szCs w:val="20"/>
          <w:color w:val="auto"/>
        </w:rPr>
      </w:pPr>
    </w:p>
    <w:p>
      <w:pPr>
        <w:ind w:left="2380" w:hanging="1058"/>
        <w:spacing w:after="0"/>
        <w:tabs>
          <w:tab w:leader="none" w:pos="23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to any ARYA Party, to:</w:t>
      </w:r>
    </w:p>
    <w:p>
      <w:pPr>
        <w:spacing w:after="0" w:line="184" w:lineRule="exact"/>
        <w:rPr>
          <w:rFonts w:ascii="Arial" w:cs="Arial" w:eastAsia="Arial" w:hAnsi="Arial"/>
          <w:sz w:val="18"/>
          <w:szCs w:val="18"/>
          <w:color w:val="auto"/>
        </w:rPr>
      </w:pPr>
    </w:p>
    <w:p>
      <w:pPr>
        <w:ind w:left="2380" w:right="5980"/>
        <w:spacing w:after="0" w:line="266" w:lineRule="auto"/>
        <w:rPr>
          <w:rFonts w:ascii="Arial" w:cs="Arial" w:eastAsia="Arial" w:hAnsi="Arial"/>
          <w:sz w:val="18"/>
          <w:szCs w:val="18"/>
          <w:color w:val="auto"/>
        </w:rPr>
      </w:pPr>
      <w:r>
        <w:rPr>
          <w:rFonts w:ascii="Arial" w:cs="Arial" w:eastAsia="Arial" w:hAnsi="Arial"/>
          <w:sz w:val="18"/>
          <w:szCs w:val="18"/>
          <w:color w:val="auto"/>
        </w:rPr>
        <w:t>c/o ARYA Science Acquisition Corp III 51 Astor Place, 10th Floor</w:t>
      </w:r>
    </w:p>
    <w:p>
      <w:pPr>
        <w:spacing w:after="0" w:line="1" w:lineRule="exact"/>
        <w:rPr>
          <w:rFonts w:ascii="Arial" w:cs="Arial" w:eastAsia="Arial" w:hAnsi="Arial"/>
          <w:sz w:val="18"/>
          <w:szCs w:val="18"/>
          <w:color w:val="auto"/>
        </w:rPr>
      </w:pPr>
    </w:p>
    <w:p>
      <w:pPr>
        <w:ind w:left="2380" w:right="6660"/>
        <w:spacing w:after="0" w:line="266" w:lineRule="auto"/>
        <w:rPr>
          <w:rFonts w:ascii="Arial" w:cs="Arial" w:eastAsia="Arial" w:hAnsi="Arial"/>
          <w:sz w:val="18"/>
          <w:szCs w:val="18"/>
          <w:color w:val="auto"/>
        </w:rPr>
      </w:pPr>
      <w:r>
        <w:rPr>
          <w:rFonts w:ascii="Arial" w:cs="Arial" w:eastAsia="Arial" w:hAnsi="Arial"/>
          <w:sz w:val="18"/>
          <w:szCs w:val="18"/>
          <w:color w:val="auto"/>
        </w:rPr>
        <w:t>New York, NY 10003 Attention: Michael Altman</w:t>
      </w:r>
    </w:p>
    <w:p>
      <w:pPr>
        <w:ind w:left="3380"/>
        <w:spacing w:after="0"/>
        <w:rPr>
          <w:rFonts w:ascii="Arial" w:cs="Arial" w:eastAsia="Arial" w:hAnsi="Arial"/>
          <w:sz w:val="18"/>
          <w:szCs w:val="18"/>
          <w:color w:val="auto"/>
        </w:rPr>
      </w:pPr>
      <w:r>
        <w:rPr>
          <w:rFonts w:ascii="Arial" w:cs="Arial" w:eastAsia="Arial" w:hAnsi="Arial"/>
          <w:sz w:val="18"/>
          <w:szCs w:val="18"/>
          <w:color w:val="auto"/>
        </w:rPr>
        <w:t>Konstantin Poukalov</w:t>
      </w:r>
    </w:p>
    <w:p>
      <w:pPr>
        <w:spacing w:after="0" w:line="22" w:lineRule="exact"/>
        <w:rPr>
          <w:rFonts w:ascii="Arial" w:cs="Arial" w:eastAsia="Arial" w:hAnsi="Arial"/>
          <w:sz w:val="18"/>
          <w:szCs w:val="18"/>
          <w:color w:val="auto"/>
        </w:rPr>
      </w:pPr>
    </w:p>
    <w:p>
      <w:pPr>
        <w:ind w:left="3380" w:right="5540" w:hanging="1012"/>
        <w:spacing w:after="0" w:line="358"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Michael@perceptivelife.com Konstantin@perceptivelife.com</w:t>
      </w:r>
    </w:p>
    <w:p>
      <w:pPr>
        <w:spacing w:after="0" w:line="71"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84" w:lineRule="exact"/>
        <w:rPr>
          <w:rFonts w:ascii="Arial" w:cs="Arial" w:eastAsia="Arial" w:hAnsi="Arial"/>
          <w:sz w:val="18"/>
          <w:szCs w:val="18"/>
          <w:color w:val="auto"/>
        </w:rPr>
      </w:pPr>
    </w:p>
    <w:p>
      <w:pPr>
        <w:ind w:left="2380" w:right="7200"/>
        <w:spacing w:after="0" w:line="299" w:lineRule="auto"/>
        <w:rPr>
          <w:rFonts w:ascii="Arial" w:cs="Arial" w:eastAsia="Arial" w:hAnsi="Arial"/>
          <w:sz w:val="18"/>
          <w:szCs w:val="18"/>
          <w:color w:val="auto"/>
        </w:rPr>
      </w:pPr>
      <w:r>
        <w:rPr>
          <w:rFonts w:ascii="Arial" w:cs="Arial" w:eastAsia="Arial" w:hAnsi="Arial"/>
          <w:sz w:val="16"/>
          <w:szCs w:val="16"/>
          <w:color w:val="auto"/>
        </w:rPr>
        <w:t>Kirkland &amp; Ellis LLP 601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-393065</wp:posOffset>
            </wp:positionV>
            <wp:extent cx="27946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New York, NY 10022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Jonathan L. Davis, P.C.</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 Brissette</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jonathan.davis@kirkland.com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ryan.brissette@kirkland.com</w:t>
      </w:r>
    </w:p>
    <w:p>
      <w:pPr>
        <w:spacing w:after="0" w:line="184" w:lineRule="exact"/>
        <w:rPr>
          <w:sz w:val="20"/>
          <w:szCs w:val="20"/>
          <w:color w:val="auto"/>
        </w:rPr>
      </w:pPr>
    </w:p>
    <w:p>
      <w:pPr>
        <w:ind w:left="2380" w:hanging="1058"/>
        <w:spacing w:after="0"/>
        <w:tabs>
          <w:tab w:leader="none" w:pos="23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8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PO Box 22027</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Seattle, WA 98122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Sujal Patel, Chief Executive Officer</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Palo Alto, CA 94304</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Kornegay</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One Market Plaza, Spear Tower, Suite 3300</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San Francisco, CA 94105</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T. Ishii</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Brian Keyes</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rishii@wsgr.com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bkeyes@wsgr.com</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4" w:name="page445"/>
    <w:bookmarkEnd w:id="444"/>
    <w:p>
      <w:pPr>
        <w:spacing w:after="0" w:line="14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if this Agreement is terminated in accordance with its terms, the Company shall pay, or cause to be paid, all Unpaid Company Expenses and ARYA shall pay, or cause to be paid, all Unpaid ARYA Expenses.</w:t>
      </w:r>
    </w:p>
    <w:p>
      <w:pPr>
        <w:spacing w:after="0" w:line="1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“this Agreement” means this Business Combination Agreement together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ARYA Sponsor shall be an express third-party beneficiary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ARYA Sponsor Specified Provisions</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Agreement will be interpreted in such a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each Ancillary Document (including any of the closing deliverables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ARYA</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of this Agreement, the phrase “to the Company’s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“known by the Company” and any derivations thereof shall mean as of the applicable date, the actual knowledge of the individuals set forth on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8.12(a)</w:t>
      </w:r>
      <w:r>
        <w:rPr>
          <w:rFonts w:ascii="Arial" w:cs="Arial" w:eastAsia="Arial" w:hAnsi="Arial"/>
          <w:sz w:val="16"/>
          <w:szCs w:val="16"/>
          <w:color w:val="auto"/>
        </w:rPr>
        <w:t xml:space="preserve"> 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ARYA Disclosure Schedules, assuming reasonable due inquiry and investigation of his or her direct reports. For the avoidance of doubt, none of the individuals set forth on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8.12(b)</w:t>
      </w:r>
      <w:r>
        <w:rPr>
          <w:rFonts w:ascii="Arial" w:cs="Arial" w:eastAsia="Arial" w:hAnsi="Arial"/>
          <w:sz w:val="16"/>
          <w:szCs w:val="16"/>
          <w:color w:val="auto"/>
        </w:rPr>
        <w:t xml:space="preserve"> of the ARYA Disclosure Schedules shall have any personal Liability or obligations regarding such knowledge.</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b w:val="1"/>
          <w:bCs w:val="1"/>
          <w:u w:val="single" w:color="auto"/>
          <w:color w:val="auto"/>
        </w:rPr>
        <w:t>No Recourse.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any rights of any party against any other party to an Ancillary Document to the extent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8.14 </w:t>
      </w:r>
      <w:r>
        <w:rPr>
          <w:rFonts w:ascii="Arial" w:cs="Arial" w:eastAsia="Arial" w:hAnsi="Arial"/>
          <w:sz w:val="17"/>
          <w:szCs w:val="17"/>
          <w:b w:val="1"/>
          <w:bCs w:val="1"/>
          <w:u w:val="single" w:color="auto"/>
          <w:color w:val="auto"/>
        </w:rPr>
        <w:t>Extension;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 extend the time for the performance of any of the obligations or other acts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ARYA 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EACH HEREBY WAIVES, TO THE FULLEST EXTENT PERMITTED BY LAW,</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w:t>
      </w:r>
    </w:p>
    <w:p>
      <w:pPr>
        <w:spacing w:after="0" w:line="1" w:lineRule="exact"/>
        <w:rPr>
          <w:sz w:val="20"/>
          <w:szCs w:val="20"/>
          <w:color w:val="auto"/>
        </w:rPr>
      </w:pPr>
    </w:p>
    <w:p>
      <w:pPr>
        <w:ind w:right="120" w:firstLine="8"/>
        <w:spacing w:after="0" w:line="255" w:lineRule="auto"/>
        <w:tabs>
          <w:tab w:leader="none" w:pos="2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13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8.16 </w:t>
      </w:r>
      <w:r>
        <w:rPr>
          <w:rFonts w:ascii="Arial" w:cs="Arial" w:eastAsia="Arial" w:hAnsi="Arial"/>
          <w:sz w:val="16"/>
          <w:szCs w:val="16"/>
          <w:b w:val="1"/>
          <w:bCs w:val="1"/>
          <w:u w:val="single" w:color="auto"/>
          <w:color w:val="auto"/>
        </w:rPr>
        <w:t>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irrevocably and unconditionally submits to the exclusive jurisdiction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w:t>
      </w:r>
    </w:p>
    <w:p>
      <w:pPr>
        <w:spacing w:after="0" w:line="2" w:lineRule="exact"/>
        <w:rPr>
          <w:sz w:val="20"/>
          <w:szCs w:val="20"/>
          <w:color w:val="auto"/>
        </w:rPr>
      </w:pPr>
    </w:p>
    <w:p>
      <w:pPr>
        <w:jc w:val="both"/>
        <w:ind w:firstLine="8"/>
        <w:spacing w:after="0" w:line="267" w:lineRule="auto"/>
        <w:tabs>
          <w:tab w:leader="none" w:pos="246"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effective service of process for any such Proceeding, claim, demand, action or cause of action.</w:t>
      </w:r>
    </w:p>
    <w:p>
      <w:pPr>
        <w:spacing w:after="0" w:line="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8.17 </w:t>
      </w: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expressly provided herein, any and all remedies provided herein will be deemed cumulative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b w:val="1"/>
          <w:bCs w:val="1"/>
          <w:u w:val="single" w:color="auto"/>
          <w:color w:val="auto"/>
        </w:rPr>
        <w:t>Trust Account Waiver</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67" w:lineRule="auto"/>
        <w:tabs>
          <w:tab w:leader="none" w:pos="1941"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Reference is made to the final prospectus of ARYA, filed with the SEC (File No. 333-2399860, on August 10, 2020 (the </w:t>
      </w:r>
      <w:r>
        <w:rPr>
          <w:rFonts w:ascii="Arial" w:cs="Arial" w:eastAsia="Arial" w:hAnsi="Arial"/>
          <w:sz w:val="17"/>
          <w:szCs w:val="17"/>
          <w:u w:val="single" w:color="auto"/>
          <w:color w:val="auto"/>
        </w:rPr>
        <w:t>“Prospectus”</w:t>
      </w:r>
      <w:r>
        <w:rPr>
          <w:rFonts w:ascii="Arial" w:cs="Arial" w:eastAsia="Arial" w:hAnsi="Arial"/>
          <w:sz w:val="17"/>
          <w:szCs w:val="17"/>
          <w:color w:val="auto"/>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Shareholders</w:t>
      </w:r>
      <w:r>
        <w:rPr>
          <w:rFonts w:ascii="Arial" w:cs="Arial" w:eastAsia="Arial" w:hAnsi="Arial"/>
          <w:sz w:val="17"/>
          <w:szCs w:val="17"/>
          <w:color w:val="auto"/>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Arial" w:cs="Arial" w:eastAsia="Arial" w:hAnsi="Arial"/>
          <w:sz w:val="17"/>
          <w:szCs w:val="17"/>
          <w:u w:val="single" w:color="auto"/>
          <w:color w:val="auto"/>
        </w:rPr>
        <w:t>Section 8.18(b)</w:t>
      </w:r>
      <w:r>
        <w:rPr>
          <w:rFonts w:ascii="Arial" w:cs="Arial" w:eastAsia="Arial" w:hAnsi="Arial"/>
          <w:sz w:val="17"/>
          <w:szCs w:val="17"/>
          <w:color w:val="auto"/>
        </w:rPr>
        <w:t xml:space="preserve">),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4" w:lineRule="exact"/>
        <w:rPr>
          <w:sz w:val="20"/>
          <w:szCs w:val="20"/>
          <w:color w:val="auto"/>
        </w:rPr>
      </w:pPr>
    </w:p>
    <w:p>
      <w:pPr>
        <w:jc w:val="both"/>
        <w:ind w:firstLine="1304"/>
        <w:spacing w:after="0" w:line="253" w:lineRule="auto"/>
        <w:tabs>
          <w:tab w:leader="none" w:pos="193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8.18(a), Section 8.18(a)</w:t>
      </w:r>
      <w:r>
        <w:rPr>
          <w:rFonts w:ascii="Arial" w:cs="Arial" w:eastAsia="Arial" w:hAnsi="Arial"/>
          <w:sz w:val="18"/>
          <w:szCs w:val="18"/>
          <w:color w:val="auto"/>
        </w:rPr>
        <w:t xml:space="preserve"> 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If the terms of the Confidentiality Agreement or any Ancillary Document conflicts with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shall govern and control to the extent of such conflict. The Parties acknowledge and agree that this Section 8.18 supersedes and replaces Section 7(h) of the Confidentiality Agreement in its entirety and </w:t>
      </w:r>
      <w:r>
        <w:rPr>
          <w:rFonts w:ascii="Arial" w:cs="Arial" w:eastAsia="Arial" w:hAnsi="Arial"/>
          <w:sz w:val="18"/>
          <w:szCs w:val="18"/>
          <w:u w:val="single" w:color="auto"/>
          <w:color w:val="auto"/>
        </w:rPr>
        <w:t>Section 7(h)</w:t>
      </w:r>
      <w:r>
        <w:rPr>
          <w:rFonts w:ascii="Arial" w:cs="Arial" w:eastAsia="Arial" w:hAnsi="Arial"/>
          <w:sz w:val="18"/>
          <w:szCs w:val="18"/>
          <w:color w:val="auto"/>
        </w:rPr>
        <w:t xml:space="preserve"> of the Confidentiality Agreement will no longer be of any force or effect.</w:t>
      </w:r>
    </w:p>
    <w:p>
      <w:pPr>
        <w:spacing w:after="0" w:line="140"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WITNESS WHEREOF, each of the Parties has caused this Business Combination Agreement to be duly executed on its behalf as of the day and year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1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MAKO MERGER SUB, INC.</w:t>
            </w: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38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NAUTILUS BIOTECHNOLOGY, INC.</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ind w:left="616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Sujal Patel</w:t>
            </w:r>
          </w:p>
        </w:tc>
      </w:tr>
      <w:tr>
        <w:trPr>
          <w:trHeight w:val="27"/>
        </w:trPr>
        <w:tc>
          <w:tcPr>
            <w:tcW w:w="69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ind w:left="6160"/>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70"/>
        </w:trPr>
        <w:tc>
          <w:tcPr>
            <w:tcW w:w="6920" w:type="dxa"/>
            <w:vAlign w:val="bottom"/>
          </w:tcPr>
          <w:p>
            <w:pPr>
              <w:ind w:left="616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1681"/>
        </w:trPr>
        <w:tc>
          <w:tcPr>
            <w:tcW w:w="6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6,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274320</wp:posOffset>
            </wp:positionV>
            <wp:extent cx="31972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57150</wp:posOffset>
            </wp:positionV>
            <wp:extent cx="31972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85875" cy="5575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85875" cy="5575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889000</wp:posOffset>
            </wp:positionV>
            <wp:extent cx="31972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171"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name of the Company is ARYA Sciences Acquisition Corp III.</w:t>
      </w:r>
    </w:p>
    <w:p>
      <w:pPr>
        <w:spacing w:after="0" w:line="171" w:lineRule="exact"/>
        <w:rPr>
          <w:sz w:val="20"/>
          <w:szCs w:val="20"/>
          <w:color w:val="auto"/>
        </w:rPr>
      </w:pPr>
    </w:p>
    <w:p>
      <w:pPr>
        <w:ind w:left="660" w:right="280" w:hanging="652"/>
        <w:spacing w:after="0" w:line="308" w:lineRule="auto"/>
        <w:tabs>
          <w:tab w:leader="none" w:pos="65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92" w:lineRule="exact"/>
        <w:rPr>
          <w:sz w:val="20"/>
          <w:szCs w:val="20"/>
          <w:color w:val="auto"/>
        </w:rPr>
      </w:pPr>
    </w:p>
    <w:p>
      <w:pPr>
        <w:ind w:left="660" w:right="60" w:hanging="652"/>
        <w:spacing w:after="0" w:line="277" w:lineRule="auto"/>
        <w:tabs>
          <w:tab w:leader="none" w:pos="65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Company's objects are unrestricted. As provided by section 7(4) of the Companies Law (Revised), the Company has full power and authority to carry out any object not prohibited by any law of the Cayman Islands.</w:t>
      </w:r>
    </w:p>
    <w:p>
      <w:pPr>
        <w:spacing w:after="0" w:line="116" w:lineRule="exact"/>
        <w:rPr>
          <w:sz w:val="20"/>
          <w:szCs w:val="20"/>
          <w:color w:val="auto"/>
        </w:rPr>
      </w:pPr>
    </w:p>
    <w:p>
      <w:pPr>
        <w:jc w:val="both"/>
        <w:ind w:left="660" w:right="500" w:hanging="652"/>
        <w:spacing w:after="0" w:line="263" w:lineRule="auto"/>
        <w:tabs>
          <w:tab w:leader="none" w:pos="6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30" w:lineRule="exact"/>
        <w:rPr>
          <w:sz w:val="20"/>
          <w:szCs w:val="20"/>
          <w:color w:val="auto"/>
        </w:rPr>
      </w:pPr>
    </w:p>
    <w:p>
      <w:pPr>
        <w:ind w:left="660" w:hanging="652"/>
        <w:spacing w:after="0"/>
        <w:tabs>
          <w:tab w:leader="none" w:pos="66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1" w:name="page452"/>
    <w:bookmarkEnd w:id="451"/>
    <w:p>
      <w:pPr>
        <w:spacing w:after="0" w:line="144" w:lineRule="exact"/>
        <w:rPr>
          <w:sz w:val="20"/>
          <w:szCs w:val="20"/>
          <w:color w:val="auto"/>
        </w:rPr>
      </w:pPr>
    </w:p>
    <w:p>
      <w:pPr>
        <w:ind w:left="1292" w:hanging="644"/>
        <w:spacing w:after="0"/>
        <w:tabs>
          <w:tab w:leader="none" w:pos="129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194" w:lineRule="exact"/>
        <w:rPr>
          <w:rFonts w:ascii="Arial" w:cs="Arial" w:eastAsia="Arial" w:hAnsi="Arial"/>
          <w:sz w:val="16"/>
          <w:szCs w:val="16"/>
          <w:color w:val="auto"/>
        </w:rPr>
      </w:pPr>
    </w:p>
    <w:p>
      <w:pPr>
        <w:ind w:left="1292" w:right="280" w:hanging="644"/>
        <w:spacing w:after="0" w:line="277" w:lineRule="auto"/>
        <w:tabs>
          <w:tab w:leader="none" w:pos="128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insurance business from within the Cayman Islands or the business of an insurance manager, agent, sub-agent or broker without being licensed in that behalf under the Insurance Law (Revised);or</w:t>
      </w:r>
    </w:p>
    <w:p>
      <w:pPr>
        <w:spacing w:after="0" w:line="116" w:lineRule="exact"/>
        <w:rPr>
          <w:rFonts w:ascii="Arial" w:cs="Arial" w:eastAsia="Arial" w:hAnsi="Arial"/>
          <w:sz w:val="18"/>
          <w:szCs w:val="18"/>
          <w:color w:val="auto"/>
        </w:rPr>
      </w:pPr>
    </w:p>
    <w:p>
      <w:pPr>
        <w:ind w:left="1292" w:hanging="644"/>
        <w:spacing w:after="0"/>
        <w:tabs>
          <w:tab w:leader="none" w:pos="1292"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business of company management without being licensed in that behalf under the Companies Management Law (Revised).</w:t>
      </w:r>
    </w:p>
    <w:p>
      <w:pPr>
        <w:spacing w:after="0" w:line="183" w:lineRule="exact"/>
        <w:rPr>
          <w:sz w:val="20"/>
          <w:szCs w:val="20"/>
          <w:color w:val="auto"/>
        </w:rPr>
      </w:pPr>
    </w:p>
    <w:p>
      <w:pPr>
        <w:ind w:left="652" w:hanging="652"/>
        <w:spacing w:after="0" w:line="263" w:lineRule="auto"/>
        <w:tabs>
          <w:tab w:leader="none" w:pos="64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30" w:lineRule="exact"/>
        <w:rPr>
          <w:sz w:val="20"/>
          <w:szCs w:val="20"/>
          <w:color w:val="auto"/>
        </w:rPr>
      </w:pPr>
    </w:p>
    <w:p>
      <w:pPr>
        <w:ind w:left="652" w:right="600" w:hanging="652"/>
        <w:spacing w:after="0" w:line="277" w:lineRule="auto"/>
        <w:tabs>
          <w:tab w:leader="none" w:pos="64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Company is a company limited by shares and accordingly the liability of each member is limited to the amount (if any) unpaid on that member's shares.</w:t>
      </w:r>
    </w:p>
    <w:p>
      <w:pPr>
        <w:spacing w:after="0" w:line="116" w:lineRule="exact"/>
        <w:rPr>
          <w:sz w:val="20"/>
          <w:szCs w:val="20"/>
          <w:color w:val="auto"/>
        </w:rPr>
      </w:pPr>
    </w:p>
    <w:p>
      <w:pPr>
        <w:ind w:left="652" w:right="20" w:hanging="652"/>
        <w:spacing w:after="0" w:line="259" w:lineRule="auto"/>
        <w:tabs>
          <w:tab w:leader="none" w:pos="64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132" w:lineRule="exact"/>
        <w:rPr>
          <w:rFonts w:ascii="Arial" w:cs="Arial" w:eastAsia="Arial" w:hAnsi="Arial"/>
          <w:sz w:val="18"/>
          <w:szCs w:val="18"/>
          <w:color w:val="auto"/>
        </w:rPr>
      </w:pPr>
    </w:p>
    <w:p>
      <w:pPr>
        <w:ind w:left="1292" w:hanging="644"/>
        <w:spacing w:after="0"/>
        <w:tabs>
          <w:tab w:leader="none" w:pos="12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redeem or repurchase any of its shares;</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increase or reduce its capital;</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issue any part of its capital (whether original, redeemed, increased or reduced):</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87"/>
        </w:numPr>
        <w:rPr>
          <w:rFonts w:ascii="Arial" w:cs="Arial" w:eastAsia="Arial" w:hAnsi="Arial"/>
          <w:sz w:val="18"/>
          <w:szCs w:val="18"/>
          <w:color w:val="auto"/>
        </w:rPr>
      </w:pPr>
      <w:r>
        <w:rPr>
          <w:rFonts w:ascii="Arial" w:cs="Arial" w:eastAsia="Arial" w:hAnsi="Arial"/>
          <w:sz w:val="18"/>
          <w:szCs w:val="18"/>
          <w:color w:val="auto"/>
        </w:rPr>
        <w:t>with or without any preferential, deferred, qualified or special rights, privileges or conditions; or</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87"/>
        </w:numPr>
        <w:rPr>
          <w:rFonts w:ascii="Arial" w:cs="Arial" w:eastAsia="Arial" w:hAnsi="Arial"/>
          <w:sz w:val="18"/>
          <w:szCs w:val="18"/>
          <w:color w:val="auto"/>
        </w:rPr>
      </w:pPr>
      <w:r>
        <w:rPr>
          <w:rFonts w:ascii="Arial" w:cs="Arial" w:eastAsia="Arial" w:hAnsi="Arial"/>
          <w:sz w:val="18"/>
          <w:szCs w:val="18"/>
          <w:color w:val="auto"/>
        </w:rPr>
        <w:t>subject to any limitations or restrictions</w:t>
      </w:r>
    </w:p>
    <w:p>
      <w:pPr>
        <w:spacing w:after="0" w:line="171" w:lineRule="exact"/>
        <w:rPr>
          <w:sz w:val="20"/>
          <w:szCs w:val="20"/>
          <w:color w:val="auto"/>
        </w:rPr>
      </w:pPr>
    </w:p>
    <w:p>
      <w:pPr>
        <w:ind w:left="1292" w:right="460"/>
        <w:spacing w:after="0" w:line="277" w:lineRule="auto"/>
        <w:rPr>
          <w:sz w:val="20"/>
          <w:szCs w:val="20"/>
          <w:color w:val="auto"/>
        </w:rPr>
      </w:pPr>
      <w:r>
        <w:rPr>
          <w:rFonts w:ascii="Arial" w:cs="Arial" w:eastAsia="Arial" w:hAnsi="Arial"/>
          <w:sz w:val="18"/>
          <w:szCs w:val="18"/>
          <w:color w:val="auto"/>
        </w:rPr>
        <w:t>and unless the condition of issue expressly declares otherwise, every issue of shares (whether declared to be ordinary, preference or otherwise) is subject to this power; and</w:t>
      </w:r>
    </w:p>
    <w:p>
      <w:pPr>
        <w:spacing w:after="0" w:line="116" w:lineRule="exact"/>
        <w:rPr>
          <w:sz w:val="20"/>
          <w:szCs w:val="20"/>
          <w:color w:val="auto"/>
        </w:rPr>
      </w:pPr>
    </w:p>
    <w:p>
      <w:pPr>
        <w:ind w:left="1292" w:hanging="644"/>
        <w:spacing w:after="0"/>
        <w:tabs>
          <w:tab w:leader="none" w:pos="129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alter any of those rights, privileges, conditions, limitations or restrictions.</w:t>
      </w:r>
    </w:p>
    <w:p>
      <w:pPr>
        <w:spacing w:after="0" w:line="171" w:lineRule="exact"/>
        <w:rPr>
          <w:sz w:val="20"/>
          <w:szCs w:val="20"/>
          <w:color w:val="auto"/>
        </w:rPr>
      </w:pPr>
    </w:p>
    <w:p>
      <w:pPr>
        <w:ind w:left="652" w:right="280" w:hanging="652"/>
        <w:spacing w:after="0" w:line="277" w:lineRule="auto"/>
        <w:tabs>
          <w:tab w:leader="none" w:pos="64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452" w:name="page453"/>
    <w:bookmarkEnd w:id="4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117475</wp:posOffset>
            </wp:positionV>
            <wp:extent cx="857250" cy="3771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57250" cy="3771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709295</wp:posOffset>
            </wp:positionV>
            <wp:extent cx="31972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78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2980" w:type="dxa"/>
            <w:vAlign w:val="bottom"/>
          </w:tcPr>
          <w:p>
            <w:pPr>
              <w:spacing w:after="0"/>
              <w:rPr>
                <w:sz w:val="20"/>
                <w:szCs w:val="20"/>
                <w:color w:val="auto"/>
              </w:rPr>
            </w:pPr>
          </w:p>
        </w:tc>
      </w:tr>
      <w:tr>
        <w:trPr>
          <w:trHeight w:val="54"/>
        </w:trPr>
        <w:tc>
          <w:tcPr>
            <w:tcW w:w="480" w:type="dxa"/>
            <w:vAlign w:val="bottom"/>
          </w:tcPr>
          <w:p>
            <w:pPr>
              <w:spacing w:after="0"/>
              <w:rPr>
                <w:sz w:val="4"/>
                <w:szCs w:val="4"/>
                <w:color w:val="auto"/>
              </w:rPr>
            </w:pPr>
          </w:p>
        </w:tc>
        <w:tc>
          <w:tcPr>
            <w:tcW w:w="778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30"/>
        </w:trPr>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1</w:t>
            </w: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Definitions, interpretation and exclusion of Table A</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114</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2980" w:type="dxa"/>
            <w:vAlign w:val="bottom"/>
          </w:tcPr>
          <w:p>
            <w:pPr>
              <w:ind w:left="2140"/>
              <w:spacing w:after="0"/>
              <w:rPr>
                <w:sz w:val="20"/>
                <w:szCs w:val="20"/>
                <w:color w:val="auto"/>
              </w:rPr>
            </w:pPr>
            <w:r>
              <w:rPr>
                <w:rFonts w:ascii="Arial" w:cs="Arial" w:eastAsia="Arial" w:hAnsi="Arial"/>
                <w:sz w:val="18"/>
                <w:szCs w:val="18"/>
                <w:color w:val="auto"/>
              </w:rPr>
              <w:t>114</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116</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Exclusion of Table A Articles</w:t>
            </w:r>
          </w:p>
        </w:tc>
        <w:tc>
          <w:tcPr>
            <w:tcW w:w="2980" w:type="dxa"/>
            <w:vAlign w:val="bottom"/>
          </w:tcPr>
          <w:p>
            <w:pPr>
              <w:ind w:left="2140"/>
              <w:spacing w:after="0"/>
              <w:rPr>
                <w:sz w:val="20"/>
                <w:szCs w:val="20"/>
                <w:color w:val="auto"/>
              </w:rPr>
            </w:pPr>
            <w:r>
              <w:rPr>
                <w:rFonts w:ascii="Arial" w:cs="Arial" w:eastAsia="Arial" w:hAnsi="Arial"/>
                <w:sz w:val="18"/>
                <w:szCs w:val="18"/>
                <w:color w:val="auto"/>
              </w:rPr>
              <w:t>117</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Commencement of Business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3</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issue Shares and options, with or without special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117</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Power to issue fractions of a Share</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pay commissions and brokerage fees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Trusts not recognised</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vary class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Effect of new Share issue on existing class rights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contributions without issue of further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No bearer Shares or warrants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Rights attaching to Treasury Shares and related matters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4</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Register of Members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5</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 certificates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Issue of share certificates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120</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Renewal of lost or damaged share certificates</w:t>
            </w:r>
          </w:p>
        </w:tc>
        <w:tc>
          <w:tcPr>
            <w:tcW w:w="2980" w:type="dxa"/>
            <w:vAlign w:val="bottom"/>
          </w:tcPr>
          <w:p>
            <w:pPr>
              <w:ind w:left="2140"/>
              <w:spacing w:after="0"/>
              <w:rPr>
                <w:sz w:val="20"/>
                <w:szCs w:val="20"/>
                <w:color w:val="auto"/>
              </w:rPr>
            </w:pPr>
            <w:r>
              <w:rPr>
                <w:rFonts w:ascii="Arial" w:cs="Arial" w:eastAsia="Arial" w:hAnsi="Arial"/>
                <w:sz w:val="18"/>
                <w:szCs w:val="18"/>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6</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Lien on 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Nature and scope of lien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Company may sell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Authority to execute instrument of transfer</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20"/>
                <w:szCs w:val="20"/>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Consequences of sale of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3" w:name="page454"/>
    <w:bookmarkEnd w:id="453"/>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Application of proceeds of sale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57"/>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Calls on Shares and forfeiture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122</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calls and effect of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when call made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Liability of joint holders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unpaid calls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Deemed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accept early payment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different arrangements at time of issue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 of default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Forfeiture or surrender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Disposal of forfeited or surrendered Share and power to cancel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forfeiture or surrender on former Member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Evidence of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Sale of forfeited or surrendered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Transfer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124</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transfer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refuse registration</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suspend registration</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Company may retain instrument of transfer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56"/>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Transmission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125</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Persons entitled on death of a Member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Registration of transfer of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Rights of person entitled to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Alteration of capital</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Increasing, consolidating, converting, dividing and cancelling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Dealing with fractions resulting from consolidation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56"/>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Redemption and purchase of own Shares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127</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issue redeemable Shares and to purchase own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for redemption or purchase in cash or in specie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redemption or purchase of a Share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Class B Share Conversion</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Meetings of Members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call meetings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Content of notice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129</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Persons entitled to receive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Publication of notice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Time a website notice is deemed to be given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Required duration of publication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Accidental omission to give notice or non-receipt of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14</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Proceedings at meetings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131</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Quorum</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Lack of quorum</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Use of technology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Chairman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 of a director to attend and speak</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Adjournment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Method of voting</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Taking of a poll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Chairman's casting vote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Amendments to resolutions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Written resolutions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Sole-member company</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15</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Voting rights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133</w:t>
            </w:r>
          </w:p>
        </w:tc>
      </w:tr>
      <w:tr>
        <w:trPr>
          <w:trHeight w:val="256"/>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 to vote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 of joint holders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Representation of corporate Members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Member with mental disorder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Objections to admissibility of votes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135</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How and when proxy is to be delivered</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135</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 by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57"/>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16</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Number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70"/>
        </w:trPr>
        <w:tc>
          <w:tcPr>
            <w:tcW w:w="54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17</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Appointment, disqualification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age limit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shareholding qualification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Resignation of directors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137</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 of the office of director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137</w:t>
            </w:r>
          </w:p>
        </w:tc>
      </w:tr>
      <w:tr>
        <w:trPr>
          <w:trHeight w:val="257"/>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18</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Alternate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138</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Appointment and removal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138</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Rights of alternate director</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ceases when the appointor ceases to be a director</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Status of alternate director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Status of the director making the appointment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19</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Powers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139</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Powers of directors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Appointments to office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Remuneration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140</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Disclosure of information</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20</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Delegation of powers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141</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delegate any of the directors' powers to a committee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an agent of the Company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appoint an attorney or authorised signatory of the Company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 proxy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21</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Meetings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Regulation of directors'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Calling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Notice of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Use of technology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Place of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Quorum</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Validity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Recording of dissent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Written resolutions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Sole director's minute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22</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Permissible directors' interests and disclosure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Permissible interests subject to disclosure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Notification of interests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Voting where a director is interested in a matter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57"/>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23</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Minutes</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24</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Accounts and audit</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Accounting and other records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 automatic right of inspection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Sending of accounts and reports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Time of receipt if documents are published on a website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Validity despite accidental error in publication on website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145</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Audit</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25</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Financial year</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26</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Record dates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70"/>
        </w:trPr>
        <w:tc>
          <w:tcPr>
            <w:tcW w:w="540" w:type="dxa"/>
            <w:vAlign w:val="bottom"/>
            <w:shd w:val="clear" w:color="auto" w:fill="CCEEFF"/>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27</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Dividends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Declaration of dividends by Members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of interim dividends and declaration of final dividends by directors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146</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Apportionment of dividends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Right of set off</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other than in cash</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How payments may be made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or other moneys not to bear interest in absence of special rights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Dividends unable to be paid or unclaimed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148</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28</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Capitalisation of profits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148</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Capitalisation of profits or of any share premium account or capital redemption reserve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Applying an amount for the benefit of members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29</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Directors to maintain share premium account</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Debits to 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30</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Seal</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Company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Duplicate seal</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When and how seal is to be used</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If no seal is adopted or used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allow non-manual signatures and facsimile printing of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Validity of execution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31</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Indemnity</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150</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Release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57"/>
        </w:trPr>
        <w:tc>
          <w:tcPr>
            <w:tcW w:w="54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32</w:t>
            </w: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151</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Form of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Electronic communications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Persons authorised to give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Delivery of written 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Joint holders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Signatures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Evidence of transmission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Giving notice to a deceased or bankrupt Member</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Date of giving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56"/>
        </w:trPr>
        <w:tc>
          <w:tcPr>
            <w:tcW w:w="54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33</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Authentication of Electronic Records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Application of Articles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153</w:t>
            </w:r>
          </w:p>
        </w:tc>
      </w:t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Authentication of documents sent by Members by Electronic means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Authentication of document sent by the Secretary or Officers of the Company by Electronic means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Manner of signing</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154</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56"/>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34</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Transfer by way of continuation</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154</w:t>
            </w:r>
          </w:p>
        </w:tc>
      </w:tr>
      <w:tr>
        <w:trPr>
          <w:trHeight w:val="257"/>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35</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Winding up</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 of assets in specie</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No obligation to accept liability</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directors are authorised to present a winding up petition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36</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Amendment of Memorandum and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Power to change name or amend Memorandum</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amend these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37</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Mergers and Consolidations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38</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Combination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39</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Certain Tax Filings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40</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Opportunities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Adopted by special resolution on August 6, 2020</w:t>
      </w:r>
    </w:p>
    <w:p>
      <w:pPr>
        <w:spacing w:after="0" w:line="167" w:lineRule="exact"/>
        <w:rPr>
          <w:sz w:val="20"/>
          <w:szCs w:val="20"/>
          <w:color w:val="auto"/>
        </w:rPr>
      </w:pPr>
    </w:p>
    <w:p>
      <w:pPr>
        <w:ind w:right="6660" w:firstLine="8"/>
        <w:spacing w:after="0" w:line="440" w:lineRule="auto"/>
        <w:tabs>
          <w:tab w:leader="none" w:pos="643"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 and exclusion of Table A Definitions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the following definitions apply:</w:t>
      </w:r>
    </w:p>
    <w:p>
      <w:pPr>
        <w:spacing w:after="0" w:line="167"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any person, all provisions of laws, statutes, ordinances, rules, regulations, permits, certificates,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decrees or orders of any governmental authority applicable to such person.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as appropriate:</w:t>
      </w:r>
    </w:p>
    <w:p>
      <w:pPr>
        <w:spacing w:after="0" w:line="175" w:lineRule="exact"/>
        <w:rPr>
          <w:sz w:val="20"/>
          <w:szCs w:val="20"/>
          <w:color w:val="auto"/>
        </w:rPr>
      </w:pPr>
    </w:p>
    <w:p>
      <w:pPr>
        <w:ind w:left="1300" w:hanging="644"/>
        <w:spacing w:after="0"/>
        <w:tabs>
          <w:tab w:leader="none" w:pos="13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these Articles of Association as amended from time to time: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two or more particular Articles of these Articles;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refers to a particular Article of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means the audit committee of the Company formed pursuant to Article 24.8 hereof, or any successor audit committee.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means the person for the time being performing the duties of auditor of the Company.</w:t>
      </w:r>
    </w:p>
    <w:p>
      <w:pPr>
        <w:spacing w:after="0" w:line="171"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a merger, share exchange, asset acquisition, share purchase, reorganisation or similar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involving the Company, with one or more businesses or entities (each a </w:t>
      </w:r>
      <w:r>
        <w:rPr>
          <w:rFonts w:ascii="Arial" w:cs="Arial" w:eastAsia="Arial" w:hAnsi="Arial"/>
          <w:sz w:val="18"/>
          <w:szCs w:val="18"/>
          <w:b w:val="1"/>
          <w:bCs w:val="1"/>
          <w:color w:val="auto"/>
        </w:rPr>
        <w:t>target business</w:t>
      </w:r>
      <w:r>
        <w:rPr>
          <w:rFonts w:ascii="Arial" w:cs="Arial" w:eastAsia="Arial" w:hAnsi="Arial"/>
          <w:sz w:val="18"/>
          <w:szCs w:val="18"/>
          <w:color w:val="auto"/>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spacing w:after="0" w:line="133" w:lineRule="exact"/>
        <w:rPr>
          <w:sz w:val="20"/>
          <w:szCs w:val="20"/>
          <w:color w:val="auto"/>
        </w:rPr>
      </w:pPr>
    </w:p>
    <w:p>
      <w:pPr>
        <w:ind w:left="660"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day on which banking institutions or trust companies are authorised or obligated by law to close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City, a Saturday or a Sunday.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Share </w:t>
      </w:r>
      <w:r>
        <w:rPr>
          <w:rFonts w:ascii="Arial" w:cs="Arial" w:eastAsia="Arial" w:hAnsi="Arial"/>
          <w:sz w:val="18"/>
          <w:szCs w:val="18"/>
          <w:color w:val="auto"/>
        </w:rPr>
        <w:t>means a Class A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Share </w:t>
      </w:r>
      <w:r>
        <w:rPr>
          <w:rFonts w:ascii="Arial" w:cs="Arial" w:eastAsia="Arial" w:hAnsi="Arial"/>
          <w:sz w:val="18"/>
          <w:szCs w:val="18"/>
          <w:color w:val="auto"/>
        </w:rPr>
        <w:t>means a Class B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Clear Days</w:t>
      </w:r>
      <w:r>
        <w:rPr>
          <w:rFonts w:ascii="Arial" w:cs="Arial" w:eastAsia="Arial" w:hAnsi="Arial"/>
          <w:sz w:val="18"/>
          <w:szCs w:val="18"/>
          <w:color w:val="auto"/>
        </w:rPr>
        <w:t>, in relation to a period of notice, means that period excluding:</w:t>
      </w:r>
    </w:p>
    <w:p>
      <w:pPr>
        <w:spacing w:after="0" w:line="175" w:lineRule="exact"/>
        <w:rPr>
          <w:sz w:val="20"/>
          <w:szCs w:val="20"/>
          <w:color w:val="auto"/>
        </w:rPr>
      </w:pPr>
    </w:p>
    <w:p>
      <w:pPr>
        <w:ind w:left="1300" w:hanging="644"/>
        <w:spacing w:after="0"/>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day when the notice is given or deemed to be given;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day for which it is given or on which it is to take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40"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Clearing House </w:t>
      </w:r>
      <w:r>
        <w:rPr>
          <w:rFonts w:ascii="Arial" w:cs="Arial" w:eastAsia="Arial" w:hAnsi="Arial"/>
          <w:sz w:val="18"/>
          <w:szCs w:val="18"/>
          <w:color w:val="auto"/>
        </w:rPr>
        <w:t>means a clearing house recognised by the laws of the jurisdiction in which the Shares (or depositary receipts therefor)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or quoted on a stock exchange or interdealer quotation system in such jurisdiction.</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above-named company.</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10% (ten per cent) per annum.</w:t>
      </w:r>
    </w:p>
    <w:p>
      <w:pPr>
        <w:spacing w:after="0" w:line="171"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Designated Stock Exchange </w:t>
      </w:r>
      <w:r>
        <w:rPr>
          <w:rFonts w:ascii="Arial" w:cs="Arial" w:eastAsia="Arial" w:hAnsi="Arial"/>
          <w:sz w:val="18"/>
          <w:szCs w:val="18"/>
          <w:color w:val="auto"/>
        </w:rPr>
        <w:t>means any national securities exchange, including the Nasdaq Stock Market LLC, the NYSE American LLC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LLC or any OTC market on which the Shares are listed for trading.</w:t>
      </w:r>
    </w:p>
    <w:p>
      <w:pPr>
        <w:spacing w:after="0" w:line="108" w:lineRule="exact"/>
        <w:rPr>
          <w:sz w:val="20"/>
          <w:szCs w:val="20"/>
          <w:color w:val="auto"/>
        </w:rPr>
      </w:pPr>
    </w:p>
    <w:p>
      <w:pPr>
        <w:ind w:left="4" w:right="3040"/>
        <w:spacing w:after="0" w:line="439" w:lineRule="auto"/>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Record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Signature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Exchange Act </w:t>
      </w:r>
      <w:r>
        <w:rPr>
          <w:rFonts w:ascii="Arial" w:cs="Arial" w:eastAsia="Arial" w:hAnsi="Arial"/>
          <w:sz w:val="18"/>
          <w:szCs w:val="18"/>
          <w:color w:val="auto"/>
        </w:rPr>
        <w:t>means the United States Securities Exchange Act of 1934, as amended.</w:t>
      </w:r>
      <w:r>
        <w:rPr>
          <w:rFonts w:ascii="Arial" w:cs="Arial" w:eastAsia="Arial" w:hAnsi="Arial"/>
          <w:sz w:val="18"/>
          <w:szCs w:val="18"/>
          <w:b w:val="1"/>
          <w:bCs w:val="1"/>
          <w:color w:val="auto"/>
        </w:rPr>
        <w:t xml:space="preserve"> Founders </w:t>
      </w:r>
      <w:r>
        <w:rPr>
          <w:rFonts w:ascii="Arial" w:cs="Arial" w:eastAsia="Arial" w:hAnsi="Arial"/>
          <w:sz w:val="18"/>
          <w:szCs w:val="18"/>
          <w:color w:val="auto"/>
        </w:rPr>
        <w:t>means all Members immediately prior to the consummation of the IPO.</w:t>
      </w:r>
      <w:r>
        <w:rPr>
          <w:rFonts w:ascii="Arial" w:cs="Arial" w:eastAsia="Arial" w:hAnsi="Arial"/>
          <w:sz w:val="18"/>
          <w:szCs w:val="18"/>
          <w:b w:val="1"/>
          <w:bCs w:val="1"/>
          <w:color w:val="auto"/>
        </w:rPr>
        <w:t xml:space="preserve"> Fully 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Paid Up</w:t>
      </w:r>
      <w:r>
        <w:rPr>
          <w:rFonts w:ascii="Arial" w:cs="Arial" w:eastAsia="Arial" w:hAnsi="Arial"/>
          <w:sz w:val="18"/>
          <w:szCs w:val="18"/>
          <w:color w:val="auto"/>
        </w:rPr>
        <w:t>:</w:t>
      </w:r>
    </w:p>
    <w:p>
      <w:pPr>
        <w:ind w:left="644" w:right="400" w:hanging="644"/>
        <w:spacing w:after="0" w:line="277" w:lineRule="auto"/>
        <w:tabs>
          <w:tab w:leader="none" w:pos="64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a Share with par value, means that the par value for that Share and any premium payable in respect of the issue of that Share, has been fully paid or credited as paid in money or money's worth;</w:t>
      </w:r>
    </w:p>
    <w:p>
      <w:pPr>
        <w:spacing w:after="0" w:line="116" w:lineRule="exact"/>
        <w:rPr>
          <w:rFonts w:ascii="Arial" w:cs="Arial" w:eastAsia="Arial" w:hAnsi="Arial"/>
          <w:sz w:val="18"/>
          <w:szCs w:val="18"/>
          <w:color w:val="auto"/>
        </w:rPr>
      </w:pPr>
    </w:p>
    <w:p>
      <w:pPr>
        <w:ind w:left="644" w:right="80" w:hanging="644"/>
        <w:spacing w:after="0" w:line="277" w:lineRule="auto"/>
        <w:tabs>
          <w:tab w:leader="none" w:pos="63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a Share without par value, means that the agreed issue price for that Share has been fully paid or credited as paid in money or money's worth.</w:t>
      </w:r>
    </w:p>
    <w:p>
      <w:pPr>
        <w:spacing w:after="0" w:line="112"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a director who is an independent director as defined in the rules and regulations of the Designated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directors.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Investor Group </w:t>
      </w:r>
      <w:r>
        <w:rPr>
          <w:rFonts w:ascii="Arial" w:cs="Arial" w:eastAsia="Arial" w:hAnsi="Arial"/>
          <w:sz w:val="18"/>
          <w:szCs w:val="18"/>
          <w:color w:val="auto"/>
        </w:rPr>
        <w:t>means the Sponsor, Perceptive Advisors LLC and their respective affiliates, successors and assigns.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means the Company's initial public offering of securities.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Redemption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Islands </w:t>
      </w:r>
      <w:r>
        <w:rPr>
          <w:rFonts w:ascii="Arial" w:cs="Arial" w:eastAsia="Arial" w:hAnsi="Arial"/>
          <w:sz w:val="18"/>
          <w:szCs w:val="18"/>
          <w:color w:val="auto"/>
        </w:rPr>
        <w:t>means the British Overseas Territory of the Cayman Islands.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the Companies Law (Revised).</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any person or persons entered on the Register of Members from time to time as the holder of a Share.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 as amended from time to time.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then appointed to hold an office in the Company; and the expression includes a director, alternate director or liquidator.</w:t>
      </w:r>
    </w:p>
    <w:p>
      <w:pPr>
        <w:spacing w:after="0" w:line="194"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 of a duly constituted general meeting of the Company passed by a simple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the Members entitled to vote thereon. The expression also includes a unanimous written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173355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4"/>
          </w:cols>
          <w:pgMar w:left="976" w:top="1440" w:right="419" w:bottom="1440" w:gutter="0" w:footer="0" w:header="0"/>
        </w:sectPr>
      </w:pPr>
    </w:p>
    <w:bookmarkStart w:id="460" w:name="page461"/>
    <w:bookmarkEnd w:id="460"/>
    <w:p>
      <w:pPr>
        <w:spacing w:after="0" w:line="140"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b w:val="1"/>
          <w:bCs w:val="1"/>
          <w:color w:val="auto"/>
        </w:rPr>
        <w:t xml:space="preserve">Over-Allotment Option </w:t>
      </w:r>
      <w:r>
        <w:rPr>
          <w:rFonts w:ascii="Arial" w:cs="Arial" w:eastAsia="Arial" w:hAnsi="Arial"/>
          <w:sz w:val="18"/>
          <w:szCs w:val="18"/>
          <w:color w:val="auto"/>
        </w:rPr>
        <w:t>means the option of the Underwriters to purchase up to an additional 15% of the Class A Shares sold in the IPO at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equal to US$10.00 per share, less underwriting discount and commissions.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Preference Share </w:t>
      </w:r>
      <w:r>
        <w:rPr>
          <w:rFonts w:ascii="Arial" w:cs="Arial" w:eastAsia="Arial" w:hAnsi="Arial"/>
          <w:sz w:val="18"/>
          <w:szCs w:val="18"/>
          <w:color w:val="auto"/>
        </w:rPr>
        <w:t>means a preference share of a par value of US$0.0001 in the share capital of the Company.</w:t>
      </w:r>
    </w:p>
    <w:p>
      <w:pPr>
        <w:spacing w:after="0" w:line="17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Private Placement Shares </w:t>
      </w:r>
      <w:r>
        <w:rPr>
          <w:rFonts w:ascii="Arial" w:cs="Arial" w:eastAsia="Arial" w:hAnsi="Arial"/>
          <w:sz w:val="18"/>
          <w:szCs w:val="18"/>
          <w:color w:val="auto"/>
        </w:rPr>
        <w:t>means the Class A Shares issued to the Sponsor in a private placement simultaneously with the closing of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working capital loans (if any).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Public Share </w:t>
      </w:r>
      <w:r>
        <w:rPr>
          <w:rFonts w:ascii="Arial" w:cs="Arial" w:eastAsia="Arial" w:hAnsi="Arial"/>
          <w:sz w:val="18"/>
          <w:szCs w:val="18"/>
          <w:color w:val="auto"/>
        </w:rPr>
        <w:t>means a Class A Share issued in the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Register of Members </w:t>
      </w:r>
      <w:r>
        <w:rPr>
          <w:rFonts w:ascii="Arial" w:cs="Arial" w:eastAsia="Arial" w:hAnsi="Arial"/>
          <w:sz w:val="18"/>
          <w:szCs w:val="18"/>
          <w:color w:val="auto"/>
        </w:rPr>
        <w:t>means the register of Members maintained in accordance with the Law and includes (except where otherwise stated) any</w:t>
      </w:r>
      <w:r>
        <w:rPr>
          <w:rFonts w:ascii="Arial" w:cs="Arial" w:eastAsia="Arial" w:hAnsi="Arial"/>
          <w:sz w:val="18"/>
          <w:szCs w:val="18"/>
          <w:b w:val="1"/>
          <w:bCs w:val="1"/>
          <w:color w:val="auto"/>
        </w:rPr>
        <w:t xml:space="preserve"> </w:t>
      </w:r>
      <w:r>
        <w:rPr>
          <w:rFonts w:ascii="Arial" w:cs="Arial" w:eastAsia="Arial" w:hAnsi="Arial"/>
          <w:sz w:val="18"/>
          <w:szCs w:val="18"/>
          <w:color w:val="auto"/>
        </w:rPr>
        <w:t>branch or duplicate register of Members.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Secretary </w:t>
      </w:r>
      <w:r>
        <w:rPr>
          <w:rFonts w:ascii="Arial" w:cs="Arial" w:eastAsia="Arial" w:hAnsi="Arial"/>
          <w:sz w:val="17"/>
          <w:szCs w:val="17"/>
          <w:color w:val="auto"/>
        </w:rPr>
        <w:t>means a person appointed to perform the duties of the secretary of the Company, including a joint, assistant or deputy secretary.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Class A Share, a Class B Share or a Preference Share in the share capital of the Company; and the expression:</w:t>
      </w:r>
    </w:p>
    <w:p>
      <w:pPr>
        <w:spacing w:after="0" w:line="175" w:lineRule="exact"/>
        <w:rPr>
          <w:sz w:val="20"/>
          <w:szCs w:val="20"/>
          <w:color w:val="auto"/>
        </w:rPr>
      </w:pPr>
    </w:p>
    <w:p>
      <w:pPr>
        <w:ind w:left="1300" w:hanging="644"/>
        <w:spacing w:after="0"/>
        <w:tabs>
          <w:tab w:leader="none" w:pos="13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includes stock (except where a distinction between shares and stock is expressed or implied);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where the context permits, also includes a fraction of a share.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has the meaning given to that term in the Law; and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means ARYA Sciences Holdings III, a Cayman Islands exempted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Filing Authorised Person </w:t>
      </w:r>
      <w:r>
        <w:rPr>
          <w:rFonts w:ascii="Arial" w:cs="Arial" w:eastAsia="Arial" w:hAnsi="Arial"/>
          <w:sz w:val="18"/>
          <w:szCs w:val="18"/>
          <w:color w:val="auto"/>
        </w:rPr>
        <w:t>means such person as any director shall designate from time to time, acting severally.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Shares of the Company held in treasury pursuant to the Law and Article 3.14.</w:t>
      </w:r>
    </w:p>
    <w:p>
      <w:pPr>
        <w:spacing w:after="0" w:line="171" w:lineRule="exact"/>
        <w:rPr>
          <w:sz w:val="20"/>
          <w:szCs w:val="20"/>
          <w:color w:val="auto"/>
        </w:rPr>
      </w:pPr>
    </w:p>
    <w:p>
      <w:pPr>
        <w:ind w:left="660" w:right="20"/>
        <w:spacing w:after="0" w:line="312" w:lineRule="auto"/>
        <w:rPr>
          <w:sz w:val="20"/>
          <w:szCs w:val="20"/>
          <w:color w:val="auto"/>
        </w:rPr>
      </w:pPr>
      <w:r>
        <w:rPr>
          <w:rFonts w:ascii="Arial" w:cs="Arial" w:eastAsia="Arial" w:hAnsi="Arial"/>
          <w:sz w:val="17"/>
          <w:szCs w:val="17"/>
          <w:b w:val="1"/>
          <w:bCs w:val="1"/>
          <w:color w:val="auto"/>
        </w:rPr>
        <w:t xml:space="preserve">Trust Account </w:t>
      </w:r>
      <w:r>
        <w:rPr>
          <w:rFonts w:ascii="Arial" w:cs="Arial" w:eastAsia="Arial" w:hAnsi="Arial"/>
          <w:sz w:val="17"/>
          <w:szCs w:val="17"/>
          <w:color w:val="auto"/>
        </w:rPr>
        <w:t>means the trust account established by the Company upon the consummation of its IPO and into which a certain amount of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IPO, together with certain of the proceeds of the sale of the Private Placement Shares, will be deposited.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Underwriter </w:t>
      </w:r>
      <w:r>
        <w:rPr>
          <w:rFonts w:ascii="Arial" w:cs="Arial" w:eastAsia="Arial" w:hAnsi="Arial"/>
          <w:sz w:val="18"/>
          <w:szCs w:val="18"/>
          <w:color w:val="auto"/>
        </w:rPr>
        <w:t>means an underwriter of the IPO from time to time, and any successor underwriter.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 interpretation of these Articles, the following provisions apply unless the context otherwise requires:</w:t>
      </w:r>
    </w:p>
    <w:p>
      <w:pPr>
        <w:spacing w:after="0" w:line="171"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reference in these Articles to a statute is a reference to a statute of the Islands as known by its short title, and includes: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statutory modification, amendment or re-enactment;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subordinate legislation or regulations issued under that statute.</w:t>
      </w:r>
    </w:p>
    <w:p>
      <w:pPr>
        <w:spacing w:after="0" w:line="17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Without limitation to the preceding sentence, a reference to a revised Law of the Cayman Islands is taken to be a reference to the revision of that Law in force from time to time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1" w:name="page462"/>
    <w:bookmarkEnd w:id="461"/>
    <w:p>
      <w:pPr>
        <w:spacing w:after="0" w:line="144"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Headings are inserted for convenience only and do not affect the interpretation of these Articles, unless there is ambiguity.</w:t>
      </w:r>
    </w:p>
    <w:p>
      <w:pPr>
        <w:spacing w:after="0" w:line="171" w:lineRule="exact"/>
        <w:rPr>
          <w:rFonts w:ascii="Arial" w:cs="Arial" w:eastAsia="Arial" w:hAnsi="Arial"/>
          <w:sz w:val="18"/>
          <w:szCs w:val="18"/>
          <w:color w:val="auto"/>
        </w:rPr>
      </w:pPr>
    </w:p>
    <w:p>
      <w:pPr>
        <w:ind w:left="1300" w:right="180" w:hanging="644"/>
        <w:spacing w:after="0" w:line="277" w:lineRule="auto"/>
        <w:tabs>
          <w:tab w:leader="none" w:pos="129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a day on which any act, matter or thing is to be done under these Articles is not a Business Day, the act, matter or thing must be done on the next Business Day.</w:t>
      </w:r>
    </w:p>
    <w:p>
      <w:pPr>
        <w:spacing w:after="0" w:line="116" w:lineRule="exact"/>
        <w:rPr>
          <w:rFonts w:ascii="Arial" w:cs="Arial" w:eastAsia="Arial" w:hAnsi="Arial"/>
          <w:sz w:val="18"/>
          <w:szCs w:val="18"/>
          <w:color w:val="auto"/>
        </w:rPr>
      </w:pPr>
    </w:p>
    <w:p>
      <w:pPr>
        <w:ind w:left="1300" w:right="180" w:hanging="644"/>
        <w:spacing w:after="0" w:line="277" w:lineRule="auto"/>
        <w:tabs>
          <w:tab w:leader="none" w:pos="129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 word which denotes the singular also denotes the plural, a word which denotes the plural also denotes the singular, and a reference to any gender also denotes the other genders.</w:t>
      </w:r>
    </w:p>
    <w:p>
      <w:pPr>
        <w:spacing w:after="0" w:line="116"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 reference to a person includes, as appropriate, a company, trust, partnership, joint venture, association, body corporate or government agency.</w:t>
      </w:r>
    </w:p>
    <w:p>
      <w:pPr>
        <w:spacing w:after="0" w:line="116" w:lineRule="exact"/>
        <w:rPr>
          <w:rFonts w:ascii="Arial" w:cs="Arial" w:eastAsia="Arial" w:hAnsi="Arial"/>
          <w:sz w:val="18"/>
          <w:szCs w:val="18"/>
          <w:color w:val="auto"/>
        </w:rPr>
      </w:pPr>
    </w:p>
    <w:p>
      <w:pPr>
        <w:ind w:left="1300" w:right="260" w:hanging="644"/>
        <w:spacing w:after="0" w:line="277" w:lineRule="auto"/>
        <w:tabs>
          <w:tab w:leader="none" w:pos="129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Where a word or phrase is given a defined meaning another part of speech or grammatical form in respect to that word or phrase has a corresponding meaning.</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All references to time are to be calculated by reference to time in the place where the Company's registered office is located.</w:t>
      </w:r>
    </w:p>
    <w:p>
      <w:pPr>
        <w:spacing w:after="0" w:line="171" w:lineRule="exact"/>
        <w:rPr>
          <w:rFonts w:ascii="Arial" w:cs="Arial" w:eastAsia="Arial" w:hAnsi="Arial"/>
          <w:sz w:val="18"/>
          <w:szCs w:val="18"/>
          <w:color w:val="auto"/>
        </w:rPr>
      </w:pPr>
    </w:p>
    <w:p>
      <w:pPr>
        <w:ind w:left="1300" w:right="680" w:hanging="644"/>
        <w:spacing w:after="0" w:line="342" w:lineRule="auto"/>
        <w:tabs>
          <w:tab w:leader="none" w:pos="129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words written and in writing include all modes of representing or reproducing words in a visible form, but do not include an Electronic Record where the distinction between a document in writing and an Electronic Record is expressed or implied.</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words including, include and in particular or any similar expression are to be construed without limitation.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of Table A Articles</w:t>
      </w:r>
    </w:p>
    <w:p>
      <w:pPr>
        <w:spacing w:after="0" w:line="17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112" w:lineRule="exact"/>
        <w:rPr>
          <w:sz w:val="20"/>
          <w:szCs w:val="20"/>
          <w:color w:val="auto"/>
        </w:rPr>
      </w:pPr>
    </w:p>
    <w:p>
      <w:pPr>
        <w:ind w:left="660" w:hanging="652"/>
        <w:spacing w:after="0"/>
        <w:tabs>
          <w:tab w:leader="none" w:pos="66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see fit.</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12" w:lineRule="exact"/>
        <w:rPr>
          <w:sz w:val="20"/>
          <w:szCs w:val="20"/>
          <w:color w:val="auto"/>
        </w:rPr>
      </w:pPr>
    </w:p>
    <w:p>
      <w:pPr>
        <w:ind w:left="660" w:hanging="652"/>
        <w:spacing w:after="0"/>
        <w:tabs>
          <w:tab w:leader="none" w:pos="66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Shares and options, with or without special rights</w:t>
      </w:r>
    </w:p>
    <w:p>
      <w:pPr>
        <w:spacing w:after="0" w:line="175" w:lineRule="exact"/>
        <w:rPr>
          <w:sz w:val="20"/>
          <w:szCs w:val="20"/>
          <w:color w:val="auto"/>
        </w:rPr>
      </w:pPr>
    </w:p>
    <w:p>
      <w:pPr>
        <w:ind w:left="660" w:right="40" w:hanging="647"/>
        <w:spacing w:after="0" w:line="29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Without limitation to the preceding Article, the directors may so deal with the unissued Shares of the Company:</w:t>
      </w:r>
    </w:p>
    <w:p>
      <w:pPr>
        <w:spacing w:after="0" w:line="171"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either at a premium or at par;</w:t>
      </w:r>
    </w:p>
    <w:p>
      <w:pPr>
        <w:spacing w:after="0" w:line="171" w:lineRule="exact"/>
        <w:rPr>
          <w:rFonts w:ascii="Arial" w:cs="Arial" w:eastAsia="Arial" w:hAnsi="Arial"/>
          <w:sz w:val="18"/>
          <w:szCs w:val="18"/>
          <w:color w:val="auto"/>
        </w:rPr>
      </w:pPr>
    </w:p>
    <w:p>
      <w:pPr>
        <w:ind w:left="1300" w:right="620" w:hanging="644"/>
        <w:spacing w:after="0" w:line="277" w:lineRule="auto"/>
        <w:tabs>
          <w:tab w:leader="none" w:pos="129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with or without preferred, deferred or other special rights or restrictions whether in regard to dividend, voting, return of capital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2" w:name="page463"/>
    <w:bookmarkEnd w:id="462"/>
    <w:p>
      <w:pPr>
        <w:spacing w:after="0" w:line="144"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30"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fractions of a Share</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commissions and brokerage fees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Company may, in so far as the Law permits, pay a commission to any person in consideration of that person:</w:t>
      </w:r>
    </w:p>
    <w:p>
      <w:pPr>
        <w:spacing w:after="0" w:line="171" w:lineRule="exact"/>
        <w:rPr>
          <w:sz w:val="20"/>
          <w:szCs w:val="20"/>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subscribing or agreeing to subscribe, whether absolutely or conditionally;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procuring or agreeing to procure subscriptions, whether absolute or conditional</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any Shares in the Company. That commission may be satisfied by the payment of cash or the allotment of Fully Paid or partly-paid Shares or partly in one way and partly in another.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Company may employ a broker in the issue of its capital and pay him any proper commission or brokerage.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Trusts not recognised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Except as required by Applicable Law:</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 person other than the Member shall be recognised by the Company as having any right in a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vary class rights</w:t>
      </w:r>
    </w:p>
    <w:p>
      <w:pPr>
        <w:spacing w:after="0" w:line="175"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16" w:lineRule="exact"/>
        <w:rPr>
          <w:sz w:val="20"/>
          <w:szCs w:val="20"/>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Members holding two thirds of the issued Shares of that class consent in writing to the variation; or</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variation is made with the sanction of a Special Resolution passed at a separate general meeting of the Members holding the issued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3" w:name="page464"/>
    <w:bookmarkEnd w:id="463"/>
    <w:p>
      <w:pPr>
        <w:spacing w:after="0" w:line="144"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For the purpose of paragraph (b) of the preceding Article, all the provisions of these Articles relating to general meetings apply, mutatis mutandis, to every such separate meeting except that:</w:t>
      </w:r>
    </w:p>
    <w:p>
      <w:pPr>
        <w:spacing w:after="0" w:line="116" w:lineRule="exact"/>
        <w:rPr>
          <w:sz w:val="20"/>
          <w:szCs w:val="20"/>
          <w:color w:val="auto"/>
        </w:rPr>
      </w:pPr>
    </w:p>
    <w:p>
      <w:pPr>
        <w:ind w:left="1300" w:right="180" w:hanging="644"/>
        <w:spacing w:after="0" w:line="277" w:lineRule="auto"/>
        <w:tabs>
          <w:tab w:leader="none" w:pos="12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necessary quorum shall be one or more persons holding, or representing by proxy, not less than one third of the issued Shares of the class; and</w:t>
      </w:r>
    </w:p>
    <w:p>
      <w:pPr>
        <w:spacing w:after="0" w:line="116" w:lineRule="exact"/>
        <w:rPr>
          <w:rFonts w:ascii="Arial" w:cs="Arial" w:eastAsia="Arial" w:hAnsi="Arial"/>
          <w:sz w:val="18"/>
          <w:szCs w:val="18"/>
          <w:color w:val="auto"/>
        </w:rPr>
      </w:pPr>
    </w:p>
    <w:p>
      <w:pPr>
        <w:ind w:left="1300" w:right="760" w:hanging="644"/>
        <w:spacing w:after="0" w:line="277" w:lineRule="auto"/>
        <w:tabs>
          <w:tab w:leader="none" w:pos="129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Member holding issued Shares of the class, present in person or by proxy or, in the case of a corporate Member, by its duly authorised representative, may demand a poll.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Share issue on existing class rights</w:t>
      </w:r>
    </w:p>
    <w:p>
      <w:pPr>
        <w:spacing w:after="0" w:line="175" w:lineRule="exact"/>
        <w:rPr>
          <w:sz w:val="20"/>
          <w:szCs w:val="20"/>
          <w:color w:val="auto"/>
        </w:rPr>
      </w:pPr>
    </w:p>
    <w:p>
      <w:pPr>
        <w:ind w:left="640" w:right="180" w:hanging="647"/>
        <w:spacing w:after="0" w:line="308"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without issue of further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in consideration for that contribution. In that event, the contribution shall be dealt with in the following manner:</w:t>
      </w:r>
    </w:p>
    <w:p>
      <w:pPr>
        <w:spacing w:after="0" w:line="157" w:lineRule="exact"/>
        <w:rPr>
          <w:sz w:val="20"/>
          <w:szCs w:val="20"/>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It shall be treated as if it were a share premium.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Unless the Member agrees otherwise: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194" w:lineRule="exact"/>
        <w:rPr>
          <w:rFonts w:ascii="Arial" w:cs="Arial" w:eastAsia="Arial" w:hAnsi="Arial"/>
          <w:sz w:val="16"/>
          <w:szCs w:val="16"/>
          <w:color w:val="auto"/>
        </w:rPr>
      </w:pPr>
    </w:p>
    <w:p>
      <w:pPr>
        <w:ind w:left="1960" w:right="60" w:hanging="656"/>
        <w:spacing w:after="0" w:line="263" w:lineRule="auto"/>
        <w:tabs>
          <w:tab w:leader="none" w:pos="195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It shall be subject to the provisions of the Law and these Articles applicable to share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bearer Shares or warrants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 Company shall not issue Shares or warrants to bearers.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Shares that the Company purchases, redeems or acquires by way of surrender in accordance with the Law shall be held as Treasury Shares and not treated as cancelled if:</w:t>
      </w:r>
    </w:p>
    <w:p>
      <w:pPr>
        <w:spacing w:after="0" w:line="116" w:lineRule="exact"/>
        <w:rPr>
          <w:sz w:val="20"/>
          <w:szCs w:val="20"/>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directors so determine prior to the purchase, redemption or surrender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relevant provisions of the Memorandum and Articles and the Law are otherwise complied 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attaching to Treasury Shares and related matters</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The Company shall be entered in the Register as the holder of the Treasury Shares. However:</w:t>
      </w:r>
    </w:p>
    <w:p>
      <w:pPr>
        <w:spacing w:after="0" w:line="171" w:lineRule="exact"/>
        <w:rPr>
          <w:sz w:val="20"/>
          <w:szCs w:val="20"/>
          <w:color w:val="auto"/>
        </w:rPr>
      </w:pPr>
    </w:p>
    <w:p>
      <w:pPr>
        <w:ind w:left="1300" w:right="80" w:hanging="644"/>
        <w:spacing w:after="0" w:line="277" w:lineRule="auto"/>
        <w:tabs>
          <w:tab w:leader="none" w:pos="129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4" w:name="page465"/>
    <w:bookmarkEnd w:id="464"/>
    <w:p>
      <w:pPr>
        <w:spacing w:after="0" w:line="144" w:lineRule="exact"/>
        <w:rPr>
          <w:sz w:val="20"/>
          <w:szCs w:val="20"/>
          <w:color w:val="auto"/>
        </w:rPr>
      </w:pPr>
    </w:p>
    <w:p>
      <w:pPr>
        <w:ind w:left="1300" w:right="300" w:hanging="644"/>
        <w:spacing w:after="0" w:line="277" w:lineRule="auto"/>
        <w:tabs>
          <w:tab w:leader="none" w:pos="129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16"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16" w:lineRule="exact"/>
        <w:rPr>
          <w:sz w:val="20"/>
          <w:szCs w:val="20"/>
          <w:color w:val="auto"/>
        </w:rPr>
      </w:pPr>
    </w:p>
    <w:p>
      <w:pPr>
        <w:ind w:left="640" w:right="360" w:hanging="647"/>
        <w:spacing w:after="0" w:line="277" w:lineRule="auto"/>
        <w:tabs>
          <w:tab w:leader="none" w:pos="62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Treasury Shares may be disposed of by the Company in accordance with the Law and otherwise on such terms and conditions as the directors determine.</w:t>
      </w:r>
    </w:p>
    <w:p>
      <w:pPr>
        <w:spacing w:after="0" w:line="112" w:lineRule="exact"/>
        <w:rPr>
          <w:sz w:val="20"/>
          <w:szCs w:val="20"/>
          <w:color w:val="auto"/>
        </w:rPr>
      </w:pPr>
    </w:p>
    <w:p>
      <w:pPr>
        <w:ind w:left="660" w:hanging="652"/>
        <w:spacing w:after="0"/>
        <w:tabs>
          <w:tab w:leader="none" w:pos="6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Law.</w:t>
      </w:r>
    </w:p>
    <w:p>
      <w:pPr>
        <w:spacing w:after="0" w:line="171"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spacing w:after="0" w:line="126" w:lineRule="exact"/>
        <w:rPr>
          <w:sz w:val="20"/>
          <w:szCs w:val="20"/>
          <w:color w:val="auto"/>
        </w:rPr>
      </w:pPr>
    </w:p>
    <w:p>
      <w:pPr>
        <w:jc w:val="both"/>
        <w:ind w:right="9220" w:firstLine="8"/>
        <w:spacing w:after="0" w:line="495" w:lineRule="auto"/>
        <w:tabs>
          <w:tab w:leader="none" w:pos="643"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 Issue of share certificates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Upon being entered in the Register of Members as the holder of a Share, a Member shall be entitled:</w:t>
      </w:r>
    </w:p>
    <w:p>
      <w:pPr>
        <w:spacing w:after="0" w:line="171" w:lineRule="exact"/>
        <w:rPr>
          <w:sz w:val="20"/>
          <w:szCs w:val="20"/>
          <w:color w:val="auto"/>
        </w:rPr>
      </w:pPr>
    </w:p>
    <w:p>
      <w:pPr>
        <w:ind w:left="1300" w:right="240" w:hanging="644"/>
        <w:spacing w:after="0" w:line="277" w:lineRule="auto"/>
        <w:tabs>
          <w:tab w:leader="none" w:pos="129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without payment, to one certificate for all the Shares of each class held by that Member (and, upon transferring a part of the Member's holding of Shares of any class, to a certificate for the balance of that holding); and</w:t>
      </w:r>
    </w:p>
    <w:p>
      <w:pPr>
        <w:spacing w:after="0" w:line="116"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upon payment of such reasonable sum as the directors may determine for every certificate after the first, to several certificates each for one or more of that Member's Shares.</w:t>
      </w:r>
    </w:p>
    <w:p>
      <w:pPr>
        <w:spacing w:after="0" w:line="116"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92"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of lost or damaged share certificates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a share certificate is defaced, worn-out, lost or destroyed, it may be renewed on such terms (if any) as to:</w:t>
      </w:r>
    </w:p>
    <w:p>
      <w:pPr>
        <w:spacing w:after="0" w:line="171" w:lineRule="exact"/>
        <w:rPr>
          <w:sz w:val="20"/>
          <w:szCs w:val="20"/>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evidence;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indemnity;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payment of the expenses reasonably incurred by the Company in investigating the evidence;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payment of a reasonable fee, if any, for issuing a replacement share certificate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the directors may determine, and (in the case of defacement or wearing-out) on delivery to the Company of the old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5" w:name="page466"/>
    <w:bookmarkEnd w:id="465"/>
    <w:p>
      <w:pPr>
        <w:spacing w:after="0" w:line="140" w:lineRule="exact"/>
        <w:rPr>
          <w:sz w:val="20"/>
          <w:szCs w:val="20"/>
          <w:color w:val="auto"/>
        </w:rPr>
      </w:pPr>
    </w:p>
    <w:p>
      <w:pPr>
        <w:ind w:right="9380" w:firstLine="8"/>
        <w:spacing w:after="0" w:line="495" w:lineRule="auto"/>
        <w:tabs>
          <w:tab w:leader="none" w:pos="643"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t>Lien on Shares Nature and scope of lien</w:t>
      </w:r>
    </w:p>
    <w:p>
      <w:pPr>
        <w:spacing w:after="0" w:line="1"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92"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either alone or jointly with any other person, whether or not that other person is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whether or not those moneys are presently payable.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At any time the directors may declare any Share to be wholly or partly exempt from the provisions of this Article.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sell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may sell any Shares over which it has a lien if all of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sum in respect of which the lien exists is presently payable;</w:t>
      </w:r>
    </w:p>
    <w:p>
      <w:pPr>
        <w:spacing w:after="0" w:line="171" w:lineRule="exact"/>
        <w:rPr>
          <w:rFonts w:ascii="Arial" w:cs="Arial" w:eastAsia="Arial" w:hAnsi="Arial"/>
          <w:sz w:val="18"/>
          <w:szCs w:val="18"/>
          <w:color w:val="auto"/>
        </w:rPr>
      </w:pPr>
    </w:p>
    <w:p>
      <w:pPr>
        <w:ind w:left="1300" w:right="220" w:hanging="644"/>
        <w:spacing w:after="0" w:line="308" w:lineRule="auto"/>
        <w:tabs>
          <w:tab w:leader="none" w:pos="1294"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that sum is not paid within 14 Clear Days after that notice is deemed to be given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The Shares may be sold in such manner as the directors determine.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To the maximum extent permitted by Applicable Law, the directors shall incur no personal liability to the Member concerned in respect of the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to execute instrument of transfer</w:t>
      </w:r>
    </w:p>
    <w:p>
      <w:pPr>
        <w:spacing w:after="0" w:line="175"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sale of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On sale pursuant to the preceding Articles:</w:t>
      </w:r>
    </w:p>
    <w:p>
      <w:pPr>
        <w:spacing w:after="0" w:line="171"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that person shall deliver to the Company for cancellation the certificate for those Shares.</w:t>
      </w:r>
    </w:p>
    <w:p>
      <w:pPr>
        <w:spacing w:after="0" w:line="171" w:lineRule="exact"/>
        <w:rPr>
          <w:sz w:val="20"/>
          <w:szCs w:val="20"/>
          <w:color w:val="auto"/>
        </w:rPr>
      </w:pPr>
    </w:p>
    <w:p>
      <w:pPr>
        <w:ind w:left="660" w:right="80"/>
        <w:spacing w:after="0" w:line="301" w:lineRule="auto"/>
        <w:rPr>
          <w:sz w:val="20"/>
          <w:szCs w:val="20"/>
          <w:color w:val="auto"/>
        </w:rPr>
      </w:pPr>
      <w:r>
        <w:rPr>
          <w:rFonts w:ascii="Arial" w:cs="Arial" w:eastAsia="Arial" w:hAnsi="Arial"/>
          <w:sz w:val="16"/>
          <w:szCs w:val="16"/>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 of sale</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16" w:lineRule="exact"/>
        <w:rPr>
          <w:sz w:val="20"/>
          <w:szCs w:val="20"/>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no certificate for the Shares was issued, at the date of the sale;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a certificate for the Shares was issued, upon surrender to the Company of that certificate for cancellation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but, in either case, subject to the Company retaining a like lien for all sums not presently payable as existed on the Shares before the sale.</w:t>
      </w:r>
    </w:p>
    <w:p>
      <w:pPr>
        <w:spacing w:after="0" w:line="167" w:lineRule="exact"/>
        <w:rPr>
          <w:sz w:val="20"/>
          <w:szCs w:val="20"/>
          <w:color w:val="auto"/>
        </w:rPr>
      </w:pPr>
    </w:p>
    <w:p>
      <w:pPr>
        <w:jc w:val="both"/>
        <w:ind w:right="8200" w:firstLine="8"/>
        <w:spacing w:after="0" w:line="495" w:lineRule="auto"/>
        <w:tabs>
          <w:tab w:leader="none" w:pos="643" w:val="left"/>
        </w:tabs>
        <w:numPr>
          <w:ilvl w:val="0"/>
          <w:numId w:val="417"/>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 and forfeiture Power to make calls and effect of calls</w:t>
      </w:r>
    </w:p>
    <w:p>
      <w:pPr>
        <w:spacing w:after="0" w:line="1" w:lineRule="exact"/>
        <w:rPr>
          <w:sz w:val="20"/>
          <w:szCs w:val="20"/>
          <w:color w:val="auto"/>
        </w:rPr>
      </w:pPr>
    </w:p>
    <w:p>
      <w:pPr>
        <w:ind w:left="660" w:right="140" w:hanging="647"/>
        <w:spacing w:after="0" w:line="311"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95"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30" w:lineRule="exact"/>
        <w:rPr>
          <w:sz w:val="20"/>
          <w:szCs w:val="20"/>
          <w:color w:val="auto"/>
        </w:rPr>
      </w:pPr>
    </w:p>
    <w:p>
      <w:pPr>
        <w:ind w:left="660" w:right="160" w:hanging="647"/>
        <w:spacing w:after="0" w:line="342"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when call made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the call was passed.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of joint holders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Members registered as the joint holders of a Share shall be jointly and severally liable to pay all calls in respect of the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unpaid calls</w:t>
      </w:r>
    </w:p>
    <w:p>
      <w:pPr>
        <w:spacing w:after="0" w:line="17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16" w:lineRule="exact"/>
        <w:rPr>
          <w:sz w:val="20"/>
          <w:szCs w:val="20"/>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at the rate fixed by the terms of allotment of the Share or in the notice of the call;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no rate is fixed,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waive payment of the interest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calls</w:t>
      </w:r>
    </w:p>
    <w:p>
      <w:pPr>
        <w:spacing w:after="0" w:line="175" w:lineRule="exact"/>
        <w:rPr>
          <w:sz w:val="20"/>
          <w:szCs w:val="20"/>
          <w:color w:val="auto"/>
        </w:rPr>
      </w:pPr>
    </w:p>
    <w:p>
      <w:pPr>
        <w:ind w:left="660" w:right="280" w:hanging="647"/>
        <w:spacing w:after="0" w:line="342"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67" w:name="page468"/>
    <w:bookmarkEnd w:id="4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accept early payment</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Company may accept from a Member the whole or a part of the amount remaining unpaid on Shares held by him although no part of that amount has been called 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make different arrangements at time of issue of Shares</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Subject to the terms of allotment, the directors may make arrangements on the issue of Shares to distinguish between Members in the amounts and times of payment of calls on their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default</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If a call remains unpaid after it has become due and payable the directors may give to the person from whom it is due not less than 14 Clear Days' notice requiring payment of:</w:t>
      </w:r>
    </w:p>
    <w:p>
      <w:pPr>
        <w:spacing w:after="0" w:line="116"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amount unpaid;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interest which may have accrued;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expenses which have been incurred by the Company due to that person's default.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7.11    The notice shall state the following:</w:t>
      </w:r>
    </w:p>
    <w:p>
      <w:pPr>
        <w:spacing w:after="0" w:line="171" w:lineRule="exact"/>
        <w:rPr>
          <w:sz w:val="20"/>
          <w:szCs w:val="20"/>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place where payment is to be made;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 warning that if the notice is not complied with the Shares in respect of which the call is made will be liable to be forfeited.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or surrender of Shares</w:t>
      </w:r>
    </w:p>
    <w:p>
      <w:pPr>
        <w:spacing w:after="0" w:line="175" w:lineRule="exact"/>
        <w:rPr>
          <w:sz w:val="20"/>
          <w:szCs w:val="20"/>
          <w:color w:val="auto"/>
        </w:rPr>
      </w:pPr>
    </w:p>
    <w:p>
      <w:pPr>
        <w:ind w:left="640" w:right="200" w:hanging="647"/>
        <w:spacing w:after="0" w:line="279" w:lineRule="auto"/>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 of forfeited or surrendered Share and power to cancel forfeiture or surrender</w:t>
      </w:r>
    </w:p>
    <w:p>
      <w:pPr>
        <w:spacing w:after="0" w:line="175" w:lineRule="exact"/>
        <w:rPr>
          <w:sz w:val="20"/>
          <w:szCs w:val="20"/>
          <w:color w:val="auto"/>
        </w:rPr>
      </w:pPr>
    </w:p>
    <w:p>
      <w:pPr>
        <w:ind w:left="640" w:hanging="647"/>
        <w:spacing w:after="0" w:line="301" w:lineRule="auto"/>
        <w:tabs>
          <w:tab w:leader="none" w:pos="6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forfeiture or surrender on former Member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On forfeiture or surrender:</w:t>
      </w:r>
    </w:p>
    <w:p>
      <w:pPr>
        <w:spacing w:after="0" w:line="171" w:lineRule="exact"/>
        <w:rPr>
          <w:sz w:val="20"/>
          <w:szCs w:val="20"/>
          <w:color w:val="auto"/>
        </w:rPr>
      </w:pPr>
    </w:p>
    <w:p>
      <w:pPr>
        <w:ind w:left="1300" w:right="240" w:hanging="644"/>
        <w:spacing w:after="0" w:line="277" w:lineRule="auto"/>
        <w:tabs>
          <w:tab w:leader="none" w:pos="129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 that person shall cease to be a Member in respect of those Shares;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that person shall surrender to the Company for cancellation the certificate (if any) for the forfeited or surrendered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8" w:name="page469"/>
    <w:bookmarkEnd w:id="468"/>
    <w:p>
      <w:pPr>
        <w:spacing w:after="0" w:line="144"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16"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all expenses;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interest from the date of forfeiture or surrender until payment: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at the rate of which interest was payable on those moneys before forfeiture;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if no interest was so payable,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however, may waive payment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forfeiture or surrender</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16" w:lineRule="exact"/>
        <w:rPr>
          <w:sz w:val="20"/>
          <w:szCs w:val="20"/>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that the person making the declaration is a director or Secretary of the Company,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that the particular Shares have been forfeited or surrendered on a particular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execution of an instrument of transfer, if necessary, the declaration shall constitute good title to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forfeited or surrendered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Any person to whom the forfeited or surrendered Shares are disposed of shall not be bound to see to the application of the consideration, if any, of</w:t>
      </w:r>
    </w:p>
    <w:p>
      <w:pPr>
        <w:spacing w:after="0" w:line="23" w:lineRule="exact"/>
        <w:rPr>
          <w:sz w:val="20"/>
          <w:szCs w:val="20"/>
          <w:color w:val="auto"/>
        </w:rPr>
      </w:pPr>
    </w:p>
    <w:p>
      <w:pPr>
        <w:ind w:left="660" w:right="640"/>
        <w:spacing w:after="0" w:line="260" w:lineRule="auto"/>
        <w:rPr>
          <w:sz w:val="20"/>
          <w:szCs w:val="20"/>
          <w:color w:val="auto"/>
        </w:rPr>
      </w:pPr>
      <w:r>
        <w:rPr>
          <w:rFonts w:ascii="Arial" w:cs="Arial" w:eastAsia="Arial" w:hAnsi="Arial"/>
          <w:sz w:val="18"/>
          <w:szCs w:val="18"/>
          <w:color w:val="auto"/>
        </w:rPr>
        <w:t>those Shares nor shall his title to the Shares be affected by any irregularity in, or invalidity of the proceedings in respect of, the forfeiture, surrender or disposal of those Shares.</w:t>
      </w:r>
    </w:p>
    <w:p>
      <w:pPr>
        <w:spacing w:after="0" w:line="127" w:lineRule="exact"/>
        <w:rPr>
          <w:sz w:val="20"/>
          <w:szCs w:val="20"/>
          <w:color w:val="auto"/>
        </w:rPr>
      </w:pPr>
    </w:p>
    <w:p>
      <w:pPr>
        <w:ind w:right="9120" w:firstLine="8"/>
        <w:spacing w:after="0" w:line="440" w:lineRule="auto"/>
        <w:tabs>
          <w:tab w:leader="none" w:pos="643"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 Form of transfer</w:t>
      </w:r>
    </w:p>
    <w:p>
      <w:pPr>
        <w:spacing w:after="0" w:line="1" w:lineRule="exact"/>
        <w:rPr>
          <w:sz w:val="20"/>
          <w:szCs w:val="20"/>
          <w:color w:val="auto"/>
        </w:rPr>
      </w:pPr>
    </w:p>
    <w:p>
      <w:pPr>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95"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where the Shares are Fully Paid, by or on behalf of that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where the Shares are partly paid, by or on behalf of that Member and the transferee.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transferor shall be deemed to remain the holder of a Share until the name of the transferee is entered into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refuse registration</w:t>
      </w:r>
    </w:p>
    <w:p>
      <w:pPr>
        <w:spacing w:after="0" w:line="175"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9" w:name="page470"/>
    <w:bookmarkEnd w:id="4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suspend registration</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directors may suspend registration of the transfer of Shares at such times and for such periods, not exceeding 30 days in any calendar year, as they determine.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retain instrument of transfer</w:t>
      </w:r>
    </w:p>
    <w:p>
      <w:pPr>
        <w:spacing w:after="0" w:line="175"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12" w:lineRule="exact"/>
        <w:rPr>
          <w:sz w:val="20"/>
          <w:szCs w:val="20"/>
          <w:color w:val="auto"/>
        </w:rPr>
      </w:pPr>
    </w:p>
    <w:p>
      <w:pPr>
        <w:ind w:right="8160" w:firstLine="8"/>
        <w:spacing w:after="0" w:line="495" w:lineRule="auto"/>
        <w:tabs>
          <w:tab w:leader="none" w:pos="643"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 Persons entitled on death of a Member</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If a Member dies, the only persons recognised by the Company as having any title to the deceased Members' interest are the following:</w:t>
      </w:r>
    </w:p>
    <w:p>
      <w:pPr>
        <w:spacing w:after="0" w:line="171" w:lineRule="exact"/>
        <w:rPr>
          <w:sz w:val="20"/>
          <w:szCs w:val="20"/>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where the deceased Member was a joint holder, the survivor or survivors;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where the deceased Member was a sole holder, that Member's personal representative or representatives.</w:t>
      </w:r>
    </w:p>
    <w:p>
      <w:pPr>
        <w:spacing w:after="0" w:line="171"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Nothing in these Articles shall release the deceased Member's estate from any liability in respect of any Share, whether the deceased was a sole holder or a joint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transfer of a Share following death or bankruptcy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 person becoming entitled to a Share in consequence of the death or bankruptcy of a Member may elect to do either of the following:</w:t>
      </w:r>
    </w:p>
    <w:p>
      <w:pPr>
        <w:spacing w:after="0" w:line="171" w:lineRule="exact"/>
        <w:rPr>
          <w:sz w:val="20"/>
          <w:szCs w:val="20"/>
          <w:color w:val="auto"/>
        </w:rPr>
      </w:pPr>
    </w:p>
    <w:p>
      <w:pPr>
        <w:ind w:left="1300" w:hanging="644"/>
        <w:spacing w:after="0"/>
        <w:tabs>
          <w:tab w:leader="none" w:pos="13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become the holder of the Share;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transfer the Share to another person.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That person must produce such evidence of his entitlement as the directors may properly require.</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If the person elects to transfer the Share to another person then:</w:t>
      </w:r>
    </w:p>
    <w:p>
      <w:pPr>
        <w:spacing w:after="0" w:line="171" w:lineRule="exact"/>
        <w:rPr>
          <w:sz w:val="20"/>
          <w:szCs w:val="20"/>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the Share is Fully Paid, the transferor must execute an instrument of transfer;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the Share is partly paid, the transferor and the transferee must execute an instrument of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All the Articles relating to the transfer of Shares shall apply to the notice or, as appropriate, the instrument of transfer.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0" w:name="page471"/>
    <w:bookmarkEnd w:id="4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person entitled to a Share following death or bankruptcy</w:t>
      </w:r>
    </w:p>
    <w:p>
      <w:pPr>
        <w:spacing w:after="0" w:line="175" w:lineRule="exact"/>
        <w:rPr>
          <w:sz w:val="20"/>
          <w:szCs w:val="20"/>
          <w:color w:val="auto"/>
        </w:rPr>
      </w:pPr>
    </w:p>
    <w:p>
      <w:pPr>
        <w:jc w:val="both"/>
        <w:ind w:left="660" w:right="120" w:hanging="647"/>
        <w:spacing w:after="0" w:line="286"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spacing w:after="0" w:line="1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Alteration of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consolidating, converting, dividing and cancelling share capital</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To the fullest extent permitted by the Law, the Company may by Ordinary Resolution do any of the following and amend its Memorandum for that purpose:</w:t>
      </w:r>
    </w:p>
    <w:p>
      <w:pPr>
        <w:spacing w:after="0" w:line="116" w:lineRule="exact"/>
        <w:rPr>
          <w:sz w:val="20"/>
          <w:szCs w:val="20"/>
          <w:color w:val="auto"/>
        </w:rPr>
      </w:pPr>
    </w:p>
    <w:p>
      <w:pPr>
        <w:ind w:left="1300" w:right="480" w:hanging="644"/>
        <w:spacing w:after="0" w:line="277" w:lineRule="auto"/>
        <w:tabs>
          <w:tab w:leader="none" w:pos="129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increase its share capital by new Shares of the amount fixed by that Ordinary Resolution and with the attached rights, priorities and privileges set out in that Ordinary Resolution;</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71" w:lineRule="exact"/>
        <w:rPr>
          <w:rFonts w:ascii="Arial" w:cs="Arial" w:eastAsia="Arial" w:hAnsi="Arial"/>
          <w:sz w:val="18"/>
          <w:szCs w:val="18"/>
          <w:color w:val="auto"/>
        </w:rPr>
      </w:pPr>
    </w:p>
    <w:p>
      <w:pPr>
        <w:ind w:left="1340" w:hanging="684"/>
        <w:spacing w:after="0"/>
        <w:tabs>
          <w:tab w:leader="none" w:pos="13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71" w:lineRule="exact"/>
        <w:rPr>
          <w:rFonts w:ascii="Arial" w:cs="Arial" w:eastAsia="Arial" w:hAnsi="Arial"/>
          <w:sz w:val="18"/>
          <w:szCs w:val="18"/>
          <w:color w:val="auto"/>
        </w:rPr>
      </w:pPr>
    </w:p>
    <w:p>
      <w:pPr>
        <w:ind w:left="1300" w:hanging="644"/>
        <w:spacing w:after="0" w:line="263" w:lineRule="auto"/>
        <w:tabs>
          <w:tab w:leader="none" w:pos="129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29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with fractions resulting from consolidation of Shares</w:t>
      </w:r>
    </w:p>
    <w:p>
      <w:pPr>
        <w:spacing w:after="0" w:line="175" w:lineRule="exact"/>
        <w:rPr>
          <w:sz w:val="20"/>
          <w:szCs w:val="20"/>
          <w:color w:val="auto"/>
        </w:rPr>
      </w:pPr>
    </w:p>
    <w:p>
      <w:pPr>
        <w:ind w:left="640" w:right="38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Whenever, as a result of a consolidation of Shares, any Members would become entitled to fractions of a Share the directors may on behalf of those Members:</w:t>
      </w:r>
    </w:p>
    <w:p>
      <w:pPr>
        <w:spacing w:after="0" w:line="116" w:lineRule="exact"/>
        <w:rPr>
          <w:sz w:val="20"/>
          <w:szCs w:val="20"/>
          <w:color w:val="auto"/>
        </w:rPr>
      </w:pPr>
    </w:p>
    <w:p>
      <w:pPr>
        <w:ind w:left="1300" w:right="20" w:hanging="644"/>
        <w:spacing w:after="0" w:line="277" w:lineRule="auto"/>
        <w:tabs>
          <w:tab w:leader="none" w:pos="129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sell the Shares representing the fractions for the best price reasonably obtainable to any person (including, subject to the provisions of the Law,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distribute the net proceeds in due proportion among those Members.</w:t>
      </w:r>
    </w:p>
    <w:p>
      <w:pPr>
        <w:spacing w:after="0" w:line="171"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Reducing share capital</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Special Resolution, reduce its share capital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1" w:name="page472"/>
    <w:bookmarkEnd w:id="471"/>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Redemption and purchase of own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redeemable Shares and to purchase own Shares</w:t>
      </w:r>
    </w:p>
    <w:p>
      <w:pPr>
        <w:spacing w:after="0" w:line="175" w:lineRule="exact"/>
        <w:rPr>
          <w:sz w:val="20"/>
          <w:szCs w:val="20"/>
          <w:color w:val="auto"/>
        </w:rPr>
      </w:pPr>
    </w:p>
    <w:p>
      <w:pPr>
        <w:ind w:left="640" w:right="60" w:hanging="647"/>
        <w:spacing w:after="0" w:line="34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spacing w:after="0" w:line="70" w:lineRule="exact"/>
        <w:rPr>
          <w:sz w:val="20"/>
          <w:szCs w:val="20"/>
          <w:color w:val="auto"/>
        </w:rPr>
      </w:pPr>
    </w:p>
    <w:p>
      <w:pPr>
        <w:ind w:left="1300" w:right="240" w:hanging="644"/>
        <w:spacing w:after="0" w:line="277" w:lineRule="auto"/>
        <w:tabs>
          <w:tab w:leader="none" w:pos="12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16" w:lineRule="exact"/>
        <w:rPr>
          <w:rFonts w:ascii="Arial" w:cs="Arial" w:eastAsia="Arial" w:hAnsi="Arial"/>
          <w:sz w:val="18"/>
          <w:szCs w:val="18"/>
          <w:color w:val="auto"/>
        </w:rPr>
      </w:pPr>
    </w:p>
    <w:p>
      <w:pPr>
        <w:ind w:left="1300" w:right="60" w:hanging="644"/>
        <w:spacing w:after="0" w:line="263" w:lineRule="auto"/>
        <w:tabs>
          <w:tab w:leader="none" w:pos="129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29"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purchase all or any of its own Shares of any class including any redeemable Shares on the terms and in the manner which the directors determine at the time of such purchase.</w:t>
      </w:r>
    </w:p>
    <w:p>
      <w:pPr>
        <w:spacing w:after="0" w:line="116"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With respect to redeeming or repurchasing the Shares:</w:t>
      </w:r>
    </w:p>
    <w:p>
      <w:pPr>
        <w:spacing w:after="0" w:line="171" w:lineRule="exact"/>
        <w:rPr>
          <w:sz w:val="20"/>
          <w:szCs w:val="20"/>
          <w:color w:val="auto"/>
        </w:rPr>
      </w:pPr>
    </w:p>
    <w:p>
      <w:pPr>
        <w:ind w:left="1300" w:hanging="644"/>
        <w:spacing w:after="0"/>
        <w:tabs>
          <w:tab w:leader="none" w:pos="130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Members who hold Public Shares are entitled to request the redemption of such Shares in the circumstances described in Article 38.3;</w:t>
      </w:r>
    </w:p>
    <w:p>
      <w:pPr>
        <w:spacing w:after="0" w:line="194"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Public Shares shall be repurchased by way of tender offer in the circumstances set out in Article 38.2(b).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for redemption or purchase in cash or in specie</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redemption or purchase of a Share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Upon the date of redemption or purchase of a Share:</w:t>
      </w:r>
    </w:p>
    <w:p>
      <w:pPr>
        <w:spacing w:after="0" w:line="171" w:lineRule="exact"/>
        <w:rPr>
          <w:sz w:val="20"/>
          <w:szCs w:val="20"/>
          <w:color w:val="auto"/>
        </w:rPr>
      </w:pPr>
    </w:p>
    <w:p>
      <w:pPr>
        <w:ind w:left="1300" w:hanging="644"/>
        <w:spacing w:after="0"/>
        <w:tabs>
          <w:tab w:leader="none" w:pos="1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Member holding that Share shall cease to be entitled to any rights in respect of the Share other than the right to receive: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price for the Share;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any dividend declared in respect of the Share prior to the date of redemption or purchase;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Member's name shall be removed from the Register of Members with respect to the Share;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Share shall be cancelled or held as a Treasury Shares, as the directors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2" w:name="page473"/>
    <w:bookmarkEnd w:id="472"/>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Article, the date of redemption or purchase is the date when the redemption or purchase falls due.</w:t>
      </w:r>
    </w:p>
    <w:p>
      <w:pPr>
        <w:spacing w:after="0" w:line="17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11.5 For the avoidance of doubt, redemptions and repurchases of Shares in the circumstances described in Articles 11.2(a), 11.2(b) and 11.2(c) above shall not require further approval of the Members.</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Class B Share Conversion</w:t>
      </w:r>
    </w:p>
    <w:p>
      <w:pPr>
        <w:spacing w:after="0" w:line="175" w:lineRule="exact"/>
        <w:rPr>
          <w:sz w:val="20"/>
          <w:szCs w:val="20"/>
          <w:color w:val="auto"/>
        </w:rPr>
      </w:pPr>
    </w:p>
    <w:p>
      <w:pPr>
        <w:jc w:val="both"/>
        <w:ind w:left="640" w:right="200" w:hanging="647"/>
        <w:spacing w:after="0" w:line="263"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spacing w:after="0" w:line="130" w:lineRule="exact"/>
        <w:rPr>
          <w:sz w:val="20"/>
          <w:szCs w:val="20"/>
          <w:color w:val="auto"/>
        </w:rPr>
      </w:pPr>
    </w:p>
    <w:p>
      <w:pPr>
        <w:ind w:left="640" w:right="460" w:hanging="647"/>
        <w:spacing w:after="0" w:line="34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spacing w:after="0" w:line="70" w:lineRule="exact"/>
        <w:rPr>
          <w:sz w:val="20"/>
          <w:szCs w:val="20"/>
          <w:color w:val="auto"/>
        </w:rPr>
      </w:pPr>
    </w:p>
    <w:p>
      <w:pPr>
        <w:ind w:left="1300" w:right="660" w:hanging="644"/>
        <w:spacing w:after="0" w:line="277" w:lineRule="auto"/>
        <w:tabs>
          <w:tab w:leader="none" w:pos="129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total number of Class A Shares issued and outstanding (excluding the Private Placement Shares) upon completion of the IPO (including pursuant to the Over-Allotment Option, if applicable), plus</w:t>
      </w:r>
    </w:p>
    <w:p>
      <w:pPr>
        <w:spacing w:after="0" w:line="116" w:lineRule="exact"/>
        <w:rPr>
          <w:rFonts w:ascii="Arial" w:cs="Arial" w:eastAsia="Arial" w:hAnsi="Arial"/>
          <w:sz w:val="18"/>
          <w:szCs w:val="18"/>
          <w:color w:val="auto"/>
        </w:rPr>
      </w:pPr>
    </w:p>
    <w:p>
      <w:pPr>
        <w:ind w:left="1300" w:hanging="644"/>
        <w:spacing w:after="0" w:line="273" w:lineRule="auto"/>
        <w:tabs>
          <w:tab w:leader="none" w:pos="1294"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spacing w:after="0" w:line="124" w:lineRule="exact"/>
        <w:rPr>
          <w:sz w:val="20"/>
          <w:szCs w:val="20"/>
          <w:color w:val="auto"/>
        </w:rPr>
      </w:pPr>
    </w:p>
    <w:p>
      <w:pPr>
        <w:ind w:left="640" w:right="60" w:hanging="647"/>
        <w:spacing w:after="0" w:line="296"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07" w:lineRule="exact"/>
        <w:rPr>
          <w:sz w:val="20"/>
          <w:szCs w:val="20"/>
          <w:color w:val="auto"/>
        </w:rPr>
      </w:pPr>
    </w:p>
    <w:p>
      <w:pPr>
        <w:ind w:left="640" w:right="80" w:hanging="647"/>
        <w:spacing w:after="0" w:line="255"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spacing w:after="0" w:line="138"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directors shall not allot or issue Class A Shares such that the number of authorised but unissued Class A Shares would at any time be insufficient to permit the conversion of all Class B Shares from time to time issued into Class A Shares.</w:t>
      </w:r>
    </w:p>
    <w:p>
      <w:pPr>
        <w:spacing w:after="0" w:line="112" w:lineRule="exact"/>
        <w:rPr>
          <w:sz w:val="20"/>
          <w:szCs w:val="20"/>
          <w:color w:val="auto"/>
        </w:rPr>
      </w:pPr>
    </w:p>
    <w:p>
      <w:pPr>
        <w:ind w:left="640" w:hanging="632"/>
        <w:spacing w:after="0"/>
        <w:tabs>
          <w:tab w:leader="none" w:pos="64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Members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 to call meetings</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3" w:name="page474"/>
    <w:bookmarkEnd w:id="473"/>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required by the Law or the rules and regulations of the Designated Stock Exchange) be obliged to, in each year hold any other general meeting.</w:t>
      </w:r>
    </w:p>
    <w:p>
      <w:pPr>
        <w:spacing w:after="0" w:line="194"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agenda of the annual general meeting shall be set by the directors and shall include the presentation of the Company’s annual accounts and the report of the directors (if any).</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Annual general meetings shall be held in New York, USA or in such other places as the directors may determine.</w:t>
      </w:r>
    </w:p>
    <w:p>
      <w:pPr>
        <w:spacing w:after="0" w:line="17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All general meetings other than annual general meetings shall be called extraordinary general meetings and the Company shall specify the meeting as such in the notices calling it.</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directors may call a general meeting at any time.</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directors must also call a general meeting if requisitioned in the manner set out in the next two Articles.</w:t>
      </w:r>
    </w:p>
    <w:p>
      <w:pPr>
        <w:spacing w:after="0" w:line="17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The requisition must be in writing and given by one or more Members who together hold at least 40% of the rights to vote at such general meeting.</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requisition must also:</w:t>
      </w:r>
    </w:p>
    <w:p>
      <w:pPr>
        <w:spacing w:after="0" w:line="171" w:lineRule="exact"/>
        <w:rPr>
          <w:sz w:val="20"/>
          <w:szCs w:val="20"/>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specify the purpose of the meeting.</w:t>
      </w:r>
    </w:p>
    <w:p>
      <w:pPr>
        <w:spacing w:after="0" w:line="171" w:lineRule="exact"/>
        <w:rPr>
          <w:rFonts w:ascii="Arial" w:cs="Arial" w:eastAsia="Arial" w:hAnsi="Arial"/>
          <w:sz w:val="18"/>
          <w:szCs w:val="18"/>
          <w:color w:val="auto"/>
        </w:rPr>
      </w:pPr>
    </w:p>
    <w:p>
      <w:pPr>
        <w:ind w:left="1300" w:right="460" w:hanging="644"/>
        <w:spacing w:after="0" w:line="277" w:lineRule="auto"/>
        <w:tabs>
          <w:tab w:leader="none" w:pos="129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be delivered in accordance with the notice provisions.</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13.10</w:t>
        <w:tab/>
        <w:t>Should the directors fail to call a general meeting within 21 Clear Days from the date of receipt of a requisition, the requisitioners or any of them may call a general meeting within three months after the end of that period.</w:t>
      </w:r>
    </w:p>
    <w:p>
      <w:pPr>
        <w:spacing w:after="0" w:line="116"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13.11</w:t>
        <w:tab/>
        <w:t>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spacing w:after="0" w:line="133"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13.12</w:t>
        <w:tab/>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Notice of a general meeting shall specify each of the following:</w:t>
      </w:r>
    </w:p>
    <w:p>
      <w:pPr>
        <w:spacing w:after="0" w:line="171" w:lineRule="exact"/>
        <w:rPr>
          <w:sz w:val="20"/>
          <w:szCs w:val="20"/>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place, the date and the hour of the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the meeting is to be held in two or more places, the technology that will be used to facilitate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4" w:name="page475"/>
    <w:bookmarkEnd w:id="474"/>
    <w:p>
      <w:pPr>
        <w:spacing w:after="0" w:line="144" w:lineRule="exact"/>
        <w:rPr>
          <w:sz w:val="20"/>
          <w:szCs w:val="20"/>
          <w:color w:val="auto"/>
        </w:rPr>
      </w:pPr>
    </w:p>
    <w:p>
      <w:pPr>
        <w:ind w:left="1300" w:hanging="644"/>
        <w:spacing w:after="0"/>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subject to paragraph (d), the general nature of the business to be transacted;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a resolution is proposed as a Special Resolution, the text of that resolution.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13.14   In each notice there shall appear with reasonable prominence the following statements:</w:t>
      </w:r>
    </w:p>
    <w:p>
      <w:pPr>
        <w:spacing w:after="0" w:line="171" w:lineRule="exact"/>
        <w:rPr>
          <w:sz w:val="20"/>
          <w:szCs w:val="20"/>
          <w:color w:val="auto"/>
        </w:rPr>
      </w:pPr>
    </w:p>
    <w:p>
      <w:pPr>
        <w:ind w:left="1300" w:hanging="644"/>
        <w:spacing w:after="0"/>
        <w:tabs>
          <w:tab w:leader="none" w:pos="130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that a proxyholder need not be a Member.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13.15</w:t>
        <w:tab/>
        <w:t>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30"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entitled to receive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color w:val="auto"/>
        </w:rPr>
        <w:t>Subject to the provisions of these Articles and to any restrictions imposed on any Shares, the notice shall be given to the following people:</w:t>
      </w:r>
    </w:p>
    <w:p>
      <w:pPr>
        <w:spacing w:after="0" w:line="171"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persons entitled to a Share in consequence of the death or bankruptcy of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of notice on a website</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13.17</w:t>
        <w:tab/>
        <w:t>Subject to the Law or the rules of the Designated Stock Exchange, a notice of a general meeting may be published on a website providing the recipient is given separate notice of:</w:t>
      </w:r>
    </w:p>
    <w:p>
      <w:pPr>
        <w:spacing w:after="0" w:line="116" w:lineRule="exact"/>
        <w:rPr>
          <w:sz w:val="20"/>
          <w:szCs w:val="20"/>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publication of the notice on the website;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place on the website where the notice may be accessed;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how it may be accessed;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place, date and time of the general meeting.</w:t>
      </w:r>
    </w:p>
    <w:p>
      <w:pPr>
        <w:spacing w:after="0" w:line="171"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13.18</w:t>
        <w:tab/>
        <w:t>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 website notice is deemed to be given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color w:val="auto"/>
        </w:rPr>
        <w:t>A website notice is deemed to be given when the Member is given notice of its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5" w:name="page476"/>
    <w:bookmarkEnd w:id="47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duration of publication on a website</w:t>
      </w:r>
    </w:p>
    <w:p>
      <w:pPr>
        <w:spacing w:after="0" w:line="175"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13.20</w:t>
        <w:tab/>
        <w:t>Where the notice of meeting is published on a website, it shall continue to be published in the same place on that website from the date of the notification until at least the conclusion of the meeting to which the notice relates.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Accidental omission to give notice or non-receipt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Proceedings at a meeting shall not be invalidated by the following:</w:t>
      </w:r>
    </w:p>
    <w:p>
      <w:pPr>
        <w:spacing w:after="0" w:line="171"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 accidental failure to give notice of the meeting to any person entitled to notice;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non-receipt of notice of the meeting by any person entitled to notice.</w:t>
      </w:r>
    </w:p>
    <w:p>
      <w:pPr>
        <w:spacing w:after="0" w:line="171" w:lineRule="exact"/>
        <w:rPr>
          <w:sz w:val="20"/>
          <w:szCs w:val="20"/>
          <w:color w:val="auto"/>
        </w:rPr>
      </w:pPr>
    </w:p>
    <w:p>
      <w:pPr>
        <w:ind w:left="660" w:right="700" w:hanging="647"/>
        <w:spacing w:after="0" w:line="277" w:lineRule="auto"/>
        <w:tabs>
          <w:tab w:leader="none" w:pos="640" w:val="left"/>
        </w:tabs>
        <w:rPr>
          <w:sz w:val="20"/>
          <w:szCs w:val="20"/>
          <w:color w:val="auto"/>
        </w:rPr>
      </w:pPr>
      <w:r>
        <w:rPr>
          <w:rFonts w:ascii="Arial" w:cs="Arial" w:eastAsia="Arial" w:hAnsi="Arial"/>
          <w:sz w:val="18"/>
          <w:szCs w:val="18"/>
          <w:color w:val="auto"/>
        </w:rPr>
        <w:t>13.22</w:t>
        <w:tab/>
        <w:t>In addition, where a notice of meeting is published on a website, proceedings at the meeting shall not be invalidated merely because it is accidentally published:</w:t>
      </w:r>
    </w:p>
    <w:p>
      <w:pPr>
        <w:spacing w:after="0" w:line="116" w:lineRule="exact"/>
        <w:rPr>
          <w:sz w:val="20"/>
          <w:szCs w:val="20"/>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 a different place on the website;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for part only of the period from the date of the notification until the conclusion of the meeting to which the notice relates.</w:t>
      </w:r>
    </w:p>
    <w:p>
      <w:pPr>
        <w:spacing w:after="0" w:line="167" w:lineRule="exact"/>
        <w:rPr>
          <w:sz w:val="20"/>
          <w:szCs w:val="20"/>
          <w:color w:val="auto"/>
        </w:rPr>
      </w:pPr>
    </w:p>
    <w:p>
      <w:pPr>
        <w:ind w:right="7700" w:firstLine="8"/>
        <w:spacing w:after="0" w:line="440" w:lineRule="auto"/>
        <w:tabs>
          <w:tab w:leader="none" w:pos="639"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Members Quorum</w:t>
      </w:r>
    </w:p>
    <w:p>
      <w:pPr>
        <w:spacing w:after="0" w:line="1"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quorum</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If a quorum is not present within 15 minutes of the time appointed for the meeting, or if at any time during the meeting it becomes inquorate, then the following provisions apply:</w:t>
      </w:r>
    </w:p>
    <w:p>
      <w:pPr>
        <w:spacing w:after="0" w:line="116" w:lineRule="exact"/>
        <w:rPr>
          <w:sz w:val="20"/>
          <w:szCs w:val="20"/>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If the meeting was requisitioned by Members, it shall be cancelled.</w:t>
      </w:r>
    </w:p>
    <w:p>
      <w:pPr>
        <w:spacing w:after="0" w:line="171" w:lineRule="exact"/>
        <w:rPr>
          <w:rFonts w:ascii="Arial" w:cs="Arial" w:eastAsia="Arial" w:hAnsi="Arial"/>
          <w:sz w:val="18"/>
          <w:szCs w:val="18"/>
          <w:color w:val="auto"/>
        </w:rPr>
      </w:pPr>
    </w:p>
    <w:p>
      <w:pPr>
        <w:ind w:left="1300" w:right="320" w:hanging="644"/>
        <w:spacing w:after="0" w:line="263" w:lineRule="auto"/>
        <w:tabs>
          <w:tab w:leader="none" w:pos="129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680" w:hanging="647"/>
        <w:spacing w:after="0" w:line="263"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175"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The chairman of a general meeting shall be the chairman of the board or such other director as the directors have nominated to chair board meetings in the absence of the chairman of the board. Absent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76" w:name="page477"/>
    <w:bookmarkEnd w:id="476"/>
    <w:p>
      <w:pPr>
        <w:spacing w:after="0" w:line="14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person being present within 15 minutes of the time appointed for the meeting, the directors present shall elect one of their number to chair the meeting.</w:t>
      </w:r>
    </w:p>
    <w:p>
      <w:pPr>
        <w:spacing w:after="0" w:line="116"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a director to attend and speak</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Even if a director is not a Member, he shall be entitled to attend and speak at any general meeting and at any separate meeting of Members holding a particular class of Shares in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75" w:lineRule="exact"/>
        <w:rPr>
          <w:sz w:val="20"/>
          <w:szCs w:val="20"/>
          <w:color w:val="auto"/>
        </w:rPr>
      </w:pPr>
    </w:p>
    <w:p>
      <w:pPr>
        <w:ind w:left="640" w:right="260" w:hanging="647"/>
        <w:spacing w:after="0" w:line="342" w:lineRule="auto"/>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spacing w:after="0" w:line="7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voting</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of a poll</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A poll demanded on the question of adjournment shall be taken immediately.</w:t>
      </w:r>
    </w:p>
    <w:p>
      <w:pPr>
        <w:spacing w:after="0" w:line="171"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14.11</w:t>
        <w:tab/>
        <w:t>A poll demanded on any other question shall be taken either immediately or at an adjourned meeting at such time and place as the chairman directs, not being more than 30 Clear Days after the poll was demanded.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The demand for a poll shall not prevent the meeting continuing to transact any business other than the question on which the poll was demanded.</w:t>
      </w:r>
    </w:p>
    <w:p>
      <w:pPr>
        <w:spacing w:after="0" w:line="17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14.13</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casting vote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14.14</w:t>
      </w:r>
      <w:r>
        <w:rPr>
          <w:sz w:val="20"/>
          <w:szCs w:val="20"/>
          <w:color w:val="auto"/>
        </w:rPr>
        <w:tab/>
      </w:r>
      <w:r>
        <w:rPr>
          <w:rFonts w:ascii="Arial" w:cs="Arial" w:eastAsia="Arial" w:hAnsi="Arial"/>
          <w:sz w:val="16"/>
          <w:szCs w:val="16"/>
          <w:color w:val="auto"/>
        </w:rPr>
        <w:t>If the votes on a resolution are equal, the chairman may if he wishes exercise a casting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71" w:lineRule="exact"/>
        <w:rPr>
          <w:sz w:val="20"/>
          <w:szCs w:val="20"/>
          <w:color w:val="auto"/>
        </w:rPr>
      </w:pPr>
    </w:p>
    <w:p>
      <w:pPr>
        <w:ind w:left="1300" w:right="60" w:hanging="644"/>
        <w:spacing w:after="0" w:line="308" w:lineRule="auto"/>
        <w:tabs>
          <w:tab w:leader="none" w:pos="1297" w:val="left"/>
        </w:tabs>
        <w:numPr>
          <w:ilvl w:val="0"/>
          <w:numId w:val="448"/>
        </w:numPr>
        <w:rPr>
          <w:rFonts w:ascii="Arial" w:cs="Arial" w:eastAsia="Arial" w:hAnsi="Arial"/>
          <w:sz w:val="17"/>
          <w:szCs w:val="17"/>
          <w:color w:val="auto"/>
        </w:rPr>
      </w:pPr>
      <w:r>
        <w:rPr>
          <w:rFonts w:ascii="Arial" w:cs="Arial" w:eastAsia="Arial" w:hAnsi="Arial"/>
          <w:sz w:val="17"/>
          <w:szCs w:val="17"/>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7" w:name="page478"/>
    <w:bookmarkEnd w:id="477"/>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71" w:lineRule="exact"/>
        <w:rPr>
          <w:sz w:val="20"/>
          <w:szCs w:val="20"/>
          <w:color w:val="auto"/>
        </w:rPr>
      </w:pPr>
    </w:p>
    <w:p>
      <w:pPr>
        <w:ind w:left="1300" w:hanging="644"/>
        <w:spacing w:after="0"/>
        <w:tabs>
          <w:tab w:leader="none" w:pos="130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the chairman of the meeting proposes the amendment at the general meeting at which the resolution is to be proposed, and</w:t>
      </w:r>
    </w:p>
    <w:p>
      <w:pPr>
        <w:spacing w:after="0" w:line="182" w:lineRule="exact"/>
        <w:rPr>
          <w:rFonts w:ascii="Arial" w:cs="Arial" w:eastAsia="Arial" w:hAnsi="Arial"/>
          <w:sz w:val="17"/>
          <w:szCs w:val="17"/>
          <w:color w:val="auto"/>
        </w:rPr>
      </w:pPr>
    </w:p>
    <w:p>
      <w:pPr>
        <w:ind w:left="1300" w:right="80" w:hanging="644"/>
        <w:spacing w:after="0" w:line="277" w:lineRule="auto"/>
        <w:tabs>
          <w:tab w:leader="none" w:pos="129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amendment does not go beyond what the chairman considers is necessary to correct a grammatical or other non-substantive error in the resolution.</w:t>
      </w:r>
    </w:p>
    <w:p>
      <w:pPr>
        <w:spacing w:after="0" w:line="11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14.17</w:t>
        <w:tab/>
        <w:t>If the chairman of the meeting, acting in good faith, wrongly decides that an amendment to a resolution is out of order, the chairman's error does not invalidate the vote on that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14.18</w:t>
      </w:r>
      <w:r>
        <w:rPr>
          <w:sz w:val="20"/>
          <w:szCs w:val="20"/>
          <w:color w:val="auto"/>
        </w:rPr>
        <w:tab/>
      </w:r>
      <w:r>
        <w:rPr>
          <w:rFonts w:ascii="Arial" w:cs="Arial" w:eastAsia="Arial" w:hAnsi="Arial"/>
          <w:sz w:val="16"/>
          <w:szCs w:val="16"/>
          <w:color w:val="auto"/>
        </w:rPr>
        <w:t>Members may pass a resolution in writing without holding a meeting if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all Members entitled so to vote are given notice of the resolution as if the same were being proposed at a meeting of Members;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all Members entitled so to vote :</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sign a document;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sign several documents in the like form each signed by one or more of those Members; and</w:t>
      </w:r>
    </w:p>
    <w:p>
      <w:pPr>
        <w:spacing w:after="0" w:line="171" w:lineRule="exact"/>
        <w:rPr>
          <w:rFonts w:ascii="Arial" w:cs="Arial" w:eastAsia="Arial" w:hAnsi="Arial"/>
          <w:sz w:val="18"/>
          <w:szCs w:val="18"/>
          <w:color w:val="auto"/>
        </w:rPr>
      </w:pPr>
    </w:p>
    <w:p>
      <w:pPr>
        <w:ind w:left="1300" w:right="500" w:hanging="644"/>
        <w:spacing w:after="0" w:line="277" w:lineRule="auto"/>
        <w:tabs>
          <w:tab w:leader="none" w:pos="129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written resolution shall be as effective as if it had been passed at a meeting of the Members entitled to vote duly convened and held.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14.19</w:t>
      </w:r>
      <w:r>
        <w:rPr>
          <w:sz w:val="20"/>
          <w:szCs w:val="20"/>
          <w:color w:val="auto"/>
        </w:rPr>
        <w:tab/>
      </w:r>
      <w:r>
        <w:rPr>
          <w:rFonts w:ascii="Arial" w:cs="Arial" w:eastAsia="Arial" w:hAnsi="Arial"/>
          <w:sz w:val="16"/>
          <w:szCs w:val="16"/>
          <w:color w:val="auto"/>
        </w:rPr>
        <w:t>If a written resolution is described as a Special Resolution or as an Ordinary Resolution, it has effect accordingly.</w:t>
      </w:r>
    </w:p>
    <w:p>
      <w:pPr>
        <w:spacing w:after="0" w:line="17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6"/>
          <w:szCs w:val="16"/>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 of any such written resolution shall be determined on the same basis as on a poll.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Sole-member company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14.21</w:t>
        <w:tab/>
        <w:t>If the Company has only one Member, and the Member records in writing his decision on a question, that record shall constitute both the passing of a resolution and the minute of it.</w:t>
      </w:r>
    </w:p>
    <w:p>
      <w:pPr>
        <w:spacing w:after="0" w:line="112" w:lineRule="exact"/>
        <w:rPr>
          <w:sz w:val="20"/>
          <w:szCs w:val="20"/>
          <w:color w:val="auto"/>
        </w:rPr>
      </w:pPr>
    </w:p>
    <w:p>
      <w:pPr>
        <w:ind w:right="8500" w:firstLine="8"/>
        <w:spacing w:after="0" w:line="440" w:lineRule="auto"/>
        <w:tabs>
          <w:tab w:leader="none" w:pos="639"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 of Members Right to vote</w:t>
      </w:r>
    </w:p>
    <w:p>
      <w:pPr>
        <w:spacing w:after="0" w:line="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Members may vote in person or by proxy.</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Every Member shall have one vote for each Share he holds, unless any Share carries special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78" w:name="page479"/>
    <w:bookmarkEnd w:id="478"/>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fraction of a Share shall entitle its holder to an equivalent fraction of one vote.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No Member is bound to vote on his Shares or any of them; nor is he bound to vote each of his Shares in the same 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joint holders</w:t>
      </w:r>
    </w:p>
    <w:p>
      <w:pPr>
        <w:spacing w:after="0" w:line="175" w:lineRule="exact"/>
        <w:rPr>
          <w:sz w:val="20"/>
          <w:szCs w:val="20"/>
          <w:color w:val="auto"/>
        </w:rPr>
      </w:pPr>
    </w:p>
    <w:p>
      <w:pPr>
        <w:ind w:left="640" w:right="120" w:hanging="647"/>
        <w:spacing w:after="0" w:line="342"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of corporate Members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Save where otherwise provided, a corporate Member must act by a duly authorised representative.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A corporate Member wishing to act by a duly authorised representative must identify that person to the Company by notice in writing.</w:t>
      </w:r>
    </w:p>
    <w:p>
      <w:pPr>
        <w:spacing w:after="0" w:line="171"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The authorisation may be for any period of time, and must be delivered to the Company not less than two hours before the commencement of the meeting at which it is first used.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6"/>
          <w:szCs w:val="16"/>
          <w:color w:val="auto"/>
        </w:rPr>
        <w:t>The directors of the Company may require the production of any evidence which they consider necessary to determine the validity of the notice.</w:t>
      </w:r>
    </w:p>
    <w:p>
      <w:pPr>
        <w:spacing w:after="0" w:line="17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15.11</w:t>
        <w:tab/>
        <w:t>Where a duly authorised representative is present at a meeting that Member is deemed to be present in person; and the acts of the duly authorised representative are personal acts of that Member.</w:t>
      </w:r>
    </w:p>
    <w:p>
      <w:pPr>
        <w:spacing w:after="0" w:line="11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30"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with mental disorder</w:t>
      </w:r>
    </w:p>
    <w:p>
      <w:pPr>
        <w:spacing w:after="0" w:line="175" w:lineRule="exact"/>
        <w:rPr>
          <w:sz w:val="20"/>
          <w:szCs w:val="20"/>
          <w:color w:val="auto"/>
        </w:rPr>
      </w:pPr>
    </w:p>
    <w:p>
      <w:pPr>
        <w:ind w:left="660" w:right="240" w:hanging="647"/>
        <w:spacing w:after="0" w:line="342" w:lineRule="auto"/>
        <w:tabs>
          <w:tab w:leader="none" w:pos="64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color w:val="auto"/>
        </w:rPr>
        <w:t>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spacing w:after="0" w:line="70" w:lineRule="exact"/>
        <w:rPr>
          <w:sz w:val="20"/>
          <w:szCs w:val="20"/>
          <w:color w:val="auto"/>
        </w:rPr>
      </w:pPr>
    </w:p>
    <w:p>
      <w:pPr>
        <w:jc w:val="both"/>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6"/>
          <w:szCs w:val="16"/>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Objections to admissibility of votes</w:t>
      </w:r>
    </w:p>
    <w:p>
      <w:pPr>
        <w:spacing w:after="0" w:line="175"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7"/>
          <w:szCs w:val="17"/>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15.17</w:t>
      </w:r>
      <w:r>
        <w:rPr>
          <w:sz w:val="20"/>
          <w:szCs w:val="20"/>
          <w:color w:val="auto"/>
        </w:rPr>
        <w:tab/>
      </w:r>
      <w:r>
        <w:rPr>
          <w:rFonts w:ascii="Arial" w:cs="Arial" w:eastAsia="Arial" w:hAnsi="Arial"/>
          <w:sz w:val="16"/>
          <w:szCs w:val="16"/>
          <w:color w:val="auto"/>
        </w:rPr>
        <w:t>An instrument appointing a proxy shall be in any common form or in any other form approved by the directors.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15.18</w:t>
      </w:r>
      <w:r>
        <w:rPr>
          <w:sz w:val="20"/>
          <w:szCs w:val="20"/>
          <w:color w:val="auto"/>
        </w:rPr>
        <w:tab/>
      </w:r>
      <w:r>
        <w:rPr>
          <w:rFonts w:ascii="Arial" w:cs="Arial" w:eastAsia="Arial" w:hAnsi="Arial"/>
          <w:sz w:val="16"/>
          <w:szCs w:val="16"/>
          <w:color w:val="auto"/>
        </w:rPr>
        <w:t>The instrument must be in writing and signed in one of the following ways:</w:t>
      </w:r>
    </w:p>
    <w:p>
      <w:pPr>
        <w:spacing w:after="0" w:line="171" w:lineRule="exact"/>
        <w:rPr>
          <w:sz w:val="20"/>
          <w:szCs w:val="20"/>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by the Member;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by the Member's authorised attorney;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the Member is a corporation or other body corporate, under seal or signed by an authorised officer, secretary or attorney.</w:t>
      </w:r>
    </w:p>
    <w:p>
      <w:pPr>
        <w:spacing w:after="0" w:line="171"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15.19</w:t>
      </w:r>
      <w:r>
        <w:rPr>
          <w:sz w:val="20"/>
          <w:szCs w:val="20"/>
          <w:color w:val="auto"/>
        </w:rPr>
        <w:tab/>
      </w:r>
      <w:r>
        <w:rPr>
          <w:rFonts w:ascii="Arial" w:cs="Arial" w:eastAsia="Arial" w:hAnsi="Arial"/>
          <w:sz w:val="16"/>
          <w:szCs w:val="16"/>
          <w:color w:val="auto"/>
        </w:rPr>
        <w:t>The directors may require the production of any evidence which they consider necessary to determine the validity of any appointment of a proxy.</w:t>
      </w:r>
    </w:p>
    <w:p>
      <w:pPr>
        <w:spacing w:after="0" w:line="17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15.20</w:t>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proxy is to be delivered</w:t>
      </w:r>
    </w:p>
    <w:p>
      <w:pPr>
        <w:spacing w:after="0" w:line="175"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auto"/>
        </w:rPr>
        <w:t>15.21</w:t>
        <w:tab/>
        <w:t>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spacing w:after="0" w:line="133" w:lineRule="exact"/>
        <w:rPr>
          <w:sz w:val="20"/>
          <w:szCs w:val="20"/>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 the case of an instrument in writing, it must be left at or sent by post: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to the registered office of the Company; or</w:t>
      </w:r>
    </w:p>
    <w:p>
      <w:pPr>
        <w:spacing w:after="0" w:line="171" w:lineRule="exact"/>
        <w:rPr>
          <w:rFonts w:ascii="Arial" w:cs="Arial" w:eastAsia="Arial" w:hAnsi="Arial"/>
          <w:sz w:val="18"/>
          <w:szCs w:val="18"/>
          <w:color w:val="auto"/>
        </w:rPr>
      </w:pPr>
    </w:p>
    <w:p>
      <w:pPr>
        <w:ind w:left="1960" w:right="640" w:hanging="656"/>
        <w:spacing w:after="0" w:line="277" w:lineRule="auto"/>
        <w:tabs>
          <w:tab w:leader="none" w:pos="195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to such other place specified in the notice convening the meeting or in any form of appointment of proxy sent out by the Company in relation to the meeting.</w:t>
      </w:r>
    </w:p>
    <w:p>
      <w:pPr>
        <w:spacing w:after="0" w:line="116" w:lineRule="exact"/>
        <w:rPr>
          <w:rFonts w:ascii="Arial" w:cs="Arial" w:eastAsia="Arial" w:hAnsi="Arial"/>
          <w:sz w:val="18"/>
          <w:szCs w:val="18"/>
          <w:color w:val="auto"/>
        </w:rPr>
      </w:pPr>
    </w:p>
    <w:p>
      <w:pPr>
        <w:ind w:left="1300" w:right="480" w:hanging="644"/>
        <w:spacing w:after="0" w:line="263" w:lineRule="auto"/>
        <w:tabs>
          <w:tab w:leader="none" w:pos="129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any form of appointment of a proxy sent out by the Company in relation to the meeting; or</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Where a poll is taken:</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0" w:name="page481"/>
    <w:bookmarkEnd w:id="480"/>
    <w:p>
      <w:pPr>
        <w:spacing w:after="0" w:line="143" w:lineRule="exact"/>
        <w:rPr>
          <w:sz w:val="20"/>
          <w:szCs w:val="20"/>
          <w:color w:val="auto"/>
        </w:rPr>
      </w:pPr>
    </w:p>
    <w:p>
      <w:pPr>
        <w:jc w:val="both"/>
        <w:ind w:left="1300" w:right="60" w:hanging="644"/>
        <w:spacing w:after="0" w:line="263" w:lineRule="auto"/>
        <w:tabs>
          <w:tab w:leader="none" w:pos="129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If the form of appointment of proxy is not delivered on time, it is invalid.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17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15.24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29" w:lineRule="exact"/>
        <w:rPr>
          <w:sz w:val="20"/>
          <w:szCs w:val="20"/>
          <w:color w:val="auto"/>
        </w:rPr>
      </w:pPr>
    </w:p>
    <w:p>
      <w:pPr>
        <w:ind w:left="640" w:hanging="632"/>
        <w:spacing w:after="0"/>
        <w:tabs>
          <w:tab w:leader="none" w:pos="64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determined by Ordinary Resolution, the minimum number of directors shall be one and the maximum shall be ten.</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disqualification and removal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age limit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There is no age limit for directors save that they must be aged at least 18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directors</w:t>
      </w:r>
    </w:p>
    <w:p>
      <w:pPr>
        <w:spacing w:after="0" w:line="175"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shareholding qualification</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Unless a shareholding qualification for directors is fixed by Ordinary Resolution, no director shall be required to own Shares as a condition of his appointment.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175"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124"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9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1" w:name="page482"/>
    <w:bookmarkEnd w:id="481"/>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Article 17.5 may only be amended by a Special Resolution passed by holders representing at least two-thirds of the outstanding Class B Shares.</w:t>
      </w:r>
    </w:p>
    <w:p>
      <w:pPr>
        <w:spacing w:after="0" w:line="171" w:lineRule="exact"/>
        <w:rPr>
          <w:sz w:val="20"/>
          <w:szCs w:val="20"/>
          <w:color w:val="auto"/>
        </w:rPr>
      </w:pPr>
    </w:p>
    <w:p>
      <w:pPr>
        <w:ind w:left="640" w:right="220" w:hanging="647"/>
        <w:spacing w:after="0" w:line="279" w:lineRule="auto"/>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color w:val="auto"/>
        </w:rPr>
        <w:t>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17" w:lineRule="exact"/>
        <w:rPr>
          <w:sz w:val="20"/>
          <w:szCs w:val="20"/>
          <w:color w:val="auto"/>
        </w:rPr>
      </w:pPr>
    </w:p>
    <w:p>
      <w:pPr>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130" w:lineRule="exact"/>
        <w:rPr>
          <w:sz w:val="20"/>
          <w:szCs w:val="20"/>
          <w:color w:val="auto"/>
        </w:rPr>
      </w:pPr>
    </w:p>
    <w:p>
      <w:pPr>
        <w:ind w:left="1300" w:right="100" w:hanging="644"/>
        <w:spacing w:after="0" w:line="277" w:lineRule="auto"/>
        <w:tabs>
          <w:tab w:leader="none" w:pos="129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where two or more shareholders die in circumstances rendering it uncertain who was the last to die, a younger shareholder is deemed to have survived an older shareholder;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if the last shareholder died leaving a will which disposes of that shareholder’s shares in the Company (whether by way of specific gift, as part of the residuary estate, or otherwise):</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expression personal representatives of the last shareholder means:</w:t>
      </w:r>
    </w:p>
    <w:p>
      <w:pPr>
        <w:spacing w:after="0" w:line="171" w:lineRule="exact"/>
        <w:rPr>
          <w:rFonts w:ascii="Arial" w:cs="Arial" w:eastAsia="Arial" w:hAnsi="Arial"/>
          <w:sz w:val="18"/>
          <w:szCs w:val="18"/>
          <w:color w:val="auto"/>
        </w:rPr>
      </w:pPr>
    </w:p>
    <w:p>
      <w:pPr>
        <w:ind w:left="2600" w:right="20" w:hanging="648"/>
        <w:spacing w:after="0" w:line="342" w:lineRule="auto"/>
        <w:tabs>
          <w:tab w:leader="none" w:pos="2593" w:val="left"/>
        </w:tabs>
        <w:numPr>
          <w:ilvl w:val="2"/>
          <w:numId w:val="457"/>
        </w:numPr>
        <w:rPr>
          <w:rFonts w:ascii="Arial" w:cs="Arial" w:eastAsia="Arial" w:hAnsi="Arial"/>
          <w:sz w:val="16"/>
          <w:szCs w:val="16"/>
          <w:color w:val="auto"/>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69" w:lineRule="exact"/>
        <w:rPr>
          <w:rFonts w:ascii="Arial" w:cs="Arial" w:eastAsia="Arial" w:hAnsi="Arial"/>
          <w:sz w:val="16"/>
          <w:szCs w:val="16"/>
          <w:color w:val="auto"/>
        </w:rPr>
      </w:pPr>
    </w:p>
    <w:p>
      <w:pPr>
        <w:ind w:left="2600" w:hanging="648"/>
        <w:spacing w:after="0"/>
        <w:tabs>
          <w:tab w:leader="none" w:pos="2600" w:val="left"/>
        </w:tabs>
        <w:numPr>
          <w:ilvl w:val="2"/>
          <w:numId w:val="457"/>
        </w:numPr>
        <w:rPr>
          <w:rFonts w:ascii="Arial" w:cs="Arial" w:eastAsia="Arial" w:hAnsi="Arial"/>
          <w:sz w:val="18"/>
          <w:szCs w:val="18"/>
          <w:color w:val="auto"/>
        </w:rPr>
      </w:pPr>
      <w:r>
        <w:rPr>
          <w:rFonts w:ascii="Arial" w:cs="Arial" w:eastAsia="Arial" w:hAnsi="Arial"/>
          <w:sz w:val="18"/>
          <w:szCs w:val="18"/>
          <w:color w:val="auto"/>
        </w:rPr>
        <w:t>after such grant of probate has been obtained, only such of those executors who have proved that will;</w:t>
      </w:r>
    </w:p>
    <w:p>
      <w:pPr>
        <w:spacing w:after="0" w:line="171" w:lineRule="exact"/>
        <w:rPr>
          <w:rFonts w:ascii="Arial" w:cs="Arial" w:eastAsia="Arial" w:hAnsi="Arial"/>
          <w:sz w:val="18"/>
          <w:szCs w:val="18"/>
          <w:color w:val="auto"/>
        </w:rPr>
      </w:pPr>
    </w:p>
    <w:p>
      <w:pPr>
        <w:ind w:left="1960" w:hanging="656"/>
        <w:spacing w:after="0" w:line="277" w:lineRule="auto"/>
        <w:tabs>
          <w:tab w:leader="none" w:pos="195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without derogating from section 3(1) of the Succession Law (Revised), the executors named in that will may exercise the power of appointment under this Article without first obtaining a grant of probate.</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color w:val="auto"/>
        </w:rPr>
        <w:t>A remaining director may appoint a director even though there is not a quorum of directors.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No appointment can cause the number of directors to exceed the maximum; and any such appointment shall be invalid.</w:t>
      </w:r>
    </w:p>
    <w:p>
      <w:pPr>
        <w:spacing w:after="0" w:line="171" w:lineRule="exact"/>
        <w:rPr>
          <w:sz w:val="20"/>
          <w:szCs w:val="20"/>
          <w:color w:val="auto"/>
        </w:rPr>
      </w:pPr>
    </w:p>
    <w:p>
      <w:pPr>
        <w:jc w:val="both"/>
        <w:ind w:left="660" w:right="340" w:hanging="647"/>
        <w:spacing w:after="0" w:line="263" w:lineRule="auto"/>
        <w:tabs>
          <w:tab w:leader="none" w:pos="640" w:val="left"/>
        </w:tabs>
        <w:rPr>
          <w:sz w:val="20"/>
          <w:szCs w:val="20"/>
          <w:color w:val="auto"/>
        </w:rPr>
      </w:pPr>
      <w:r>
        <w:rPr>
          <w:rFonts w:ascii="Arial" w:cs="Arial" w:eastAsia="Arial" w:hAnsi="Arial"/>
          <w:sz w:val="18"/>
          <w:szCs w:val="18"/>
          <w:color w:val="auto"/>
        </w:rPr>
        <w:t>17.12</w:t>
        <w:tab/>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directors</w:t>
      </w:r>
    </w:p>
    <w:p>
      <w:pPr>
        <w:spacing w:after="0" w:line="175"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17.13</w:t>
        <w:tab/>
        <w:t>A director may at any time resign office by giving to the Company notice in writing or, if permitted pursuant to the notice provisions, in an Electronic Record delivered in either case in accordance with those provisions.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color w:val="auto"/>
        </w:rPr>
        <w:t>Unless the notice specifies a different date, the director shall be deemed to have resigned on the date that the notice is delivered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office of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color w:val="auto"/>
        </w:rPr>
        <w:t>A director's office shall be terminated forthwith if:</w:t>
      </w:r>
    </w:p>
    <w:p>
      <w:pPr>
        <w:spacing w:after="0" w:line="171" w:lineRule="exact"/>
        <w:rPr>
          <w:sz w:val="20"/>
          <w:szCs w:val="20"/>
          <w:color w:val="auto"/>
        </w:rPr>
      </w:pPr>
    </w:p>
    <w:p>
      <w:pPr>
        <w:ind w:left="1300" w:hanging="644"/>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he is prohibited by the law of the Islands from acting as a director;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2" w:name="page483"/>
    <w:bookmarkEnd w:id="482"/>
    <w:p>
      <w:pPr>
        <w:spacing w:after="0" w:line="143" w:lineRule="exact"/>
        <w:rPr>
          <w:sz w:val="20"/>
          <w:szCs w:val="20"/>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 the opinion of a registered medical practitioner by whom he is being treated he becomes physically or mentally incapable of acting as a director;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26" w:lineRule="exact"/>
        <w:rPr>
          <w:sz w:val="20"/>
          <w:szCs w:val="20"/>
          <w:color w:val="auto"/>
        </w:rPr>
      </w:pPr>
    </w:p>
    <w:p>
      <w:pPr>
        <w:ind w:right="9140" w:firstLine="8"/>
        <w:spacing w:after="0" w:line="495" w:lineRule="auto"/>
        <w:tabs>
          <w:tab w:leader="none" w:pos="639" w:val="left"/>
        </w:tabs>
        <w:numPr>
          <w:ilvl w:val="0"/>
          <w:numId w:val="460"/>
        </w:numPr>
        <w:rPr>
          <w:rFonts w:ascii="Arial" w:cs="Arial" w:eastAsia="Arial" w:hAnsi="Arial"/>
          <w:sz w:val="16"/>
          <w:szCs w:val="16"/>
          <w:b w:val="1"/>
          <w:bCs w:val="1"/>
          <w:color w:val="auto"/>
        </w:rPr>
      </w:pPr>
      <w:r>
        <w:rPr>
          <w:rFonts w:ascii="Arial" w:cs="Arial" w:eastAsia="Arial" w:hAnsi="Arial"/>
          <w:sz w:val="16"/>
          <w:szCs w:val="16"/>
          <w:b w:val="1"/>
          <w:bCs w:val="1"/>
          <w:color w:val="auto"/>
        </w:rPr>
        <w:t>Alternate directors Appointment and removal</w:t>
      </w:r>
    </w:p>
    <w:p>
      <w:pPr>
        <w:spacing w:after="0" w:line="1"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130" w:lineRule="exact"/>
        <w:rPr>
          <w:sz w:val="20"/>
          <w:szCs w:val="20"/>
          <w:color w:val="auto"/>
        </w:rPr>
      </w:pPr>
    </w:p>
    <w:p>
      <w:pPr>
        <w:ind w:left="1300" w:hanging="644"/>
        <w:spacing w:after="0"/>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ind w:left="1300" w:right="60" w:hanging="644"/>
        <w:spacing w:after="0" w:line="259" w:lineRule="auto"/>
        <w:tabs>
          <w:tab w:leader="none" w:pos="129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spacing w:after="0" w:line="133" w:lineRule="exact"/>
        <w:rPr>
          <w:sz w:val="20"/>
          <w:szCs w:val="20"/>
          <w:color w:val="auto"/>
        </w:rPr>
      </w:pPr>
    </w:p>
    <w:p>
      <w:pPr>
        <w:ind w:left="640" w:right="80" w:hanging="647"/>
        <w:spacing w:after="0" w:line="286"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spacing w:after="0" w:line="11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A director may revoke his appointment of an alternate at any time. No revocation shall take effect until the director has given notice of the revocation to the other directors. Such notice must be given by either of the methods specified in Article 18.1.</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A notice of appointment or removal of an alternate director must also be given to the Company by any of the following methods:</w:t>
      </w:r>
    </w:p>
    <w:p>
      <w:pPr>
        <w:spacing w:after="0" w:line="171" w:lineRule="exact"/>
        <w:rPr>
          <w:sz w:val="20"/>
          <w:szCs w:val="20"/>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spacing w:after="0" w:line="132" w:lineRule="exact"/>
        <w:rPr>
          <w:rFonts w:ascii="Arial" w:cs="Arial" w:eastAsia="Arial" w:hAnsi="Arial"/>
          <w:sz w:val="18"/>
          <w:szCs w:val="18"/>
          <w:color w:val="auto"/>
        </w:rPr>
      </w:pPr>
    </w:p>
    <w:p>
      <w:pPr>
        <w:ind w:left="1300" w:right="100" w:hanging="644"/>
        <w:spacing w:after="0" w:line="286" w:lineRule="auto"/>
        <w:tabs>
          <w:tab w:leader="none" w:pos="1297" w:val="left"/>
        </w:tabs>
        <w:numPr>
          <w:ilvl w:val="0"/>
          <w:numId w:val="462"/>
        </w:numPr>
        <w:rPr>
          <w:rFonts w:ascii="Arial" w:cs="Arial" w:eastAsia="Arial" w:hAnsi="Arial"/>
          <w:sz w:val="17"/>
          <w:szCs w:val="17"/>
          <w:color w:val="auto"/>
        </w:rPr>
      </w:pPr>
      <w:r>
        <w:rPr>
          <w:rFonts w:ascii="Arial" w:cs="Arial" w:eastAsia="Arial" w:hAnsi="Arial"/>
          <w:sz w:val="17"/>
          <w:szCs w:val="17"/>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43"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event notice shall be taken to be given on the date of receipt by the Company or the Company's registered office (as appropriate) in readable form; or</w:t>
      </w:r>
    </w:p>
    <w:p>
      <w:pPr>
        <w:spacing w:after="0" w:line="116" w:lineRule="exact"/>
        <w:rPr>
          <w:sz w:val="20"/>
          <w:szCs w:val="20"/>
          <w:color w:val="auto"/>
        </w:rPr>
      </w:pPr>
    </w:p>
    <w:p>
      <w:pPr>
        <w:ind w:left="1300" w:right="340" w:hanging="644"/>
        <w:spacing w:after="0" w:line="277" w:lineRule="auto"/>
        <w:tabs>
          <w:tab w:leader="none" w:pos="129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permitted pursuant to the notice provisions, in some other form of approved Electronic Record delivered in accordance with those provisions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All notices of meetings of directors shall continue to be given to the appointing director and not to the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alternate director</w:t>
      </w:r>
    </w:p>
    <w:p>
      <w:pPr>
        <w:spacing w:after="0" w:line="175" w:lineRule="exact"/>
        <w:rPr>
          <w:sz w:val="20"/>
          <w:szCs w:val="20"/>
          <w:color w:val="auto"/>
        </w:rPr>
      </w:pPr>
    </w:p>
    <w:p>
      <w:pPr>
        <w:ind w:left="640" w:right="120" w:hanging="647"/>
        <w:spacing w:after="0" w:line="308"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For the avoidance of doubt:</w:t>
      </w:r>
    </w:p>
    <w:p>
      <w:pPr>
        <w:spacing w:after="0" w:line="171" w:lineRule="exact"/>
        <w:rPr>
          <w:sz w:val="20"/>
          <w:szCs w:val="20"/>
          <w:color w:val="auto"/>
        </w:rPr>
      </w:pPr>
    </w:p>
    <w:p>
      <w:pPr>
        <w:ind w:left="1300" w:right="260" w:hanging="644"/>
        <w:spacing w:after="0" w:line="277" w:lineRule="auto"/>
        <w:tabs>
          <w:tab w:leader="none" w:pos="129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a person other than a director has been appointed an alternate director for more than one director, he shall be entitled to a separate vote in right of each director for whom he has been appointed an alternate.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An alternate director, however, is not entitled to receive any remuneration from the Company for services rendered as an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ceases when the appointor ceases to be a director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An alternate director shall cease to be an alternate director if the director who appointed him ceases to be a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alternate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An alternate director shall carry out all functions of the director who made the appointment.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Save where otherwise expressed, an alternate director shall be treated as a director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An alternate director is not the agent of the director appointing him.</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An alternate director is not entitled to any remuneration for acting as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director making the appointment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A director who has appointed an alternate is not thereby relieved from the duties which he owes the Company.</w:t>
      </w:r>
    </w:p>
    <w:p>
      <w:pPr>
        <w:spacing w:after="0" w:line="167" w:lineRule="exact"/>
        <w:rPr>
          <w:sz w:val="20"/>
          <w:szCs w:val="20"/>
          <w:color w:val="auto"/>
        </w:rPr>
      </w:pPr>
    </w:p>
    <w:p>
      <w:pPr>
        <w:ind w:left="640" w:hanging="632"/>
        <w:spacing w:after="0"/>
        <w:tabs>
          <w:tab w:leader="none" w:pos="6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16"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No prior act of the directors shall be invalidated by any subsequent alteration of the Memorandum or these Articles. However, to the extent allowed by the Law, following the consummation of the IPO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84" w:name="page485"/>
    <w:bookmarkEnd w:id="484"/>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by Special Resolution validate any prior or future act of the directors which would otherwise be in breach of their duties.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 to office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directors may appoint a director:</w:t>
      </w:r>
    </w:p>
    <w:p>
      <w:pPr>
        <w:spacing w:after="0" w:line="171" w:lineRule="exact"/>
        <w:rPr>
          <w:sz w:val="20"/>
          <w:szCs w:val="20"/>
          <w:color w:val="auto"/>
        </w:rPr>
      </w:pPr>
    </w:p>
    <w:p>
      <w:pPr>
        <w:ind w:left="1300" w:hanging="644"/>
        <w:spacing w:after="0"/>
        <w:tabs>
          <w:tab w:leader="none" w:pos="13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as 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as vice-chairman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as managing director;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to any other executive office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such period and on such terms, including as to remuneration, as they think fit.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The appointee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Where a chairman is appointed he shall, unless unable to do so, preside at every meeting of directors.</w:t>
      </w:r>
    </w:p>
    <w:p>
      <w:pPr>
        <w:spacing w:after="0" w:line="171"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Subject to the provisions of the Law, the directors may also appoint any person, who need not be a director:</w:t>
      </w:r>
    </w:p>
    <w:p>
      <w:pPr>
        <w:spacing w:after="0" w:line="171" w:lineRule="exact"/>
        <w:rPr>
          <w:sz w:val="20"/>
          <w:szCs w:val="20"/>
          <w:color w:val="auto"/>
        </w:rPr>
      </w:pPr>
    </w:p>
    <w:p>
      <w:pPr>
        <w:ind w:left="1300" w:hanging="644"/>
        <w:spacing w:after="0"/>
        <w:tabs>
          <w:tab w:leader="none" w:pos="13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as Secretary; and</w:t>
      </w:r>
    </w:p>
    <w:p>
      <w:pPr>
        <w:spacing w:after="0" w:line="171" w:lineRule="exact"/>
        <w:rPr>
          <w:rFonts w:ascii="Arial" w:cs="Arial" w:eastAsia="Arial" w:hAnsi="Arial"/>
          <w:sz w:val="18"/>
          <w:szCs w:val="18"/>
          <w:color w:val="auto"/>
        </w:rPr>
      </w:pPr>
    </w:p>
    <w:p>
      <w:pPr>
        <w:ind w:left="1300" w:right="460" w:hanging="644"/>
        <w:spacing w:after="0" w:line="263" w:lineRule="auto"/>
        <w:tabs>
          <w:tab w:leader="none" w:pos="129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spacing w:after="0" w:line="13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such period and on such terms, including as to remuneration, as they think fit. In the case of an Officer, that Officer may be given any title the directors decide.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The Secretary or Officer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A director, Secretary or other Officer of the Company may not hold the office, or perform the services, of Auditor.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w:t>
      </w:r>
    </w:p>
    <w:p>
      <w:pPr>
        <w:spacing w:after="0" w:line="175" w:lineRule="exact"/>
        <w:rPr>
          <w:sz w:val="20"/>
          <w:szCs w:val="20"/>
          <w:color w:val="auto"/>
        </w:rPr>
      </w:pPr>
    </w:p>
    <w:p>
      <w:pPr>
        <w:ind w:left="660" w:right="60" w:hanging="647"/>
        <w:spacing w:after="0" w:line="279" w:lineRule="auto"/>
        <w:tabs>
          <w:tab w:leader="none" w:pos="6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spacing w:after="0" w:line="117"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19.11</w:t>
        <w:tab/>
        <w:t>Remuneration may take any form and may include arrangements to pay pensions, health insurance, death or sickness benefits, whether to the director or to any other person connected to or related to him.</w:t>
      </w:r>
    </w:p>
    <w:p>
      <w:pPr>
        <w:spacing w:after="0" w:line="11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19.12</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information</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19.13</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30" w:lineRule="exact"/>
        <w:rPr>
          <w:sz w:val="20"/>
          <w:szCs w:val="20"/>
          <w:color w:val="auto"/>
        </w:rPr>
      </w:pPr>
    </w:p>
    <w:p>
      <w:pPr>
        <w:ind w:left="1300" w:right="80" w:hanging="644"/>
        <w:spacing w:after="0" w:line="277" w:lineRule="auto"/>
        <w:tabs>
          <w:tab w:leader="none" w:pos="1297"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Company or that person, as the case may be, is lawfully required to do so under the laws of any jurisdiction to which the Company is subject;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such disclosure is in compliance with the rules of any stock exchange upon which the Company's shares are listed;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such disclosure is in accordance with any contract entered into by the Company;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directors are of the opinion such disclosure would assist or facilitate the Company’s operations.</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Delegation of powers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delegate any of the directors' powers to a committee</w:t>
      </w:r>
    </w:p>
    <w:p>
      <w:pPr>
        <w:spacing w:after="0" w:line="175" w:lineRule="exact"/>
        <w:rPr>
          <w:sz w:val="20"/>
          <w:szCs w:val="20"/>
          <w:color w:val="auto"/>
        </w:rPr>
      </w:pPr>
    </w:p>
    <w:p>
      <w:pPr>
        <w:ind w:left="640" w:right="320" w:hanging="647"/>
        <w:spacing w:after="0" w:line="277"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delegation may be collateral with, or to the exclusion of, the directors' own powers.</w:t>
      </w:r>
    </w:p>
    <w:p>
      <w:pPr>
        <w:spacing w:after="0" w:line="171"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16" w:lineRule="exact"/>
        <w:rPr>
          <w:sz w:val="20"/>
          <w:szCs w:val="20"/>
          <w:color w:val="auto"/>
        </w:rPr>
      </w:pPr>
    </w:p>
    <w:p>
      <w:pPr>
        <w:ind w:right="800"/>
        <w:spacing w:after="0" w:line="438" w:lineRule="auto"/>
        <w:rPr>
          <w:sz w:val="20"/>
          <w:szCs w:val="20"/>
          <w:color w:val="auto"/>
        </w:rPr>
      </w:pPr>
      <w:r>
        <w:rPr>
          <w:rFonts w:ascii="Arial" w:cs="Arial" w:eastAsia="Arial" w:hAnsi="Arial"/>
          <w:sz w:val="18"/>
          <w:szCs w:val="18"/>
          <w:color w:val="auto"/>
        </w:rPr>
        <w:t xml:space="preserve">20.4 Unless otherwise permitted by the directors, a committee must follow the procedures prescribed for the taking of decisions by directors. </w:t>
      </w:r>
      <w:r>
        <w:rPr>
          <w:rFonts w:ascii="Arial" w:cs="Arial" w:eastAsia="Arial" w:hAnsi="Arial"/>
          <w:sz w:val="18"/>
          <w:szCs w:val="18"/>
          <w:b w:val="1"/>
          <w:bCs w:val="1"/>
          <w:color w:val="auto"/>
        </w:rPr>
        <w:t>Power to appoint an agent of the Company</w:t>
      </w:r>
    </w:p>
    <w:p>
      <w:pPr>
        <w:spacing w:after="0" w:line="1" w:lineRule="exact"/>
        <w:rPr>
          <w:sz w:val="20"/>
          <w:szCs w:val="20"/>
          <w:color w:val="auto"/>
        </w:rPr>
      </w:pPr>
    </w:p>
    <w:p>
      <w:pPr>
        <w:ind w:left="640" w:right="600" w:hanging="647"/>
        <w:spacing w:after="0" w:line="308" w:lineRule="auto"/>
        <w:tabs>
          <w:tab w:leader="none" w:pos="6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92" w:lineRule="exact"/>
        <w:rPr>
          <w:sz w:val="20"/>
          <w:szCs w:val="20"/>
          <w:color w:val="auto"/>
        </w:rPr>
      </w:pPr>
    </w:p>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by causing the Company to enter into a power of attorney or agreement;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 any other manner they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an attorney or authorised signatory of the Company</w:t>
      </w:r>
    </w:p>
    <w:p>
      <w:pPr>
        <w:spacing w:after="0" w:line="175" w:lineRule="exact"/>
        <w:rPr>
          <w:sz w:val="20"/>
          <w:szCs w:val="20"/>
          <w:color w:val="auto"/>
        </w:rPr>
      </w:pPr>
    </w:p>
    <w:p>
      <w:pPr>
        <w:ind w:left="640" w:right="180" w:hanging="647"/>
        <w:spacing w:after="0" w:line="277" w:lineRule="auto"/>
        <w:tabs>
          <w:tab w:leader="none" w:pos="6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The directors may appoint any person, whether nominated directly or indirectly by the directors, to be the attorney or the authorised signatory of the Company. The appointment may be:</w:t>
      </w:r>
    </w:p>
    <w:p>
      <w:pPr>
        <w:spacing w:after="0" w:line="116" w:lineRule="exact"/>
        <w:rPr>
          <w:sz w:val="20"/>
          <w:szCs w:val="20"/>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for any purpose;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with the powers, authorities and discretions;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for the period;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subject to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6" w:name="page487"/>
    <w:bookmarkEnd w:id="486"/>
    <w:p>
      <w:pPr>
        <w:spacing w:after="0" w:line="14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16"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 proxy</w:t>
      </w:r>
    </w:p>
    <w:p>
      <w:pPr>
        <w:spacing w:after="0" w:line="175" w:lineRule="exact"/>
        <w:rPr>
          <w:sz w:val="20"/>
          <w:szCs w:val="20"/>
          <w:color w:val="auto"/>
        </w:rPr>
      </w:pPr>
    </w:p>
    <w:p>
      <w:pPr>
        <w:ind w:left="640" w:right="280" w:hanging="647"/>
        <w:spacing w:after="0" w:line="308" w:lineRule="auto"/>
        <w:tabs>
          <w:tab w:leader="none" w:pos="6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92"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color w:val="auto"/>
        </w:rPr>
        <w:t>Articles 18.1 to 18.4 inclusive (relating to the appointment by directors of alternate directors) apply, mutatis mutandis, to the appointment of proxies by directors.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6"/>
          <w:szCs w:val="16"/>
          <w:color w:val="auto"/>
        </w:rPr>
        <w:t>A proxy is an agent of the director appointing him and is not an officer of the Company.</w:t>
      </w:r>
    </w:p>
    <w:p>
      <w:pPr>
        <w:spacing w:after="0" w:line="167" w:lineRule="exact"/>
        <w:rPr>
          <w:sz w:val="20"/>
          <w:szCs w:val="20"/>
          <w:color w:val="auto"/>
        </w:rPr>
      </w:pPr>
    </w:p>
    <w:p>
      <w:pPr>
        <w:ind w:right="8660" w:firstLine="8"/>
        <w:spacing w:after="0" w:line="495" w:lineRule="auto"/>
        <w:tabs>
          <w:tab w:leader="none" w:pos="639"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 directors Regulation of directors' meetings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Subject to the provisions of these Articles, the directors may regulate their proceedings as they think fit.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meetings</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Any director may call a meeting of directors at any time. The Secretary, if any, must call a meeting of the directors if requested to do so by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Every director shall be given notice of a meeting, although a director may waive retrospectively the requirement to be given notice. Notice may be oral. Attendance at a meeting without written objection shall be deemed to be a waiver of such notice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40" w:right="520" w:hanging="647"/>
        <w:spacing w:after="0" w:line="277" w:lineRule="auto"/>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At least five Clear Days’ notice of a meeting of directors must be given to directors. A meeting may be convened on shorter notice with the consent of all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360" w:hanging="647"/>
        <w:spacing w:after="0" w:line="342" w:lineRule="auto"/>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A director participating in this way is deemed to be present in person at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meetings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If all the directors participating in a meeting are not in the same place, they may decide that the meeting is to be treated as taking place wherever any of them 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quorum for the transaction of business at a meeting of directors shall be two unless the directors fix some other number or unless the Company has only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7" w:name="page488"/>
    <w:bookmarkEnd w:id="48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75"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A question which arises at a board meeting shall be decided by a majority of votes. If votes are equal the chairman may, if he wishes, exercise a casting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w:t>
      </w:r>
    </w:p>
    <w:p>
      <w:pPr>
        <w:spacing w:after="0" w:line="175"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auto"/>
        </w:rPr>
        <w:t>21.10</w:t>
        <w:tab/>
        <w:t>Anything done at a meeting of directors is unaffected by the fact that it is later discovered that any person was not properly appointed, or had ceased to be a director, or was otherwise not entitled to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Recording of dissent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A director present at a meeting of directors shall be presumed to have assented to any action taken at that meeting unless:</w:t>
      </w:r>
    </w:p>
    <w:p>
      <w:pPr>
        <w:spacing w:after="0" w:line="171" w:lineRule="exact"/>
        <w:rPr>
          <w:sz w:val="20"/>
          <w:szCs w:val="20"/>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his dissent is entered in the minutes of the meeting;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he has filed with the meeting before it is concluded signed dissent from that action; or</w:t>
      </w:r>
    </w:p>
    <w:p>
      <w:pPr>
        <w:spacing w:after="0" w:line="171" w:lineRule="exact"/>
        <w:rPr>
          <w:rFonts w:ascii="Arial" w:cs="Arial" w:eastAsia="Arial" w:hAnsi="Arial"/>
          <w:sz w:val="18"/>
          <w:szCs w:val="18"/>
          <w:color w:val="auto"/>
        </w:rPr>
      </w:pPr>
    </w:p>
    <w:p>
      <w:pPr>
        <w:ind w:left="660" w:right="1980" w:hanging="4"/>
        <w:spacing w:after="0" w:line="435" w:lineRule="auto"/>
        <w:tabs>
          <w:tab w:leader="none" w:pos="130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21.12</w:t>
        <w:tab/>
        <w:t>The directors may pass a resolution in writing without holding a meeting if all directors sign a document or sign several documents in the like form each signed by one or more of those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21.13</w:t>
        <w:tab/>
        <w:t>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spacing w:after="0" w:line="13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21.14</w:t>
        <w:tab/>
        <w:t>Such written resolution shall be as effective as if it had been passed at a meeting of the directors duly convened and held; and it shall be treated as having been passed on the day and at the time that the last director signs.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 director's minute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color w:val="auto"/>
        </w:rPr>
        <w:t>Where a sole director signs a minute recording his decision on a question, that record shall constitute the passing of a resolution in those terms.</w:t>
      </w:r>
    </w:p>
    <w:p>
      <w:pPr>
        <w:spacing w:after="0" w:line="167" w:lineRule="exact"/>
        <w:rPr>
          <w:sz w:val="20"/>
          <w:szCs w:val="20"/>
          <w:color w:val="auto"/>
        </w:rPr>
      </w:pPr>
    </w:p>
    <w:p>
      <w:pPr>
        <w:ind w:right="7060" w:firstLine="8"/>
        <w:spacing w:after="0" w:line="495" w:lineRule="auto"/>
        <w:tabs>
          <w:tab w:leader="none" w:pos="639" w:val="left"/>
        </w:tabs>
        <w:numPr>
          <w:ilvl w:val="0"/>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Permissible directors' interests and disclosure Permissible interests subject to disclosure</w:t>
      </w:r>
    </w:p>
    <w:p>
      <w:pPr>
        <w:spacing w:after="0" w:line="1" w:lineRule="exact"/>
        <w:rPr>
          <w:sz w:val="20"/>
          <w:szCs w:val="20"/>
          <w:color w:val="auto"/>
        </w:rPr>
      </w:pPr>
    </w:p>
    <w:p>
      <w:pPr>
        <w:ind w:left="640" w:right="300" w:hanging="647"/>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16"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If, notwithstanding the prohibition in the preceding Article, a director discloses to his fellow directors the nature and extent of any material interest or duty in accordance with the next Article, he may:</w:t>
      </w:r>
    </w:p>
    <w:p>
      <w:pPr>
        <w:spacing w:after="0" w:line="116" w:lineRule="exact"/>
        <w:rPr>
          <w:sz w:val="20"/>
          <w:szCs w:val="20"/>
          <w:color w:val="auto"/>
        </w:rPr>
      </w:pPr>
    </w:p>
    <w:p>
      <w:pPr>
        <w:ind w:left="1300" w:right="80" w:hanging="644"/>
        <w:spacing w:after="0" w:line="277" w:lineRule="auto"/>
        <w:tabs>
          <w:tab w:leader="none" w:pos="129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be a party to, or otherwise interested in, any transaction or arrangement with the Company or in which the Company is or may otherwise be interested; or</w:t>
      </w:r>
    </w:p>
    <w:p>
      <w:pPr>
        <w:spacing w:after="0" w:line="116" w:lineRule="exact"/>
        <w:rPr>
          <w:rFonts w:ascii="Arial" w:cs="Arial" w:eastAsia="Arial" w:hAnsi="Arial"/>
          <w:sz w:val="18"/>
          <w:szCs w:val="18"/>
          <w:color w:val="auto"/>
        </w:rPr>
      </w:pPr>
    </w:p>
    <w:p>
      <w:pPr>
        <w:ind w:left="1300" w:right="340" w:hanging="644"/>
        <w:spacing w:after="0" w:line="263" w:lineRule="auto"/>
        <w:tabs>
          <w:tab w:leader="none" w:pos="129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8" w:name="page489"/>
    <w:bookmarkEnd w:id="488"/>
    <w:p>
      <w:pPr>
        <w:spacing w:after="0" w:line="14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30" w:lineRule="exact"/>
        <w:rPr>
          <w:sz w:val="20"/>
          <w:szCs w:val="20"/>
          <w:color w:val="auto"/>
        </w:rPr>
      </w:pPr>
    </w:p>
    <w:p>
      <w:pPr>
        <w:ind w:left="640" w:right="80" w:hanging="647"/>
        <w:spacing w:after="0" w:line="311" w:lineRule="auto"/>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For the purposes of the preceding Articles:</w:t>
      </w:r>
    </w:p>
    <w:p>
      <w:pPr>
        <w:spacing w:after="0" w:line="171" w:lineRule="exact"/>
        <w:rPr>
          <w:sz w:val="20"/>
          <w:szCs w:val="20"/>
          <w:color w:val="auto"/>
        </w:rPr>
      </w:pPr>
    </w:p>
    <w:p>
      <w:pPr>
        <w:ind w:left="1300" w:right="20" w:hanging="644"/>
        <w:spacing w:after="0" w:line="311" w:lineRule="auto"/>
        <w:tabs>
          <w:tab w:leader="none" w:pos="1297"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94" w:lineRule="exact"/>
        <w:rPr>
          <w:rFonts w:ascii="Arial" w:cs="Arial" w:eastAsia="Arial" w:hAnsi="Arial"/>
          <w:sz w:val="16"/>
          <w:szCs w:val="16"/>
          <w:color w:val="auto"/>
        </w:rPr>
      </w:pPr>
    </w:p>
    <w:p>
      <w:pPr>
        <w:ind w:left="1300" w:right="80" w:hanging="644"/>
        <w:spacing w:after="0" w:line="277" w:lineRule="auto"/>
        <w:tabs>
          <w:tab w:leader="none" w:pos="129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where a director is interested in a matter</w:t>
      </w:r>
    </w:p>
    <w:p>
      <w:pPr>
        <w:spacing w:after="0" w:line="175"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30"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29" w:lineRule="exact"/>
        <w:rPr>
          <w:sz w:val="20"/>
          <w:szCs w:val="20"/>
          <w:color w:val="auto"/>
        </w:rPr>
      </w:pPr>
    </w:p>
    <w:p>
      <w:pPr>
        <w:ind w:left="640" w:hanging="632"/>
        <w:spacing w:after="0"/>
        <w:tabs>
          <w:tab w:leader="none" w:pos="6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shall cause minutes to be made in books kept for the purpose in accordance with the Law.</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and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other records</w:t>
      </w:r>
    </w:p>
    <w:p>
      <w:pPr>
        <w:spacing w:after="0" w:line="175"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directors must ensure that proper accounting and other records are kept, and that accounts and associated reports are distributed in accordance with the requirements of the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automatic right of inspection</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Members are only entitled to inspect the Company's records if they are expressly entitled to do so by law, or by resolution made by the directors or passed by Ordinary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Sending of accounts and reports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Company's accounts and associated directors' report or auditor's report that are required or permitted to be sent to any person pursuant to any law shall be treated as properly sent to that person if:</w:t>
      </w:r>
    </w:p>
    <w:p>
      <w:pPr>
        <w:spacing w:after="0" w:line="116" w:lineRule="exact"/>
        <w:rPr>
          <w:sz w:val="20"/>
          <w:szCs w:val="20"/>
          <w:color w:val="auto"/>
        </w:rPr>
      </w:pPr>
    </w:p>
    <w:p>
      <w:pPr>
        <w:ind w:left="1300" w:hanging="644"/>
        <w:spacing w:after="0"/>
        <w:tabs>
          <w:tab w:leader="none" w:pos="13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they are sent to that person in accordance with the notice provisions: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9" w:name="page490"/>
    <w:bookmarkEnd w:id="489"/>
    <w:p>
      <w:pPr>
        <w:spacing w:after="0" w:line="143" w:lineRule="exact"/>
        <w:rPr>
          <w:sz w:val="20"/>
          <w:szCs w:val="20"/>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they are published on a website providing that person is given separate notice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fact that publication of the documents has been published on the website;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address of the website; and</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place on the website where the documents may be accessed;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how they may be accessed.</w:t>
      </w:r>
    </w:p>
    <w:p>
      <w:pPr>
        <w:spacing w:after="0" w:line="17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receipt if documents are published on a website</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Documents sent by being published on a website in accordance with the preceding two Articles are only treated as sent at least five Clear Days before the date of the meeting at which they are to be laid if:</w:t>
      </w:r>
    </w:p>
    <w:p>
      <w:pPr>
        <w:spacing w:after="0" w:line="116" w:lineRule="exact"/>
        <w:rPr>
          <w:sz w:val="20"/>
          <w:szCs w:val="20"/>
          <w:color w:val="auto"/>
        </w:rPr>
      </w:pPr>
    </w:p>
    <w:p>
      <w:pPr>
        <w:ind w:left="1300" w:right="300" w:hanging="644"/>
        <w:spacing w:after="0" w:line="277" w:lineRule="auto"/>
        <w:tabs>
          <w:tab w:leader="none" w:pos="129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five Clear Days before the date of the meeting and ending with the conclusion of the meeting;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person is given at least five Clear Days' notice of the hearing.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despite accidental error in publication on website</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If, for the purpose of a meeting, documents are sent by being published on a website in accordance with the preceding Articles, the proceedings at that meeting are not invalidated merely because:</w:t>
      </w:r>
    </w:p>
    <w:p>
      <w:pPr>
        <w:spacing w:after="0" w:line="116" w:lineRule="exact"/>
        <w:rPr>
          <w:sz w:val="20"/>
          <w:szCs w:val="20"/>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those documents are, by accident, published in a different place on the website to the place notified;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they are published for part only of the period from the date of notification until the conclusion of that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71" w:lineRule="exact"/>
        <w:rPr>
          <w:sz w:val="20"/>
          <w:szCs w:val="20"/>
          <w:color w:val="auto"/>
        </w:rPr>
      </w:pPr>
    </w:p>
    <w:p>
      <w:pPr>
        <w:ind w:left="640" w:right="100" w:hanging="647"/>
        <w:spacing w:after="0" w:line="255" w:lineRule="auto"/>
        <w:tabs>
          <w:tab w:leader="none" w:pos="6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138" w:lineRule="exact"/>
        <w:rPr>
          <w:sz w:val="20"/>
          <w:szCs w:val="20"/>
          <w:color w:val="auto"/>
        </w:rPr>
      </w:pPr>
    </w:p>
    <w:p>
      <w:pPr>
        <w:ind w:left="640" w:right="620" w:hanging="647"/>
        <w:spacing w:after="0" w:line="342" w:lineRule="auto"/>
        <w:tabs>
          <w:tab w:leader="none" w:pos="6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0" w:name="page491"/>
    <w:bookmarkEnd w:id="490"/>
    <w:p>
      <w:pPr>
        <w:spacing w:after="0" w:line="143" w:lineRule="exact"/>
        <w:rPr>
          <w:sz w:val="20"/>
          <w:szCs w:val="20"/>
          <w:color w:val="auto"/>
        </w:rPr>
      </w:pPr>
    </w:p>
    <w:p>
      <w:pPr>
        <w:ind w:left="640" w:hanging="647"/>
        <w:spacing w:after="0" w:line="308" w:lineRule="auto"/>
        <w:tabs>
          <w:tab w:leader="none" w:pos="62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92"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Arial" w:cs="Arial" w:eastAsia="Arial" w:hAnsi="Arial"/>
          <w:sz w:val="18"/>
          <w:szCs w:val="18"/>
          <w:color w:val="auto"/>
        </w:rPr>
        <w:t>24.12</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30" w:lineRule="exact"/>
        <w:rPr>
          <w:sz w:val="20"/>
          <w:szCs w:val="20"/>
          <w:color w:val="auto"/>
        </w:rPr>
      </w:pPr>
    </w:p>
    <w:p>
      <w:pPr>
        <w:ind w:left="660" w:right="220" w:hanging="647"/>
        <w:spacing w:after="0" w:line="257" w:lineRule="auto"/>
        <w:tabs>
          <w:tab w:leader="none" w:pos="640" w:val="left"/>
        </w:tabs>
        <w:rPr>
          <w:sz w:val="20"/>
          <w:szCs w:val="20"/>
          <w:color w:val="auto"/>
        </w:rPr>
      </w:pPr>
      <w:r>
        <w:rPr>
          <w:rFonts w:ascii="Arial" w:cs="Arial" w:eastAsia="Arial" w:hAnsi="Arial"/>
          <w:sz w:val="18"/>
          <w:szCs w:val="18"/>
          <w:color w:val="auto"/>
        </w:rPr>
        <w:t>24.13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30" w:lineRule="exact"/>
        <w:rPr>
          <w:sz w:val="20"/>
          <w:szCs w:val="20"/>
          <w:color w:val="auto"/>
        </w:rPr>
      </w:pPr>
    </w:p>
    <w:p>
      <w:pPr>
        <w:ind w:left="640" w:hanging="632"/>
        <w:spacing w:after="0"/>
        <w:tabs>
          <w:tab w:leader="none" w:pos="64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the directors otherwise specify, the financial year of the Company:</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shall end on 31st December in the year of its incorporation and each following year;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shall begin when it was incorporated and on 1st January each following year.</w:t>
      </w:r>
    </w:p>
    <w:p>
      <w:pPr>
        <w:spacing w:after="0" w:line="167" w:lineRule="exact"/>
        <w:rPr>
          <w:rFonts w:ascii="Arial" w:cs="Arial" w:eastAsia="Arial" w:hAnsi="Arial"/>
          <w:sz w:val="18"/>
          <w:szCs w:val="18"/>
          <w:color w:val="auto"/>
        </w:rPr>
      </w:pPr>
    </w:p>
    <w:p>
      <w:pPr>
        <w:ind w:left="640" w:hanging="632"/>
        <w:spacing w:after="0"/>
        <w:tabs>
          <w:tab w:leader="none" w:pos="64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Except to the extent of any conflicting rights attached to Shares, the directors may fix any time and date as the record date for:</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calling a general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declaring or paying a dividend;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making or issuing an allotment of Shares;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conducting any other business required pursuant to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record date may be before or after the date on which a dividend, allotment or issue is declared, paid or made.</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dividends by Members</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interim dividends and declaration of final dividends by directors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Subject to the provisions of the Law, in relation to the distinction between interim dividends and final dividends, the following applies:</w:t>
      </w:r>
    </w:p>
    <w:p>
      <w:pPr>
        <w:spacing w:after="0" w:line="171" w:lineRule="exact"/>
        <w:rPr>
          <w:sz w:val="20"/>
          <w:szCs w:val="20"/>
          <w:color w:val="auto"/>
        </w:rPr>
      </w:pPr>
    </w:p>
    <w:p>
      <w:pPr>
        <w:ind w:left="1300" w:right="440" w:hanging="644"/>
        <w:spacing w:after="0" w:line="277" w:lineRule="auto"/>
        <w:tabs>
          <w:tab w:leader="none" w:pos="1297" w:val="left"/>
        </w:tabs>
        <w:numPr>
          <w:ilvl w:val="0"/>
          <w:numId w:val="482"/>
        </w:numPr>
        <w:rPr>
          <w:rFonts w:ascii="Arial" w:cs="Arial" w:eastAsia="Arial" w:hAnsi="Arial"/>
          <w:sz w:val="18"/>
          <w:szCs w:val="18"/>
          <w:color w:val="auto"/>
        </w:rPr>
      </w:pPr>
      <w:r>
        <w:rPr>
          <w:rFonts w:ascii="Arial" w:cs="Arial" w:eastAsia="Arial" w:hAnsi="Arial"/>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1" w:name="page492"/>
    <w:bookmarkEnd w:id="491"/>
    <w:p>
      <w:pPr>
        <w:spacing w:after="0" w:line="143" w:lineRule="exact"/>
        <w:rPr>
          <w:sz w:val="20"/>
          <w:szCs w:val="20"/>
          <w:color w:val="auto"/>
        </w:rPr>
      </w:pPr>
    </w:p>
    <w:p>
      <w:pPr>
        <w:ind w:left="1300" w:right="600" w:hanging="644"/>
        <w:spacing w:after="0" w:line="342" w:lineRule="auto"/>
        <w:tabs>
          <w:tab w:leader="none" w:pos="1294" w:val="left"/>
        </w:tabs>
        <w:numPr>
          <w:ilvl w:val="0"/>
          <w:numId w:val="483"/>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resolution fails to specify whether a dividend is final or interim, it shall be assumed to be interim.</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In relation to Shares carrying differing rights to dividends or rights to dividends at a fixed rate, the following applies:</w:t>
      </w:r>
    </w:p>
    <w:p>
      <w:pPr>
        <w:spacing w:after="0" w:line="171" w:lineRule="exact"/>
        <w:rPr>
          <w:sz w:val="20"/>
          <w:szCs w:val="20"/>
          <w:color w:val="auto"/>
        </w:rPr>
      </w:pPr>
    </w:p>
    <w:p>
      <w:pPr>
        <w:jc w:val="both"/>
        <w:ind w:left="1300" w:right="200" w:hanging="644"/>
        <w:spacing w:after="0" w:line="311" w:lineRule="auto"/>
        <w:tabs>
          <w:tab w:leader="none" w:pos="1297"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94" w:lineRule="exact"/>
        <w:rPr>
          <w:rFonts w:ascii="Arial" w:cs="Arial" w:eastAsia="Arial" w:hAnsi="Arial"/>
          <w:sz w:val="16"/>
          <w:szCs w:val="16"/>
          <w:color w:val="auto"/>
        </w:rPr>
      </w:pPr>
    </w:p>
    <w:p>
      <w:pPr>
        <w:ind w:left="1300" w:hanging="644"/>
        <w:spacing w:after="0" w:line="277" w:lineRule="auto"/>
        <w:tabs>
          <w:tab w:leader="none" w:pos="129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16" w:lineRule="exact"/>
        <w:rPr>
          <w:rFonts w:ascii="Arial" w:cs="Arial" w:eastAsia="Arial" w:hAnsi="Arial"/>
          <w:sz w:val="18"/>
          <w:szCs w:val="18"/>
          <w:color w:val="auto"/>
        </w:rPr>
      </w:pPr>
    </w:p>
    <w:p>
      <w:pPr>
        <w:ind w:left="1300" w:right="20" w:hanging="644"/>
        <w:spacing w:after="0" w:line="308" w:lineRule="auto"/>
        <w:tabs>
          <w:tab w:leader="none" w:pos="1297"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Apportionment of dividends</w:t>
      </w:r>
    </w:p>
    <w:p>
      <w:pPr>
        <w:spacing w:after="0" w:line="175"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set off</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other than in cash</w:t>
      </w:r>
    </w:p>
    <w:p>
      <w:pPr>
        <w:spacing w:after="0" w:line="175"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30"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issue fractional Shares;</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29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fix the value of assets for distribution and make cash payments to some Members on the footing of the value so fixed in order to adjust the rights of Members;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vest some assets in trustees.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payments may be made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color w:val="auto"/>
        </w:rPr>
        <w:t>A dividend or other monies payable on or in respect of a Share may be paid in any of the following ways:</w:t>
      </w:r>
    </w:p>
    <w:p>
      <w:pPr>
        <w:spacing w:after="0" w:line="171" w:lineRule="exact"/>
        <w:rPr>
          <w:sz w:val="20"/>
          <w:szCs w:val="20"/>
          <w:color w:val="auto"/>
        </w:rPr>
      </w:pPr>
    </w:p>
    <w:p>
      <w:pPr>
        <w:ind w:left="1300" w:right="180" w:hanging="644"/>
        <w:spacing w:after="0" w:line="277" w:lineRule="auto"/>
        <w:tabs>
          <w:tab w:leader="none" w:pos="1297"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the Member holding that Share or other person entitled to that Share nominates a bank account for that purpose - by wire transfer to that bank account;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92" w:name="page493"/>
    <w:bookmarkEnd w:id="492"/>
    <w:p>
      <w:pPr>
        <w:spacing w:after="0" w:line="143" w:lineRule="exact"/>
        <w:rPr>
          <w:sz w:val="20"/>
          <w:szCs w:val="20"/>
          <w:color w:val="auto"/>
        </w:rPr>
      </w:pPr>
    </w:p>
    <w:p>
      <w:pPr>
        <w:ind w:left="640" w:right="120" w:hanging="647"/>
        <w:spacing w:after="0" w:line="257" w:lineRule="auto"/>
        <w:tabs>
          <w:tab w:leader="none" w:pos="62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8"/>
          <w:szCs w:val="18"/>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34"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27.10</w:t>
        <w:tab/>
        <w:t>If two or more persons are registered as the holders of the Share or are jointly entitled to it by reason of the death or bankruptcy of the registered holder (Joint Holders), a dividend (or other amount) payable on or in respect of that Share may be paid as follows:</w:t>
      </w:r>
    </w:p>
    <w:p>
      <w:pPr>
        <w:spacing w:after="0" w:line="116" w:lineRule="exact"/>
        <w:rPr>
          <w:sz w:val="20"/>
          <w:szCs w:val="20"/>
          <w:color w:val="auto"/>
        </w:rPr>
      </w:pPr>
    </w:p>
    <w:p>
      <w:pPr>
        <w:ind w:left="1300" w:hanging="644"/>
        <w:spacing w:after="0" w:line="277" w:lineRule="auto"/>
        <w:tabs>
          <w:tab w:leader="none" w:pos="1297"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to the registered address of the Joint Holder of the Share who is named first on the Register of Members or to the registered address of the deceased or bankrupt holder, as the case may be; or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to the address or bank account of another person nominated by the Joint Holders, whether that nomination is in writing or in an Electronic Record.</w:t>
      </w:r>
    </w:p>
    <w:p>
      <w:pPr>
        <w:spacing w:after="0" w:line="116" w:lineRule="exact"/>
        <w:rPr>
          <w:sz w:val="20"/>
          <w:szCs w:val="20"/>
          <w:color w:val="auto"/>
        </w:rPr>
      </w:pPr>
    </w:p>
    <w:p>
      <w:pPr>
        <w:ind w:right="2080"/>
        <w:spacing w:after="0" w:line="438" w:lineRule="auto"/>
        <w:rPr>
          <w:sz w:val="20"/>
          <w:szCs w:val="20"/>
          <w:color w:val="auto"/>
        </w:rPr>
      </w:pPr>
      <w:r>
        <w:rPr>
          <w:rFonts w:ascii="Arial" w:cs="Arial" w:eastAsia="Arial" w:hAnsi="Arial"/>
          <w:sz w:val="18"/>
          <w:szCs w:val="18"/>
          <w:color w:val="auto"/>
        </w:rPr>
        <w:t xml:space="preserve">27.11 Any Joint Holder of a Share may give a valid receipt for a dividend (or other amount) payable in respect of that Share. </w:t>
      </w:r>
      <w:r>
        <w:rPr>
          <w:rFonts w:ascii="Arial" w:cs="Arial" w:eastAsia="Arial" w:hAnsi="Arial"/>
          <w:sz w:val="18"/>
          <w:szCs w:val="18"/>
          <w:b w:val="1"/>
          <w:bCs w:val="1"/>
          <w:color w:val="auto"/>
        </w:rPr>
        <w:t>Dividends or other moneys not to bear interest in absence of special rights</w:t>
      </w:r>
    </w:p>
    <w:p>
      <w:pPr>
        <w:spacing w:after="0" w:line="1" w:lineRule="exact"/>
        <w:rPr>
          <w:sz w:val="20"/>
          <w:szCs w:val="20"/>
          <w:color w:val="auto"/>
        </w:rPr>
      </w:pPr>
    </w:p>
    <w:p>
      <w:pPr>
        <w:ind w:left="660" w:right="600" w:hanging="647"/>
        <w:spacing w:after="0" w:line="277" w:lineRule="auto"/>
        <w:tabs>
          <w:tab w:leader="none" w:pos="640" w:val="left"/>
        </w:tabs>
        <w:rPr>
          <w:sz w:val="20"/>
          <w:szCs w:val="20"/>
          <w:color w:val="auto"/>
        </w:rPr>
      </w:pPr>
      <w:r>
        <w:rPr>
          <w:rFonts w:ascii="Arial" w:cs="Arial" w:eastAsia="Arial" w:hAnsi="Arial"/>
          <w:sz w:val="18"/>
          <w:szCs w:val="18"/>
          <w:color w:val="auto"/>
        </w:rPr>
        <w:t>27.12</w:t>
        <w:tab/>
        <w:t>Unless provided for by the rights attached to a Share, no dividend or other monies payable by the Company in respect of a Share shall bear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unable to be paid or unclaimed</w:t>
      </w:r>
    </w:p>
    <w:p>
      <w:pPr>
        <w:spacing w:after="0" w:line="175"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27.13</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30"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27.14</w:t>
        <w:tab/>
        <w:t>A dividend that remains unclaimed for a period of six years after it became due for payment shall be forfeited to, and shall cease to remain owing by, the Company.</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Capitalisation of profits</w:t>
      </w:r>
    </w:p>
    <w:p>
      <w:pPr>
        <w:spacing w:after="0" w:line="171" w:lineRule="exact"/>
        <w:rPr>
          <w:sz w:val="20"/>
          <w:szCs w:val="20"/>
          <w:color w:val="auto"/>
        </w:rPr>
      </w:pPr>
    </w:p>
    <w:p>
      <w:pPr>
        <w:ind w:right="4500"/>
        <w:spacing w:after="0" w:line="440" w:lineRule="auto"/>
        <w:rPr>
          <w:sz w:val="20"/>
          <w:szCs w:val="20"/>
          <w:color w:val="auto"/>
        </w:rPr>
      </w:pPr>
      <w:r>
        <w:rPr>
          <w:rFonts w:ascii="Arial" w:cs="Arial" w:eastAsia="Arial" w:hAnsi="Arial"/>
          <w:sz w:val="18"/>
          <w:szCs w:val="18"/>
          <w:b w:val="1"/>
          <w:bCs w:val="1"/>
          <w:color w:val="auto"/>
        </w:rPr>
        <w:t xml:space="preserve">Capitalisation of profits or of any share premium account or capital redemption reserve </w:t>
      </w:r>
      <w:r>
        <w:rPr>
          <w:rFonts w:ascii="Arial" w:cs="Arial" w:eastAsia="Arial" w:hAnsi="Arial"/>
          <w:sz w:val="18"/>
          <w:szCs w:val="18"/>
          <w:color w:val="auto"/>
        </w:rPr>
        <w:t>28.1 The directors may resolve to capitalise:</w:t>
      </w:r>
    </w:p>
    <w:p>
      <w:pPr>
        <w:spacing w:after="0" w:line="1" w:lineRule="exact"/>
        <w:rPr>
          <w:sz w:val="20"/>
          <w:szCs w:val="20"/>
          <w:color w:val="auto"/>
        </w:rPr>
      </w:pPr>
    </w:p>
    <w:p>
      <w:pPr>
        <w:ind w:left="1300" w:right="660" w:hanging="644"/>
        <w:spacing w:after="0" w:line="277" w:lineRule="auto"/>
        <w:tabs>
          <w:tab w:leader="none" w:pos="129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part of the Company's profits not required for paying any preferential dividend (whether or not those profits are available for distribution);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sum standing to the credit of the Company's share premium account or capital redemption reserve, if any.</w:t>
      </w:r>
    </w:p>
    <w:p>
      <w:pPr>
        <w:spacing w:after="0" w:line="171"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92"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by paying up the amounts unpaid on that Member's Shares;</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Applying an amount for the benefit of members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16"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Share premium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to maintain share premium account</w:t>
      </w:r>
    </w:p>
    <w:p>
      <w:pPr>
        <w:spacing w:after="0" w:line="175"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Debits to share premium account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following amounts shall be debited to any share premium account:</w:t>
      </w:r>
    </w:p>
    <w:p>
      <w:pPr>
        <w:spacing w:after="0" w:line="171" w:lineRule="exact"/>
        <w:rPr>
          <w:sz w:val="20"/>
          <w:szCs w:val="20"/>
          <w:color w:val="auto"/>
        </w:rPr>
      </w:pPr>
    </w:p>
    <w:p>
      <w:pPr>
        <w:ind w:left="1300" w:right="160" w:hanging="644"/>
        <w:spacing w:after="0" w:line="277" w:lineRule="auto"/>
        <w:tabs>
          <w:tab w:leader="none" w:pos="129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on the redemption or purchase of a Share, the difference between the nominal value of that Share and the redemption or purchase price;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other amount paid out of a share premium account as permitted by the Law.</w:t>
      </w:r>
    </w:p>
    <w:p>
      <w:pPr>
        <w:spacing w:after="0" w:line="171" w:lineRule="exact"/>
        <w:rPr>
          <w:sz w:val="20"/>
          <w:szCs w:val="20"/>
          <w:color w:val="auto"/>
        </w:rPr>
      </w:pPr>
    </w:p>
    <w:p>
      <w:pPr>
        <w:ind w:left="640" w:right="100" w:hanging="647"/>
        <w:spacing w:after="0" w:line="308" w:lineRule="auto"/>
        <w:tabs>
          <w:tab w:leader="none" w:pos="62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88" w:lineRule="exact"/>
        <w:rPr>
          <w:sz w:val="20"/>
          <w:szCs w:val="20"/>
          <w:color w:val="auto"/>
        </w:rPr>
      </w:pPr>
    </w:p>
    <w:p>
      <w:pPr>
        <w:ind w:left="640" w:hanging="632"/>
        <w:spacing w:after="0"/>
        <w:tabs>
          <w:tab w:leader="none" w:pos="6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Company may have a seal if the directors so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Duplicate seal</w:t>
      </w:r>
    </w:p>
    <w:p>
      <w:pPr>
        <w:spacing w:after="0" w:line="175" w:lineRule="exact"/>
        <w:rPr>
          <w:sz w:val="20"/>
          <w:szCs w:val="20"/>
          <w:color w:val="auto"/>
        </w:rPr>
      </w:pPr>
    </w:p>
    <w:p>
      <w:pPr>
        <w:jc w:val="both"/>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seal is to be used</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A seal may only be used by the authority of the directors. Unless the directors otherwise determine, a document to which a seal is affixed must be signed in one of the following ways:</w:t>
      </w:r>
    </w:p>
    <w:p>
      <w:pPr>
        <w:spacing w:after="0" w:line="116" w:lineRule="exact"/>
        <w:rPr>
          <w:sz w:val="20"/>
          <w:szCs w:val="20"/>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by a director (or his alternate) and the Secretary;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by a single director (or his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seal is adopted or used</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If the directors do not adopt a seal, or a seal is not used, a document may be executed in the following manner:</w:t>
      </w:r>
    </w:p>
    <w:p>
      <w:pPr>
        <w:spacing w:after="0" w:line="171" w:lineRule="exact"/>
        <w:rPr>
          <w:sz w:val="20"/>
          <w:szCs w:val="20"/>
          <w:color w:val="auto"/>
        </w:rPr>
      </w:pPr>
    </w:p>
    <w:p>
      <w:pPr>
        <w:ind w:left="1300" w:hanging="644"/>
        <w:spacing w:after="0"/>
        <w:tabs>
          <w:tab w:leader="none" w:pos="130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by a director (or his alternate) or any Officer to which authority has been delegated by resolution duly adopted by the directors;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4" w:name="page495"/>
    <w:bookmarkEnd w:id="494"/>
    <w:p>
      <w:pPr>
        <w:spacing w:after="0" w:line="143" w:lineRule="exact"/>
        <w:rPr>
          <w:sz w:val="20"/>
          <w:szCs w:val="20"/>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by a single director (or his alternate);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 any other manner permitted by the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allow non-manual signatures and facsimile printing of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The directors may determine that either or both of the following applies:</w:t>
      </w:r>
    </w:p>
    <w:p>
      <w:pPr>
        <w:spacing w:after="0" w:line="171" w:lineRule="exact"/>
        <w:rPr>
          <w:sz w:val="20"/>
          <w:szCs w:val="20"/>
          <w:color w:val="auto"/>
        </w:rPr>
      </w:pPr>
    </w:p>
    <w:p>
      <w:pPr>
        <w:ind w:left="1300" w:hanging="644"/>
        <w:spacing w:after="0"/>
        <w:tabs>
          <w:tab w:leader="none" w:pos="130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that the seal or a duplicate seal need not be affixed manually but may be affixed by some other method or system of reproduction;</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that a signature required by these Articles need not be manual but may be a mechanical or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execution</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26" w:lineRule="exact"/>
        <w:rPr>
          <w:sz w:val="20"/>
          <w:szCs w:val="20"/>
          <w:color w:val="auto"/>
        </w:rPr>
      </w:pPr>
    </w:p>
    <w:p>
      <w:pPr>
        <w:ind w:left="640" w:hanging="632"/>
        <w:spacing w:after="0"/>
        <w:tabs>
          <w:tab w:leader="none" w:pos="64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40" w:hanging="647"/>
        <w:spacing w:after="0" w:line="342"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spacing w:after="0" w:line="70" w:lineRule="exact"/>
        <w:rPr>
          <w:sz w:val="20"/>
          <w:szCs w:val="20"/>
          <w:color w:val="auto"/>
        </w:rPr>
      </w:pPr>
    </w:p>
    <w:p>
      <w:pPr>
        <w:ind w:left="1300" w:right="120" w:hanging="644"/>
        <w:spacing w:after="0" w:line="263" w:lineRule="auto"/>
        <w:tabs>
          <w:tab w:leader="none" w:pos="1297"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129" w:lineRule="exact"/>
        <w:rPr>
          <w:rFonts w:ascii="Arial" w:cs="Arial" w:eastAsia="Arial" w:hAnsi="Arial"/>
          <w:sz w:val="18"/>
          <w:szCs w:val="18"/>
          <w:color w:val="auto"/>
        </w:rPr>
      </w:pPr>
    </w:p>
    <w:p>
      <w:pPr>
        <w:ind w:left="1300" w:right="420" w:hanging="644"/>
        <w:spacing w:after="0" w:line="311" w:lineRule="auto"/>
        <w:tabs>
          <w:tab w:leader="none" w:pos="1294" w:val="left"/>
        </w:tabs>
        <w:numPr>
          <w:ilvl w:val="0"/>
          <w:numId w:val="497"/>
        </w:numPr>
        <w:rPr>
          <w:rFonts w:ascii="Arial" w:cs="Arial" w:eastAsia="Arial" w:hAnsi="Arial"/>
          <w:sz w:val="16"/>
          <w:szCs w:val="16"/>
          <w:color w:val="auto"/>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9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No such existing or former Secretary or Officer, however, shall be indemnified in respect of any matter arising out of his own actual fraud, wilful default or wilful neglect.</w:t>
      </w:r>
    </w:p>
    <w:p>
      <w:pPr>
        <w:spacing w:after="0" w:line="116" w:lineRule="exact"/>
        <w:rPr>
          <w:sz w:val="20"/>
          <w:szCs w:val="20"/>
          <w:color w:val="auto"/>
        </w:rPr>
      </w:pPr>
    </w:p>
    <w:p>
      <w:pPr>
        <w:ind w:left="640" w:right="100" w:hanging="647"/>
        <w:spacing w:after="0" w:line="279" w:lineRule="auto"/>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175" w:lineRule="exact"/>
        <w:rPr>
          <w:sz w:val="20"/>
          <w:szCs w:val="20"/>
          <w:color w:val="auto"/>
        </w:rPr>
      </w:pPr>
    </w:p>
    <w:p>
      <w:pPr>
        <w:ind w:left="640" w:right="60" w:hanging="647"/>
        <w:spacing w:after="0" w:line="279"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5" w:name="page496"/>
    <w:bookmarkEnd w:id="49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left="640" w:right="540" w:hanging="647"/>
        <w:spacing w:after="0" w:line="308"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To the extent permitted by Applicable Law, the Company may pay, or agree to pay, a premium in respect of a contract insuring each of the following persons against risks determined by the directors, other than liability arising out of that person's own dishonesty:</w:t>
      </w:r>
    </w:p>
    <w:p>
      <w:pPr>
        <w:spacing w:after="0" w:line="92" w:lineRule="exact"/>
        <w:rPr>
          <w:sz w:val="20"/>
          <w:szCs w:val="20"/>
          <w:color w:val="auto"/>
        </w:rPr>
      </w:pPr>
    </w:p>
    <w:p>
      <w:pPr>
        <w:ind w:left="1300" w:hanging="644"/>
        <w:spacing w:after="0"/>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 existing or former director (including alternate director), Secretary or Officer or auditor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 company which is or was a subsidiary of the Company;</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 company in which the Company has or had an interest (whether direct or indirect); and</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trustee of an employee or retirement benefits scheme or other trust in which any of the persons referred to in paragraph (a) is or was interested.</w:t>
      </w:r>
    </w:p>
    <w:p>
      <w:pPr>
        <w:spacing w:after="0" w:line="112" w:lineRule="exact"/>
        <w:rPr>
          <w:sz w:val="20"/>
          <w:szCs w:val="20"/>
          <w:color w:val="auto"/>
        </w:rPr>
      </w:pPr>
    </w:p>
    <w:p>
      <w:pPr>
        <w:jc w:val="right"/>
        <w:ind w:right="9940" w:firstLine="8"/>
        <w:spacing w:after="0" w:line="528" w:lineRule="auto"/>
        <w:tabs>
          <w:tab w:leader="none" w:pos="639" w:val="left"/>
        </w:tabs>
        <w:numPr>
          <w:ilvl w:val="0"/>
          <w:numId w:val="499"/>
        </w:numPr>
        <w:rPr>
          <w:rFonts w:ascii="Arial" w:cs="Arial" w:eastAsia="Arial" w:hAnsi="Arial"/>
          <w:sz w:val="15"/>
          <w:szCs w:val="15"/>
          <w:b w:val="1"/>
          <w:bCs w:val="1"/>
          <w:color w:val="auto"/>
        </w:rPr>
      </w:pPr>
      <w:r>
        <w:rPr>
          <w:rFonts w:ascii="Arial" w:cs="Arial" w:eastAsia="Arial" w:hAnsi="Arial"/>
          <w:sz w:val="15"/>
          <w:szCs w:val="15"/>
          <w:b w:val="1"/>
          <w:bCs w:val="1"/>
          <w:color w:val="auto"/>
        </w:rPr>
        <w:t>Notices Form of notices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Save where these Articles provide otherwise, any notice to be given to or by any person pursuant to these Articles shall be:</w:t>
      </w:r>
    </w:p>
    <w:p>
      <w:pPr>
        <w:spacing w:after="0" w:line="171" w:lineRule="exact"/>
        <w:rPr>
          <w:sz w:val="20"/>
          <w:szCs w:val="20"/>
          <w:color w:val="auto"/>
        </w:rPr>
      </w:pPr>
    </w:p>
    <w:p>
      <w:pPr>
        <w:ind w:left="660" w:hanging="328"/>
        <w:spacing w:after="0"/>
        <w:tabs>
          <w:tab w:leader="none" w:pos="6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in writing signed by or on behalf of the giver in the manner set out below for written notices; or</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where these Articles expressly permit, by the Company by means of a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communications</w:t>
      </w:r>
    </w:p>
    <w:p>
      <w:pPr>
        <w:spacing w:after="0" w:line="175"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spacing w:after="0" w:line="130" w:lineRule="exact"/>
        <w:rPr>
          <w:sz w:val="20"/>
          <w:szCs w:val="20"/>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directors so resolve;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the resolution states how an Electronic Record may be given and, if applicable, specifies an email address for the Company; and</w:t>
      </w:r>
    </w:p>
    <w:p>
      <w:pPr>
        <w:spacing w:after="0" w:line="182" w:lineRule="exact"/>
        <w:rPr>
          <w:rFonts w:ascii="Arial" w:cs="Arial" w:eastAsia="Arial" w:hAnsi="Arial"/>
          <w:sz w:val="17"/>
          <w:szCs w:val="17"/>
          <w:color w:val="auto"/>
        </w:rPr>
      </w:pPr>
    </w:p>
    <w:p>
      <w:pPr>
        <w:ind w:left="1300" w:hanging="644"/>
        <w:spacing w:after="0" w:line="277" w:lineRule="auto"/>
        <w:tabs>
          <w:tab w:leader="none" w:pos="1297"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terms of that resolution are notified to the Members for the time being and, if applicable, to those directors who were absent from the meeting at which the resolution was passed.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the resolution is revoked or varied, the revocation or variation shall only become effective when its terms have been similarly notified.</w:t>
      </w:r>
    </w:p>
    <w:p>
      <w:pPr>
        <w:spacing w:after="0" w:line="17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A notice may not be given by Electronic Record to a person other than the Company unless the recipient has notified the giver of an Electronic address to which notice may be sent.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authorised to give notices</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 notice by either the Company or a Member pursuant to these Articles may be given on behalf of the Company or a Member by a director or company secretary of the Company or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96" w:name="page497"/>
    <w:bookmarkEnd w:id="49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written notices</w:t>
      </w:r>
    </w:p>
    <w:p>
      <w:pPr>
        <w:spacing w:after="0" w:line="175" w:lineRule="exact"/>
        <w:rPr>
          <w:sz w:val="20"/>
          <w:szCs w:val="20"/>
          <w:color w:val="auto"/>
        </w:rPr>
      </w:pPr>
    </w:p>
    <w:p>
      <w:pPr>
        <w:ind w:left="640" w:right="140" w:hanging="647"/>
        <w:spacing w:after="0" w:line="308" w:lineRule="auto"/>
        <w:tabs>
          <w:tab w:leader="none" w:pos="62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holders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color w:val="auto"/>
        </w:rPr>
        <w:t>Where Members are joint holders of a Share, all notices shall be given to the Member whose name first appears in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A written notice shall be signed when it is autographed by or on behalf of the giver, or is marked in such a way as to indicate its execution or adoption by the giver.</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An Electronic Record may be signed by an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transmission</w:t>
      </w:r>
    </w:p>
    <w:p>
      <w:pPr>
        <w:spacing w:after="0" w:line="175" w:lineRule="exact"/>
        <w:rPr>
          <w:sz w:val="20"/>
          <w:szCs w:val="20"/>
          <w:color w:val="auto"/>
        </w:rPr>
      </w:pPr>
    </w:p>
    <w:p>
      <w:pPr>
        <w:ind w:left="640" w:right="740" w:hanging="647"/>
        <w:spacing w:after="0" w:line="277" w:lineRule="auto"/>
        <w:tabs>
          <w:tab w:leader="none" w:pos="62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16"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32.10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notice to a deceased or bankrupt Member</w:t>
      </w:r>
    </w:p>
    <w:p>
      <w:pPr>
        <w:spacing w:after="0" w:line="175"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32.11</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33"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32.12</w:t>
        <w:tab/>
        <w:t>Until such an address has been supplied, a notice may be given in any manner in which it might have been given if the death or bankruptcy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7" w:name="page498"/>
    <w:bookmarkEnd w:id="49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giving notices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6"/>
          <w:szCs w:val="16"/>
          <w:color w:val="auto"/>
        </w:rPr>
        <w:t>A notice is given on the date identified in the following table.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40" w:type="dxa"/>
            <w:vAlign w:val="bottom"/>
            <w:tcBorders>
              <w:top w:val="single" w:sz="8" w:color="auto"/>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Method for giving notices</w:t>
            </w:r>
          </w:p>
        </w:tc>
        <w:tc>
          <w:tcPr>
            <w:tcW w:w="5620" w:type="dxa"/>
            <w:vAlign w:val="bottom"/>
            <w:tcBorders>
              <w:top w:val="single" w:sz="8" w:color="auto"/>
              <w:bottom w:val="single" w:sz="8" w:color="DBDBDB"/>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When taken to be given</w:t>
            </w:r>
          </w:p>
        </w:tc>
      </w:tr>
      <w:tr>
        <w:trPr>
          <w:trHeight w:val="237"/>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Personally</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 the time and date delivered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leaving it at the member’s registered address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the time and date it was left</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If the recipient has an address within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hours after it was posted</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post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If the recipient has an address outside of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 Clear Days after posting</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airmail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By Electronic Record (other than publication on a website), to recipient’s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24 hours after it was sent</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Electronic address</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publication on a website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See the Articles about the time when notice of a meeting of Members or</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accounts and reports, as the case may be, are published on a website</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372"/>
        </w:trPr>
        <w:tc>
          <w:tcPr>
            <w:tcW w:w="5640" w:type="dxa"/>
            <w:vAlign w:val="bottom"/>
          </w:tcPr>
          <w:p>
            <w:pPr>
              <w:spacing w:after="0"/>
              <w:rPr>
                <w:sz w:val="20"/>
                <w:szCs w:val="20"/>
                <w:color w:val="auto"/>
              </w:rPr>
            </w:pPr>
            <w:r>
              <w:rPr>
                <w:rFonts w:ascii="Arial" w:cs="Arial" w:eastAsia="Arial" w:hAnsi="Arial"/>
                <w:sz w:val="18"/>
                <w:szCs w:val="18"/>
                <w:b w:val="1"/>
                <w:bCs w:val="1"/>
                <w:color w:val="auto"/>
              </w:rPr>
              <w:t>Saving provision</w:t>
            </w:r>
          </w:p>
        </w:tc>
        <w:tc>
          <w:tcPr>
            <w:tcW w:w="5620" w:type="dxa"/>
            <w:vAlign w:val="bottom"/>
          </w:tcPr>
          <w:p>
            <w:pPr>
              <w:spacing w:after="0"/>
              <w:rPr>
                <w:sz w:val="24"/>
                <w:szCs w:val="24"/>
                <w:color w:val="auto"/>
              </w:rPr>
            </w:pPr>
          </w:p>
        </w:tc>
      </w:tr>
    </w:tbl>
    <w:p>
      <w:pPr>
        <w:spacing w:after="0" w:line="148" w:lineRule="exact"/>
        <w:rPr>
          <w:sz w:val="20"/>
          <w:szCs w:val="20"/>
          <w:color w:val="auto"/>
        </w:rPr>
      </w:pPr>
    </w:p>
    <w:p>
      <w:pPr>
        <w:ind w:left="660" w:right="740" w:hanging="647"/>
        <w:spacing w:after="0" w:line="277" w:lineRule="auto"/>
        <w:tabs>
          <w:tab w:leader="none" w:pos="640" w:val="left"/>
        </w:tabs>
        <w:rPr>
          <w:sz w:val="20"/>
          <w:szCs w:val="20"/>
          <w:color w:val="auto"/>
        </w:rPr>
      </w:pPr>
      <w:r>
        <w:rPr>
          <w:rFonts w:ascii="Arial" w:cs="Arial" w:eastAsia="Arial" w:hAnsi="Arial"/>
          <w:sz w:val="18"/>
          <w:szCs w:val="18"/>
          <w:color w:val="auto"/>
        </w:rPr>
        <w:t>32.14</w:t>
        <w:tab/>
        <w:t>None of the preceding notice provisions shall derogate from the Articles about the delivery of written resolutions of directors and written resolutions of Members.</w:t>
      </w:r>
    </w:p>
    <w:p>
      <w:pPr>
        <w:spacing w:after="0" w:line="112" w:lineRule="exact"/>
        <w:rPr>
          <w:sz w:val="20"/>
          <w:szCs w:val="20"/>
          <w:color w:val="auto"/>
        </w:rPr>
      </w:pPr>
    </w:p>
    <w:p>
      <w:pPr>
        <w:ind w:right="7760" w:firstLine="8"/>
        <w:spacing w:after="0" w:line="440" w:lineRule="auto"/>
        <w:tabs>
          <w:tab w:leader="none" w:pos="639"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Electronic Records Application of Articles</w:t>
      </w:r>
    </w:p>
    <w:p>
      <w:pPr>
        <w:spacing w:after="0" w:line="1" w:lineRule="exact"/>
        <w:rPr>
          <w:sz w:val="20"/>
          <w:szCs w:val="20"/>
          <w:color w:val="auto"/>
        </w:rPr>
      </w:pPr>
    </w:p>
    <w:p>
      <w:pPr>
        <w:jc w:val="both"/>
        <w:ind w:left="640" w:right="340" w:hanging="647"/>
        <w:spacing w:after="0" w:line="263"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documents sent by Members by Electronic means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16" w:lineRule="exact"/>
        <w:rPr>
          <w:sz w:val="20"/>
          <w:szCs w:val="20"/>
          <w:color w:val="auto"/>
        </w:rPr>
      </w:pPr>
    </w:p>
    <w:p>
      <w:pPr>
        <w:ind w:left="1300" w:right="100" w:hanging="644"/>
        <w:spacing w:after="0" w:line="277" w:lineRule="auto"/>
        <w:tabs>
          <w:tab w:leader="none" w:pos="1297"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Member or each Member, as the case may be, signed the original document, and for this purpose Original Document includes several documents in like form signed by one or more of those Members; and</w:t>
      </w:r>
    </w:p>
    <w:p>
      <w:pPr>
        <w:spacing w:after="0" w:line="116" w:lineRule="exact"/>
        <w:rPr>
          <w:rFonts w:ascii="Arial" w:cs="Arial" w:eastAsia="Arial" w:hAnsi="Arial"/>
          <w:sz w:val="18"/>
          <w:szCs w:val="18"/>
          <w:color w:val="auto"/>
        </w:rPr>
      </w:pPr>
    </w:p>
    <w:p>
      <w:pPr>
        <w:ind w:left="1300" w:right="560" w:hanging="644"/>
        <w:spacing w:after="0" w:line="277" w:lineRule="auto"/>
        <w:tabs>
          <w:tab w:leader="none" w:pos="129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98" w:name="page499"/>
    <w:bookmarkEnd w:id="498"/>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 sent by the Secretary or Officers of the Company by Electronic means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be deemed to be authentic if the following conditions are satisfied:</w:t>
      </w:r>
    </w:p>
    <w:p>
      <w:pPr>
        <w:spacing w:after="0" w:line="157" w:lineRule="exact"/>
        <w:rPr>
          <w:sz w:val="20"/>
          <w:szCs w:val="20"/>
          <w:color w:val="auto"/>
        </w:rPr>
      </w:pPr>
    </w:p>
    <w:p>
      <w:pPr>
        <w:ind w:left="1300" w:right="260" w:hanging="644"/>
        <w:spacing w:after="0" w:line="277" w:lineRule="auto"/>
        <w:tabs>
          <w:tab w:leader="none" w:pos="129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Secretary or the Officer or each Officer, as the case may be, signed the original document, and for this purpose Original Document includes several documents in like form signed by the Secretary or one or more of those Officers;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This Article applies whether the document is sent by or on behalf of the Secretary or Officer in his own right or as a representative of the Company.</w:t>
      </w:r>
    </w:p>
    <w:p>
      <w:pPr>
        <w:spacing w:after="0" w:line="116"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signing</w:t>
      </w:r>
    </w:p>
    <w:p>
      <w:pPr>
        <w:spacing w:after="0" w:line="175" w:lineRule="exact"/>
        <w:rPr>
          <w:sz w:val="20"/>
          <w:szCs w:val="20"/>
          <w:color w:val="auto"/>
        </w:rPr>
      </w:pPr>
    </w:p>
    <w:p>
      <w:pPr>
        <w:jc w:val="both"/>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 provision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A notice, written resolution or other document under these Articles will not be deemed to be authentic if the recipient, acting reasonably:</w:t>
      </w:r>
    </w:p>
    <w:p>
      <w:pPr>
        <w:spacing w:after="0" w:line="171" w:lineRule="exact"/>
        <w:rPr>
          <w:sz w:val="20"/>
          <w:szCs w:val="20"/>
          <w:color w:val="auto"/>
        </w:rPr>
      </w:pPr>
    </w:p>
    <w:p>
      <w:pPr>
        <w:ind w:left="660" w:hanging="328"/>
        <w:spacing w:after="0"/>
        <w:tabs>
          <w:tab w:leader="none" w:pos="6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believes that the signature of the signatory has been altered after the signatory had signed the original document;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believes that the original document, or the Electronic Record of it, was altered, without the approval of the signatory, after the signatory signed the original document;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otherwise doubts the authenticity of the Electronic Record of the document</w:t>
      </w:r>
    </w:p>
    <w:p>
      <w:pPr>
        <w:spacing w:after="0" w:line="17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Transfer by way of continuation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The Company may, by Special Resolution, resolve to be registered by way of continuation in a jurisdiction outside:</w:t>
      </w:r>
    </w:p>
    <w:p>
      <w:pPr>
        <w:spacing w:after="0" w:line="171" w:lineRule="exact"/>
        <w:rPr>
          <w:sz w:val="20"/>
          <w:szCs w:val="20"/>
          <w:color w:val="auto"/>
        </w:rPr>
      </w:pPr>
    </w:p>
    <w:p>
      <w:pPr>
        <w:ind w:left="1300" w:hanging="644"/>
        <w:spacing w:after="0"/>
        <w:tabs>
          <w:tab w:leader="none" w:pos="13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Islands;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such other jurisdiction in which it is, for the time being, incorporated, registered or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9" w:name="page500"/>
    <w:bookmarkEnd w:id="499"/>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To give effect to any resolution made pursuant to the preceding Article, the directors may cause the following:</w:t>
      </w:r>
    </w:p>
    <w:p>
      <w:pPr>
        <w:spacing w:after="0" w:line="171" w:lineRule="exact"/>
        <w:rPr>
          <w:sz w:val="20"/>
          <w:szCs w:val="20"/>
          <w:color w:val="auto"/>
        </w:rPr>
      </w:pPr>
    </w:p>
    <w:p>
      <w:pPr>
        <w:ind w:left="1300" w:right="100" w:hanging="644"/>
        <w:spacing w:after="0" w:line="277" w:lineRule="auto"/>
        <w:tabs>
          <w:tab w:leader="none" w:pos="129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 application be made to the Registrar of Companies to deregister the Company in the Islands or in the other jurisdiction in which it is for the time being incorporated, registered or existing;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all such further steps as they consider appropriate to be taken to effect the transfer by way of continuation of the Company.</w:t>
      </w:r>
    </w:p>
    <w:p>
      <w:pPr>
        <w:spacing w:after="0" w:line="167" w:lineRule="exact"/>
        <w:rPr>
          <w:sz w:val="20"/>
          <w:szCs w:val="20"/>
          <w:color w:val="auto"/>
        </w:rPr>
      </w:pPr>
    </w:p>
    <w:p>
      <w:pPr>
        <w:ind w:right="8800" w:firstLine="8"/>
        <w:spacing w:after="0" w:line="528" w:lineRule="auto"/>
        <w:tabs>
          <w:tab w:leader="none" w:pos="639" w:val="left"/>
        </w:tabs>
        <w:numPr>
          <w:ilvl w:val="0"/>
          <w:numId w:val="508"/>
        </w:numPr>
        <w:rPr>
          <w:rFonts w:ascii="Arial" w:cs="Arial" w:eastAsia="Arial" w:hAnsi="Arial"/>
          <w:sz w:val="15"/>
          <w:szCs w:val="15"/>
          <w:b w:val="1"/>
          <w:bCs w:val="1"/>
          <w:color w:val="auto"/>
        </w:rPr>
      </w:pPr>
      <w:r>
        <w:rPr>
          <w:rFonts w:ascii="Arial" w:cs="Arial" w:eastAsia="Arial" w:hAnsi="Arial"/>
          <w:sz w:val="15"/>
          <w:szCs w:val="15"/>
          <w:b w:val="1"/>
          <w:bCs w:val="1"/>
          <w:color w:val="auto"/>
        </w:rPr>
        <w:t>Winding up Distribution of assets in specie</w:t>
      </w:r>
    </w:p>
    <w:p>
      <w:pPr>
        <w:spacing w:after="0" w:line="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16" w:lineRule="exact"/>
        <w:rPr>
          <w:sz w:val="20"/>
          <w:szCs w:val="20"/>
          <w:color w:val="auto"/>
        </w:rPr>
      </w:pPr>
    </w:p>
    <w:p>
      <w:pPr>
        <w:ind w:left="1300" w:hanging="644"/>
        <w:spacing w:after="0" w:line="308" w:lineRule="auto"/>
        <w:tabs>
          <w:tab w:leader="none" w:pos="1297"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to vest the whole or any part of the assets in trustees for the benefit of Members and those liable to contribute to the winding 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obligation to accept liability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No Member shall be compelled to accept any assets if an obligation attaches to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directors are authorised to present a winding up petition</w:t>
      </w:r>
    </w:p>
    <w:p>
      <w:pPr>
        <w:spacing w:after="0" w:line="175"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12" w:lineRule="exact"/>
        <w:rPr>
          <w:sz w:val="20"/>
          <w:szCs w:val="20"/>
          <w:color w:val="auto"/>
        </w:rPr>
      </w:pPr>
    </w:p>
    <w:p>
      <w:pPr>
        <w:ind w:right="7200" w:firstLine="8"/>
        <w:spacing w:after="0" w:line="495" w:lineRule="auto"/>
        <w:tabs>
          <w:tab w:leader="none" w:pos="639" w:val="left"/>
        </w:tabs>
        <w:numPr>
          <w:ilvl w:val="0"/>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Memorandum and Articles Power to change name or amend Memorandum</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Subject to the Law, the Company may, by Special Resolution:</w:t>
      </w:r>
    </w:p>
    <w:p>
      <w:pPr>
        <w:spacing w:after="0" w:line="171" w:lineRule="exact"/>
        <w:rPr>
          <w:sz w:val="20"/>
          <w:szCs w:val="20"/>
          <w:color w:val="auto"/>
        </w:rPr>
      </w:pPr>
    </w:p>
    <w:p>
      <w:pPr>
        <w:ind w:left="1300" w:hanging="644"/>
        <w:spacing w:after="0"/>
        <w:tabs>
          <w:tab w:leader="none" w:pos="13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change its name;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change the provisions of its Memorandum with respect to its objects, powers or any other matter specified in the Memorandum.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amend these Articles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Subject to the Law and as provided in these Articles, the Company may, by Special Resolution, amend these Articles in whole or in part.</w:t>
      </w:r>
    </w:p>
    <w:p>
      <w:pPr>
        <w:spacing w:after="0" w:line="167" w:lineRule="exact"/>
        <w:rPr>
          <w:sz w:val="20"/>
          <w:szCs w:val="20"/>
          <w:color w:val="auto"/>
        </w:rPr>
      </w:pPr>
    </w:p>
    <w:p>
      <w:pPr>
        <w:ind w:left="640" w:hanging="632"/>
        <w:spacing w:after="0"/>
        <w:tabs>
          <w:tab w:leader="none" w:pos="64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75"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the power to merge or consolidate with one or more constituent companies (as defined in the Law) upon such terms as the directors may determine and (to the extent required by the Law) with the approval of a Special Resolution.</w:t>
      </w:r>
    </w:p>
    <w:p>
      <w:pPr>
        <w:spacing w:after="0" w:line="112" w:lineRule="exact"/>
        <w:rPr>
          <w:rFonts w:ascii="Arial" w:cs="Arial" w:eastAsia="Arial" w:hAnsi="Arial"/>
          <w:sz w:val="18"/>
          <w:szCs w:val="18"/>
          <w:b w:val="1"/>
          <w:bCs w:val="1"/>
          <w:color w:val="auto"/>
        </w:rPr>
      </w:pPr>
    </w:p>
    <w:p>
      <w:pPr>
        <w:ind w:left="640" w:hanging="632"/>
        <w:spacing w:after="0"/>
        <w:tabs>
          <w:tab w:leader="none" w:pos="64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Notwithstanding any other provision of the Articles, this Article 38 shall apply during the period commencing upon the adoption of the Articles and terminating upon the first to occur of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00" w:name="page501"/>
    <w:bookmarkEnd w:id="500"/>
    <w:p>
      <w:pPr>
        <w:spacing w:after="0" w:line="14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Prior to the consummation of any Business Combination, the Company shall either:</w:t>
      </w:r>
    </w:p>
    <w:p>
      <w:pPr>
        <w:spacing w:after="0" w:line="171" w:lineRule="exact"/>
        <w:rPr>
          <w:sz w:val="20"/>
          <w:szCs w:val="20"/>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71" w:lineRule="exact"/>
        <w:rPr>
          <w:rFonts w:ascii="Arial" w:cs="Arial" w:eastAsia="Arial" w:hAnsi="Arial"/>
          <w:sz w:val="18"/>
          <w:szCs w:val="18"/>
          <w:color w:val="auto"/>
        </w:rPr>
      </w:pPr>
    </w:p>
    <w:p>
      <w:pPr>
        <w:ind w:left="1300" w:right="20" w:hanging="644"/>
        <w:spacing w:after="0" w:line="255" w:lineRule="auto"/>
        <w:tabs>
          <w:tab w:leader="none" w:pos="129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provide Members with the opportunity to have their Shares repurchased by means of a tender offer (a Tender Offer)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spacing w:after="0" w:line="138" w:lineRule="exact"/>
        <w:rPr>
          <w:sz w:val="20"/>
          <w:szCs w:val="20"/>
          <w:color w:val="auto"/>
        </w:rPr>
      </w:pPr>
    </w:p>
    <w:p>
      <w:pPr>
        <w:jc w:val="both"/>
        <w:ind w:left="640" w:right="40" w:hanging="647"/>
        <w:spacing w:after="0" w:line="259" w:lineRule="auto"/>
        <w:tabs>
          <w:tab w:leader="none" w:pos="62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13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130"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spacing w:after="0" w:line="130"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6"/>
          <w:szCs w:val="16"/>
          <w:color w:val="auto"/>
        </w:rPr>
        <w:t>Any Member holding Public Shares who is not a Founder, officer or director may, contemporaneously with any vote on a Business Combination, elect to have their Public Shares redeemed for cash (the IPO Redemption),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Redemption Price), provided that the Company shall not repurchase Public Shares in an amount that would cause the Company’s net tangible assets to be less than US$5,000,001.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1" w:name="page502"/>
    <w:bookmarkEnd w:id="501"/>
    <w:p>
      <w:pPr>
        <w:spacing w:after="0" w:line="143" w:lineRule="exact"/>
        <w:rPr>
          <w:sz w:val="20"/>
          <w:szCs w:val="20"/>
          <w:color w:val="auto"/>
        </w:rPr>
      </w:pPr>
    </w:p>
    <w:p>
      <w:pPr>
        <w:ind w:left="640" w:right="160" w:hanging="647"/>
        <w:spacing w:after="0" w:line="263" w:lineRule="auto"/>
        <w:tabs>
          <w:tab w:leader="none" w:pos="62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8"/>
          <w:szCs w:val="18"/>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spacing w:after="0" w:line="130" w:lineRule="exact"/>
        <w:rPr>
          <w:sz w:val="20"/>
          <w:szCs w:val="20"/>
          <w:color w:val="auto"/>
        </w:rPr>
      </w:pPr>
    </w:p>
    <w:p>
      <w:pPr>
        <w:ind w:left="640" w:hanging="647"/>
        <w:spacing w:after="0" w:line="268" w:lineRule="auto"/>
        <w:tabs>
          <w:tab w:leader="none" w:pos="620"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7"/>
          <w:szCs w:val="17"/>
          <w:color w:val="auto"/>
        </w:rPr>
        <w:t>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In the event that any amendment is made to these Articles:</w:t>
      </w:r>
    </w:p>
    <w:p>
      <w:pPr>
        <w:spacing w:after="0" w:line="171" w:lineRule="exact"/>
        <w:rPr>
          <w:sz w:val="20"/>
          <w:szCs w:val="20"/>
          <w:color w:val="auto"/>
        </w:rPr>
      </w:pPr>
    </w:p>
    <w:p>
      <w:pPr>
        <w:ind w:left="1300" w:hanging="644"/>
        <w:spacing w:after="0"/>
        <w:tabs>
          <w:tab w:leader="none" w:pos="13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that would modify the substance or timing of the Company’s obligation to provide holders of Public Shares the right to:</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4"/>
        </w:numPr>
        <w:rPr>
          <w:rFonts w:ascii="Arial" w:cs="Arial" w:eastAsia="Arial" w:hAnsi="Arial"/>
          <w:sz w:val="16"/>
          <w:szCs w:val="16"/>
          <w:color w:val="auto"/>
        </w:rPr>
      </w:pPr>
      <w:r>
        <w:rPr>
          <w:rFonts w:ascii="Arial" w:cs="Arial" w:eastAsia="Arial" w:hAnsi="Arial"/>
          <w:sz w:val="16"/>
          <w:szCs w:val="16"/>
          <w:color w:val="auto"/>
        </w:rPr>
        <w:t>have their shares redeemed or repurchased in connection with a Business Combination pursuant to Articles 38.2(b) or 38.6; or</w:t>
      </w:r>
    </w:p>
    <w:p>
      <w:pPr>
        <w:spacing w:after="0" w:line="194" w:lineRule="exact"/>
        <w:rPr>
          <w:rFonts w:ascii="Arial" w:cs="Arial" w:eastAsia="Arial" w:hAnsi="Arial"/>
          <w:sz w:val="16"/>
          <w:szCs w:val="16"/>
          <w:color w:val="auto"/>
        </w:rPr>
      </w:pPr>
    </w:p>
    <w:p>
      <w:pPr>
        <w:ind w:left="1960" w:right="260" w:hanging="656"/>
        <w:spacing w:after="0" w:line="277" w:lineRule="auto"/>
        <w:tabs>
          <w:tab w:leader="none" w:pos="195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redeem 100% of the Public Shares if the Company has not consummated an initial Business Combination within twenty-four months after the date of the closing of the IPO pursuant to Article 38.8;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Public Shares,</w:t>
      </w:r>
    </w:p>
    <w:p>
      <w:pPr>
        <w:spacing w:after="0" w:line="171"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each holder of Public Shares who is not a Founder, officer or director shall be provided with the opportunity to redeem their Public Shares upon the approval of any such amendment (an Amendment Redemption)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spacing w:after="0" w:line="117"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38.10</w:t>
        <w:tab/>
        <w:t>Except for the withdrawal of interest to pay income taxes, if any, none of the funds held in the Trust Account shall be released from the Trust Account:</w:t>
      </w:r>
    </w:p>
    <w:p>
      <w:pPr>
        <w:spacing w:after="0" w:line="116" w:lineRule="exact"/>
        <w:rPr>
          <w:sz w:val="20"/>
          <w:szCs w:val="20"/>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the Company, until completion of any Business Combination;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to the Members holding Public Shares, until the earliest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 repurchase of Shares by means of a Tender Offer pursuant to Article 38.2(b);</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 IPO Redemption pursuant to Article 38.6;</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 distribution of the Trust Account pursuant to Article 38.8;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2" w:name="page503"/>
    <w:bookmarkEnd w:id="502"/>
    <w:p>
      <w:pPr>
        <w:spacing w:after="0" w:line="143" w:lineRule="exact"/>
        <w:rPr>
          <w:sz w:val="20"/>
          <w:szCs w:val="20"/>
          <w:color w:val="auto"/>
        </w:rPr>
      </w:pPr>
    </w:p>
    <w:p>
      <w:pPr>
        <w:ind w:left="1940" w:hanging="636"/>
        <w:spacing w:after="0"/>
        <w:tabs>
          <w:tab w:leader="none" w:pos="19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 Amendment Redemption pursuant to Article 38.9.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other circumstance shall a holder of Public Shares have any right or interest of any kind in the Trust Account.</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38.11</w:t>
        <w:tab/>
        <w:t>After the issue of Public Shares (including pursuant to the Over-allotment Option), and prior to the consummation of a Business Combination, the directors shall not issue additional Shares or any other securities that would entitle the holders thereof to:</w:t>
      </w:r>
    </w:p>
    <w:p>
      <w:pPr>
        <w:spacing w:after="0" w:line="116" w:lineRule="exact"/>
        <w:rPr>
          <w:sz w:val="20"/>
          <w:szCs w:val="20"/>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vote as a class with the Public Shares:</w:t>
      </w:r>
    </w:p>
    <w:p>
      <w:pPr>
        <w:spacing w:after="0" w:line="171" w:lineRule="exact"/>
        <w:rPr>
          <w:rFonts w:ascii="Arial" w:cs="Arial" w:eastAsia="Arial" w:hAnsi="Arial"/>
          <w:sz w:val="18"/>
          <w:szCs w:val="18"/>
          <w:color w:val="auto"/>
        </w:rPr>
      </w:pPr>
    </w:p>
    <w:p>
      <w:pPr>
        <w:ind w:left="1960" w:right="240" w:hanging="656"/>
        <w:spacing w:after="0" w:line="277" w:lineRule="auto"/>
        <w:tabs>
          <w:tab w:leader="none" w:pos="195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on a Business Combination or on any other proposal presented to Members prior to or in connection with the completion of a Business Combination; or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to approve an amendment to these Articles to:</w:t>
      </w:r>
    </w:p>
    <w:p>
      <w:pPr>
        <w:spacing w:after="0" w:line="171" w:lineRule="exact"/>
        <w:rPr>
          <w:rFonts w:ascii="Arial" w:cs="Arial" w:eastAsia="Arial" w:hAnsi="Arial"/>
          <w:sz w:val="18"/>
          <w:szCs w:val="18"/>
          <w:color w:val="auto"/>
        </w:rPr>
      </w:pPr>
    </w:p>
    <w:p>
      <w:pPr>
        <w:ind w:left="2600" w:right="100" w:hanging="648"/>
        <w:spacing w:after="0" w:line="277" w:lineRule="auto"/>
        <w:tabs>
          <w:tab w:leader="none" w:pos="2593" w:val="left"/>
        </w:tabs>
        <w:numPr>
          <w:ilvl w:val="2"/>
          <w:numId w:val="517"/>
        </w:numPr>
        <w:rPr>
          <w:rFonts w:ascii="Arial" w:cs="Arial" w:eastAsia="Arial" w:hAnsi="Arial"/>
          <w:sz w:val="18"/>
          <w:szCs w:val="18"/>
          <w:color w:val="auto"/>
        </w:rPr>
      </w:pPr>
      <w:r>
        <w:rPr>
          <w:rFonts w:ascii="Arial" w:cs="Arial" w:eastAsia="Arial" w:hAnsi="Arial"/>
          <w:sz w:val="18"/>
          <w:szCs w:val="18"/>
          <w:color w:val="auto"/>
        </w:rPr>
        <w:t>extend the time the Company has to consummate a Business Combination beyond 24 months from the closing of IPO; or</w:t>
      </w:r>
    </w:p>
    <w:p>
      <w:pPr>
        <w:spacing w:after="0" w:line="116" w:lineRule="exact"/>
        <w:rPr>
          <w:rFonts w:ascii="Arial" w:cs="Arial" w:eastAsia="Arial" w:hAnsi="Arial"/>
          <w:sz w:val="18"/>
          <w:szCs w:val="18"/>
          <w:color w:val="auto"/>
        </w:rPr>
      </w:pPr>
    </w:p>
    <w:p>
      <w:pPr>
        <w:ind w:left="2600" w:hanging="648"/>
        <w:spacing w:after="0"/>
        <w:tabs>
          <w:tab w:leader="none" w:pos="2600" w:val="left"/>
        </w:tabs>
        <w:numPr>
          <w:ilvl w:val="2"/>
          <w:numId w:val="517"/>
        </w:numPr>
        <w:rPr>
          <w:rFonts w:ascii="Arial" w:cs="Arial" w:eastAsia="Arial" w:hAnsi="Arial"/>
          <w:sz w:val="18"/>
          <w:szCs w:val="18"/>
          <w:color w:val="auto"/>
        </w:rPr>
      </w:pPr>
      <w:r>
        <w:rPr>
          <w:rFonts w:ascii="Arial" w:cs="Arial" w:eastAsia="Arial" w:hAnsi="Arial"/>
          <w:sz w:val="18"/>
          <w:szCs w:val="18"/>
          <w:color w:val="auto"/>
        </w:rPr>
        <w:t>amend the foregoing provisions of these Articles.</w:t>
      </w:r>
    </w:p>
    <w:p>
      <w:pPr>
        <w:spacing w:after="0" w:line="171" w:lineRule="exact"/>
        <w:rPr>
          <w:sz w:val="20"/>
          <w:szCs w:val="20"/>
          <w:color w:val="auto"/>
        </w:rPr>
      </w:pPr>
    </w:p>
    <w:p>
      <w:pPr>
        <w:ind w:left="660" w:right="40" w:hanging="647"/>
        <w:spacing w:after="0" w:line="279" w:lineRule="auto"/>
        <w:tabs>
          <w:tab w:leader="none" w:pos="640" w:val="left"/>
        </w:tabs>
        <w:rPr>
          <w:sz w:val="20"/>
          <w:szCs w:val="20"/>
          <w:color w:val="auto"/>
        </w:rPr>
      </w:pPr>
      <w:r>
        <w:rPr>
          <w:rFonts w:ascii="Arial" w:cs="Arial" w:eastAsia="Arial" w:hAnsi="Arial"/>
          <w:sz w:val="18"/>
          <w:szCs w:val="18"/>
          <w:color w:val="auto"/>
        </w:rPr>
        <w:t>38.12</w:t>
      </w:r>
      <w:r>
        <w:rPr>
          <w:sz w:val="20"/>
          <w:szCs w:val="20"/>
          <w:color w:val="auto"/>
        </w:rPr>
        <w:tab/>
      </w:r>
      <w:r>
        <w:rPr>
          <w:rFonts w:ascii="Arial" w:cs="Arial" w:eastAsia="Arial" w:hAnsi="Arial"/>
          <w:sz w:val="17"/>
          <w:szCs w:val="17"/>
          <w:color w:val="auto"/>
        </w:rPr>
        <w:t>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6"/>
          <w:szCs w:val="16"/>
          <w:color w:val="auto"/>
        </w:rPr>
        <w:t>The uninterested Independent Directors shall approve any transaction or transactions between the Company and any of the following parties:</w:t>
      </w:r>
    </w:p>
    <w:p>
      <w:pPr>
        <w:spacing w:after="0" w:line="171" w:lineRule="exact"/>
        <w:rPr>
          <w:sz w:val="20"/>
          <w:szCs w:val="20"/>
          <w:color w:val="auto"/>
        </w:rPr>
      </w:pPr>
    </w:p>
    <w:p>
      <w:pPr>
        <w:ind w:left="1300" w:right="120" w:hanging="644"/>
        <w:spacing w:after="0" w:line="277" w:lineRule="auto"/>
        <w:tabs>
          <w:tab w:leader="none" w:pos="1297"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director or officer of the Company and any affiliate or relative of such director or officer.</w:t>
      </w:r>
    </w:p>
    <w:p>
      <w:pPr>
        <w:spacing w:after="0" w:line="171"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38.14</w:t>
        <w:tab/>
        <w:t>Any payment made to members of the Audit Committee (if one exists) shall require the review and approval of the directors, with any director interested in such payment abstaining from such review and approval.</w:t>
      </w:r>
    </w:p>
    <w:p>
      <w:pPr>
        <w:spacing w:after="0" w:line="11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38.15</w:t>
        <w:tab/>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38.16</w:t>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130"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38.17</w:t>
        <w:tab/>
        <w:t>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38.18</w:t>
      </w:r>
      <w:r>
        <w:rPr>
          <w:sz w:val="20"/>
          <w:szCs w:val="20"/>
          <w:color w:val="auto"/>
        </w:rPr>
        <w:tab/>
      </w:r>
      <w:r>
        <w:rPr>
          <w:rFonts w:ascii="Arial" w:cs="Arial" w:eastAsia="Arial" w:hAnsi="Arial"/>
          <w:sz w:val="16"/>
          <w:szCs w:val="16"/>
          <w:color w:val="auto"/>
        </w:rPr>
        <w:t>Any Business Combination must be approved by the a majority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3" w:name="page504"/>
    <w:bookmarkEnd w:id="503"/>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Certain Tax Filings</w:t>
      </w:r>
    </w:p>
    <w:p>
      <w:pPr>
        <w:spacing w:after="0" w:line="175" w:lineRule="exact"/>
        <w:rPr>
          <w:sz w:val="20"/>
          <w:szCs w:val="20"/>
          <w:color w:val="auto"/>
        </w:rPr>
      </w:pPr>
    </w:p>
    <w:p>
      <w:pPr>
        <w:ind w:left="640" w:hanging="647"/>
        <w:spacing w:after="0" w:line="275" w:lineRule="auto"/>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Business Opportunities</w:t>
      </w:r>
    </w:p>
    <w:p>
      <w:pPr>
        <w:spacing w:after="0" w:line="175" w:lineRule="exact"/>
        <w:rPr>
          <w:sz w:val="20"/>
          <w:szCs w:val="20"/>
          <w:color w:val="auto"/>
        </w:rPr>
      </w:pPr>
    </w:p>
    <w:p>
      <w:pPr>
        <w:ind w:left="640" w:hanging="647"/>
        <w:spacing w:after="0" w:line="291" w:lineRule="auto"/>
        <w:tabs>
          <w:tab w:leader="none" w:pos="6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spacing w:after="0" w:line="112" w:lineRule="exact"/>
        <w:rPr>
          <w:sz w:val="20"/>
          <w:szCs w:val="20"/>
          <w:color w:val="auto"/>
        </w:rPr>
      </w:pPr>
    </w:p>
    <w:p>
      <w:pPr>
        <w:ind w:left="640" w:hanging="647"/>
        <w:spacing w:after="0" w:line="287" w:lineRule="auto"/>
        <w:tabs>
          <w:tab w:leader="none" w:pos="62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spacing w:after="0" w:line="118"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spacing w:after="0" w:line="95" w:lineRule="exact"/>
        <w:rPr>
          <w:sz w:val="20"/>
          <w:szCs w:val="20"/>
          <w:color w:val="auto"/>
        </w:rPr>
      </w:pPr>
    </w:p>
    <w:p>
      <w:pPr>
        <w:jc w:val="both"/>
        <w:ind w:left="640" w:right="160" w:hanging="647"/>
        <w:spacing w:after="0" w:line="279" w:lineRule="auto"/>
        <w:tabs>
          <w:tab w:leader="none" w:pos="62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4" w:name="page505"/>
    <w:bookmarkEnd w:id="504"/>
    <w:p>
      <w:pPr>
        <w:ind w:left="10560"/>
        <w:spacing w:after="0"/>
        <w:rPr>
          <w:sz w:val="20"/>
          <w:szCs w:val="20"/>
          <w:color w:val="auto"/>
        </w:rPr>
      </w:pPr>
      <w:r>
        <w:rPr>
          <w:rFonts w:ascii="Arial" w:cs="Arial" w:eastAsia="Arial" w:hAnsi="Arial"/>
          <w:sz w:val="16"/>
          <w:szCs w:val="16"/>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4840"/>
        <w:spacing w:after="0"/>
        <w:rPr>
          <w:sz w:val="20"/>
          <w:szCs w:val="20"/>
          <w:color w:val="auto"/>
        </w:rPr>
      </w:pPr>
      <w:r>
        <w:rPr>
          <w:rFonts w:ascii="Arial" w:cs="Arial" w:eastAsia="Arial" w:hAnsi="Arial"/>
          <w:sz w:val="18"/>
          <w:szCs w:val="18"/>
          <w:color w:val="auto"/>
        </w:rPr>
        <w:t>The name of this corporation is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Section 2. Each share of Common Stock outstanding as of the applicable record date shall entitle the holder thereof to one (1) vote on any matter submitted to a vote at a meeting of stockholders.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5" w:name="page506"/>
    <w:bookmarkEnd w:id="505"/>
    <w:p>
      <w:pPr>
        <w:spacing w:after="0" w:line="14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41"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decrease in the number of directors constituting the Board of Directors shall shorten the term of any incumbent director.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3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4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Company is to have perpetual existence.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4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election of directors need not be by written ballot unless the Bylaws of the Company shall so provide.</w:t>
      </w:r>
    </w:p>
    <w:p>
      <w:pPr>
        <w:spacing w:after="0" w:line="17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No stockholder will be permitted to cumulate votes at any election of directors.</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3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7" w:name="page508"/>
    <w:bookmarkEnd w:id="507"/>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37"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and mailing address of the incorporator are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Cindy Reilly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incorporation shall be effective at __:__ _.m. Eastern Time on ___________ 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as the sole incorporator of the Company, have signed this Certificate of Incorporation on this ____ day of _________ 2021.</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31750</wp:posOffset>
            </wp:positionV>
            <wp:extent cx="33775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Cindy Reilly</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Sole Incorporator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173355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660" w:top="1440" w:right="979"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4300"/>
              <w:spacing w:after="0"/>
              <w:rPr>
                <w:sz w:val="20"/>
                <w:szCs w:val="20"/>
                <w:color w:val="auto"/>
              </w:rPr>
            </w:pPr>
            <w:r>
              <w:rPr>
                <w:rFonts w:ascii="Arial" w:cs="Arial" w:eastAsia="Arial" w:hAnsi="Arial"/>
                <w:sz w:val="18"/>
                <w:szCs w:val="18"/>
                <w:color w:val="auto"/>
              </w:rPr>
              <w:t>(initially adopted on</w:t>
            </w:r>
          </w:p>
        </w:tc>
        <w:tc>
          <w:tcPr>
            <w:tcW w:w="5140" w:type="dxa"/>
            <w:vAlign w:val="bottom"/>
          </w:tcPr>
          <w:p>
            <w:pPr>
              <w:jc w:val="right"/>
              <w:ind w:right="4210"/>
              <w:spacing w:after="0"/>
              <w:rPr>
                <w:sz w:val="20"/>
                <w:szCs w:val="20"/>
                <w:color w:val="auto"/>
              </w:rPr>
            </w:pPr>
            <w:r>
              <w:rPr>
                <w:rFonts w:ascii="Arial" w:cs="Arial" w:eastAsia="Arial" w:hAnsi="Arial"/>
                <w:sz w:val="18"/>
                <w:szCs w:val="18"/>
                <w:color w:val="auto"/>
              </w:rPr>
              <w:t>, 2021)</w:t>
            </w:r>
          </w:p>
        </w:tc>
      </w:tr>
      <w:tr>
        <w:trPr>
          <w:trHeight w:val="1573"/>
        </w:trPr>
        <w:tc>
          <w:tcPr>
            <w:tcW w:w="6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0" w:name="page511"/>
    <w:bookmarkEnd w:id="510"/>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1940" w:type="dxa"/>
            <w:vAlign w:val="bottom"/>
          </w:tcPr>
          <w:p>
            <w:pPr>
              <w:ind w:left="1580"/>
              <w:spacing w:after="0"/>
              <w:rPr>
                <w:sz w:val="20"/>
                <w:szCs w:val="20"/>
                <w:color w:val="auto"/>
              </w:rPr>
            </w:pPr>
            <w:r>
              <w:rPr>
                <w:rFonts w:ascii="Arial" w:cs="Arial" w:eastAsia="Arial" w:hAnsi="Arial"/>
                <w:sz w:val="18"/>
                <w:szCs w:val="18"/>
                <w:b w:val="1"/>
                <w:bCs w:val="1"/>
                <w:i w:val="1"/>
                <w:iCs w:val="1"/>
                <w:color w:val="auto"/>
                <w:w w:val="78"/>
              </w:rPr>
              <w:t>Page</w:t>
            </w:r>
          </w:p>
        </w:tc>
        <w:tc>
          <w:tcPr>
            <w:tcW w:w="0" w:type="dxa"/>
            <w:vAlign w:val="bottom"/>
          </w:tcPr>
          <w:p>
            <w:pPr>
              <w:spacing w:after="0"/>
              <w:rPr>
                <w:sz w:val="1"/>
                <w:szCs w:val="1"/>
                <w:color w:val="auto"/>
              </w:rPr>
            </w:pPr>
          </w:p>
        </w:tc>
      </w:tr>
      <w:tr>
        <w:trPr>
          <w:trHeight w:val="229"/>
        </w:trPr>
        <w:tc>
          <w:tcPr>
            <w:tcW w:w="91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7860" w:type="dxa"/>
            <w:vAlign w:val="bottom"/>
          </w:tcPr>
          <w:p>
            <w:pPr>
              <w:ind w:left="300"/>
              <w:spacing w:after="0"/>
              <w:rPr>
                <w:sz w:val="20"/>
                <w:szCs w:val="20"/>
                <w:color w:val="auto"/>
              </w:rPr>
            </w:pPr>
            <w:r>
              <w:rPr>
                <w:rFonts w:ascii="Arial" w:cs="Arial" w:eastAsia="Arial" w:hAnsi="Arial"/>
                <w:sz w:val="18"/>
                <w:szCs w:val="18"/>
                <w:color w:val="auto"/>
              </w:rPr>
              <w:t>REGISTERED OFFICE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7860" w:type="dxa"/>
            <w:vAlign w:val="bottom"/>
          </w:tcPr>
          <w:p>
            <w:pPr>
              <w:ind w:left="300"/>
              <w:spacing w:after="0"/>
              <w:rPr>
                <w:sz w:val="20"/>
                <w:szCs w:val="20"/>
                <w:color w:val="auto"/>
              </w:rPr>
            </w:pPr>
            <w:r>
              <w:rPr>
                <w:rFonts w:ascii="Arial" w:cs="Arial" w:eastAsia="Arial" w:hAnsi="Arial"/>
                <w:sz w:val="18"/>
                <w:szCs w:val="18"/>
                <w:color w:val="auto"/>
              </w:rPr>
              <w:t>OTHER OFFICES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7860" w:type="dxa"/>
            <w:vAlign w:val="bottom"/>
          </w:tcPr>
          <w:p>
            <w:pPr>
              <w:ind w:left="300"/>
              <w:spacing w:after="0"/>
              <w:rPr>
                <w:sz w:val="20"/>
                <w:szCs w:val="20"/>
                <w:color w:val="auto"/>
              </w:rPr>
            </w:pPr>
            <w:r>
              <w:rPr>
                <w:rFonts w:ascii="Arial" w:cs="Arial" w:eastAsia="Arial" w:hAnsi="Arial"/>
                <w:sz w:val="18"/>
                <w:szCs w:val="18"/>
                <w:color w:val="auto"/>
              </w:rPr>
              <w:t>ANNUAL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7860" w:type="dxa"/>
            <w:vAlign w:val="bottom"/>
          </w:tcPr>
          <w:p>
            <w:pPr>
              <w:ind w:left="300"/>
              <w:spacing w:after="0"/>
              <w:rPr>
                <w:sz w:val="20"/>
                <w:szCs w:val="20"/>
                <w:color w:val="auto"/>
              </w:rPr>
            </w:pPr>
            <w:r>
              <w:rPr>
                <w:rFonts w:ascii="Arial" w:cs="Arial" w:eastAsia="Arial" w:hAnsi="Arial"/>
                <w:sz w:val="18"/>
                <w:szCs w:val="18"/>
                <w:color w:val="auto"/>
              </w:rPr>
              <w:t>ADVANCE NOTICE PROCEDURES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786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7860" w:type="dxa"/>
            <w:vAlign w:val="bottom"/>
          </w:tcPr>
          <w:p>
            <w:pPr>
              <w:ind w:left="300"/>
              <w:spacing w:after="0"/>
              <w:rPr>
                <w:sz w:val="20"/>
                <w:szCs w:val="20"/>
                <w:color w:val="auto"/>
              </w:rPr>
            </w:pPr>
            <w:r>
              <w:rPr>
                <w:rFonts w:ascii="Arial" w:cs="Arial" w:eastAsia="Arial" w:hAnsi="Arial"/>
                <w:sz w:val="18"/>
                <w:szCs w:val="18"/>
                <w:color w:val="auto"/>
              </w:rPr>
              <w:t>ADJOURNED MEETING; NOTICE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7860" w:type="dxa"/>
            <w:vAlign w:val="bottom"/>
          </w:tcPr>
          <w:p>
            <w:pPr>
              <w:ind w:left="300"/>
              <w:spacing w:after="0"/>
              <w:rPr>
                <w:sz w:val="20"/>
                <w:szCs w:val="20"/>
                <w:color w:val="auto"/>
              </w:rPr>
            </w:pPr>
            <w:r>
              <w:rPr>
                <w:rFonts w:ascii="Arial" w:cs="Arial" w:eastAsia="Arial" w:hAnsi="Arial"/>
                <w:sz w:val="18"/>
                <w:szCs w:val="18"/>
                <w:color w:val="auto"/>
              </w:rPr>
              <w:t>CONDUCT OF BUSINESS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7860" w:type="dxa"/>
            <w:vAlign w:val="bottom"/>
          </w:tcPr>
          <w:p>
            <w:pPr>
              <w:ind w:left="300"/>
              <w:spacing w:after="0"/>
              <w:rPr>
                <w:sz w:val="20"/>
                <w:szCs w:val="20"/>
                <w:color w:val="auto"/>
              </w:rPr>
            </w:pPr>
            <w:r>
              <w:rPr>
                <w:rFonts w:ascii="Arial" w:cs="Arial" w:eastAsia="Arial" w:hAnsi="Arial"/>
                <w:sz w:val="18"/>
                <w:szCs w:val="18"/>
                <w:color w:val="auto"/>
              </w:rPr>
              <w:t>VOTING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2.10</w:t>
            </w:r>
          </w:p>
        </w:tc>
        <w:tc>
          <w:tcPr>
            <w:tcW w:w="7860" w:type="dxa"/>
            <w:vAlign w:val="bottom"/>
          </w:tcPr>
          <w:p>
            <w:pPr>
              <w:ind w:left="300"/>
              <w:spacing w:after="0"/>
              <w:rPr>
                <w:sz w:val="20"/>
                <w:szCs w:val="20"/>
                <w:color w:val="auto"/>
              </w:rPr>
            </w:pPr>
            <w:r>
              <w:rPr>
                <w:rFonts w:ascii="Arial" w:cs="Arial" w:eastAsia="Arial" w:hAnsi="Arial"/>
                <w:sz w:val="18"/>
                <w:szCs w:val="18"/>
                <w:color w:val="auto"/>
              </w:rPr>
              <w:t>STOCKHOLDER ACTION BY WRITTEN CONSENT WITHOUT A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2.11</w:t>
            </w:r>
          </w:p>
        </w:tc>
        <w:tc>
          <w:tcPr>
            <w:tcW w:w="7860" w:type="dxa"/>
            <w:vAlign w:val="bottom"/>
          </w:tcPr>
          <w:p>
            <w:pPr>
              <w:ind w:left="300"/>
              <w:spacing w:after="0"/>
              <w:rPr>
                <w:sz w:val="20"/>
                <w:szCs w:val="20"/>
                <w:color w:val="auto"/>
              </w:rPr>
            </w:pPr>
            <w:r>
              <w:rPr>
                <w:rFonts w:ascii="Arial" w:cs="Arial" w:eastAsia="Arial" w:hAnsi="Arial"/>
                <w:sz w:val="18"/>
                <w:szCs w:val="18"/>
                <w:color w:val="auto"/>
              </w:rPr>
              <w:t>RECORD DATES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2.12</w:t>
            </w:r>
          </w:p>
        </w:tc>
        <w:tc>
          <w:tcPr>
            <w:tcW w:w="7860" w:type="dxa"/>
            <w:vAlign w:val="bottom"/>
          </w:tcPr>
          <w:p>
            <w:pPr>
              <w:ind w:left="300"/>
              <w:spacing w:after="0"/>
              <w:rPr>
                <w:sz w:val="20"/>
                <w:szCs w:val="20"/>
                <w:color w:val="auto"/>
              </w:rPr>
            </w:pPr>
            <w:r>
              <w:rPr>
                <w:rFonts w:ascii="Arial" w:cs="Arial" w:eastAsia="Arial" w:hAnsi="Arial"/>
                <w:sz w:val="18"/>
                <w:szCs w:val="18"/>
                <w:color w:val="auto"/>
              </w:rPr>
              <w:t>PROXIES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2.13</w:t>
            </w:r>
          </w:p>
        </w:tc>
        <w:tc>
          <w:tcPr>
            <w:tcW w:w="78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2.14</w:t>
            </w:r>
          </w:p>
        </w:tc>
        <w:tc>
          <w:tcPr>
            <w:tcW w:w="7860" w:type="dxa"/>
            <w:vAlign w:val="bottom"/>
          </w:tcPr>
          <w:p>
            <w:pPr>
              <w:ind w:left="300"/>
              <w:spacing w:after="0"/>
              <w:rPr>
                <w:sz w:val="20"/>
                <w:szCs w:val="20"/>
                <w:color w:val="auto"/>
              </w:rPr>
            </w:pPr>
            <w:r>
              <w:rPr>
                <w:rFonts w:ascii="Arial" w:cs="Arial" w:eastAsia="Arial" w:hAnsi="Arial"/>
                <w:sz w:val="18"/>
                <w:szCs w:val="18"/>
                <w:color w:val="auto"/>
              </w:rPr>
              <w:t>INSPECTORS OF ELECTION</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7860" w:type="dxa"/>
            <w:vAlign w:val="bottom"/>
          </w:tcPr>
          <w:p>
            <w:pPr>
              <w:ind w:left="300"/>
              <w:spacing w:after="0"/>
              <w:rPr>
                <w:sz w:val="20"/>
                <w:szCs w:val="20"/>
                <w:color w:val="auto"/>
              </w:rPr>
            </w:pPr>
            <w:r>
              <w:rPr>
                <w:rFonts w:ascii="Arial" w:cs="Arial" w:eastAsia="Arial" w:hAnsi="Arial"/>
                <w:sz w:val="18"/>
                <w:szCs w:val="18"/>
                <w:color w:val="auto"/>
              </w:rPr>
              <w:t>POWERS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7860" w:type="dxa"/>
            <w:vAlign w:val="bottom"/>
          </w:tcPr>
          <w:p>
            <w:pPr>
              <w:ind w:left="300"/>
              <w:spacing w:after="0"/>
              <w:rPr>
                <w:sz w:val="20"/>
                <w:szCs w:val="20"/>
                <w:color w:val="auto"/>
              </w:rPr>
            </w:pPr>
            <w:r>
              <w:rPr>
                <w:rFonts w:ascii="Arial" w:cs="Arial" w:eastAsia="Arial" w:hAnsi="Arial"/>
                <w:sz w:val="18"/>
                <w:szCs w:val="18"/>
                <w:color w:val="auto"/>
              </w:rPr>
              <w:t>NUMBER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7860" w:type="dxa"/>
            <w:vAlign w:val="bottom"/>
          </w:tcPr>
          <w:p>
            <w:pPr>
              <w:ind w:left="300"/>
              <w:spacing w:after="0"/>
              <w:rPr>
                <w:sz w:val="20"/>
                <w:szCs w:val="20"/>
                <w:color w:val="auto"/>
              </w:rPr>
            </w:pPr>
            <w:r>
              <w:rPr>
                <w:rFonts w:ascii="Arial" w:cs="Arial" w:eastAsia="Arial" w:hAnsi="Arial"/>
                <w:sz w:val="18"/>
                <w:szCs w:val="18"/>
                <w:color w:val="auto"/>
              </w:rPr>
              <w:t>ELECTION, QUALIFICATION AND TERM OF OFFICE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7860" w:type="dxa"/>
            <w:vAlign w:val="bottom"/>
          </w:tcPr>
          <w:p>
            <w:pPr>
              <w:ind w:left="300"/>
              <w:spacing w:after="0"/>
              <w:rPr>
                <w:sz w:val="20"/>
                <w:szCs w:val="20"/>
                <w:color w:val="auto"/>
              </w:rPr>
            </w:pPr>
            <w:r>
              <w:rPr>
                <w:rFonts w:ascii="Arial" w:cs="Arial" w:eastAsia="Arial" w:hAnsi="Arial"/>
                <w:sz w:val="18"/>
                <w:szCs w:val="18"/>
                <w:color w:val="auto"/>
              </w:rPr>
              <w:t>RESIGNATION AND VACANCIES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 MEETINGS BY TELEPHONE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78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MEETINGS; NOTICE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 VOTING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7860" w:type="dxa"/>
            <w:vAlign w:val="bottom"/>
          </w:tcPr>
          <w:p>
            <w:pPr>
              <w:ind w:left="300"/>
              <w:spacing w:after="0"/>
              <w:rPr>
                <w:sz w:val="20"/>
                <w:szCs w:val="20"/>
                <w:color w:val="auto"/>
              </w:rPr>
            </w:pPr>
            <w:r>
              <w:rPr>
                <w:rFonts w:ascii="Arial" w:cs="Arial" w:eastAsia="Arial" w:hAnsi="Arial"/>
                <w:sz w:val="18"/>
                <w:szCs w:val="18"/>
                <w:color w:val="auto"/>
              </w:rPr>
              <w:t>BOARD ACTION BY WRITTEN CONSENT WITHOUT A MEETING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3.10</w:t>
            </w:r>
          </w:p>
        </w:tc>
        <w:tc>
          <w:tcPr>
            <w:tcW w:w="7860" w:type="dxa"/>
            <w:vAlign w:val="bottom"/>
          </w:tcPr>
          <w:p>
            <w:pPr>
              <w:ind w:left="300"/>
              <w:spacing w:after="0"/>
              <w:rPr>
                <w:sz w:val="20"/>
                <w:szCs w:val="20"/>
                <w:color w:val="auto"/>
              </w:rPr>
            </w:pPr>
            <w:r>
              <w:rPr>
                <w:rFonts w:ascii="Arial" w:cs="Arial" w:eastAsia="Arial" w:hAnsi="Arial"/>
                <w:sz w:val="18"/>
                <w:szCs w:val="18"/>
                <w:color w:val="auto"/>
              </w:rPr>
              <w:t>FEES AND COMPENSATION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3.11</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COMMITTEES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 MINUTES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7860" w:type="dxa"/>
            <w:vAlign w:val="bottom"/>
          </w:tcPr>
          <w:p>
            <w:pPr>
              <w:ind w:left="300"/>
              <w:spacing w:after="0"/>
              <w:rPr>
                <w:sz w:val="20"/>
                <w:szCs w:val="20"/>
                <w:color w:val="auto"/>
              </w:rPr>
            </w:pPr>
            <w:r>
              <w:rPr>
                <w:rFonts w:ascii="Arial" w:cs="Arial" w:eastAsia="Arial" w:hAnsi="Arial"/>
                <w:sz w:val="18"/>
                <w:szCs w:val="18"/>
                <w:color w:val="auto"/>
              </w:rPr>
              <w:t>MEETINGS AND ACTION OF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7860" w:type="dxa"/>
            <w:vAlign w:val="bottom"/>
          </w:tcPr>
          <w:p>
            <w:pPr>
              <w:ind w:left="300"/>
              <w:spacing w:after="0"/>
              <w:rPr>
                <w:sz w:val="20"/>
                <w:szCs w:val="20"/>
                <w:color w:val="auto"/>
              </w:rPr>
            </w:pPr>
            <w:r>
              <w:rPr>
                <w:rFonts w:ascii="Arial" w:cs="Arial" w:eastAsia="Arial" w:hAnsi="Arial"/>
                <w:sz w:val="18"/>
                <w:szCs w:val="18"/>
                <w:color w:val="auto"/>
              </w:rPr>
              <w:t>SUBCOMMITTEES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7860" w:type="dxa"/>
            <w:vAlign w:val="bottom"/>
          </w:tcPr>
          <w:p>
            <w:pPr>
              <w:ind w:left="300"/>
              <w:spacing w:after="0"/>
              <w:rPr>
                <w:sz w:val="20"/>
                <w:szCs w:val="20"/>
                <w:color w:val="auto"/>
              </w:rPr>
            </w:pPr>
            <w:r>
              <w:rPr>
                <w:rFonts w:ascii="Arial" w:cs="Arial" w:eastAsia="Arial" w:hAnsi="Arial"/>
                <w:sz w:val="18"/>
                <w:szCs w:val="18"/>
                <w:color w:val="auto"/>
              </w:rPr>
              <w:t>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7860" w:type="dxa"/>
            <w:vAlign w:val="bottom"/>
          </w:tcPr>
          <w:p>
            <w:pPr>
              <w:ind w:left="300"/>
              <w:spacing w:after="0"/>
              <w:rPr>
                <w:sz w:val="20"/>
                <w:szCs w:val="20"/>
                <w:color w:val="auto"/>
              </w:rPr>
            </w:pPr>
            <w:r>
              <w:rPr>
                <w:rFonts w:ascii="Arial" w:cs="Arial" w:eastAsia="Arial" w:hAnsi="Arial"/>
                <w:sz w:val="18"/>
                <w:szCs w:val="18"/>
                <w:color w:val="auto"/>
              </w:rPr>
              <w:t>APPOINTMENT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7860" w:type="dxa"/>
            <w:vAlign w:val="bottom"/>
          </w:tcPr>
          <w:p>
            <w:pPr>
              <w:ind w:left="300"/>
              <w:spacing w:after="0"/>
              <w:rPr>
                <w:sz w:val="20"/>
                <w:szCs w:val="20"/>
                <w:color w:val="auto"/>
              </w:rPr>
            </w:pPr>
            <w:r>
              <w:rPr>
                <w:rFonts w:ascii="Arial" w:cs="Arial" w:eastAsia="Arial" w:hAnsi="Arial"/>
                <w:sz w:val="18"/>
                <w:szCs w:val="18"/>
                <w:color w:val="auto"/>
              </w:rPr>
              <w:t>SUBORDINATE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AND RESIGNATION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7860" w:type="dxa"/>
            <w:vAlign w:val="bottom"/>
          </w:tcPr>
          <w:p>
            <w:pPr>
              <w:ind w:left="300"/>
              <w:spacing w:after="0"/>
              <w:rPr>
                <w:sz w:val="20"/>
                <w:szCs w:val="20"/>
                <w:color w:val="auto"/>
              </w:rPr>
            </w:pPr>
            <w:r>
              <w:rPr>
                <w:rFonts w:ascii="Arial" w:cs="Arial" w:eastAsia="Arial" w:hAnsi="Arial"/>
                <w:sz w:val="18"/>
                <w:szCs w:val="18"/>
                <w:color w:val="auto"/>
              </w:rPr>
              <w:t>VACANCIES IN OFFICES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7860" w:type="dxa"/>
            <w:vAlign w:val="bottom"/>
          </w:tcPr>
          <w:p>
            <w:pPr>
              <w:ind w:left="300"/>
              <w:spacing w:after="0"/>
              <w:rPr>
                <w:sz w:val="20"/>
                <w:szCs w:val="20"/>
                <w:color w:val="auto"/>
              </w:rPr>
            </w:pPr>
            <w:r>
              <w:rPr>
                <w:rFonts w:ascii="Arial" w:cs="Arial" w:eastAsia="Arial" w:hAnsi="Arial"/>
                <w:sz w:val="18"/>
                <w:szCs w:val="18"/>
                <w:color w:val="auto"/>
              </w:rPr>
              <w:t>REPRESENTATION OF SECURITIES OF OTHER ENTITIES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7860" w:type="dxa"/>
            <w:vAlign w:val="bottom"/>
          </w:tcPr>
          <w:p>
            <w:pPr>
              <w:ind w:left="300"/>
              <w:spacing w:after="0"/>
              <w:rPr>
                <w:sz w:val="20"/>
                <w:szCs w:val="20"/>
                <w:color w:val="auto"/>
              </w:rPr>
            </w:pPr>
            <w:r>
              <w:rPr>
                <w:rFonts w:ascii="Arial" w:cs="Arial" w:eastAsia="Arial" w:hAnsi="Arial"/>
                <w:sz w:val="18"/>
                <w:szCs w:val="18"/>
                <w:color w:val="auto"/>
              </w:rPr>
              <w:t>AUTHORITY AND DUTIES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687705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1" w:right="519" w:bottom="1440" w:gutter="0" w:footer="0" w:header="0"/>
        </w:sectPr>
      </w:pPr>
    </w:p>
    <w:bookmarkStart w:id="511" w:name="page512"/>
    <w:bookmarkEnd w:id="511"/>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10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83"/>
              </w:rPr>
              <w:t>Page</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CERTIFICATES; PARTLY PAID SHARES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7700" w:type="dxa"/>
            <w:vAlign w:val="bottom"/>
          </w:tcPr>
          <w:p>
            <w:pPr>
              <w:ind w:left="300"/>
              <w:spacing w:after="0"/>
              <w:rPr>
                <w:sz w:val="20"/>
                <w:szCs w:val="20"/>
                <w:color w:val="auto"/>
              </w:rPr>
            </w:pPr>
            <w:r>
              <w:rPr>
                <w:rFonts w:ascii="Arial" w:cs="Arial" w:eastAsia="Arial" w:hAnsi="Arial"/>
                <w:sz w:val="18"/>
                <w:szCs w:val="18"/>
                <w:color w:val="auto"/>
              </w:rPr>
              <w:t>SPECIAL DESIGNATION ON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6.3</w:t>
            </w:r>
          </w:p>
        </w:tc>
        <w:tc>
          <w:tcPr>
            <w:tcW w:w="7700" w:type="dxa"/>
            <w:vAlign w:val="bottom"/>
          </w:tcPr>
          <w:p>
            <w:pPr>
              <w:ind w:left="300"/>
              <w:spacing w:after="0"/>
              <w:rPr>
                <w:sz w:val="20"/>
                <w:szCs w:val="20"/>
                <w:color w:val="auto"/>
              </w:rPr>
            </w:pPr>
            <w:r>
              <w:rPr>
                <w:rFonts w:ascii="Arial" w:cs="Arial" w:eastAsia="Arial" w:hAnsi="Arial"/>
                <w:sz w:val="18"/>
                <w:szCs w:val="18"/>
                <w:color w:val="auto"/>
              </w:rPr>
              <w:t>LOST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7700" w:type="dxa"/>
            <w:vAlign w:val="bottom"/>
          </w:tcPr>
          <w:p>
            <w:pPr>
              <w:ind w:left="300"/>
              <w:spacing w:after="0"/>
              <w:rPr>
                <w:sz w:val="20"/>
                <w:szCs w:val="20"/>
                <w:color w:val="auto"/>
              </w:rPr>
            </w:pPr>
            <w:r>
              <w:rPr>
                <w:rFonts w:ascii="Arial" w:cs="Arial" w:eastAsia="Arial" w:hAnsi="Arial"/>
                <w:sz w:val="18"/>
                <w:szCs w:val="18"/>
                <w:color w:val="auto"/>
              </w:rPr>
              <w:t>DIVIDENDS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7700" w:type="dxa"/>
            <w:vAlign w:val="bottom"/>
          </w:tcPr>
          <w:p>
            <w:pPr>
              <w:ind w:left="300"/>
              <w:spacing w:after="0"/>
              <w:rPr>
                <w:sz w:val="20"/>
                <w:szCs w:val="20"/>
                <w:color w:val="auto"/>
              </w:rPr>
            </w:pPr>
            <w:r>
              <w:rPr>
                <w:rFonts w:ascii="Arial" w:cs="Arial" w:eastAsia="Arial" w:hAnsi="Arial"/>
                <w:sz w:val="18"/>
                <w:szCs w:val="18"/>
                <w:color w:val="auto"/>
              </w:rPr>
              <w:t>TRANSFER OF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TRANSFER AGREEMENTS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6.7</w:t>
            </w:r>
          </w:p>
        </w:tc>
        <w:tc>
          <w:tcPr>
            <w:tcW w:w="7700" w:type="dxa"/>
            <w:vAlign w:val="bottom"/>
          </w:tcPr>
          <w:p>
            <w:pPr>
              <w:ind w:left="300"/>
              <w:spacing w:after="0"/>
              <w:rPr>
                <w:sz w:val="20"/>
                <w:szCs w:val="20"/>
                <w:color w:val="auto"/>
              </w:rPr>
            </w:pPr>
            <w:r>
              <w:rPr>
                <w:rFonts w:ascii="Arial" w:cs="Arial" w:eastAsia="Arial" w:hAnsi="Arial"/>
                <w:sz w:val="18"/>
                <w:szCs w:val="18"/>
                <w:color w:val="auto"/>
              </w:rPr>
              <w:t>REGISTERED STOCKHOLDERS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7700" w:type="dxa"/>
            <w:vAlign w:val="bottom"/>
          </w:tcPr>
          <w:p>
            <w:pPr>
              <w:ind w:left="300"/>
              <w:spacing w:after="0"/>
              <w:rPr>
                <w:sz w:val="20"/>
                <w:szCs w:val="20"/>
                <w:color w:val="auto"/>
              </w:rPr>
            </w:pPr>
            <w:r>
              <w:rPr>
                <w:rFonts w:ascii="Arial" w:cs="Arial" w:eastAsia="Arial" w:hAnsi="Arial"/>
                <w:sz w:val="18"/>
                <w:szCs w:val="18"/>
                <w:color w:val="auto"/>
              </w:rPr>
              <w:t>LOCK-UP</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7.1</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STOCKHOLDERS SHARING AN ADDRESS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7.3</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PERSON WITH WHOM COMMUNICATION IS UNLAWFUL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7700" w:type="dxa"/>
            <w:vAlign w:val="bottom"/>
          </w:tcPr>
          <w:p>
            <w:pPr>
              <w:ind w:left="300"/>
              <w:spacing w:after="0"/>
              <w:rPr>
                <w:sz w:val="20"/>
                <w:szCs w:val="20"/>
                <w:color w:val="auto"/>
              </w:rPr>
            </w:pPr>
            <w:r>
              <w:rPr>
                <w:rFonts w:ascii="Arial" w:cs="Arial" w:eastAsia="Arial" w:hAnsi="Arial"/>
                <w:sz w:val="18"/>
                <w:szCs w:val="18"/>
                <w:color w:val="auto"/>
              </w:rPr>
              <w:t>WAIVER OF NOTICE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7700" w:type="dxa"/>
            <w:vAlign w:val="bottom"/>
          </w:tcPr>
          <w:p>
            <w:pPr>
              <w:ind w:left="300"/>
              <w:spacing w:after="0"/>
              <w:rPr>
                <w:sz w:val="20"/>
                <w:szCs w:val="20"/>
                <w:color w:val="auto"/>
              </w:rPr>
            </w:pPr>
            <w:r>
              <w:rPr>
                <w:rFonts w:ascii="Arial" w:cs="Arial" w:eastAsia="Arial" w:hAnsi="Arial"/>
                <w:sz w:val="18"/>
                <w:szCs w:val="18"/>
                <w:color w:val="auto"/>
              </w:rPr>
              <w:t>Successful Defense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Others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8.6</w:t>
            </w:r>
          </w:p>
        </w:tc>
        <w:tc>
          <w:tcPr>
            <w:tcW w:w="7700" w:type="dxa"/>
            <w:vAlign w:val="bottom"/>
          </w:tcPr>
          <w:p>
            <w:pPr>
              <w:ind w:left="300"/>
              <w:spacing w:after="0"/>
              <w:rPr>
                <w:sz w:val="20"/>
                <w:szCs w:val="20"/>
                <w:color w:val="auto"/>
              </w:rPr>
            </w:pPr>
            <w:r>
              <w:rPr>
                <w:rFonts w:ascii="Arial" w:cs="Arial" w:eastAsia="Arial" w:hAnsi="Arial"/>
                <w:sz w:val="18"/>
                <w:szCs w:val="18"/>
                <w:color w:val="auto"/>
              </w:rPr>
              <w:t>Limitation on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7700" w:type="dxa"/>
            <w:vAlign w:val="bottom"/>
          </w:tcPr>
          <w:p>
            <w:pPr>
              <w:ind w:left="300"/>
              <w:spacing w:after="0"/>
              <w:rPr>
                <w:sz w:val="20"/>
                <w:szCs w:val="20"/>
                <w:color w:val="auto"/>
              </w:rPr>
            </w:pPr>
            <w:r>
              <w:rPr>
                <w:rFonts w:ascii="Arial" w:cs="Arial" w:eastAsia="Arial" w:hAnsi="Arial"/>
                <w:sz w:val="18"/>
                <w:szCs w:val="18"/>
                <w:color w:val="auto"/>
              </w:rPr>
              <w:t>Determination; Claim</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7700" w:type="dxa"/>
            <w:vAlign w:val="bottom"/>
          </w:tcPr>
          <w:p>
            <w:pPr>
              <w:ind w:left="300"/>
              <w:spacing w:after="0"/>
              <w:rPr>
                <w:sz w:val="20"/>
                <w:szCs w:val="20"/>
                <w:color w:val="auto"/>
              </w:rPr>
            </w:pPr>
            <w:r>
              <w:rPr>
                <w:rFonts w:ascii="Arial" w:cs="Arial" w:eastAsia="Arial" w:hAnsi="Arial"/>
                <w:sz w:val="18"/>
                <w:szCs w:val="18"/>
                <w:color w:val="auto"/>
              </w:rPr>
              <w:t>Non-Exclusivity of Rights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8.9</w:t>
            </w:r>
          </w:p>
        </w:tc>
        <w:tc>
          <w:tcPr>
            <w:tcW w:w="770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8.10</w:t>
            </w:r>
          </w:p>
        </w:tc>
        <w:tc>
          <w:tcPr>
            <w:tcW w:w="77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8.11</w:t>
            </w:r>
          </w:p>
        </w:tc>
        <w:tc>
          <w:tcPr>
            <w:tcW w:w="7700" w:type="dxa"/>
            <w:vAlign w:val="bottom"/>
          </w:tcPr>
          <w:p>
            <w:pPr>
              <w:ind w:left="300"/>
              <w:spacing w:after="0"/>
              <w:rPr>
                <w:sz w:val="20"/>
                <w:szCs w:val="20"/>
                <w:color w:val="auto"/>
              </w:rPr>
            </w:pPr>
            <w:r>
              <w:rPr>
                <w:rFonts w:ascii="Arial" w:cs="Arial" w:eastAsia="Arial" w:hAnsi="Arial"/>
                <w:sz w:val="18"/>
                <w:szCs w:val="18"/>
                <w:color w:val="auto"/>
              </w:rPr>
              <w:t>Effect of Repeal or Modification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8.12</w:t>
            </w:r>
          </w:p>
        </w:tc>
        <w:tc>
          <w:tcPr>
            <w:tcW w:w="7700" w:type="dxa"/>
            <w:vAlign w:val="bottom"/>
          </w:tcPr>
          <w:p>
            <w:pPr>
              <w:ind w:left="300"/>
              <w:spacing w:after="0"/>
              <w:rPr>
                <w:sz w:val="20"/>
                <w:szCs w:val="20"/>
                <w:color w:val="auto"/>
              </w:rPr>
            </w:pPr>
            <w:r>
              <w:rPr>
                <w:rFonts w:ascii="Arial" w:cs="Arial" w:eastAsia="Arial" w:hAnsi="Arial"/>
                <w:sz w:val="18"/>
                <w:szCs w:val="18"/>
                <w:color w:val="auto"/>
              </w:rPr>
              <w:t>Certain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4"/>
        </w:trPr>
        <w:tc>
          <w:tcPr>
            <w:tcW w:w="894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7700" w:type="dxa"/>
            <w:vAlign w:val="bottom"/>
          </w:tcPr>
          <w:p>
            <w:pPr>
              <w:ind w:left="300"/>
              <w:spacing w:after="0"/>
              <w:rPr>
                <w:sz w:val="20"/>
                <w:szCs w:val="20"/>
                <w:color w:val="auto"/>
              </w:rPr>
            </w:pPr>
            <w:r>
              <w:rPr>
                <w:rFonts w:ascii="Arial" w:cs="Arial" w:eastAsia="Arial" w:hAnsi="Arial"/>
                <w:sz w:val="18"/>
                <w:szCs w:val="18"/>
                <w:color w:val="auto"/>
              </w:rPr>
              <w:t>EXECUTION OF CORPORATE CONTRACTS AND INSTRUMENTS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770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7700" w:type="dxa"/>
            <w:vAlign w:val="bottom"/>
          </w:tcPr>
          <w:p>
            <w:pPr>
              <w:ind w:left="300"/>
              <w:spacing w:after="0"/>
              <w:rPr>
                <w:sz w:val="20"/>
                <w:szCs w:val="20"/>
                <w:color w:val="auto"/>
              </w:rPr>
            </w:pPr>
            <w:r>
              <w:rPr>
                <w:rFonts w:ascii="Arial" w:cs="Arial" w:eastAsia="Arial" w:hAnsi="Arial"/>
                <w:sz w:val="18"/>
                <w:szCs w:val="18"/>
                <w:color w:val="auto"/>
              </w:rPr>
              <w:t>SEAL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9.4</w:t>
            </w:r>
          </w:p>
        </w:tc>
        <w:tc>
          <w:tcPr>
            <w:tcW w:w="7700" w:type="dxa"/>
            <w:vAlign w:val="bottom"/>
          </w:tcPr>
          <w:p>
            <w:pPr>
              <w:ind w:left="300"/>
              <w:spacing w:after="0"/>
              <w:rPr>
                <w:sz w:val="20"/>
                <w:szCs w:val="20"/>
                <w:color w:val="auto"/>
              </w:rPr>
            </w:pPr>
            <w:r>
              <w:rPr>
                <w:rFonts w:ascii="Arial" w:cs="Arial" w:eastAsia="Arial" w:hAnsi="Arial"/>
                <w:sz w:val="18"/>
                <w:szCs w:val="18"/>
                <w:color w:val="auto"/>
              </w:rPr>
              <w:t>CONSTRUCTION;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7700" w:type="dxa"/>
            <w:vAlign w:val="bottom"/>
          </w:tcPr>
          <w:p>
            <w:pPr>
              <w:ind w:left="300"/>
              <w:spacing w:after="0"/>
              <w:rPr>
                <w:sz w:val="20"/>
                <w:szCs w:val="20"/>
                <w:color w:val="auto"/>
              </w:rPr>
            </w:pPr>
            <w:r>
              <w:rPr>
                <w:rFonts w:ascii="Arial" w:cs="Arial" w:eastAsia="Arial" w:hAnsi="Arial"/>
                <w:sz w:val="18"/>
                <w:szCs w:val="18"/>
                <w:color w:val="auto"/>
              </w:rPr>
              <w:t>FORUM SELECTION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bl>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687705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21" w:right="519" w:bottom="1440" w:gutter="0" w:footer="0" w:header="0"/>
        </w:sectPr>
      </w:pPr>
    </w:p>
    <w:bookmarkStart w:id="512" w:name="page513"/>
    <w:bookmarkEnd w:id="51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171450</wp:posOffset>
            </wp:positionV>
            <wp:extent cx="406336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06336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137160</wp:posOffset>
            </wp:positionV>
            <wp:extent cx="406336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registered office of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fixed in the Company’s certificate of incorporation, as the same may be amended from time to time.</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at any time establish other offices.</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ARTICLE II - MEETINGS OF STOCKHOLDERS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PLACE OF MEETINGS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Meetings of stockholders shall be held at a place, if any, within or outside the State of Delaware, determined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ANNUAL MEETING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w:t>
      </w:r>
    </w:p>
    <w:p>
      <w:pPr>
        <w:spacing w:after="0" w:line="171" w:lineRule="exact"/>
        <w:rPr>
          <w:sz w:val="20"/>
          <w:szCs w:val="20"/>
          <w:color w:val="auto"/>
        </w:rPr>
      </w:pPr>
    </w:p>
    <w:p>
      <w:pPr>
        <w:jc w:val="both"/>
        <w:ind w:firstLine="1304"/>
        <w:spacing w:after="0" w:line="291" w:lineRule="auto"/>
        <w:tabs>
          <w:tab w:leader="none" w:pos="1941" w:val="left"/>
        </w:tabs>
        <w:numPr>
          <w:ilvl w:val="1"/>
          <w:numId w:val="519"/>
        </w:numPr>
        <w:rPr>
          <w:rFonts w:ascii="Arial" w:cs="Arial" w:eastAsia="Arial" w:hAnsi="Arial"/>
          <w:sz w:val="16"/>
          <w:szCs w:val="16"/>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jc w:val="both"/>
        <w:ind w:firstLine="8"/>
        <w:spacing w:after="0" w:line="302" w:lineRule="auto"/>
        <w:tabs>
          <w:tab w:leader="none" w:pos="326"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01" w:lineRule="exact"/>
        <w:rPr>
          <w:rFonts w:ascii="Arial" w:cs="Arial" w:eastAsia="Arial" w:hAnsi="Arial"/>
          <w:sz w:val="16"/>
          <w:szCs w:val="16"/>
          <w:color w:val="auto"/>
        </w:rPr>
      </w:pPr>
    </w:p>
    <w:p>
      <w:pPr>
        <w:jc w:val="both"/>
        <w:ind w:firstLine="1304"/>
        <w:spacing w:after="0" w:line="279" w:lineRule="auto"/>
        <w:tabs>
          <w:tab w:leader="none" w:pos="1938" w:val="left"/>
        </w:tabs>
        <w:numPr>
          <w:ilvl w:val="1"/>
          <w:numId w:val="520"/>
        </w:numPr>
        <w:rPr>
          <w:rFonts w:ascii="Arial" w:cs="Arial" w:eastAsia="Arial" w:hAnsi="Arial"/>
          <w:sz w:val="17"/>
          <w:szCs w:val="17"/>
          <w:color w:val="auto"/>
        </w:rPr>
      </w:pPr>
      <w:r>
        <w:rPr>
          <w:rFonts w:ascii="Arial" w:cs="Arial" w:eastAsia="Arial" w:hAnsi="Arial"/>
          <w:sz w:val="17"/>
          <w:szCs w:val="17"/>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ADVANCE NOTICE PROCEDURES</w:t>
      </w:r>
    </w:p>
    <w:p>
      <w:pPr>
        <w:spacing w:after="0" w:line="171" w:lineRule="exact"/>
        <w:rPr>
          <w:sz w:val="20"/>
          <w:szCs w:val="20"/>
          <w:color w:val="auto"/>
        </w:rPr>
      </w:pPr>
    </w:p>
    <w:p>
      <w:pPr>
        <w:ind w:left="1940" w:hanging="636"/>
        <w:spacing w:after="0"/>
        <w:tabs>
          <w:tab w:leader="none" w:pos="1940" w:val="left"/>
        </w:tabs>
        <w:numPr>
          <w:ilvl w:val="0"/>
          <w:numId w:val="521"/>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p>
    <w:p>
      <w:pPr>
        <w:spacing w:after="0" w:line="171" w:lineRule="exact"/>
        <w:rPr>
          <w:rFonts w:ascii="Arial" w:cs="Arial" w:eastAsia="Arial" w:hAnsi="Arial"/>
          <w:sz w:val="18"/>
          <w:szCs w:val="18"/>
          <w:color w:val="auto"/>
        </w:rPr>
      </w:pPr>
    </w:p>
    <w:p>
      <w:pPr>
        <w:jc w:val="both"/>
        <w:ind w:right="20" w:firstLine="1952"/>
        <w:spacing w:after="0" w:line="263" w:lineRule="auto"/>
        <w:tabs>
          <w:tab w:leader="none" w:pos="2586" w:val="left"/>
        </w:tabs>
        <w:numPr>
          <w:ilvl w:val="1"/>
          <w:numId w:val="521"/>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Directors; (3) as may be provided in the certificate of designations for any class or series of preferred stock; or (4) by any stockholder of the Company who</w:t>
      </w:r>
    </w:p>
    <w:p>
      <w:pPr>
        <w:spacing w:after="0" w:line="46" w:lineRule="exact"/>
        <w:rPr>
          <w:sz w:val="20"/>
          <w:szCs w:val="20"/>
          <w:color w:val="auto"/>
        </w:rPr>
      </w:pPr>
    </w:p>
    <w:p>
      <w:pPr>
        <w:jc w:val="both"/>
        <w:ind w:firstLine="8"/>
        <w:spacing w:after="0" w:line="253" w:lineRule="auto"/>
        <w:tabs>
          <w:tab w:leader="none" w:pos="297"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38" w:lineRule="exact"/>
        <w:rPr>
          <w:rFonts w:ascii="Arial" w:cs="Arial" w:eastAsia="Arial" w:hAnsi="Arial"/>
          <w:sz w:val="18"/>
          <w:szCs w:val="18"/>
          <w:color w:val="auto"/>
        </w:rPr>
      </w:pPr>
    </w:p>
    <w:p>
      <w:pPr>
        <w:jc w:val="both"/>
        <w:ind w:firstLine="1952"/>
        <w:spacing w:after="0" w:line="267" w:lineRule="auto"/>
        <w:tabs>
          <w:tab w:leader="none" w:pos="2582" w:val="left"/>
        </w:tabs>
        <w:numPr>
          <w:ilvl w:val="1"/>
          <w:numId w:val="522"/>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7"/>
          <w:szCs w:val="17"/>
          <w:b w:val="1"/>
          <w:bCs w:val="1"/>
          <w:color w:val="auto"/>
        </w:rPr>
        <w:t>Public announcement</w:t>
      </w:r>
      <w:r>
        <w:rPr>
          <w:rFonts w:ascii="Arial" w:cs="Arial" w:eastAsia="Arial" w:hAnsi="Arial"/>
          <w:sz w:val="17"/>
          <w:szCs w:val="17"/>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Arial" w:cs="Arial" w:eastAsia="Arial" w:hAnsi="Arial"/>
          <w:sz w:val="17"/>
          <w:szCs w:val="17"/>
          <w:b w:val="1"/>
          <w:bCs w:val="1"/>
          <w:color w:val="auto"/>
        </w:rPr>
        <w:t>1934 Act</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left="2600" w:hanging="648"/>
        <w:spacing w:after="0"/>
        <w:tabs>
          <w:tab w:leader="none" w:pos="26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171" w:lineRule="exact"/>
        <w:rPr>
          <w:rFonts w:ascii="Arial" w:cs="Arial" w:eastAsia="Arial" w:hAnsi="Arial"/>
          <w:sz w:val="18"/>
          <w:szCs w:val="18"/>
          <w:color w:val="auto"/>
        </w:rPr>
      </w:pPr>
    </w:p>
    <w:p>
      <w:pPr>
        <w:ind w:left="3240" w:hanging="640"/>
        <w:spacing w:after="0"/>
        <w:tabs>
          <w:tab w:leader="none" w:pos="3240" w:val="left"/>
        </w:tabs>
        <w:numPr>
          <w:ilvl w:val="2"/>
          <w:numId w:val="522"/>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as a director:</w:t>
      </w:r>
    </w:p>
    <w:p>
      <w:pPr>
        <w:spacing w:after="0" w:line="171" w:lineRule="exact"/>
        <w:rPr>
          <w:rFonts w:ascii="Arial" w:cs="Arial" w:eastAsia="Arial" w:hAnsi="Arial"/>
          <w:sz w:val="18"/>
          <w:szCs w:val="18"/>
          <w:color w:val="auto"/>
        </w:rPr>
      </w:pPr>
    </w:p>
    <w:p>
      <w:pPr>
        <w:jc w:val="both"/>
        <w:ind w:firstLine="3248"/>
        <w:spacing w:after="0" w:line="293" w:lineRule="auto"/>
        <w:tabs>
          <w:tab w:leader="none" w:pos="3881" w:val="left"/>
        </w:tabs>
        <w:numPr>
          <w:ilvl w:val="3"/>
          <w:numId w:val="522"/>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spacing w:after="0" w:line="110" w:lineRule="exact"/>
        <w:rPr>
          <w:rFonts w:ascii="Arial" w:cs="Arial" w:eastAsia="Arial" w:hAnsi="Arial"/>
          <w:sz w:val="16"/>
          <w:szCs w:val="16"/>
          <w:color w:val="auto"/>
        </w:rPr>
      </w:pPr>
    </w:p>
    <w:p>
      <w:pPr>
        <w:ind w:right="120" w:firstLine="3248"/>
        <w:spacing w:after="0" w:line="277" w:lineRule="auto"/>
        <w:tabs>
          <w:tab w:leader="none" w:pos="3885" w:val="left"/>
        </w:tabs>
        <w:numPr>
          <w:ilvl w:val="3"/>
          <w:numId w:val="522"/>
        </w:numPr>
        <w:rPr>
          <w:rFonts w:ascii="Arial" w:cs="Arial" w:eastAsia="Arial" w:hAnsi="Arial"/>
          <w:sz w:val="18"/>
          <w:szCs w:val="18"/>
          <w:color w:val="auto"/>
        </w:rPr>
      </w:pPr>
      <w:r>
        <w:rPr>
          <w:rFonts w:ascii="Arial" w:cs="Arial" w:eastAsia="Arial" w:hAnsi="Arial"/>
          <w:sz w:val="18"/>
          <w:szCs w:val="18"/>
          <w:color w:val="auto"/>
        </w:rPr>
        <w:t>such person’s written consent to being named in such stockholder’s proxy statement as a nominee of such stockholder and to serving as a director of the Company if elected;</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3"/>
          <w:numId w:val="522"/>
        </w:numPr>
        <w:rPr>
          <w:rFonts w:ascii="Arial" w:cs="Arial" w:eastAsia="Arial" w:hAnsi="Arial"/>
          <w:sz w:val="16"/>
          <w:szCs w:val="16"/>
          <w:color w:val="auto"/>
        </w:rPr>
      </w:pPr>
      <w:r>
        <w:rPr>
          <w:rFonts w:ascii="Arial" w:cs="Arial" w:eastAsia="Arial" w:hAnsi="Arial"/>
          <w:sz w:val="16"/>
          <w:szCs w:val="16"/>
          <w:color w:val="auto"/>
        </w:rPr>
        <w:t>a reasonably detailed description of any direct or indirect compensatory, payment, indemnification or</w:t>
      </w:r>
    </w:p>
    <w:p>
      <w:pPr>
        <w:spacing w:after="0" w:line="46" w:lineRule="exact"/>
        <w:rPr>
          <w:rFonts w:ascii="Arial" w:cs="Arial" w:eastAsia="Arial" w:hAnsi="Arial"/>
          <w:sz w:val="16"/>
          <w:szCs w:val="16"/>
          <w:color w:val="auto"/>
        </w:rPr>
      </w:pPr>
    </w:p>
    <w:p>
      <w:pPr>
        <w:jc w:val="both"/>
        <w:ind w:right="160"/>
        <w:spacing w:after="0" w:line="255" w:lineRule="auto"/>
        <w:rPr>
          <w:rFonts w:ascii="Arial" w:cs="Arial" w:eastAsia="Arial" w:hAnsi="Arial"/>
          <w:sz w:val="16"/>
          <w:szCs w:val="16"/>
          <w:color w:val="auto"/>
        </w:rPr>
      </w:pPr>
      <w:r>
        <w:rPr>
          <w:rFonts w:ascii="Arial" w:cs="Arial" w:eastAsia="Arial" w:hAnsi="Arial"/>
          <w:sz w:val="18"/>
          <w:szCs w:val="18"/>
          <w:color w:val="auto"/>
        </w:rPr>
        <w:t>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8"/>
          <w:szCs w:val="18"/>
          <w:b w:val="1"/>
          <w:bCs w:val="1"/>
          <w:color w:val="auto"/>
        </w:rPr>
        <w:t>Third-Party Compensation Arrangement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43" w:lineRule="exact"/>
        <w:rPr>
          <w:sz w:val="20"/>
          <w:szCs w:val="20"/>
          <w:color w:val="auto"/>
        </w:rPr>
      </w:pPr>
    </w:p>
    <w:p>
      <w:pPr>
        <w:ind w:right="120" w:firstLine="3248"/>
        <w:spacing w:after="0" w:line="311" w:lineRule="auto"/>
        <w:tabs>
          <w:tab w:leader="none" w:pos="3881" w:val="left"/>
        </w:tabs>
        <w:numPr>
          <w:ilvl w:val="1"/>
          <w:numId w:val="523"/>
        </w:numPr>
        <w:rPr>
          <w:rFonts w:ascii="Arial" w:cs="Arial" w:eastAsia="Arial" w:hAnsi="Arial"/>
          <w:sz w:val="16"/>
          <w:szCs w:val="16"/>
          <w:color w:val="auto"/>
        </w:rPr>
      </w:pPr>
      <w:r>
        <w:rPr>
          <w:rFonts w:ascii="Arial" w:cs="Arial" w:eastAsia="Arial" w:hAnsi="Arial"/>
          <w:sz w:val="16"/>
          <w:szCs w:val="16"/>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94" w:lineRule="exact"/>
        <w:rPr>
          <w:rFonts w:ascii="Arial" w:cs="Arial" w:eastAsia="Arial" w:hAnsi="Arial"/>
          <w:sz w:val="16"/>
          <w:szCs w:val="16"/>
          <w:color w:val="auto"/>
        </w:rPr>
      </w:pPr>
    </w:p>
    <w:p>
      <w:pPr>
        <w:ind w:left="3240" w:hanging="640"/>
        <w:spacing w:after="0"/>
        <w:tabs>
          <w:tab w:leader="none" w:pos="32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meeting;</w:t>
      </w:r>
    </w:p>
    <w:p>
      <w:pPr>
        <w:spacing w:after="0" w:line="171" w:lineRule="exact"/>
        <w:rPr>
          <w:rFonts w:ascii="Arial" w:cs="Arial" w:eastAsia="Arial" w:hAnsi="Arial"/>
          <w:sz w:val="18"/>
          <w:szCs w:val="18"/>
          <w:color w:val="auto"/>
        </w:rPr>
      </w:pPr>
    </w:p>
    <w:p>
      <w:pPr>
        <w:ind w:firstLine="3248"/>
        <w:spacing w:after="0" w:line="277" w:lineRule="auto"/>
        <w:tabs>
          <w:tab w:leader="none" w:pos="3885"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 if applicable, the text of any proposed amendment to these bylaws);</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reasons for conducting such business at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4"/>
        </w:numPr>
        <w:rPr>
          <w:rFonts w:ascii="Arial" w:cs="Arial" w:eastAsia="Arial" w:hAnsi="Arial"/>
          <w:sz w:val="16"/>
          <w:szCs w:val="16"/>
          <w:color w:val="auto"/>
        </w:rPr>
      </w:pPr>
      <w:r>
        <w:rPr>
          <w:rFonts w:ascii="Arial" w:cs="Arial" w:eastAsia="Arial" w:hAnsi="Arial"/>
          <w:sz w:val="16"/>
          <w:szCs w:val="16"/>
          <w:color w:val="auto"/>
        </w:rPr>
        <w:t>any material interest in such business of such stockholder giving the notice and the beneficial owner,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 any, on whose behalf the proposal is made, and their respective affiliates and associates, or others acting in concert with them; and</w:t>
      </w:r>
    </w:p>
    <w:p>
      <w:pPr>
        <w:spacing w:after="0" w:line="156" w:lineRule="exact"/>
        <w:rPr>
          <w:rFonts w:ascii="Arial" w:cs="Arial" w:eastAsia="Arial" w:hAnsi="Arial"/>
          <w:sz w:val="16"/>
          <w:szCs w:val="16"/>
          <w:color w:val="auto"/>
        </w:rPr>
      </w:pPr>
    </w:p>
    <w:p>
      <w:pPr>
        <w:jc w:val="both"/>
        <w:ind w:firstLine="3248"/>
        <w:spacing w:after="0" w:line="286" w:lineRule="auto"/>
        <w:tabs>
          <w:tab w:leader="none" w:pos="3875" w:val="left"/>
        </w:tabs>
        <w:numPr>
          <w:ilvl w:val="1"/>
          <w:numId w:val="524"/>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11" w:lineRule="exact"/>
        <w:rPr>
          <w:rFonts w:ascii="Arial" w:cs="Arial" w:eastAsia="Arial" w:hAnsi="Arial"/>
          <w:sz w:val="17"/>
          <w:szCs w:val="17"/>
          <w:color w:val="auto"/>
        </w:rPr>
      </w:pPr>
    </w:p>
    <w:p>
      <w:pPr>
        <w:ind w:left="3240" w:hanging="640"/>
        <w:spacing w:after="0"/>
        <w:tabs>
          <w:tab w:leader="none" w:pos="324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proposal is made:</w:t>
      </w:r>
    </w:p>
    <w:p>
      <w:pPr>
        <w:spacing w:after="0" w:line="156" w:lineRule="exact"/>
        <w:rPr>
          <w:rFonts w:ascii="Arial" w:cs="Arial" w:eastAsia="Arial" w:hAnsi="Arial"/>
          <w:sz w:val="17"/>
          <w:szCs w:val="17"/>
          <w:color w:val="auto"/>
        </w:rPr>
      </w:pPr>
    </w:p>
    <w:p>
      <w:pPr>
        <w:ind w:right="20" w:firstLine="3248"/>
        <w:spacing w:after="0" w:line="277" w:lineRule="auto"/>
        <w:tabs>
          <w:tab w:leader="none" w:pos="3881"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of such beneficial owner and of their respective affiliates or associates or others acting in concert with them;</w:t>
      </w:r>
    </w:p>
    <w:p>
      <w:pPr>
        <w:spacing w:after="0" w:line="116" w:lineRule="exact"/>
        <w:rPr>
          <w:rFonts w:ascii="Arial" w:cs="Arial" w:eastAsia="Arial" w:hAnsi="Arial"/>
          <w:sz w:val="18"/>
          <w:szCs w:val="18"/>
          <w:color w:val="auto"/>
        </w:rPr>
      </w:pPr>
    </w:p>
    <w:p>
      <w:pPr>
        <w:jc w:val="both"/>
        <w:ind w:firstLine="3248"/>
        <w:spacing w:after="0" w:line="263" w:lineRule="auto"/>
        <w:tabs>
          <w:tab w:leader="none" w:pos="3885" w:val="left"/>
        </w:tabs>
        <w:numPr>
          <w:ilvl w:val="1"/>
          <w:numId w:val="524"/>
        </w:numPr>
        <w:rPr>
          <w:rFonts w:ascii="Arial" w:cs="Arial" w:eastAsia="Arial" w:hAnsi="Arial"/>
          <w:sz w:val="18"/>
          <w:szCs w:val="18"/>
          <w:color w:val="auto"/>
        </w:rPr>
      </w:pPr>
      <w:r>
        <w:rPr>
          <w:rFonts w:ascii="Arial" w:cs="Arial" w:eastAsia="Arial" w:hAnsi="Arial"/>
          <w:sz w:val="18"/>
          <w:szCs w:val="18"/>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29" w:lineRule="exact"/>
        <w:rPr>
          <w:rFonts w:ascii="Arial" w:cs="Arial" w:eastAsia="Arial" w:hAnsi="Arial"/>
          <w:sz w:val="18"/>
          <w:szCs w:val="18"/>
          <w:color w:val="auto"/>
        </w:rPr>
      </w:pPr>
    </w:p>
    <w:p>
      <w:pPr>
        <w:jc w:val="both"/>
        <w:ind w:right="20" w:firstLine="3248"/>
        <w:spacing w:after="0" w:line="263" w:lineRule="auto"/>
        <w:tabs>
          <w:tab w:leader="none" w:pos="3885"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29" w:lineRule="exact"/>
        <w:rPr>
          <w:rFonts w:ascii="Arial" w:cs="Arial" w:eastAsia="Arial" w:hAnsi="Arial"/>
          <w:sz w:val="18"/>
          <w:szCs w:val="18"/>
          <w:color w:val="auto"/>
        </w:rPr>
      </w:pPr>
    </w:p>
    <w:p>
      <w:pPr>
        <w:jc w:val="both"/>
        <w:ind w:firstLine="3248"/>
        <w:spacing w:after="0" w:line="272" w:lineRule="auto"/>
        <w:tabs>
          <w:tab w:leader="none" w:pos="3881" w:val="left"/>
        </w:tabs>
        <w:numPr>
          <w:ilvl w:val="1"/>
          <w:numId w:val="524"/>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7"/>
          <w:szCs w:val="17"/>
          <w:b w:val="1"/>
          <w:bCs w:val="1"/>
          <w:color w:val="auto"/>
        </w:rPr>
        <w:t>Derivative</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or any other agreement, arrangement or understanding that has been made the effect or intent of which is to create or mitigate loss to,</w:t>
      </w:r>
      <w:r>
        <w:rPr>
          <w:rFonts w:ascii="Arial" w:cs="Arial" w:eastAsia="Arial" w:hAnsi="Arial"/>
          <w:sz w:val="17"/>
          <w:szCs w:val="17"/>
          <w:b w:val="1"/>
          <w:bCs w:val="1"/>
          <w:color w:val="auto"/>
        </w:rPr>
        <w:t xml:space="preserve"> </w:t>
      </w:r>
      <w:r>
        <w:rPr>
          <w:rFonts w:ascii="Arial" w:cs="Arial" w:eastAsia="Arial" w:hAnsi="Arial"/>
          <w:sz w:val="17"/>
          <w:szCs w:val="17"/>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23" w:lineRule="exact"/>
        <w:rPr>
          <w:rFonts w:ascii="Arial" w:cs="Arial" w:eastAsia="Arial" w:hAnsi="Arial"/>
          <w:sz w:val="17"/>
          <w:szCs w:val="17"/>
          <w:color w:val="auto"/>
        </w:rPr>
      </w:pPr>
    </w:p>
    <w:p>
      <w:pPr>
        <w:jc w:val="both"/>
        <w:ind w:firstLine="3248"/>
        <w:spacing w:after="0" w:line="263" w:lineRule="auto"/>
        <w:tabs>
          <w:tab w:leader="none" w:pos="3875"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43" w:lineRule="exact"/>
        <w:rPr>
          <w:sz w:val="20"/>
          <w:szCs w:val="20"/>
          <w:color w:val="auto"/>
        </w:rPr>
      </w:pPr>
    </w:p>
    <w:p>
      <w:pPr>
        <w:jc w:val="both"/>
        <w:ind w:firstLine="3248"/>
        <w:spacing w:after="0" w:line="311" w:lineRule="auto"/>
        <w:tabs>
          <w:tab w:leader="none" w:pos="3878" w:val="left"/>
        </w:tabs>
        <w:numPr>
          <w:ilvl w:val="1"/>
          <w:numId w:val="525"/>
        </w:numPr>
        <w:rPr>
          <w:rFonts w:ascii="Arial" w:cs="Arial" w:eastAsia="Arial" w:hAnsi="Arial"/>
          <w:sz w:val="16"/>
          <w:szCs w:val="16"/>
          <w:color w:val="auto"/>
        </w:rPr>
      </w:pPr>
      <w:r>
        <w:rPr>
          <w:rFonts w:ascii="Arial" w:cs="Arial" w:eastAsia="Arial" w:hAnsi="Arial"/>
          <w:sz w:val="16"/>
          <w:szCs w:val="16"/>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94" w:lineRule="exact"/>
        <w:rPr>
          <w:rFonts w:ascii="Arial" w:cs="Arial" w:eastAsia="Arial" w:hAnsi="Arial"/>
          <w:sz w:val="16"/>
          <w:szCs w:val="16"/>
          <w:color w:val="auto"/>
        </w:rPr>
      </w:pPr>
    </w:p>
    <w:p>
      <w:pPr>
        <w:jc w:val="both"/>
        <w:ind w:firstLine="3248"/>
        <w:spacing w:after="0" w:line="259" w:lineRule="auto"/>
        <w:tabs>
          <w:tab w:leader="none" w:pos="3881"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32" w:lineRule="exact"/>
        <w:rPr>
          <w:rFonts w:ascii="Arial" w:cs="Arial" w:eastAsia="Arial" w:hAnsi="Arial"/>
          <w:sz w:val="18"/>
          <w:szCs w:val="18"/>
          <w:color w:val="auto"/>
        </w:rPr>
      </w:pPr>
    </w:p>
    <w:p>
      <w:pPr>
        <w:ind w:left="3880" w:hanging="632"/>
        <w:spacing w:after="0"/>
        <w:tabs>
          <w:tab w:leader="none" w:pos="388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any significant equity interests or any Derivative Instruments in any principal competitor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that are held by such stockholder, such beneficial owner or their respective affiliates or associates or others acting in concert with them;</w:t>
      </w:r>
    </w:p>
    <w:p>
      <w:pPr>
        <w:spacing w:after="0" w:line="168" w:lineRule="exact"/>
        <w:rPr>
          <w:rFonts w:ascii="Arial" w:cs="Arial" w:eastAsia="Arial" w:hAnsi="Arial"/>
          <w:sz w:val="17"/>
          <w:szCs w:val="17"/>
          <w:color w:val="auto"/>
        </w:rPr>
      </w:pPr>
    </w:p>
    <w:p>
      <w:pPr>
        <w:jc w:val="both"/>
        <w:ind w:firstLine="3248"/>
        <w:spacing w:after="0" w:line="263" w:lineRule="auto"/>
        <w:tabs>
          <w:tab w:leader="none" w:pos="3879"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29" w:lineRule="exact"/>
        <w:rPr>
          <w:rFonts w:ascii="Arial" w:cs="Arial" w:eastAsia="Arial" w:hAnsi="Arial"/>
          <w:sz w:val="18"/>
          <w:szCs w:val="18"/>
          <w:color w:val="auto"/>
        </w:rPr>
      </w:pPr>
    </w:p>
    <w:p>
      <w:pPr>
        <w:jc w:val="both"/>
        <w:ind w:firstLine="3248"/>
        <w:spacing w:after="0" w:line="263" w:lineRule="auto"/>
        <w:tabs>
          <w:tab w:leader="none" w:pos="387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29" w:lineRule="exact"/>
        <w:rPr>
          <w:rFonts w:ascii="Arial" w:cs="Arial" w:eastAsia="Arial" w:hAnsi="Arial"/>
          <w:sz w:val="18"/>
          <w:szCs w:val="18"/>
          <w:color w:val="auto"/>
        </w:rPr>
      </w:pPr>
    </w:p>
    <w:p>
      <w:pPr>
        <w:jc w:val="both"/>
        <w:ind w:firstLine="3248"/>
        <w:spacing w:after="0" w:line="259" w:lineRule="auto"/>
        <w:tabs>
          <w:tab w:leader="none" w:pos="3881"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32" w:lineRule="exact"/>
        <w:rPr>
          <w:rFonts w:ascii="Arial" w:cs="Arial" w:eastAsia="Arial" w:hAnsi="Arial"/>
          <w:sz w:val="18"/>
          <w:szCs w:val="18"/>
          <w:color w:val="auto"/>
        </w:rPr>
      </w:pPr>
    </w:p>
    <w:p>
      <w:pPr>
        <w:jc w:val="both"/>
        <w:ind w:firstLine="3248"/>
        <w:spacing w:after="0" w:line="259" w:lineRule="auto"/>
        <w:tabs>
          <w:tab w:leader="none" w:pos="387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32" w:lineRule="exact"/>
        <w:rPr>
          <w:rFonts w:ascii="Arial" w:cs="Arial" w:eastAsia="Arial" w:hAnsi="Arial"/>
          <w:sz w:val="18"/>
          <w:szCs w:val="18"/>
          <w:color w:val="auto"/>
        </w:rPr>
      </w:pPr>
    </w:p>
    <w:p>
      <w:pPr>
        <w:ind w:left="3900" w:hanging="652"/>
        <w:spacing w:after="0"/>
        <w:tabs>
          <w:tab w:leader="none" w:pos="3900" w:val="left"/>
        </w:tabs>
        <w:numPr>
          <w:ilvl w:val="1"/>
          <w:numId w:val="525"/>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 to determine whether such proposed item of business is a proper matter for stockholder action.</w:t>
      </w:r>
    </w:p>
    <w:p>
      <w:pPr>
        <w:spacing w:after="0" w:line="156" w:lineRule="exact"/>
        <w:rPr>
          <w:rFonts w:ascii="Arial" w:cs="Arial" w:eastAsia="Arial" w:hAnsi="Arial"/>
          <w:sz w:val="16"/>
          <w:szCs w:val="16"/>
          <w:color w:val="auto"/>
        </w:rPr>
      </w:pPr>
    </w:p>
    <w:p>
      <w:pPr>
        <w:jc w:val="both"/>
        <w:ind w:firstLine="1952"/>
        <w:spacing w:after="0" w:line="287" w:lineRule="auto"/>
        <w:tabs>
          <w:tab w:leader="none" w:pos="2582" w:val="left"/>
        </w:tabs>
        <w:numPr>
          <w:ilvl w:val="0"/>
          <w:numId w:val="526"/>
        </w:numPr>
        <w:rPr>
          <w:rFonts w:ascii="Arial" w:cs="Arial" w:eastAsia="Arial" w:hAnsi="Arial"/>
          <w:sz w:val="16"/>
          <w:szCs w:val="16"/>
          <w:color w:val="auto"/>
        </w:rPr>
      </w:pPr>
      <w:r>
        <w:rPr>
          <w:rFonts w:ascii="Arial" w:cs="Arial" w:eastAsia="Arial" w:hAnsi="Arial"/>
          <w:sz w:val="16"/>
          <w:szCs w:val="16"/>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 or additional information shall result in the nomination or proposal no longer being eligible for consideration at the meeting.</w:t>
      </w:r>
    </w:p>
    <w:p>
      <w:pPr>
        <w:spacing w:after="0" w:line="171" w:lineRule="exact"/>
        <w:rPr>
          <w:sz w:val="20"/>
          <w:szCs w:val="20"/>
          <w:color w:val="auto"/>
        </w:rPr>
      </w:pPr>
    </w:p>
    <w:p>
      <w:pPr>
        <w:jc w:val="both"/>
        <w:ind w:firstLine="1304"/>
        <w:spacing w:after="0" w:line="286" w:lineRule="auto"/>
        <w:tabs>
          <w:tab w:leader="none" w:pos="1938" w:val="left"/>
        </w:tabs>
        <w:numPr>
          <w:ilvl w:val="0"/>
          <w:numId w:val="527"/>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Except to the extent required by the DGCL, and subject to Section 2.3(a),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19" w:lineRule="exact"/>
        <w:rPr>
          <w:rFonts w:ascii="Arial" w:cs="Arial" w:eastAsia="Arial" w:hAnsi="Arial"/>
          <w:sz w:val="16"/>
          <w:szCs w:val="16"/>
          <w:color w:val="auto"/>
        </w:rPr>
      </w:pPr>
    </w:p>
    <w:p>
      <w:pPr>
        <w:ind w:left="1940" w:hanging="636"/>
        <w:spacing w:after="0"/>
        <w:tabs>
          <w:tab w:leader="none" w:pos="1940" w:val="left"/>
        </w:tabs>
        <w:numPr>
          <w:ilvl w:val="0"/>
          <w:numId w:val="527"/>
        </w:numPr>
        <w:rPr>
          <w:rFonts w:ascii="Arial" w:cs="Arial" w:eastAsia="Arial" w:hAnsi="Arial"/>
          <w:sz w:val="18"/>
          <w:szCs w:val="18"/>
          <w:color w:val="auto"/>
        </w:rPr>
      </w:pPr>
      <w:r>
        <w:rPr>
          <w:rFonts w:ascii="Arial" w:cs="Arial" w:eastAsia="Arial" w:hAnsi="Arial"/>
          <w:sz w:val="18"/>
          <w:szCs w:val="18"/>
          <w:i w:val="1"/>
          <w:iCs w:val="1"/>
          <w:color w:val="auto"/>
        </w:rPr>
        <w:t>Other Requirements.</w:t>
      </w:r>
    </w:p>
    <w:p>
      <w:pPr>
        <w:spacing w:after="0" w:line="171" w:lineRule="exact"/>
        <w:rPr>
          <w:rFonts w:ascii="Arial" w:cs="Arial" w:eastAsia="Arial" w:hAnsi="Arial"/>
          <w:sz w:val="18"/>
          <w:szCs w:val="18"/>
          <w:color w:val="auto"/>
        </w:rPr>
      </w:pPr>
    </w:p>
    <w:p>
      <w:pPr>
        <w:ind w:right="20" w:firstLine="1952"/>
        <w:spacing w:after="0" w:line="342" w:lineRule="auto"/>
        <w:tabs>
          <w:tab w:leader="none" w:pos="2586" w:val="left"/>
        </w:tabs>
        <w:numPr>
          <w:ilvl w:val="1"/>
          <w:numId w:val="527"/>
        </w:numPr>
        <w:rPr>
          <w:rFonts w:ascii="Arial" w:cs="Arial" w:eastAsia="Arial" w:hAnsi="Arial"/>
          <w:sz w:val="16"/>
          <w:szCs w:val="16"/>
          <w:color w:val="auto"/>
        </w:rPr>
      </w:pPr>
      <w:r>
        <w:rPr>
          <w:rFonts w:ascii="Arial" w:cs="Arial" w:eastAsia="Arial" w:hAnsi="Arial"/>
          <w:sz w:val="16"/>
          <w:szCs w:val="16"/>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69" w:lineRule="exact"/>
        <w:rPr>
          <w:rFonts w:ascii="Arial" w:cs="Arial" w:eastAsia="Arial" w:hAnsi="Arial"/>
          <w:sz w:val="16"/>
          <w:szCs w:val="16"/>
          <w:color w:val="auto"/>
        </w:rPr>
      </w:pPr>
    </w:p>
    <w:p>
      <w:pPr>
        <w:jc w:val="both"/>
        <w:ind w:firstLine="2600"/>
        <w:spacing w:after="0" w:line="279" w:lineRule="auto"/>
        <w:tabs>
          <w:tab w:leader="none" w:pos="3234" w:val="left"/>
        </w:tabs>
        <w:numPr>
          <w:ilvl w:val="2"/>
          <w:numId w:val="527"/>
        </w:numPr>
        <w:rPr>
          <w:rFonts w:ascii="Arial" w:cs="Arial" w:eastAsia="Arial" w:hAnsi="Arial"/>
          <w:sz w:val="17"/>
          <w:szCs w:val="17"/>
          <w:color w:val="auto"/>
        </w:rPr>
      </w:pPr>
      <w:r>
        <w:rPr>
          <w:rFonts w:ascii="Arial" w:cs="Arial" w:eastAsia="Arial" w:hAnsi="Arial"/>
          <w:sz w:val="17"/>
          <w:szCs w:val="17"/>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17" w:lineRule="exact"/>
        <w:rPr>
          <w:rFonts w:ascii="Arial" w:cs="Arial" w:eastAsia="Arial" w:hAnsi="Arial"/>
          <w:sz w:val="17"/>
          <w:szCs w:val="17"/>
          <w:color w:val="auto"/>
        </w:rPr>
      </w:pPr>
    </w:p>
    <w:p>
      <w:pPr>
        <w:jc w:val="both"/>
        <w:ind w:firstLine="2600"/>
        <w:spacing w:after="0" w:line="263" w:lineRule="auto"/>
        <w:tabs>
          <w:tab w:leader="none" w:pos="3234" w:val="left"/>
        </w:tabs>
        <w:numPr>
          <w:ilvl w:val="2"/>
          <w:numId w:val="527"/>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29" w:lineRule="exact"/>
        <w:rPr>
          <w:rFonts w:ascii="Arial" w:cs="Arial" w:eastAsia="Arial" w:hAnsi="Arial"/>
          <w:sz w:val="18"/>
          <w:szCs w:val="18"/>
          <w:color w:val="auto"/>
        </w:rPr>
      </w:pPr>
    </w:p>
    <w:p>
      <w:pPr>
        <w:ind w:firstLine="2600"/>
        <w:spacing w:after="0" w:line="277" w:lineRule="auto"/>
        <w:tabs>
          <w:tab w:leader="none" w:pos="3234" w:val="left"/>
        </w:tabs>
        <w:numPr>
          <w:ilvl w:val="2"/>
          <w:numId w:val="527"/>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Third-Party Compensation Arrangement;</w:t>
      </w:r>
    </w:p>
    <w:p>
      <w:pPr>
        <w:spacing w:after="0" w:line="116" w:lineRule="exact"/>
        <w:rPr>
          <w:rFonts w:ascii="Arial" w:cs="Arial" w:eastAsia="Arial" w:hAnsi="Arial"/>
          <w:sz w:val="18"/>
          <w:szCs w:val="18"/>
          <w:color w:val="auto"/>
        </w:rPr>
      </w:pPr>
    </w:p>
    <w:p>
      <w:pPr>
        <w:jc w:val="both"/>
        <w:ind w:firstLine="2600"/>
        <w:spacing w:after="0" w:line="263" w:lineRule="auto"/>
        <w:tabs>
          <w:tab w:leader="none" w:pos="3234" w:val="left"/>
        </w:tabs>
        <w:numPr>
          <w:ilvl w:val="2"/>
          <w:numId w:val="527"/>
        </w:numPr>
        <w:rPr>
          <w:rFonts w:ascii="Arial" w:cs="Arial" w:eastAsia="Arial" w:hAnsi="Arial"/>
          <w:sz w:val="18"/>
          <w:szCs w:val="18"/>
          <w:color w:val="auto"/>
        </w:rPr>
      </w:pPr>
      <w:r>
        <w:rPr>
          <w:rFonts w:ascii="Arial" w:cs="Arial" w:eastAsia="Arial" w:hAnsi="Arial"/>
          <w:sz w:val="18"/>
          <w:szCs w:val="18"/>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29" w:lineRule="exact"/>
        <w:rPr>
          <w:rFonts w:ascii="Arial" w:cs="Arial" w:eastAsia="Arial" w:hAnsi="Arial"/>
          <w:sz w:val="18"/>
          <w:szCs w:val="18"/>
          <w:color w:val="auto"/>
        </w:rPr>
      </w:pPr>
    </w:p>
    <w:p>
      <w:pPr>
        <w:ind w:left="3240" w:hanging="640"/>
        <w:spacing w:after="0"/>
        <w:tabs>
          <w:tab w:leader="none" w:pos="3240" w:val="left"/>
        </w:tabs>
        <w:numPr>
          <w:ilvl w:val="2"/>
          <w:numId w:val="527"/>
        </w:numPr>
        <w:rPr>
          <w:rFonts w:ascii="Arial" w:cs="Arial" w:eastAsia="Arial" w:hAnsi="Arial"/>
          <w:sz w:val="17"/>
          <w:szCs w:val="17"/>
          <w:color w:val="auto"/>
        </w:rPr>
      </w:pPr>
      <w:r>
        <w:rPr>
          <w:rFonts w:ascii="Arial" w:cs="Arial" w:eastAsia="Arial" w:hAnsi="Arial"/>
          <w:sz w:val="17"/>
          <w:szCs w:val="17"/>
          <w:color w:val="auto"/>
        </w:rPr>
        <w:t>a written representation and undertaking that such nominee, if elected, intends to serve a full term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Board of Directors.</w:t>
      </w:r>
    </w:p>
    <w:p>
      <w:pPr>
        <w:spacing w:after="0" w:line="156" w:lineRule="exact"/>
        <w:rPr>
          <w:rFonts w:ascii="Arial" w:cs="Arial" w:eastAsia="Arial" w:hAnsi="Arial"/>
          <w:sz w:val="17"/>
          <w:szCs w:val="17"/>
          <w:color w:val="auto"/>
        </w:rPr>
      </w:pPr>
    </w:p>
    <w:p>
      <w:pPr>
        <w:ind w:firstLine="1952"/>
        <w:spacing w:after="0" w:line="308" w:lineRule="auto"/>
        <w:tabs>
          <w:tab w:leader="none" w:pos="2582" w:val="left"/>
        </w:tabs>
        <w:numPr>
          <w:ilvl w:val="1"/>
          <w:numId w:val="527"/>
        </w:numPr>
        <w:rPr>
          <w:rFonts w:ascii="Arial" w:cs="Arial" w:eastAsia="Arial" w:hAnsi="Arial"/>
          <w:sz w:val="17"/>
          <w:szCs w:val="17"/>
          <w:color w:val="auto"/>
        </w:rPr>
      </w:pPr>
      <w:r>
        <w:rPr>
          <w:rFonts w:ascii="Arial" w:cs="Arial" w:eastAsia="Arial" w:hAnsi="Arial"/>
          <w:sz w:val="17"/>
          <w:szCs w:val="17"/>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92" w:lineRule="exact"/>
        <w:rPr>
          <w:rFonts w:ascii="Arial" w:cs="Arial" w:eastAsia="Arial" w:hAnsi="Arial"/>
          <w:sz w:val="17"/>
          <w:szCs w:val="17"/>
          <w:color w:val="auto"/>
        </w:rPr>
      </w:pPr>
    </w:p>
    <w:p>
      <w:pPr>
        <w:ind w:firstLine="1952"/>
        <w:spacing w:after="0" w:line="277" w:lineRule="auto"/>
        <w:tabs>
          <w:tab w:leader="none" w:pos="2592" w:val="left"/>
        </w:tabs>
        <w:numPr>
          <w:ilvl w:val="1"/>
          <w:numId w:val="527"/>
        </w:numPr>
        <w:rPr>
          <w:rFonts w:ascii="Arial" w:cs="Arial" w:eastAsia="Arial" w:hAnsi="Arial"/>
          <w:sz w:val="18"/>
          <w:szCs w:val="18"/>
          <w:color w:val="auto"/>
        </w:rPr>
      </w:pPr>
      <w:r>
        <w:rPr>
          <w:rFonts w:ascii="Arial" w:cs="Arial" w:eastAsia="Arial" w:hAnsi="Arial"/>
          <w:sz w:val="18"/>
          <w:szCs w:val="18"/>
          <w:color w:val="auto"/>
        </w:rPr>
        <w:t>No person will be eligible to be nominated by a stockholder for election as a director of the Company unless nominated in accordance with the procedures set forth in this Section 2.4.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business proposed by a stockholder will be conducted at a stockholder meeting except in accordance with this Section 2.4.</w:t>
      </w:r>
    </w:p>
    <w:p>
      <w:pPr>
        <w:spacing w:after="0" w:line="171" w:lineRule="exact"/>
        <w:rPr>
          <w:sz w:val="20"/>
          <w:szCs w:val="20"/>
          <w:color w:val="auto"/>
        </w:rPr>
      </w:pPr>
    </w:p>
    <w:p>
      <w:pPr>
        <w:jc w:val="both"/>
        <w:ind w:firstLine="1952"/>
        <w:spacing w:after="0" w:line="259" w:lineRule="auto"/>
        <w:tabs>
          <w:tab w:leader="none" w:pos="258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32" w:lineRule="exact"/>
        <w:rPr>
          <w:rFonts w:ascii="Arial" w:cs="Arial" w:eastAsia="Arial" w:hAnsi="Arial"/>
          <w:sz w:val="18"/>
          <w:szCs w:val="18"/>
          <w:color w:val="auto"/>
        </w:rPr>
      </w:pPr>
    </w:p>
    <w:p>
      <w:pPr>
        <w:jc w:val="both"/>
        <w:ind w:firstLine="1952"/>
        <w:spacing w:after="0" w:line="291" w:lineRule="auto"/>
        <w:tabs>
          <w:tab w:leader="none" w:pos="2586" w:val="left"/>
        </w:tabs>
        <w:numPr>
          <w:ilvl w:val="0"/>
          <w:numId w:val="52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12" w:lineRule="exact"/>
        <w:rPr>
          <w:rFonts w:ascii="Arial" w:cs="Arial" w:eastAsia="Arial" w:hAnsi="Arial"/>
          <w:sz w:val="16"/>
          <w:szCs w:val="16"/>
          <w:color w:val="auto"/>
        </w:rPr>
      </w:pPr>
    </w:p>
    <w:p>
      <w:pPr>
        <w:jc w:val="both"/>
        <w:ind w:firstLine="1952"/>
        <w:spacing w:after="0" w:line="257" w:lineRule="auto"/>
        <w:tabs>
          <w:tab w:leader="none" w:pos="258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33" w:lineRule="exact"/>
        <w:rPr>
          <w:rFonts w:ascii="Arial" w:cs="Arial" w:eastAsia="Arial" w:hAnsi="Arial"/>
          <w:sz w:val="18"/>
          <w:szCs w:val="18"/>
          <w:color w:val="auto"/>
        </w:rPr>
      </w:pPr>
    </w:p>
    <w:p>
      <w:pPr>
        <w:jc w:val="both"/>
        <w:ind w:firstLine="1952"/>
        <w:spacing w:after="0" w:line="219" w:lineRule="exact"/>
        <w:tabs>
          <w:tab w:leader="none" w:pos="2591" w:val="left"/>
        </w:tabs>
        <w:numPr>
          <w:ilvl w:val="0"/>
          <w:numId w:val="52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7"/>
          <w:szCs w:val="17"/>
          <w:color w:val="auto"/>
        </w:rPr>
        <w:t>‑</w:t>
      </w:r>
      <w:r>
        <w:rPr>
          <w:rFonts w:ascii="Arial" w:cs="Arial" w:eastAsia="Arial" w:hAnsi="Arial"/>
          <w:sz w:val="17"/>
          <w:szCs w:val="17"/>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7"/>
          <w:szCs w:val="17"/>
          <w:color w:val="auto"/>
        </w:rPr>
        <w:t>‑</w:t>
      </w:r>
      <w:r>
        <w:rPr>
          <w:rFonts w:ascii="Arial" w:cs="Arial" w:eastAsia="Arial" w:hAnsi="Arial"/>
          <w:sz w:val="17"/>
          <w:szCs w:val="17"/>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QUORUM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ADJOURNED MEETING; NOTICE</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17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VOTING</w:t>
      </w:r>
    </w:p>
    <w:p>
      <w:pPr>
        <w:spacing w:after="0" w:line="171"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3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STOCKHOLDER ACTION BY WRITTEN CONSENT WITHOUT A MEETING</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RECORD DATES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0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3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PROXIES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LIST OF STOCKHOLDERS ENTITLED TO VOTE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0" w:name="page521"/>
    <w:bookmarkEnd w:id="520"/>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INSPECTORS OF ELECTION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inspectors shall:</w:t>
      </w:r>
    </w:p>
    <w:p>
      <w:pPr>
        <w:spacing w:after="0" w:line="171" w:lineRule="exact"/>
        <w:rPr>
          <w:sz w:val="20"/>
          <w:szCs w:val="20"/>
          <w:color w:val="auto"/>
        </w:rPr>
      </w:pPr>
    </w:p>
    <w:p>
      <w:pPr>
        <w:ind w:left="1940" w:hanging="636"/>
        <w:spacing w:after="0"/>
        <w:tabs>
          <w:tab w:leader="none" w:pos="19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inspectors; and</w:t>
      </w:r>
    </w:p>
    <w:p>
      <w:pPr>
        <w:spacing w:after="0" w:line="157" w:lineRule="exact"/>
        <w:rPr>
          <w:sz w:val="20"/>
          <w:szCs w:val="20"/>
          <w:color w:val="auto"/>
        </w:rPr>
      </w:pPr>
    </w:p>
    <w:p>
      <w:pPr>
        <w:ind w:left="1940" w:hanging="636"/>
        <w:spacing w:after="0"/>
        <w:tabs>
          <w:tab w:leader="none" w:pos="19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certify their determination of the number of shares represented at the meeting, and their count of all votes and ballots.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17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NUMBER OF DIRECTORS</w:t>
      </w:r>
    </w:p>
    <w:p>
      <w:pPr>
        <w:spacing w:after="0" w:line="17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ELECTION, QUALIFICATION AND TERM OF OFFICE OF DIRECTORS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so provided in the certificate of incorporation, the directors of the Company shall be divided into three classes.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RESIGNATION AND VACANCIES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PLACE OF MEETINGS; MEETINGS BY TELEPHONE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17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REGULAR MEETINGS</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SPECIAL MEETINGS; NOTICE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71" w:lineRule="exact"/>
        <w:rPr>
          <w:sz w:val="20"/>
          <w:szCs w:val="20"/>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232 of the DGCL),</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2" w:name="page523"/>
    <w:bookmarkEnd w:id="522"/>
    <w:p>
      <w:pPr>
        <w:spacing w:after="0" w:line="14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QUORUM; VOTING</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0"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1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BOARD ACTION BY WRITTEN CONSENT WITHOUT A MEETING</w:t>
      </w:r>
    </w:p>
    <w:p>
      <w:pPr>
        <w:spacing w:after="0" w:line="17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FEES AND COMPENSATION OF DIRECTORS</w:t>
      </w:r>
    </w:p>
    <w:p>
      <w:pPr>
        <w:spacing w:after="0" w:line="17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REMOVAL OF DIRECTORS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COMMITTEES OF DIRECTORS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may, by resolution passed by a majority of the Whole Board, designate one or more committees, each committee to consist of one or more of the directors of the Company.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COMMITTEE MINUTES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and subcommittee shall keep regular minutes of its meetings.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MEETINGS AND ACTION OF COMMITTEES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Meetings and actions of committees and subcommittees shall be governed by, and held and taken in accordance with, the provisions of:</w:t>
      </w:r>
    </w:p>
    <w:p>
      <w:pPr>
        <w:spacing w:after="0" w:line="183" w:lineRule="exact"/>
        <w:rPr>
          <w:sz w:val="20"/>
          <w:szCs w:val="20"/>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Section 7.4 (waiver of notice)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2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SUBCOMMITTEES</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4" w:name="page525"/>
    <w:bookmarkEnd w:id="524"/>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APPOINTMENT OF OFFICERS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SUBORDINATE OFFICERS</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REMOVAL AND RESIGNATION OF OFFICERS</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VACANCIES IN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Company shall be filled by the Board of Directors or as provided in Section 5.3.</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REPRESENTATION OF SECURITIES OF OTHER ENTITIES</w:t>
      </w:r>
    </w:p>
    <w:p>
      <w:pPr>
        <w:spacing w:after="0" w:line="17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AUTHORITY AND DUTIES OF OFFICERS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officers of the Company shall respectively have such authority and perform such duties in the management of the business of the Company as may be designated from time to time by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so provided, as generally pertain to their respective offices, subject to the control of the Board of Directors.</w:t>
      </w:r>
    </w:p>
    <w:p>
      <w:pPr>
        <w:spacing w:after="0" w:line="16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ARTICLE VI - STOCK</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STOCK CERTIFICATES; PARTLY PAID SHARES</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SPECIAL DESIGNATION ON CERTIFICATES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LOST CERTIFICATES</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6" w:name="page527"/>
    <w:bookmarkEnd w:id="526"/>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DIVIDENDS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TRANSFER OF STOCK</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STOCK TRANSFER AGREEMENTS</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REGISTERED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right="180" w:firstLine="1304"/>
        <w:spacing w:after="0" w:line="277" w:lineRule="auto"/>
        <w:tabs>
          <w:tab w:leader="none" w:pos="194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notices and to vote as such owner; and</w:t>
      </w:r>
    </w:p>
    <w:p>
      <w:pPr>
        <w:spacing w:after="0" w:line="116" w:lineRule="exact"/>
        <w:rPr>
          <w:rFonts w:ascii="Arial" w:cs="Arial" w:eastAsia="Arial" w:hAnsi="Arial"/>
          <w:sz w:val="18"/>
          <w:szCs w:val="18"/>
          <w:color w:val="auto"/>
        </w:rPr>
      </w:pPr>
    </w:p>
    <w:p>
      <w:pPr>
        <w:ind w:right="160" w:firstLine="1304"/>
        <w:spacing w:after="0" w:line="277" w:lineRule="auto"/>
        <w:tabs>
          <w:tab w:leader="none" w:pos="1938"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color w:val="auto"/>
        </w:rPr>
        <w:t>LOCK-UP</w:t>
      </w:r>
    </w:p>
    <w:p>
      <w:pPr>
        <w:spacing w:after="0" w:line="167" w:lineRule="exact"/>
        <w:rPr>
          <w:sz w:val="20"/>
          <w:szCs w:val="20"/>
          <w:color w:val="auto"/>
        </w:rPr>
      </w:pPr>
    </w:p>
    <w:p>
      <w:pPr>
        <w:ind w:right="80" w:firstLine="1304"/>
        <w:spacing w:after="0" w:line="294" w:lineRule="auto"/>
        <w:tabs>
          <w:tab w:leader="none" w:pos="1941" w:val="left"/>
        </w:tabs>
        <w:numPr>
          <w:ilvl w:val="1"/>
          <w:numId w:val="534"/>
        </w:numPr>
        <w:rPr>
          <w:rFonts w:ascii="Arial" w:cs="Arial" w:eastAsia="Arial" w:hAnsi="Arial"/>
          <w:sz w:val="16"/>
          <w:szCs w:val="16"/>
          <w:color w:val="auto"/>
        </w:rPr>
      </w:pPr>
      <w:r>
        <w:rPr>
          <w:rFonts w:ascii="Arial" w:cs="Arial" w:eastAsia="Arial" w:hAnsi="Arial"/>
          <w:sz w:val="16"/>
          <w:szCs w:val="16"/>
          <w:color w:val="auto"/>
        </w:rPr>
        <w:t>Subject to Section 6.8(b), the holders (the “</w:t>
      </w:r>
      <w:r>
        <w:rPr>
          <w:rFonts w:ascii="Arial" w:cs="Arial" w:eastAsia="Arial" w:hAnsi="Arial"/>
          <w:sz w:val="16"/>
          <w:szCs w:val="16"/>
          <w:b w:val="1"/>
          <w:bCs w:val="1"/>
          <w:color w:val="auto"/>
        </w:rPr>
        <w:t>Lock-up Holders</w:t>
      </w:r>
      <w:r>
        <w:rPr>
          <w:rFonts w:ascii="Arial" w:cs="Arial" w:eastAsia="Arial" w:hAnsi="Arial"/>
          <w:sz w:val="16"/>
          <w:szCs w:val="16"/>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Arial" w:cs="Arial" w:eastAsia="Arial" w:hAnsi="Arial"/>
          <w:sz w:val="16"/>
          <w:szCs w:val="16"/>
          <w:b w:val="1"/>
          <w:bCs w:val="1"/>
          <w:color w:val="auto"/>
        </w:rPr>
        <w:t>Existing Equity</w:t>
      </w:r>
      <w:r>
        <w:rPr>
          <w:rFonts w:ascii="Arial" w:cs="Arial" w:eastAsia="Arial" w:hAnsi="Arial"/>
          <w:sz w:val="16"/>
          <w:szCs w:val="16"/>
          <w:color w:val="auto"/>
        </w:rPr>
        <w:t xml:space="preserve"> Award Shares”), may not Transfer any Lock-up Shares until the end of the Lock-up Period (the “</w:t>
      </w:r>
      <w:r>
        <w:rPr>
          <w:rFonts w:ascii="Arial" w:cs="Arial" w:eastAsia="Arial" w:hAnsi="Arial"/>
          <w:sz w:val="16"/>
          <w:szCs w:val="16"/>
          <w:b w:val="1"/>
          <w:bCs w:val="1"/>
          <w:color w:val="auto"/>
        </w:rPr>
        <w:t>Lock-up</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ind w:firstLine="1304"/>
        <w:spacing w:after="0" w:line="283" w:lineRule="auto"/>
        <w:tabs>
          <w:tab w:leader="none" w:pos="1938" w:val="left"/>
        </w:tabs>
        <w:numPr>
          <w:ilvl w:val="1"/>
          <w:numId w:val="534"/>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w:t>
      </w:r>
    </w:p>
    <w:p>
      <w:pPr>
        <w:spacing w:after="0" w:line="5" w:lineRule="exact"/>
        <w:rPr>
          <w:rFonts w:ascii="Arial" w:cs="Arial" w:eastAsia="Arial" w:hAnsi="Arial"/>
          <w:sz w:val="16"/>
          <w:szCs w:val="16"/>
          <w:color w:val="auto"/>
        </w:rPr>
      </w:pPr>
    </w:p>
    <w:p>
      <w:pPr>
        <w:ind w:right="260" w:firstLine="8"/>
        <w:spacing w:after="0" w:line="260" w:lineRule="auto"/>
        <w:tabs>
          <w:tab w:leader="none" w:pos="30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such Lock-up Holder is a trust, to a trustor or beneficiary of the trust or to the estate of a beneficiary of such trust; (vii) to the Company’s officers, directors or their affiliates; (viii) to a nominee or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7" w:name="page528"/>
    <w:bookmarkEnd w:id="527"/>
    <w:p>
      <w:pPr>
        <w:spacing w:after="0" w:line="14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spacing w:after="0" w:line="128" w:lineRule="exact"/>
        <w:rPr>
          <w:sz w:val="20"/>
          <w:szCs w:val="20"/>
          <w:color w:val="auto"/>
        </w:rPr>
      </w:pPr>
    </w:p>
    <w:p>
      <w:pPr>
        <w:ind w:firstLine="1304"/>
        <w:spacing w:after="0" w:line="293" w:lineRule="auto"/>
        <w:tabs>
          <w:tab w:leader="none" w:pos="1941" w:val="left"/>
        </w:tabs>
        <w:numPr>
          <w:ilvl w:val="0"/>
          <w:numId w:val="536"/>
        </w:numPr>
        <w:rPr>
          <w:rFonts w:ascii="Arial" w:cs="Arial" w:eastAsia="Arial" w:hAnsi="Arial"/>
          <w:sz w:val="16"/>
          <w:szCs w:val="16"/>
          <w:color w:val="auto"/>
        </w:rPr>
      </w:pPr>
      <w:r>
        <w:rPr>
          <w:rFonts w:ascii="Arial" w:cs="Arial" w:eastAsia="Arial" w:hAnsi="Arial"/>
          <w:sz w:val="16"/>
          <w:szCs w:val="16"/>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110" w:lineRule="exact"/>
        <w:rPr>
          <w:rFonts w:ascii="Arial" w:cs="Arial" w:eastAsia="Arial" w:hAnsi="Arial"/>
          <w:sz w:val="16"/>
          <w:szCs w:val="16"/>
          <w:color w:val="auto"/>
        </w:rPr>
      </w:pPr>
    </w:p>
    <w:p>
      <w:pPr>
        <w:ind w:left="1940" w:hanging="636"/>
        <w:spacing w:after="0"/>
        <w:tabs>
          <w:tab w:leader="none" w:pos="19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For purpose of this Section 6.8:</w:t>
      </w:r>
    </w:p>
    <w:p>
      <w:pPr>
        <w:spacing w:after="0" w:line="167" w:lineRule="exact"/>
        <w:rPr>
          <w:rFonts w:ascii="Arial" w:cs="Arial" w:eastAsia="Arial" w:hAnsi="Arial"/>
          <w:sz w:val="18"/>
          <w:szCs w:val="18"/>
          <w:color w:val="auto"/>
        </w:rPr>
      </w:pPr>
    </w:p>
    <w:p>
      <w:pPr>
        <w:ind w:right="180" w:firstLine="1952"/>
        <w:spacing w:after="0" w:line="312" w:lineRule="auto"/>
        <w:tabs>
          <w:tab w:leader="none" w:pos="2586"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Period</w:t>
      </w:r>
      <w:r>
        <w:rPr>
          <w:rFonts w:ascii="Arial" w:cs="Arial" w:eastAsia="Arial" w:hAnsi="Arial"/>
          <w:sz w:val="17"/>
          <w:szCs w:val="17"/>
          <w:color w:val="auto"/>
        </w:rPr>
        <w:t>” means the period beginning on the closing date of the Business Combination Transaction and ending at the close of business on the date that is 180 days after the closing date of the Business Combination Transaction;</w:t>
      </w:r>
    </w:p>
    <w:p>
      <w:pPr>
        <w:spacing w:after="0" w:line="85" w:lineRule="exact"/>
        <w:rPr>
          <w:rFonts w:ascii="Arial" w:cs="Arial" w:eastAsia="Arial" w:hAnsi="Arial"/>
          <w:sz w:val="17"/>
          <w:szCs w:val="17"/>
          <w:color w:val="auto"/>
        </w:rPr>
      </w:pPr>
    </w:p>
    <w:p>
      <w:pPr>
        <w:ind w:right="20" w:firstLine="1952"/>
        <w:spacing w:after="0" w:line="272" w:lineRule="auto"/>
        <w:tabs>
          <w:tab w:leader="none" w:pos="2582"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Shares</w:t>
      </w:r>
      <w:r>
        <w:rPr>
          <w:rFonts w:ascii="Arial" w:cs="Arial" w:eastAsia="Arial" w:hAnsi="Arial"/>
          <w:sz w:val="17"/>
          <w:szCs w:val="17"/>
          <w:color w:val="auto"/>
        </w:rPr>
        <w:t>”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or the PIPE Financing (as defined in the Business Combination Agreement) shall not constitute Lock-up Shares;</w:t>
      </w:r>
    </w:p>
    <w:p>
      <w:pPr>
        <w:spacing w:after="0" w:line="117" w:lineRule="exact"/>
        <w:rPr>
          <w:rFonts w:ascii="Arial" w:cs="Arial" w:eastAsia="Arial" w:hAnsi="Arial"/>
          <w:sz w:val="17"/>
          <w:szCs w:val="17"/>
          <w:color w:val="auto"/>
        </w:rPr>
      </w:pPr>
    </w:p>
    <w:p>
      <w:pPr>
        <w:ind w:right="140" w:firstLine="1952"/>
        <w:spacing w:after="0" w:line="347" w:lineRule="auto"/>
        <w:tabs>
          <w:tab w:leader="none" w:pos="2592" w:val="left"/>
        </w:tabs>
        <w:numPr>
          <w:ilvl w:val="1"/>
          <w:numId w:val="53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Transferees</w:t>
      </w:r>
      <w:r>
        <w:rPr>
          <w:rFonts w:ascii="Arial" w:cs="Arial" w:eastAsia="Arial" w:hAnsi="Arial"/>
          <w:sz w:val="16"/>
          <w:szCs w:val="16"/>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61" w:lineRule="exact"/>
        <w:rPr>
          <w:rFonts w:ascii="Arial" w:cs="Arial" w:eastAsia="Arial" w:hAnsi="Arial"/>
          <w:sz w:val="16"/>
          <w:szCs w:val="16"/>
          <w:color w:val="auto"/>
        </w:rPr>
      </w:pPr>
    </w:p>
    <w:p>
      <w:pPr>
        <w:jc w:val="both"/>
        <w:ind w:right="320" w:firstLine="1952"/>
        <w:spacing w:after="0" w:line="258" w:lineRule="auto"/>
        <w:tabs>
          <w:tab w:leader="none" w:pos="2582"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13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any meeting of stockholders shall be given in the manner set forth in the DGCL.</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NOTICE TO STOCKHOLDERS SHARING AN ADDRESS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NOTICE TO PERSON WITH WHOM COMMUNICATION IS UNLAWFUL</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WAIVER OF NOTICE</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INDEMNIFICATION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INDEMNIFICATION OF DIRECTORS AND OFFICERS IN THIRD PARTY PROCEEDINGS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9" w:name="page530"/>
    <w:bookmarkEnd w:id="529"/>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in a manner which such person reasonably believed to be in or not opposed to the best interests of the Company, and, with respect to any criminal action or proceeding, had reasonable cause to believe that such person’s conduct was unlawful.</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INDEMNIFICATION OF DIRECTORS AND OFFICERS IN ACTIONS BY OR IN THE RIGHT OF THE COMPANY</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SUCCESSFUL DEFENSE</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INDEMNIFICATION OF OTHERS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ADVANCED PAYMENT OF EXPENSES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2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Notwithstanding the foregoing, unless otherwise determined pursuant to Section 8.8, no advance shall be made by the Company to an officer of the Company (except by reason of the fact that such officer is or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0" w:name="page531"/>
    <w:bookmarkEnd w:id="530"/>
    <w:p>
      <w:pPr>
        <w:spacing w:after="0" w:line="14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LIMITATION OF INDEMNIFICATION</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Subject to the requirements in Section 8.3 and the DGCL, the Company shall not be obligated to indemnify any person pursuant to this Article VIII in connection with any Proceeding (or any part of any Proceeding):</w:t>
      </w:r>
    </w:p>
    <w:p>
      <w:pPr>
        <w:spacing w:after="0" w:line="116" w:lineRule="exact"/>
        <w:rPr>
          <w:sz w:val="20"/>
          <w:szCs w:val="20"/>
          <w:color w:val="auto"/>
        </w:rPr>
      </w:pPr>
    </w:p>
    <w:p>
      <w:pPr>
        <w:ind w:right="660" w:firstLine="1304"/>
        <w:spacing w:after="0" w:line="277" w:lineRule="auto"/>
        <w:tabs>
          <w:tab w:leader="none" w:pos="194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16" w:lineRule="exact"/>
        <w:rPr>
          <w:rFonts w:ascii="Arial" w:cs="Arial" w:eastAsia="Arial" w:hAnsi="Arial"/>
          <w:sz w:val="18"/>
          <w:szCs w:val="18"/>
          <w:color w:val="auto"/>
        </w:rPr>
      </w:pPr>
    </w:p>
    <w:p>
      <w:pPr>
        <w:ind w:right="140" w:firstLine="1304"/>
        <w:spacing w:after="0" w:line="308" w:lineRule="auto"/>
        <w:tabs>
          <w:tab w:leader="none" w:pos="1938" w:val="left"/>
        </w:tabs>
        <w:numPr>
          <w:ilvl w:val="0"/>
          <w:numId w:val="537"/>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92" w:lineRule="exact"/>
        <w:rPr>
          <w:rFonts w:ascii="Arial" w:cs="Arial" w:eastAsia="Arial" w:hAnsi="Arial"/>
          <w:sz w:val="17"/>
          <w:szCs w:val="17"/>
          <w:color w:val="auto"/>
        </w:rPr>
      </w:pPr>
    </w:p>
    <w:p>
      <w:pPr>
        <w:ind w:right="160" w:firstLine="1304"/>
        <w:spacing w:after="0" w:line="275" w:lineRule="auto"/>
        <w:tabs>
          <w:tab w:leader="none" w:pos="1941" w:val="left"/>
        </w:tabs>
        <w:numPr>
          <w:ilvl w:val="0"/>
          <w:numId w:val="537"/>
        </w:numPr>
        <w:rPr>
          <w:rFonts w:ascii="Arial" w:cs="Arial" w:eastAsia="Arial" w:hAnsi="Arial"/>
          <w:sz w:val="17"/>
          <w:szCs w:val="17"/>
          <w:color w:val="auto"/>
        </w:rPr>
      </w:pPr>
      <w:r>
        <w:rPr>
          <w:rFonts w:ascii="Arial" w:cs="Arial" w:eastAsia="Arial" w:hAnsi="Arial"/>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such person of securities in violation of Section 306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Sarbanes-Oxley Act), if such person is held liable therefor (including pursuant to any settlement arrangements);</w:t>
      </w:r>
    </w:p>
    <w:p>
      <w:pPr>
        <w:spacing w:after="0" w:line="122" w:lineRule="exact"/>
        <w:rPr>
          <w:rFonts w:ascii="Arial" w:cs="Arial" w:eastAsia="Arial" w:hAnsi="Arial"/>
          <w:sz w:val="17"/>
          <w:szCs w:val="17"/>
          <w:color w:val="auto"/>
        </w:rPr>
      </w:pPr>
    </w:p>
    <w:p>
      <w:pPr>
        <w:ind w:right="20" w:firstLine="1304"/>
        <w:spacing w:after="0" w:line="279" w:lineRule="auto"/>
        <w:tabs>
          <w:tab w:leader="none" w:pos="1938" w:val="left"/>
        </w:tabs>
        <w:numPr>
          <w:ilvl w:val="0"/>
          <w:numId w:val="537"/>
        </w:numPr>
        <w:rPr>
          <w:rFonts w:ascii="Arial" w:cs="Arial" w:eastAsia="Arial" w:hAnsi="Arial"/>
          <w:sz w:val="17"/>
          <w:szCs w:val="17"/>
          <w:color w:val="auto"/>
        </w:rPr>
      </w:pPr>
      <w:r>
        <w:rPr>
          <w:rFonts w:ascii="Arial" w:cs="Arial" w:eastAsia="Arial" w:hAnsi="Arial"/>
          <w:sz w:val="17"/>
          <w:szCs w:val="17"/>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17" w:lineRule="exact"/>
        <w:rPr>
          <w:rFonts w:ascii="Arial" w:cs="Arial" w:eastAsia="Arial" w:hAnsi="Arial"/>
          <w:sz w:val="17"/>
          <w:szCs w:val="17"/>
          <w:color w:val="auto"/>
        </w:rPr>
      </w:pPr>
    </w:p>
    <w:p>
      <w:pPr>
        <w:ind w:left="1940" w:hanging="636"/>
        <w:spacing w:after="0"/>
        <w:tabs>
          <w:tab w:leader="none" w:pos="19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DETERMINATION; CLAIM</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NON-EXCLUSIVITY OF RIGHTS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contracts with any or all of its directors, officers, employees or agents respecting indemnification and advancement of expenses, to the fullest extent not prohibited by the DGCL or other applicable law.</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INSURANCE</w:t>
      </w:r>
    </w:p>
    <w:p>
      <w:pPr>
        <w:spacing w:after="0" w:line="171"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SURVIVAL</w:t>
      </w:r>
    </w:p>
    <w:p>
      <w:pPr>
        <w:spacing w:after="0" w:line="17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EFFECT OF REPEAL OR MODIFICATION</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CERTAIN DEFINITIONS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w:t>
      </w:r>
      <w:r>
        <w:rPr>
          <w:rFonts w:ascii="Arial" w:cs="Arial" w:eastAsia="Arial" w:hAnsi="Arial"/>
          <w:sz w:val="17"/>
          <w:szCs w:val="17"/>
          <w:color w:val="auto"/>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as referred to in this Article VIII.</w:t>
      </w:r>
    </w:p>
    <w:p>
      <w:pPr>
        <w:spacing w:after="0" w:line="1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IX - GENERAL MATTERS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EXECUTION OF CORPORATE CONTRACTS AND INSTRUMENTS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Company shall be fixed by resolution of the Board of Directors and may be changed by the Board of Directors.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SEAL</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CONSTRUCTION; DEFINITIONS</w:t>
      </w:r>
    </w:p>
    <w:p>
      <w:pPr>
        <w:spacing w:after="0" w:line="17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FORUM SELECTION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2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70"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17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3" w:name="page534"/>
    <w:bookmarkEnd w:id="533"/>
    <w:p>
      <w:pPr>
        <w:ind w:left="10580"/>
        <w:spacing w:after="0"/>
        <w:rPr>
          <w:sz w:val="20"/>
          <w:szCs w:val="20"/>
          <w:color w:val="auto"/>
        </w:rPr>
      </w:pPr>
      <w:r>
        <w:rPr>
          <w:rFonts w:ascii="Arial" w:cs="Arial" w:eastAsia="Arial" w:hAnsi="Arial"/>
          <w:sz w:val="16"/>
          <w:szCs w:val="16"/>
          <w:b w:val="1"/>
          <w:bCs w:val="1"/>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LETTER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SPONSOR LETTER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February 7, 2021, is made by and among ARYA Sciences Holdings III, an exempted company incorporated in the Cayman Islands with limited liability (the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the other holders of ARYA Class B Shares set forth on Schedule I hereto (the “</w:t>
      </w:r>
      <w:r>
        <w:rPr>
          <w:rFonts w:ascii="Arial" w:cs="Arial" w:eastAsia="Arial" w:hAnsi="Arial"/>
          <w:sz w:val="18"/>
          <w:szCs w:val="18"/>
          <w:b w:val="1"/>
          <w:bCs w:val="1"/>
          <w:u w:val="single" w:color="auto"/>
          <w:color w:val="auto"/>
        </w:rPr>
        <w:t>Other Class B Holders</w:t>
      </w:r>
      <w:r>
        <w:rPr>
          <w:rFonts w:ascii="Arial" w:cs="Arial" w:eastAsia="Arial" w:hAnsi="Arial"/>
          <w:sz w:val="18"/>
          <w:szCs w:val="18"/>
          <w:color w:val="auto"/>
        </w:rPr>
        <w:t>”, and together with the Sponsor, collectively, the “</w:t>
      </w:r>
      <w:r>
        <w:rPr>
          <w:rFonts w:ascii="Arial" w:cs="Arial" w:eastAsia="Arial" w:hAnsi="Arial"/>
          <w:sz w:val="18"/>
          <w:szCs w:val="18"/>
          <w:b w:val="1"/>
          <w:bCs w:val="1"/>
          <w:u w:val="single" w:color="auto"/>
          <w:color w:val="auto"/>
        </w:rPr>
        <w:t>Shareholders</w:t>
      </w:r>
      <w:r>
        <w:rPr>
          <w:rFonts w:ascii="Arial" w:cs="Arial" w:eastAsia="Arial" w:hAnsi="Arial"/>
          <w:sz w:val="18"/>
          <w:szCs w:val="18"/>
          <w:color w:val="auto"/>
        </w:rPr>
        <w:t>”), ARYA Sciences Acquisition Corp III, an exempted company incorporated in the Cayman Islands with limited liability (“</w:t>
      </w:r>
      <w:r>
        <w:rPr>
          <w:rFonts w:ascii="Arial" w:cs="Arial" w:eastAsia="Arial" w:hAnsi="Arial"/>
          <w:sz w:val="18"/>
          <w:szCs w:val="18"/>
          <w:b w:val="1"/>
          <w:bCs w:val="1"/>
          <w:u w:val="single" w:color="auto"/>
          <w:color w:val="auto"/>
        </w:rPr>
        <w:t>ARYA</w:t>
      </w:r>
      <w:r>
        <w:rPr>
          <w:rFonts w:ascii="Arial" w:cs="Arial" w:eastAsia="Arial" w:hAnsi="Arial"/>
          <w:sz w:val="18"/>
          <w:szCs w:val="18"/>
          <w:color w:val="auto"/>
        </w:rPr>
        <w:t>”), and Nautilus Biotechnology,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Sponsor, the Other Class B Holders, ARYA and the Company shall be referred to herein from time to time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Business Combination Agreement (as defined below).</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Arial" w:cs="Arial" w:eastAsia="Arial" w:hAnsi="Arial"/>
          <w:sz w:val="18"/>
          <w:szCs w:val="18"/>
          <w:b w:val="1"/>
          <w:bCs w:val="1"/>
          <w:u w:val="single" w:color="auto"/>
          <w:color w:val="auto"/>
        </w:rPr>
        <w:t>Business Combination Agreement</w:t>
      </w:r>
      <w:r>
        <w:rPr>
          <w:rFonts w:ascii="Arial" w:cs="Arial" w:eastAsia="Arial" w:hAnsi="Arial"/>
          <w:sz w:val="18"/>
          <w:szCs w:val="18"/>
          <w:color w:val="auto"/>
        </w:rPr>
        <w:t>”); and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92" w:lineRule="exact"/>
        <w:rPr>
          <w:sz w:val="20"/>
          <w:szCs w:val="20"/>
          <w:color w:val="auto"/>
        </w:rPr>
      </w:pPr>
    </w:p>
    <w:p>
      <w:pPr>
        <w:ind w:left="660" w:hanging="328"/>
        <w:spacing w:after="0"/>
        <w:tabs>
          <w:tab w:leader="none" w:pos="66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8" w:lineRule="auto"/>
        <w:tabs>
          <w:tab w:leader="none" w:pos="1286" w:val="left"/>
        </w:tabs>
        <w:numPr>
          <w:ilvl w:val="1"/>
          <w:numId w:val="538"/>
        </w:numPr>
        <w:rPr>
          <w:rFonts w:ascii="Arial" w:cs="Arial" w:eastAsia="Arial" w:hAnsi="Arial"/>
          <w:sz w:val="17"/>
          <w:szCs w:val="17"/>
          <w:color w:val="auto"/>
        </w:rPr>
      </w:pPr>
      <w:r>
        <w:rPr>
          <w:rFonts w:ascii="Arial" w:cs="Arial" w:eastAsia="Arial" w:hAnsi="Arial"/>
          <w:sz w:val="17"/>
          <w:szCs w:val="17"/>
          <w:color w:val="auto"/>
        </w:rPr>
        <w:t>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Arial" w:cs="Arial" w:eastAsia="Arial" w:hAnsi="Arial"/>
          <w:sz w:val="17"/>
          <w:szCs w:val="17"/>
          <w:b w:val="1"/>
          <w:bCs w:val="1"/>
          <w:u w:val="single" w:color="auto"/>
          <w:color w:val="auto"/>
        </w:rPr>
        <w:t>Subject ARYA Equity Securities</w:t>
      </w:r>
      <w:r>
        <w:rPr>
          <w:rFonts w:ascii="Arial" w:cs="Arial" w:eastAsia="Arial" w:hAnsi="Arial"/>
          <w:sz w:val="17"/>
          <w:szCs w:val="17"/>
          <w:color w:val="auto"/>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spacing w:after="0" w:line="132" w:lineRule="exact"/>
        <w:rPr>
          <w:rFonts w:ascii="Arial" w:cs="Arial" w:eastAsia="Arial" w:hAnsi="Arial"/>
          <w:sz w:val="17"/>
          <w:szCs w:val="17"/>
          <w:color w:val="auto"/>
        </w:rPr>
      </w:pPr>
    </w:p>
    <w:p>
      <w:pPr>
        <w:ind w:right="180" w:firstLine="656"/>
        <w:spacing w:after="0" w:line="257" w:lineRule="auto"/>
        <w:tabs>
          <w:tab w:leader="none" w:pos="1296" w:val="left"/>
        </w:tabs>
        <w:numPr>
          <w:ilvl w:val="1"/>
          <w:numId w:val="538"/>
        </w:numPr>
        <w:rPr>
          <w:rFonts w:ascii="Arial" w:cs="Arial" w:eastAsia="Arial" w:hAnsi="Arial"/>
          <w:sz w:val="18"/>
          <w:szCs w:val="18"/>
          <w:color w:val="auto"/>
        </w:rPr>
      </w:pPr>
      <w:r>
        <w:rPr>
          <w:rFonts w:ascii="Arial" w:cs="Arial" w:eastAsia="Arial" w:hAnsi="Arial"/>
          <w:sz w:val="18"/>
          <w:szCs w:val="18"/>
          <w:color w:val="auto"/>
        </w:rPr>
        <w:t>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4" w:name="page535"/>
    <w:bookmarkEnd w:id="534"/>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holders of ARYA Shares and (iii) to vote (or cause to be voted), or deliver a written consent (or withhold consent) with respect to, as applicable, the ARYA Equity Securities on the matters specified in, and in accordance and consistent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133" w:lineRule="exact"/>
        <w:rPr>
          <w:sz w:val="20"/>
          <w:szCs w:val="20"/>
          <w:color w:val="auto"/>
        </w:rPr>
      </w:pPr>
    </w:p>
    <w:p>
      <w:pPr>
        <w:jc w:val="both"/>
        <w:ind w:firstLine="656"/>
        <w:spacing w:after="0" w:line="270" w:lineRule="auto"/>
        <w:tabs>
          <w:tab w:leader="none" w:pos="1286" w:val="left"/>
        </w:tabs>
        <w:numPr>
          <w:ilvl w:val="1"/>
          <w:numId w:val="539"/>
        </w:numPr>
        <w:rPr>
          <w:rFonts w:ascii="Arial" w:cs="Arial" w:eastAsia="Arial" w:hAnsi="Arial"/>
          <w:sz w:val="17"/>
          <w:szCs w:val="17"/>
          <w:color w:val="auto"/>
        </w:rPr>
      </w:pPr>
      <w:r>
        <w:rPr>
          <w:rFonts w:ascii="Arial" w:cs="Arial" w:eastAsia="Arial" w:hAnsi="Arial"/>
          <w:sz w:val="17"/>
          <w:szCs w:val="17"/>
          <w:color w:val="auto"/>
        </w:rPr>
        <w:t xml:space="preserve">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and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The proxyholder may not exercise the proxy granted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on any matter except for those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ind w:right="60" w:firstLine="332"/>
        <w:spacing w:after="0" w:line="290" w:lineRule="auto"/>
        <w:tabs>
          <w:tab w:leader="none" w:pos="648" w:val="left"/>
        </w:tabs>
        <w:numPr>
          <w:ilvl w:val="0"/>
          <w:numId w:val="540"/>
        </w:numPr>
        <w:rPr>
          <w:rFonts w:ascii="Arial" w:cs="Arial" w:eastAsia="Arial" w:hAnsi="Arial"/>
          <w:sz w:val="16"/>
          <w:szCs w:val="16"/>
          <w:color w:val="auto"/>
        </w:rPr>
      </w:pPr>
      <w:r>
        <w:rPr>
          <w:rFonts w:ascii="Arial" w:cs="Arial" w:eastAsia="Arial" w:hAnsi="Arial"/>
          <w:sz w:val="16"/>
          <w:szCs w:val="16"/>
          <w:u w:val="single" w:color="auto"/>
          <w:color w:val="auto"/>
        </w:rPr>
        <w:t>Waiver of Anti-dilution Protection</w:t>
      </w:r>
      <w:r>
        <w:rPr>
          <w:rFonts w:ascii="Arial" w:cs="Arial" w:eastAsia="Arial" w:hAnsi="Arial"/>
          <w:sz w:val="16"/>
          <w:szCs w:val="16"/>
          <w:color w:val="auto"/>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Arial" w:cs="Arial" w:eastAsia="Arial" w:hAnsi="Arial"/>
          <w:sz w:val="16"/>
          <w:szCs w:val="16"/>
          <w:b w:val="1"/>
          <w:bCs w:val="1"/>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and following the Domestication, no provision of the Pre-Closing ARYA Governing Documents, including Article 12 of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Articles of Association of ARYA, will be of any force or effect with respect to the shares of ARYA Common Stock.</w:t>
      </w:r>
    </w:p>
    <w:p>
      <w:pPr>
        <w:spacing w:after="0" w:line="111" w:lineRule="exact"/>
        <w:rPr>
          <w:rFonts w:ascii="Arial" w:cs="Arial" w:eastAsia="Arial" w:hAnsi="Arial"/>
          <w:sz w:val="16"/>
          <w:szCs w:val="16"/>
          <w:color w:val="auto"/>
        </w:rPr>
      </w:pPr>
    </w:p>
    <w:p>
      <w:pPr>
        <w:ind w:left="660" w:hanging="328"/>
        <w:spacing w:after="0"/>
        <w:tabs>
          <w:tab w:leader="none" w:pos="660"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7" w:lineRule="auto"/>
        <w:tabs>
          <w:tab w:leader="none" w:pos="128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transferring Shareholder shall, and shall cause any transferee of his, her or its Subject ARYA Securities of the type set forth in clauses (1) 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such transferee and his, her or its Subject ARYA Equity Securities received upon such Transfer, as applicable) prior and as a condition to the occurrence of such Transfer.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39"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66" w:lineRule="exact"/>
        <w:rPr>
          <w:sz w:val="20"/>
          <w:szCs w:val="20"/>
          <w:color w:val="auto"/>
        </w:rPr>
      </w:pPr>
    </w:p>
    <w:p>
      <w:pPr>
        <w:jc w:val="both"/>
        <w:ind w:firstLine="656"/>
        <w:spacing w:after="0" w:line="255" w:lineRule="auto"/>
        <w:tabs>
          <w:tab w:leader="none" w:pos="1296" w:val="left"/>
        </w:tabs>
        <w:numPr>
          <w:ilvl w:val="1"/>
          <w:numId w:val="541"/>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ARYA hereby agrees to (i) place a revocable stop order on all Subject ARYA Equity Securities subject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including those which may be covered by a registration statement, and (ii) notify ARYA’s transfer agent in writing of such stop order and the restrictions on such Subject ARYA Equity Securities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direct ARYA’s transfer agent not to process any attempts by any such Shareholder to Transfer any Subject ARYA Equity Securities except in compliance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for the avoidance of doubt, the obligations of ARYA under this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shall be deemed to be satisfied by the existence of any similar stop order or restrictions currently existing on the Subject ARYA Equity Securities.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79" w:lineRule="auto"/>
        <w:tabs>
          <w:tab w:leader="none" w:pos="1286" w:val="left"/>
        </w:tabs>
        <w:numPr>
          <w:ilvl w:val="1"/>
          <w:numId w:val="542"/>
        </w:numPr>
        <w:rPr>
          <w:rFonts w:ascii="Arial" w:cs="Arial" w:eastAsia="Arial" w:hAnsi="Arial"/>
          <w:sz w:val="17"/>
          <w:szCs w:val="17"/>
          <w:color w:val="auto"/>
        </w:rPr>
      </w:pPr>
      <w:r>
        <w:rPr>
          <w:rFonts w:ascii="Arial" w:cs="Arial" w:eastAsia="Arial" w:hAnsi="Arial"/>
          <w:sz w:val="17"/>
          <w:szCs w:val="17"/>
          <w:color w:val="auto"/>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spacing w:after="0" w:line="117"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542"/>
        </w:numPr>
        <w:rPr>
          <w:rFonts w:ascii="Arial" w:cs="Arial" w:eastAsia="Arial" w:hAnsi="Arial"/>
          <w:sz w:val="16"/>
          <w:szCs w:val="16"/>
          <w:color w:val="auto"/>
        </w:rPr>
      </w:pPr>
      <w:r>
        <w:rPr>
          <w:rFonts w:ascii="Arial" w:cs="Arial" w:eastAsia="Arial" w:hAnsi="Arial"/>
          <w:sz w:val="16"/>
          <w:szCs w:val="16"/>
          <w:color w:val="auto"/>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spacing w:after="0" w:line="107" w:lineRule="exact"/>
        <w:rPr>
          <w:rFonts w:ascii="Arial" w:cs="Arial" w:eastAsia="Arial" w:hAnsi="Arial"/>
          <w:sz w:val="16"/>
          <w:szCs w:val="16"/>
          <w:color w:val="auto"/>
        </w:rPr>
      </w:pPr>
    </w:p>
    <w:p>
      <w:pPr>
        <w:ind w:right="20" w:firstLine="656"/>
        <w:spacing w:after="0" w:line="277" w:lineRule="auto"/>
        <w:tabs>
          <w:tab w:leader="none" w:pos="1286" w:val="left"/>
        </w:tabs>
        <w:numPr>
          <w:ilvl w:val="1"/>
          <w:numId w:val="542"/>
        </w:numPr>
        <w:rPr>
          <w:rFonts w:ascii="Arial" w:cs="Arial" w:eastAsia="Arial" w:hAnsi="Arial"/>
          <w:sz w:val="18"/>
          <w:szCs w:val="18"/>
          <w:color w:val="auto"/>
        </w:rPr>
      </w:pPr>
      <w:r>
        <w:rPr>
          <w:rFonts w:ascii="Arial" w:cs="Arial" w:eastAsia="Arial" w:hAnsi="Arial"/>
          <w:sz w:val="18"/>
          <w:szCs w:val="18"/>
          <w:color w:val="auto"/>
        </w:rPr>
        <w:t>Each Shareholder hereby agrees that it shall not exercise or submit a request to exercise the ARYA Shareholder Redemption with respect to any ARYA Class A Shares held by him, her or it.</w:t>
      </w:r>
    </w:p>
    <w:p>
      <w:pPr>
        <w:spacing w:after="0" w:line="116" w:lineRule="exact"/>
        <w:rPr>
          <w:sz w:val="20"/>
          <w:szCs w:val="20"/>
          <w:color w:val="auto"/>
        </w:rPr>
      </w:pPr>
    </w:p>
    <w:p>
      <w:pPr>
        <w:ind w:right="60" w:firstLine="656"/>
        <w:spacing w:after="0" w:line="286" w:lineRule="auto"/>
        <w:tabs>
          <w:tab w:leader="none" w:pos="1296" w:val="left"/>
        </w:tabs>
        <w:numPr>
          <w:ilvl w:val="0"/>
          <w:numId w:val="543"/>
        </w:numPr>
        <w:rPr>
          <w:rFonts w:ascii="Arial" w:cs="Arial" w:eastAsia="Arial" w:hAnsi="Arial"/>
          <w:sz w:val="17"/>
          <w:szCs w:val="17"/>
          <w:color w:val="auto"/>
        </w:rPr>
      </w:pPr>
      <w:r>
        <w:rPr>
          <w:rFonts w:ascii="Arial" w:cs="Arial" w:eastAsia="Arial" w:hAnsi="Arial"/>
          <w:sz w:val="17"/>
          <w:szCs w:val="17"/>
          <w:u w:val="single" w:color="auto"/>
          <w:color w:val="auto"/>
        </w:rPr>
        <w:t>Termination of Lock-up Period</w:t>
      </w:r>
      <w:r>
        <w:rPr>
          <w:rFonts w:ascii="Arial" w:cs="Arial" w:eastAsia="Arial" w:hAnsi="Arial"/>
          <w:sz w:val="17"/>
          <w:szCs w:val="17"/>
          <w:color w:val="auto"/>
        </w:rPr>
        <w:t>. Each of the Shareholders hereby agrees that subject to, and conditioned upon the occurrence and effective as of, the Closing, Section 5 of that certain Letter Agreement, dated August 6, 2020 (the “</w:t>
      </w:r>
      <w:r>
        <w:rPr>
          <w:rFonts w:ascii="Arial" w:cs="Arial" w:eastAsia="Arial" w:hAnsi="Arial"/>
          <w:sz w:val="17"/>
          <w:szCs w:val="17"/>
          <w:b w:val="1"/>
          <w:bCs w:val="1"/>
          <w:u w:val="single" w:color="auto"/>
          <w:color w:val="auto"/>
        </w:rPr>
        <w:t>Insider Letter Agreemen</w:t>
      </w:r>
      <w:r>
        <w:rPr>
          <w:rFonts w:ascii="Arial" w:cs="Arial" w:eastAsia="Arial" w:hAnsi="Arial"/>
          <w:sz w:val="17"/>
          <w:szCs w:val="17"/>
          <w:color w:val="auto"/>
        </w:rPr>
        <w:t>t”), by and among ARYA, the Shareholders and the other members of the ARYA Board, shall be amended and restated in its entirety as follows:</w:t>
      </w:r>
    </w:p>
    <w:p>
      <w:pPr>
        <w:spacing w:after="0" w:line="11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The amendment and restatement of the Insider Letter Agreement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void and of no force and effect if the Business Combination Agreement is terminated in accordance with its terms.</w:t>
      </w:r>
    </w:p>
    <w:p>
      <w:pPr>
        <w:spacing w:after="0" w:line="116" w:lineRule="exact"/>
        <w:rPr>
          <w:sz w:val="20"/>
          <w:szCs w:val="20"/>
          <w:color w:val="auto"/>
        </w:rPr>
      </w:pPr>
    </w:p>
    <w:p>
      <w:pPr>
        <w:ind w:right="60" w:firstLine="332"/>
        <w:spacing w:after="0" w:line="277" w:lineRule="auto"/>
        <w:tabs>
          <w:tab w:leader="none" w:pos="648"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Shareholder represents and warrants, solely with respect to himself, herself or itself and not any of the other Shareholders, to the Company as follows: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32"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spacing w:after="0" w:line="133" w:lineRule="exact"/>
        <w:rPr>
          <w:sz w:val="20"/>
          <w:szCs w:val="20"/>
          <w:color w:val="auto"/>
        </w:rPr>
      </w:pPr>
    </w:p>
    <w:p>
      <w:pPr>
        <w:jc w:val="both"/>
        <w:ind w:firstLine="656"/>
        <w:spacing w:after="0" w:line="273" w:lineRule="auto"/>
        <w:tabs>
          <w:tab w:leader="none" w:pos="1286" w:val="left"/>
        </w:tabs>
        <w:numPr>
          <w:ilvl w:val="0"/>
          <w:numId w:val="545"/>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jc w:val="both"/>
        <w:ind w:firstLine="656"/>
        <w:spacing w:after="0" w:line="269" w:lineRule="auto"/>
        <w:tabs>
          <w:tab w:leader="none" w:pos="1296" w:val="left"/>
        </w:tabs>
        <w:numPr>
          <w:ilvl w:val="0"/>
          <w:numId w:val="545"/>
        </w:numPr>
        <w:rPr>
          <w:rFonts w:ascii="Arial" w:cs="Arial" w:eastAsia="Arial" w:hAnsi="Arial"/>
          <w:sz w:val="17"/>
          <w:szCs w:val="17"/>
          <w:color w:val="auto"/>
        </w:rPr>
      </w:pPr>
      <w:r>
        <w:rPr>
          <w:rFonts w:ascii="Arial" w:cs="Arial" w:eastAsia="Arial" w:hAnsi="Arial"/>
          <w:sz w:val="17"/>
          <w:szCs w:val="17"/>
          <w:color w:val="auto"/>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jc w:val="both"/>
        <w:ind w:firstLine="656"/>
        <w:spacing w:after="0" w:line="268" w:lineRule="auto"/>
        <w:tabs>
          <w:tab w:leader="none" w:pos="1286" w:val="left"/>
        </w:tabs>
        <w:numPr>
          <w:ilvl w:val="0"/>
          <w:numId w:val="545"/>
        </w:numPr>
        <w:rPr>
          <w:rFonts w:ascii="Arial" w:cs="Arial" w:eastAsia="Arial" w:hAnsi="Arial"/>
          <w:sz w:val="17"/>
          <w:szCs w:val="17"/>
          <w:color w:val="auto"/>
        </w:rPr>
      </w:pPr>
      <w:r>
        <w:rPr>
          <w:rFonts w:ascii="Arial" w:cs="Arial" w:eastAsia="Arial" w:hAnsi="Arial"/>
          <w:sz w:val="17"/>
          <w:szCs w:val="17"/>
          <w:color w:val="auto"/>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spacing w:after="0" w:line="130" w:lineRule="exact"/>
        <w:rPr>
          <w:rFonts w:ascii="Arial" w:cs="Arial" w:eastAsia="Arial" w:hAnsi="Arial"/>
          <w:sz w:val="17"/>
          <w:szCs w:val="17"/>
          <w:color w:val="auto"/>
        </w:rPr>
      </w:pPr>
    </w:p>
    <w:p>
      <w:pPr>
        <w:jc w:val="both"/>
        <w:ind w:firstLine="656"/>
        <w:spacing w:after="0" w:line="286" w:lineRule="auto"/>
        <w:tabs>
          <w:tab w:leader="none" w:pos="1293" w:val="left"/>
        </w:tabs>
        <w:numPr>
          <w:ilvl w:val="0"/>
          <w:numId w:val="545"/>
        </w:numPr>
        <w:rPr>
          <w:rFonts w:ascii="Arial" w:cs="Arial" w:eastAsia="Arial" w:hAnsi="Arial"/>
          <w:sz w:val="17"/>
          <w:szCs w:val="17"/>
          <w:color w:val="auto"/>
        </w:rPr>
      </w:pPr>
      <w:r>
        <w:rPr>
          <w:rFonts w:ascii="Arial" w:cs="Arial" w:eastAsia="Arial" w:hAnsi="Arial"/>
          <w:sz w:val="17"/>
          <w:szCs w:val="17"/>
          <w:color w:val="auto"/>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firstLine="656"/>
        <w:spacing w:after="0" w:line="277" w:lineRule="auto"/>
        <w:tabs>
          <w:tab w:leader="none" w:pos="129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Such Shareholder, on his, her or its own behalf and on behalf of his, her or its Representatives, acknowledges, represents, warrants and agrees that (i) he, she or it has conducted his, her or its own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24" w:lineRule="exact"/>
        <w:rPr>
          <w:sz w:val="20"/>
          <w:szCs w:val="20"/>
          <w:color w:val="auto"/>
        </w:rPr>
      </w:pPr>
    </w:p>
    <w:p>
      <w:pPr>
        <w:jc w:val="both"/>
        <w:ind w:firstLine="656"/>
        <w:spacing w:after="0" w:line="270" w:lineRule="auto"/>
        <w:tabs>
          <w:tab w:leader="none" w:pos="1296" w:val="left"/>
        </w:tabs>
        <w:numPr>
          <w:ilvl w:val="1"/>
          <w:numId w:val="546"/>
        </w:numPr>
        <w:rPr>
          <w:rFonts w:ascii="Arial" w:cs="Arial" w:eastAsia="Arial" w:hAnsi="Arial"/>
          <w:sz w:val="17"/>
          <w:szCs w:val="17"/>
          <w:color w:val="auto"/>
        </w:rPr>
      </w:pPr>
      <w:r>
        <w:rPr>
          <w:rFonts w:ascii="Arial" w:cs="Arial" w:eastAsia="Arial" w:hAnsi="Arial"/>
          <w:sz w:val="17"/>
          <w:szCs w:val="17"/>
          <w:color w:val="auto"/>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26" w:lineRule="exact"/>
        <w:rPr>
          <w:rFonts w:ascii="Arial" w:cs="Arial" w:eastAsia="Arial" w:hAnsi="Arial"/>
          <w:sz w:val="17"/>
          <w:szCs w:val="17"/>
          <w:color w:val="auto"/>
        </w:rPr>
      </w:pPr>
    </w:p>
    <w:p>
      <w:pPr>
        <w:jc w:val="both"/>
        <w:ind w:firstLine="656"/>
        <w:spacing w:after="0" w:line="257" w:lineRule="auto"/>
        <w:tabs>
          <w:tab w:leader="none" w:pos="1283" w:val="left"/>
        </w:tabs>
        <w:numPr>
          <w:ilvl w:val="1"/>
          <w:numId w:val="546"/>
        </w:numPr>
        <w:rPr>
          <w:rFonts w:ascii="Arial" w:cs="Arial" w:eastAsia="Arial" w:hAnsi="Arial"/>
          <w:sz w:val="18"/>
          <w:szCs w:val="18"/>
          <w:color w:val="auto"/>
        </w:rPr>
      </w:pPr>
      <w:r>
        <w:rPr>
          <w:rFonts w:ascii="Arial" w:cs="Arial" w:eastAsia="Arial" w:hAnsi="Arial"/>
          <w:sz w:val="18"/>
          <w:szCs w:val="18"/>
          <w:color w:val="auto"/>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spacing w:after="0" w:line="133" w:lineRule="exact"/>
        <w:rPr>
          <w:rFonts w:ascii="Arial" w:cs="Arial" w:eastAsia="Arial" w:hAnsi="Arial"/>
          <w:sz w:val="18"/>
          <w:szCs w:val="18"/>
          <w:color w:val="auto"/>
        </w:rPr>
      </w:pPr>
    </w:p>
    <w:p>
      <w:pPr>
        <w:ind w:firstLine="332"/>
        <w:spacing w:after="0" w:line="285" w:lineRule="auto"/>
        <w:tabs>
          <w:tab w:leader="none" w:pos="648"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6(g)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shall each survive the termination of this Agreement, (iii)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Section 5.4(a) (Public Announcements) of the Business Combination Agreement)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(iv)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Sections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(to the extent related to any of the provisions that survive the termination of this Agreement) shall survive any termination of this Agreement. For purposes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 “</w:t>
      </w:r>
      <w:r>
        <w:rPr>
          <w:rFonts w:ascii="Arial" w:cs="Arial" w:eastAsia="Arial" w:hAnsi="Arial"/>
          <w:sz w:val="16"/>
          <w:szCs w:val="16"/>
          <w:b w:val="1"/>
          <w:bCs w:val="1"/>
          <w:u w:val="single" w:color="auto"/>
          <w:color w:val="auto"/>
        </w:rPr>
        <w:t>Willful Breach”</w:t>
      </w:r>
      <w:r>
        <w:rPr>
          <w:rFonts w:ascii="Arial" w:cs="Arial" w:eastAsia="Arial" w:hAnsi="Arial"/>
          <w:sz w:val="16"/>
          <w:szCs w:val="16"/>
          <w:color w:val="auto"/>
        </w:rPr>
        <w:t xml:space="preserve">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b w:val="1"/>
          <w:bCs w:val="1"/>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promissory fraud, unfair dealings fraud or any torts (including a claim for fraud or alleged fraud) based on negligence or recklessness.</w:t>
      </w:r>
    </w:p>
    <w:p>
      <w:pPr>
        <w:spacing w:after="0" w:line="171" w:lineRule="exact"/>
        <w:rPr>
          <w:sz w:val="20"/>
          <w:szCs w:val="20"/>
          <w:color w:val="auto"/>
        </w:rPr>
      </w:pPr>
    </w:p>
    <w:p>
      <w:pPr>
        <w:ind w:right="20" w:firstLine="332"/>
        <w:spacing w:after="0" w:line="286" w:lineRule="auto"/>
        <w:tabs>
          <w:tab w:leader="none" w:pos="648" w:val="left"/>
        </w:tabs>
        <w:numPr>
          <w:ilvl w:val="0"/>
          <w:numId w:val="548"/>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113" w:lineRule="exact"/>
        <w:rPr>
          <w:rFonts w:ascii="Arial" w:cs="Arial" w:eastAsia="Arial" w:hAnsi="Arial"/>
          <w:sz w:val="16"/>
          <w:szCs w:val="16"/>
          <w:color w:val="auto"/>
        </w:rPr>
      </w:pPr>
    </w:p>
    <w:p>
      <w:pPr>
        <w:jc w:val="both"/>
        <w:ind w:firstLine="656"/>
        <w:spacing w:after="0" w:line="293" w:lineRule="auto"/>
        <w:tabs>
          <w:tab w:leader="none" w:pos="1296" w:val="left"/>
        </w:tabs>
        <w:numPr>
          <w:ilvl w:val="1"/>
          <w:numId w:val="548"/>
        </w:numPr>
        <w:rPr>
          <w:rFonts w:ascii="Arial" w:cs="Arial" w:eastAsia="Arial" w:hAnsi="Arial"/>
          <w:sz w:val="16"/>
          <w:szCs w:val="16"/>
          <w:color w:val="auto"/>
        </w:rPr>
      </w:pPr>
      <w:r>
        <w:rPr>
          <w:rFonts w:ascii="Arial" w:cs="Arial" w:eastAsia="Arial" w:hAnsi="Arial"/>
          <w:sz w:val="16"/>
          <w:szCs w:val="16"/>
          <w:u w:val="single" w:color="auto"/>
          <w:color w:val="auto"/>
        </w:rPr>
        <w:t>Fiduciary Duties</w:t>
      </w:r>
      <w:r>
        <w:rPr>
          <w:rFonts w:ascii="Arial" w:cs="Arial" w:eastAsia="Arial" w:hAnsi="Arial"/>
          <w:sz w:val="16"/>
          <w:szCs w:val="16"/>
          <w:color w:val="auto"/>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 (b) 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spacing w:after="0" w:line="110" w:lineRule="exact"/>
        <w:rPr>
          <w:rFonts w:ascii="Arial" w:cs="Arial" w:eastAsia="Arial" w:hAnsi="Arial"/>
          <w:sz w:val="16"/>
          <w:szCs w:val="16"/>
          <w:color w:val="auto"/>
        </w:rPr>
      </w:pPr>
    </w:p>
    <w:p>
      <w:pPr>
        <w:jc w:val="both"/>
        <w:ind w:firstLine="656"/>
        <w:spacing w:after="0" w:line="259" w:lineRule="auto"/>
        <w:tabs>
          <w:tab w:leader="none" w:pos="1291" w:val="left"/>
        </w:tabs>
        <w:numPr>
          <w:ilvl w:val="1"/>
          <w:numId w:val="54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32" w:lineRule="exact"/>
        <w:rPr>
          <w:rFonts w:ascii="Arial" w:cs="Arial" w:eastAsia="Arial" w:hAnsi="Arial"/>
          <w:sz w:val="18"/>
          <w:szCs w:val="18"/>
          <w:color w:val="auto"/>
        </w:rPr>
      </w:pPr>
    </w:p>
    <w:p>
      <w:pPr>
        <w:jc w:val="both"/>
        <w:ind w:firstLine="656"/>
        <w:spacing w:after="0" w:line="301" w:lineRule="auto"/>
        <w:tabs>
          <w:tab w:leader="none" w:pos="1285" w:val="left"/>
        </w:tabs>
        <w:numPr>
          <w:ilvl w:val="1"/>
          <w:numId w:val="54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any Shareholder,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konstantin@perceptivelife.com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143"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ryan.brissette@kirkland.com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22027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Sujal Patel, Chief Executive Officer</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bkeyes@wsgr.com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given may have previously furnished to the others in writing in the manner set forth above.</w:t>
      </w:r>
    </w:p>
    <w:p>
      <w:pPr>
        <w:spacing w:after="0" w:line="183" w:lineRule="exact"/>
        <w:rPr>
          <w:sz w:val="20"/>
          <w:szCs w:val="20"/>
          <w:color w:val="auto"/>
        </w:rPr>
      </w:pPr>
    </w:p>
    <w:p>
      <w:pPr>
        <w:jc w:val="both"/>
        <w:ind w:firstLine="656"/>
        <w:spacing w:after="0" w:line="286" w:lineRule="auto"/>
        <w:tabs>
          <w:tab w:leader="none" w:pos="1291"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11" w:lineRule="exact"/>
        <w:rPr>
          <w:rFonts w:ascii="Arial" w:cs="Arial" w:eastAsia="Arial" w:hAnsi="Arial"/>
          <w:sz w:val="17"/>
          <w:szCs w:val="17"/>
          <w:color w:val="auto"/>
        </w:rPr>
      </w:pPr>
    </w:p>
    <w:p>
      <w:pPr>
        <w:jc w:val="both"/>
        <w:ind w:firstLine="656"/>
        <w:spacing w:after="0" w:line="296" w:lineRule="auto"/>
        <w:tabs>
          <w:tab w:leader="none" w:pos="1291"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Assignment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void.</w:t>
      </w:r>
    </w:p>
    <w:p>
      <w:pPr>
        <w:spacing w:after="0" w:line="107" w:lineRule="exact"/>
        <w:rPr>
          <w:rFonts w:ascii="Arial" w:cs="Arial" w:eastAsia="Arial" w:hAnsi="Arial"/>
          <w:sz w:val="16"/>
          <w:szCs w:val="16"/>
          <w:color w:val="auto"/>
        </w:rPr>
      </w:pPr>
    </w:p>
    <w:p>
      <w:pPr>
        <w:jc w:val="both"/>
        <w:ind w:firstLine="656"/>
        <w:spacing w:after="0" w:line="263" w:lineRule="auto"/>
        <w:tabs>
          <w:tab w:leader="none" w:pos="1291"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All fees and expenses incurred in connection with this Agreement and the transactions contemplated hereby, including the fees and disbursements of counsel, financial advisors and accountants, shall be paid by the Party incurring such fees or expenses; provided, that, any such fees and expenses incurred by the Shareholders shall be deemed to be ARYA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143" w:lineRule="exact"/>
        <w:rPr>
          <w:sz w:val="20"/>
          <w:szCs w:val="20"/>
          <w:color w:val="auto"/>
        </w:rPr>
      </w:pPr>
    </w:p>
    <w:p>
      <w:pPr>
        <w:jc w:val="both"/>
        <w:ind w:firstLine="656"/>
        <w:spacing w:after="0" w:line="269" w:lineRule="auto"/>
        <w:tabs>
          <w:tab w:leader="none" w:pos="1291" w:val="left"/>
        </w:tabs>
        <w:numPr>
          <w:ilvl w:val="1"/>
          <w:numId w:val="55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jc w:val="both"/>
        <w:ind w:firstLine="656"/>
        <w:spacing w:after="0" w:line="272" w:lineRule="auto"/>
        <w:tabs>
          <w:tab w:leader="none" w:pos="1291" w:val="left"/>
        </w:tabs>
        <w:numPr>
          <w:ilvl w:val="1"/>
          <w:numId w:val="550"/>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such Shareholder shall not be restricted from voting in favor of, against or abstaining with respect to or giving (or withholding) its written consent to any other matters presented to the shareholders of ARYA.</w:t>
      </w:r>
    </w:p>
    <w:p>
      <w:pPr>
        <w:spacing w:after="0" w:line="123" w:lineRule="exact"/>
        <w:rPr>
          <w:rFonts w:ascii="Arial" w:cs="Arial" w:eastAsia="Arial" w:hAnsi="Arial"/>
          <w:sz w:val="17"/>
          <w:szCs w:val="17"/>
          <w:color w:val="auto"/>
        </w:rPr>
      </w:pPr>
    </w:p>
    <w:p>
      <w:pPr>
        <w:jc w:val="both"/>
        <w:ind w:firstLine="656"/>
        <w:spacing w:after="0" w:line="286" w:lineRule="auto"/>
        <w:tabs>
          <w:tab w:leader="none" w:pos="1291" w:val="left"/>
        </w:tabs>
        <w:numPr>
          <w:ilvl w:val="1"/>
          <w:numId w:val="550"/>
        </w:numPr>
        <w:rPr>
          <w:rFonts w:ascii="Arial" w:cs="Arial" w:eastAsia="Arial" w:hAnsi="Arial"/>
          <w:sz w:val="16"/>
          <w:szCs w:val="16"/>
          <w:color w:val="auto"/>
        </w:rPr>
      </w:pPr>
      <w:r>
        <w:rPr>
          <w:rFonts w:ascii="Arial" w:cs="Arial" w:eastAsia="Arial" w:hAnsi="Arial"/>
          <w:sz w:val="16"/>
          <w:szCs w:val="16"/>
          <w:u w:val="single" w:color="auto"/>
          <w:color w:val="auto"/>
        </w:rPr>
        <w:t>Acknowledgements</w:t>
      </w:r>
      <w:r>
        <w:rPr>
          <w:rFonts w:ascii="Arial" w:cs="Arial" w:eastAsia="Arial" w:hAnsi="Arial"/>
          <w:sz w:val="16"/>
          <w:szCs w:val="16"/>
          <w:color w:val="auto"/>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w:t>
      </w:r>
    </w:p>
    <w:p>
      <w:pPr>
        <w:spacing w:after="0" w:line="1" w:lineRule="exact"/>
        <w:rPr>
          <w:rFonts w:ascii="Arial" w:cs="Arial" w:eastAsia="Arial" w:hAnsi="Arial"/>
          <w:sz w:val="16"/>
          <w:szCs w:val="16"/>
          <w:color w:val="auto"/>
        </w:rPr>
      </w:pPr>
    </w:p>
    <w:p>
      <w:pPr>
        <w:jc w:val="both"/>
        <w:ind w:firstLine="8"/>
        <w:spacing w:after="0" w:line="255" w:lineRule="auto"/>
        <w:tabs>
          <w:tab w:leader="none" w:pos="254" w:val="left"/>
        </w:tabs>
        <w:numPr>
          <w:ilvl w:val="0"/>
          <w:numId w:val="551"/>
        </w:numPr>
        <w:rPr>
          <w:rFonts w:ascii="Arial" w:cs="Arial" w:eastAsia="Arial" w:hAnsi="Arial"/>
          <w:sz w:val="18"/>
          <w:szCs w:val="18"/>
          <w:color w:val="auto"/>
        </w:rPr>
      </w:pPr>
      <w:r>
        <w:rPr>
          <w:rFonts w:ascii="Arial" w:cs="Arial" w:eastAsia="Arial" w:hAnsi="Arial"/>
          <w:sz w:val="18"/>
          <w:szCs w:val="18"/>
          <w:color w:val="auto"/>
        </w:rPr>
        <w:t>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spacing w:after="0" w:line="135" w:lineRule="exact"/>
        <w:rPr>
          <w:rFonts w:ascii="Arial" w:cs="Arial" w:eastAsia="Arial" w:hAnsi="Arial"/>
          <w:sz w:val="18"/>
          <w:szCs w:val="18"/>
          <w:color w:val="auto"/>
        </w:rPr>
      </w:pPr>
    </w:p>
    <w:p>
      <w:pPr>
        <w:jc w:val="both"/>
        <w:ind w:firstLine="656"/>
        <w:spacing w:after="0" w:line="259" w:lineRule="auto"/>
        <w:tabs>
          <w:tab w:leader="none" w:pos="1291"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jc w:val="both"/>
        <w:ind w:right="440" w:firstLine="656"/>
        <w:spacing w:after="0" w:line="263" w:lineRule="auto"/>
        <w:tabs>
          <w:tab w:leader="none" w:pos="1291"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jc w:val="both"/>
        <w:ind w:firstLine="656"/>
        <w:spacing w:after="0" w:line="272" w:lineRule="auto"/>
        <w:tabs>
          <w:tab w:leader="none" w:pos="1291" w:val="left"/>
        </w:tabs>
        <w:numPr>
          <w:ilvl w:val="1"/>
          <w:numId w:val="551"/>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jc w:val="both"/>
        <w:ind w:firstLine="656"/>
        <w:spacing w:after="0" w:line="254" w:lineRule="auto"/>
        <w:tabs>
          <w:tab w:leader="none" w:pos="1291"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jc w:val="both"/>
        <w:ind w:firstLine="656"/>
        <w:spacing w:after="0" w:line="263" w:lineRule="auto"/>
        <w:tabs>
          <w:tab w:leader="none" w:pos="1291"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jc w:val="both"/>
        <w:ind w:firstLine="656"/>
        <w:spacing w:after="0" w:line="252" w:lineRule="auto"/>
        <w:tabs>
          <w:tab w:leader="none" w:pos="1291"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firstLine="656"/>
        <w:spacing w:after="0" w:line="257" w:lineRule="auto"/>
        <w:tabs>
          <w:tab w:leader="none" w:pos="1291"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w:t>
      </w:r>
    </w:p>
    <w:p>
      <w:pPr>
        <w:spacing w:after="0" w:line="1" w:lineRule="exact"/>
        <w:rPr>
          <w:sz w:val="20"/>
          <w:szCs w:val="20"/>
          <w:color w:val="auto"/>
        </w:rPr>
      </w:pPr>
    </w:p>
    <w:p>
      <w:pPr>
        <w:jc w:val="both"/>
        <w:ind w:firstLine="8"/>
        <w:spacing w:after="0" w:line="295" w:lineRule="auto"/>
        <w:tabs>
          <w:tab w:leader="none" w:pos="256"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effective service of process for any such Proceeding, claim, demand, action or cause of 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3" w:name="page544"/>
    <w:bookmarkEnd w:id="54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caused this Agreement to be duly executed on its behalf as of the day and year first above written.</w:t>
      </w: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ARYA SCIENCES HOLDINGS III</w:t>
      </w:r>
    </w:p>
    <w:p>
      <w:pPr>
        <w:spacing w:after="0" w:line="297"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49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Sujal Patel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00"/>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ARYA SCIENCES ACQUISITION CORP III</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bl>
    <w:p>
      <w:pPr>
        <w:ind w:left="5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173355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544" w:name="page545"/>
    <w:bookmarkEnd w:id="544"/>
    <w:p>
      <w:pPr>
        <w:spacing w:after="0" w:line="180" w:lineRule="exact"/>
        <w:rPr>
          <w:sz w:val="20"/>
          <w:szCs w:val="20"/>
          <w:color w:val="auto"/>
        </w:rPr>
      </w:pPr>
    </w:p>
    <w:p>
      <w:pPr>
        <w:jc w:val="right"/>
        <w:ind w:right="1639"/>
        <w:spacing w:after="0"/>
        <w:rPr>
          <w:sz w:val="20"/>
          <w:szCs w:val="20"/>
          <w:color w:val="auto"/>
        </w:rPr>
      </w:pPr>
      <w:r>
        <w:rPr>
          <w:rFonts w:ascii="Arial" w:cs="Arial" w:eastAsia="Arial" w:hAnsi="Arial"/>
          <w:sz w:val="18"/>
          <w:szCs w:val="18"/>
          <w:b w:val="1"/>
          <w:bCs w:val="1"/>
          <w:color w:val="auto"/>
        </w:rPr>
        <w:t>OTHER CLASS B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Saqib Islam</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Todd Wider</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Bradley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Bradley Campbell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187960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5" w:name="page546"/>
    <w:bookmarkEnd w:id="545"/>
    <w:p>
      <w:pPr>
        <w:spacing w:after="0" w:line="139" w:lineRule="exact"/>
        <w:rPr>
          <w:sz w:val="20"/>
          <w:szCs w:val="20"/>
          <w:color w:val="auto"/>
        </w:rPr>
      </w:pPr>
    </w:p>
    <w:p>
      <w:pPr>
        <w:jc w:val="center"/>
        <w:ind w:right="-788"/>
        <w:spacing w:after="0"/>
        <w:rPr>
          <w:sz w:val="20"/>
          <w:szCs w:val="20"/>
          <w:color w:val="auto"/>
        </w:rPr>
      </w:pPr>
      <w:r>
        <w:rPr>
          <w:rFonts w:ascii="Arial" w:cs="Arial" w:eastAsia="Arial" w:hAnsi="Arial"/>
          <w:sz w:val="18"/>
          <w:szCs w:val="18"/>
          <w:b w:val="1"/>
          <w:bCs w:val="1"/>
          <w:u w:val="single" w:color="auto"/>
          <w:color w:val="auto"/>
        </w:rPr>
        <w:t>SCHEDULE I</w:t>
      </w:r>
    </w:p>
    <w:p>
      <w:pPr>
        <w:spacing w:after="0" w:line="171" w:lineRule="exact"/>
        <w:rPr>
          <w:sz w:val="20"/>
          <w:szCs w:val="20"/>
          <w:color w:val="auto"/>
        </w:rPr>
      </w:pPr>
    </w:p>
    <w:p>
      <w:pPr>
        <w:jc w:val="center"/>
        <w:ind w:right="-788"/>
        <w:spacing w:after="0"/>
        <w:rPr>
          <w:sz w:val="20"/>
          <w:szCs w:val="20"/>
          <w:color w:val="auto"/>
        </w:rPr>
      </w:pPr>
      <w:r>
        <w:rPr>
          <w:rFonts w:ascii="Arial" w:cs="Arial" w:eastAsia="Arial" w:hAnsi="Arial"/>
          <w:sz w:val="16"/>
          <w:szCs w:val="16"/>
          <w:b w:val="1"/>
          <w:bCs w:val="1"/>
          <w:color w:val="auto"/>
        </w:rPr>
        <w:t>Other Class B Holders</w:t>
      </w:r>
    </w:p>
    <w:p>
      <w:pPr>
        <w:spacing w:after="0" w:line="198" w:lineRule="exact"/>
        <w:rPr>
          <w:sz w:val="20"/>
          <w:szCs w:val="20"/>
          <w:color w:val="auto"/>
        </w:rPr>
      </w:pPr>
    </w:p>
    <w:p>
      <w:pPr>
        <w:ind w:left="328" w:hanging="328"/>
        <w:spacing w:after="0"/>
        <w:tabs>
          <w:tab w:leader="none" w:pos="3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Bradley Campbell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Saqib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996315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440" w:right="1440" w:bottom="1440" w:gutter="0" w:footer="0" w:header="0"/>
        </w:sectPr>
      </w:pPr>
    </w:p>
    <w:bookmarkStart w:id="546" w:name="page547"/>
    <w:bookmarkEnd w:id="546"/>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ARYA Equity Securities as of February 7, 2021</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7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20"/>
                <w:szCs w:val="20"/>
                <w:color w:val="auto"/>
              </w:rPr>
              <w:t>Shareholder</w:t>
            </w:r>
          </w:p>
        </w:tc>
        <w:tc>
          <w:tcPr>
            <w:tcW w:w="37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20"/>
                <w:szCs w:val="20"/>
                <w:color w:val="auto"/>
              </w:rPr>
              <w:t>Number of ARYA Class A Shares</w:t>
            </w:r>
          </w:p>
        </w:tc>
        <w:tc>
          <w:tcPr>
            <w:tcW w:w="37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Number of ARYA Class B Shares</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Sponsor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499,000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3,647,500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Bradley Campbell</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Saqib Islam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6"/>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Todd Wider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1567"/>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Subscription Agreement (this “Subscription Agreement”) is being entered into as of the date set forth on the signature page hereto, by and between ARYA Sciences Acquisition Corp III, a Cayman Islands exempted company (“ARYA”), which shall be domesticated as a Delaware corporation prior to the closing of the Transaction (as defined herein), and the undersigned subscriber (the “Investor”), in connection with the Business Combination Agreement, dated as of the date hereof (as may be amended, supplemented or otherwise modified from time to time, the “Transaction Agreement”), by and among ARYA, Mako Merger Sub, Inc., a Delaware corporation (“Merger Sub”) and Nautilus Biotechnology, Inc., a Delaware corporation (the “Company”),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“Transaction”).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Transaction, ARYA is seeking commitments from interested investors to purchase, following the Domestication (as defined below) and prior to the closing of the Transaction, shares of ARYA’s common stock, par value $0.0001 per share (the “Shares”), in a private placement for a purchase price of $10.00 per share (the “Per Share Purchase Price”). On or about the date of this Subscription Agreement, ARYA is entering into subscription agreements (the “Other Subscription Agreements”, and together with the Subscription Agreement, the “Subscription Agreements”) with certain other investors (the “Other Investors”, and together with the Investor, the “Investors”),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“Domestication”). The aggregate purchase price to be paid by the Investor for the subscribed Shares (as set forth on the signature page hereto) is referred to herein as the “Subscription Amount.”</w:t>
      </w:r>
    </w:p>
    <w:p>
      <w:pPr>
        <w:spacing w:after="0" w:line="128"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92" w:lineRule="exact"/>
        <w:rPr>
          <w:sz w:val="20"/>
          <w:szCs w:val="20"/>
          <w:color w:val="auto"/>
        </w:rPr>
      </w:pPr>
    </w:p>
    <w:p>
      <w:pPr>
        <w:jc w:val="both"/>
        <w:ind w:firstLine="656"/>
        <w:spacing w:after="0" w:line="254" w:lineRule="auto"/>
        <w:tabs>
          <w:tab w:leader="none" w:pos="1296"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37"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purchase and issuance of the Shares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 The Closing shall occur on the date of, and immediately prior to, the effectiveness of the Transaction (the date the Closing so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Upon delivery of written notice from (or on behalf of) ARYA to the Investor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8" w:name="page549"/>
    <w:bookmarkEnd w:id="548"/>
    <w:p>
      <w:pPr>
        <w:spacing w:after="0" w:line="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141" w:lineRule="exact"/>
        <w:rPr>
          <w:sz w:val="20"/>
          <w:szCs w:val="20"/>
          <w:color w:val="auto"/>
        </w:rPr>
      </w:pPr>
    </w:p>
    <w:p>
      <w:pPr>
        <w:ind w:left="1300" w:hanging="644"/>
        <w:spacing w:after="0"/>
        <w:tabs>
          <w:tab w:leader="none" w:pos="130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sale, purchase and issuance of the Shares pursuant to this Subscription Agreement is subject to the following conditions:</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2"/>
          <w:numId w:val="556"/>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32" w:lineRule="exact"/>
        <w:rPr>
          <w:rFonts w:ascii="Arial" w:cs="Arial" w:eastAsia="Arial" w:hAnsi="Arial"/>
          <w:sz w:val="18"/>
          <w:szCs w:val="18"/>
          <w:color w:val="auto"/>
        </w:rPr>
      </w:pPr>
    </w:p>
    <w:p>
      <w:pPr>
        <w:jc w:val="both"/>
        <w:ind w:left="1300" w:firstLine="652"/>
        <w:spacing w:after="0" w:line="254" w:lineRule="auto"/>
        <w:tabs>
          <w:tab w:leader="none" w:pos="2586" w:val="left"/>
        </w:tabs>
        <w:numPr>
          <w:ilvl w:val="2"/>
          <w:numId w:val="556"/>
        </w:numPr>
        <w:rPr>
          <w:rFonts w:ascii="Arial" w:cs="Arial" w:eastAsia="Arial" w:hAnsi="Arial"/>
          <w:sz w:val="18"/>
          <w:szCs w:val="18"/>
          <w:color w:val="auto"/>
        </w:rPr>
      </w:pPr>
      <w:r>
        <w:rPr>
          <w:rFonts w:ascii="Arial" w:cs="Arial" w:eastAsia="Arial" w:hAnsi="Arial"/>
          <w:sz w:val="18"/>
          <w:szCs w:val="18"/>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 (B) the closing of the Transaction shall be scheduled to occur concurrently with or on the same date as the Closing.</w:t>
      </w:r>
    </w:p>
    <w:p>
      <w:pPr>
        <w:spacing w:after="0" w:line="140" w:lineRule="exact"/>
        <w:rPr>
          <w:rFonts w:ascii="Arial" w:cs="Arial" w:eastAsia="Arial" w:hAnsi="Arial"/>
          <w:sz w:val="18"/>
          <w:szCs w:val="18"/>
          <w:color w:val="auto"/>
        </w:rPr>
      </w:pPr>
    </w:p>
    <w:p>
      <w:pPr>
        <w:jc w:val="both"/>
        <w:ind w:firstLine="1304"/>
        <w:spacing w:after="0" w:line="293" w:lineRule="auto"/>
        <w:tabs>
          <w:tab w:leader="none" w:pos="1944" w:val="left"/>
        </w:tabs>
        <w:numPr>
          <w:ilvl w:val="1"/>
          <w:numId w:val="556"/>
        </w:numPr>
        <w:rPr>
          <w:rFonts w:ascii="Arial" w:cs="Arial" w:eastAsia="Arial" w:hAnsi="Arial"/>
          <w:sz w:val="16"/>
          <w:szCs w:val="16"/>
          <w:color w:val="auto"/>
        </w:rPr>
      </w:pPr>
      <w:r>
        <w:rPr>
          <w:rFonts w:ascii="Arial" w:cs="Arial" w:eastAsia="Arial" w:hAnsi="Arial"/>
          <w:sz w:val="16"/>
          <w:szCs w:val="16"/>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10" w:lineRule="exact"/>
        <w:rPr>
          <w:rFonts w:ascii="Arial" w:cs="Arial" w:eastAsia="Arial" w:hAnsi="Arial"/>
          <w:sz w:val="16"/>
          <w:szCs w:val="16"/>
          <w:color w:val="auto"/>
        </w:rPr>
      </w:pPr>
    </w:p>
    <w:p>
      <w:pPr>
        <w:jc w:val="both"/>
        <w:ind w:firstLine="1304"/>
        <w:spacing w:after="0" w:line="269" w:lineRule="auto"/>
        <w:tabs>
          <w:tab w:leader="none" w:pos="1934" w:val="left"/>
        </w:tabs>
        <w:numPr>
          <w:ilvl w:val="1"/>
          <w:numId w:val="556"/>
        </w:numPr>
        <w:rPr>
          <w:rFonts w:ascii="Arial" w:cs="Arial" w:eastAsia="Arial" w:hAnsi="Arial"/>
          <w:sz w:val="17"/>
          <w:szCs w:val="17"/>
          <w:color w:val="auto"/>
        </w:rPr>
      </w:pPr>
      <w:r>
        <w:rPr>
          <w:rFonts w:ascii="Arial" w:cs="Arial" w:eastAsia="Arial" w:hAnsi="Arial"/>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131" w:lineRule="exact"/>
        <w:rPr>
          <w:rFonts w:ascii="Arial" w:cs="Arial" w:eastAsia="Arial" w:hAnsi="Arial"/>
          <w:sz w:val="17"/>
          <w:szCs w:val="17"/>
          <w:color w:val="auto"/>
        </w:rPr>
      </w:pPr>
    </w:p>
    <w:p>
      <w:pPr>
        <w:ind w:right="380" w:firstLine="656"/>
        <w:spacing w:after="0" w:line="263" w:lineRule="auto"/>
        <w:tabs>
          <w:tab w:leader="none" w:pos="1296"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9" w:name="page550"/>
    <w:bookmarkEnd w:id="549"/>
    <w:p>
      <w:pPr>
        <w:spacing w:after="0" w:line="8" w:lineRule="exact"/>
        <w:rPr>
          <w:sz w:val="20"/>
          <w:szCs w:val="20"/>
          <w:color w:val="auto"/>
        </w:rPr>
      </w:pPr>
    </w:p>
    <w:p>
      <w:pPr>
        <w:ind w:left="1292" w:hanging="644"/>
        <w:spacing w:after="0"/>
        <w:tabs>
          <w:tab w:leader="none" w:pos="1292"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t>ARYA Representations and Warranties</w:t>
      </w:r>
      <w:r>
        <w:rPr>
          <w:rFonts w:ascii="Arial" w:cs="Arial" w:eastAsia="Arial" w:hAnsi="Arial"/>
          <w:sz w:val="18"/>
          <w:szCs w:val="18"/>
          <w:color w:val="auto"/>
        </w:rPr>
        <w:t>. ARYA represents and warrants to the Investor that:</w:t>
      </w:r>
    </w:p>
    <w:p>
      <w:pPr>
        <w:spacing w:after="0" w:line="171" w:lineRule="exact"/>
        <w:rPr>
          <w:rFonts w:ascii="Arial" w:cs="Arial" w:eastAsia="Arial" w:hAnsi="Arial"/>
          <w:sz w:val="18"/>
          <w:szCs w:val="18"/>
          <w:color w:val="auto"/>
        </w:rPr>
      </w:pPr>
    </w:p>
    <w:p>
      <w:pPr>
        <w:jc w:val="both"/>
        <w:ind w:left="-8" w:firstLine="1304"/>
        <w:spacing w:after="0" w:line="257" w:lineRule="auto"/>
        <w:tabs>
          <w:tab w:leader="none" w:pos="1926" w:val="left"/>
        </w:tabs>
        <w:numPr>
          <w:ilvl w:val="2"/>
          <w:numId w:val="557"/>
        </w:numPr>
        <w:rPr>
          <w:rFonts w:ascii="Arial" w:cs="Arial" w:eastAsia="Arial" w:hAnsi="Arial"/>
          <w:sz w:val="18"/>
          <w:szCs w:val="18"/>
          <w:color w:val="auto"/>
        </w:rPr>
      </w:pPr>
      <w:r>
        <w:rPr>
          <w:rFonts w:ascii="Arial" w:cs="Arial" w:eastAsia="Arial" w:hAnsi="Arial"/>
          <w:sz w:val="18"/>
          <w:szCs w:val="18"/>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33" w:lineRule="exact"/>
        <w:rPr>
          <w:rFonts w:ascii="Arial" w:cs="Arial" w:eastAsia="Arial" w:hAnsi="Arial"/>
          <w:sz w:val="18"/>
          <w:szCs w:val="18"/>
          <w:color w:val="auto"/>
        </w:rPr>
      </w:pPr>
    </w:p>
    <w:p>
      <w:pPr>
        <w:jc w:val="both"/>
        <w:ind w:left="-8" w:firstLine="1304"/>
        <w:spacing w:after="0" w:line="259" w:lineRule="auto"/>
        <w:tabs>
          <w:tab w:leader="none" w:pos="1936" w:val="left"/>
        </w:tabs>
        <w:numPr>
          <w:ilvl w:val="2"/>
          <w:numId w:val="557"/>
        </w:numPr>
        <w:rPr>
          <w:rFonts w:ascii="Arial" w:cs="Arial" w:eastAsia="Arial" w:hAnsi="Arial"/>
          <w:sz w:val="18"/>
          <w:szCs w:val="18"/>
          <w:color w:val="auto"/>
        </w:rPr>
      </w:pPr>
      <w:r>
        <w:rPr>
          <w:rFonts w:ascii="Arial" w:cs="Arial" w:eastAsia="Arial" w:hAnsi="Arial"/>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32" w:lineRule="exact"/>
        <w:rPr>
          <w:rFonts w:ascii="Arial" w:cs="Arial" w:eastAsia="Arial" w:hAnsi="Arial"/>
          <w:sz w:val="18"/>
          <w:szCs w:val="18"/>
          <w:color w:val="auto"/>
        </w:rPr>
      </w:pPr>
    </w:p>
    <w:p>
      <w:pPr>
        <w:jc w:val="both"/>
        <w:ind w:left="-8" w:firstLine="1304"/>
        <w:spacing w:after="0" w:line="279" w:lineRule="auto"/>
        <w:tabs>
          <w:tab w:leader="none" w:pos="1926" w:val="left"/>
        </w:tabs>
        <w:numPr>
          <w:ilvl w:val="2"/>
          <w:numId w:val="557"/>
        </w:numPr>
        <w:rPr>
          <w:rFonts w:ascii="Arial" w:cs="Arial" w:eastAsia="Arial" w:hAnsi="Arial"/>
          <w:sz w:val="17"/>
          <w:szCs w:val="17"/>
          <w:color w:val="auto"/>
        </w:rPr>
      </w:pPr>
      <w:r>
        <w:rPr>
          <w:rFonts w:ascii="Arial" w:cs="Arial" w:eastAsia="Arial" w:hAnsi="Arial"/>
          <w:sz w:val="17"/>
          <w:szCs w:val="17"/>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17" w:lineRule="exact"/>
        <w:rPr>
          <w:rFonts w:ascii="Arial" w:cs="Arial" w:eastAsia="Arial" w:hAnsi="Arial"/>
          <w:sz w:val="17"/>
          <w:szCs w:val="17"/>
          <w:color w:val="auto"/>
        </w:rPr>
      </w:pPr>
    </w:p>
    <w:p>
      <w:pPr>
        <w:jc w:val="both"/>
        <w:ind w:left="-8" w:firstLine="1304"/>
        <w:spacing w:after="0" w:line="284" w:lineRule="auto"/>
        <w:tabs>
          <w:tab w:leader="none" w:pos="1936" w:val="left"/>
        </w:tabs>
        <w:numPr>
          <w:ilvl w:val="2"/>
          <w:numId w:val="557"/>
        </w:numPr>
        <w:rPr>
          <w:rFonts w:ascii="Arial" w:cs="Arial" w:eastAsia="Arial" w:hAnsi="Arial"/>
          <w:sz w:val="16"/>
          <w:szCs w:val="16"/>
          <w:color w:val="auto"/>
        </w:rPr>
      </w:pPr>
      <w:r>
        <w:rPr>
          <w:rFonts w:ascii="Arial" w:cs="Arial" w:eastAsia="Arial" w:hAnsi="Arial"/>
          <w:sz w:val="16"/>
          <w:szCs w:val="16"/>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materially affect the validity of the Shares or the legal authority of ARYA to comply in all material respects with the terms of this Subscription Agreement; (ii) result in any violation of the provisions of the organizational documents of ARYA; or</w:t>
      </w:r>
    </w:p>
    <w:p>
      <w:pPr>
        <w:jc w:val="both"/>
        <w:ind w:left="-8" w:firstLine="8"/>
        <w:spacing w:after="0" w:line="255" w:lineRule="auto"/>
        <w:tabs>
          <w:tab w:leader="none" w:pos="326" w:val="left"/>
        </w:tabs>
        <w:numPr>
          <w:ilvl w:val="0"/>
          <w:numId w:val="558"/>
        </w:numPr>
        <w:rPr>
          <w:rFonts w:ascii="Arial" w:cs="Arial" w:eastAsia="Arial" w:hAnsi="Arial"/>
          <w:sz w:val="18"/>
          <w:szCs w:val="18"/>
          <w:color w:val="auto"/>
        </w:rPr>
      </w:pPr>
      <w:r>
        <w:rPr>
          <w:rFonts w:ascii="Arial" w:cs="Arial" w:eastAsia="Arial" w:hAnsi="Arial"/>
          <w:sz w:val="18"/>
          <w:szCs w:val="18"/>
          <w:color w:val="auto"/>
        </w:rPr>
        <w:t>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35" w:lineRule="exact"/>
        <w:rPr>
          <w:rFonts w:ascii="Arial" w:cs="Arial" w:eastAsia="Arial" w:hAnsi="Arial"/>
          <w:sz w:val="18"/>
          <w:szCs w:val="18"/>
          <w:color w:val="auto"/>
        </w:rPr>
      </w:pPr>
    </w:p>
    <w:p>
      <w:pPr>
        <w:jc w:val="both"/>
        <w:ind w:left="-8" w:firstLine="1304"/>
        <w:spacing w:after="0" w:line="288" w:lineRule="auto"/>
        <w:tabs>
          <w:tab w:leader="none" w:pos="1926" w:val="left"/>
        </w:tabs>
        <w:numPr>
          <w:ilvl w:val="2"/>
          <w:numId w:val="558"/>
        </w:numPr>
        <w:rPr>
          <w:rFonts w:ascii="Arial" w:cs="Arial" w:eastAsia="Arial" w:hAnsi="Arial"/>
          <w:sz w:val="16"/>
          <w:szCs w:val="16"/>
          <w:color w:val="auto"/>
        </w:rPr>
      </w:pPr>
      <w:r>
        <w:rPr>
          <w:rFonts w:ascii="Arial" w:cs="Arial" w:eastAsia="Arial" w:hAnsi="Arial"/>
          <w:sz w:val="16"/>
          <w:szCs w:val="16"/>
          <w:color w:val="auto"/>
        </w:rPr>
        <w:t>As of their respective dates, all reports (the “</w:t>
      </w:r>
      <w:r>
        <w:rPr>
          <w:rFonts w:ascii="Arial" w:cs="Arial" w:eastAsia="Arial" w:hAnsi="Arial"/>
          <w:sz w:val="16"/>
          <w:szCs w:val="16"/>
          <w:u w:val="single" w:color="auto"/>
          <w:color w:val="auto"/>
        </w:rPr>
        <w:t>SEC Reports</w:t>
      </w:r>
      <w:r>
        <w:rPr>
          <w:rFonts w:ascii="Arial" w:cs="Arial" w:eastAsia="Arial" w:hAnsi="Arial"/>
          <w:sz w:val="16"/>
          <w:szCs w:val="16"/>
          <w:color w:val="auto"/>
        </w:rPr>
        <w:t>”) required to be filed by ARYA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complied in all material respects with the applicable requirements of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114" w:lineRule="exact"/>
        <w:rPr>
          <w:rFonts w:ascii="Arial" w:cs="Arial" w:eastAsia="Arial" w:hAnsi="Arial"/>
          <w:sz w:val="16"/>
          <w:szCs w:val="16"/>
          <w:color w:val="auto"/>
        </w:rPr>
      </w:pPr>
    </w:p>
    <w:p>
      <w:pPr>
        <w:jc w:val="both"/>
        <w:ind w:left="-8" w:firstLine="1304"/>
        <w:spacing w:after="0" w:line="255" w:lineRule="auto"/>
        <w:tabs>
          <w:tab w:leader="none" w:pos="1933" w:val="left"/>
        </w:tabs>
        <w:numPr>
          <w:ilvl w:val="2"/>
          <w:numId w:val="558"/>
        </w:numPr>
        <w:rPr>
          <w:rFonts w:ascii="Arial" w:cs="Arial" w:eastAsia="Arial" w:hAnsi="Arial"/>
          <w:sz w:val="18"/>
          <w:szCs w:val="18"/>
          <w:color w:val="auto"/>
        </w:rPr>
      </w:pPr>
      <w:r>
        <w:rPr>
          <w:rFonts w:ascii="Arial" w:cs="Arial" w:eastAsia="Arial" w:hAnsi="Arial"/>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847090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50" w:name="page551"/>
    <w:bookmarkEnd w:id="550"/>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advantageous to any such Other Investor than the Investor hereunder, and such Other Subscription Agreements have not been amended or modified in any material respect following the date of this Subscription Agreement.</w:t>
      </w:r>
    </w:p>
    <w:p>
      <w:pPr>
        <w:spacing w:after="0" w:line="116" w:lineRule="exact"/>
        <w:rPr>
          <w:sz w:val="20"/>
          <w:szCs w:val="20"/>
          <w:color w:val="auto"/>
        </w:rPr>
      </w:pPr>
    </w:p>
    <w:p>
      <w:pPr>
        <w:jc w:val="both"/>
        <w:ind w:firstLine="1304"/>
        <w:spacing w:after="0" w:line="255" w:lineRule="auto"/>
        <w:tabs>
          <w:tab w:leader="none" w:pos="19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Arial" w:cs="Arial" w:eastAsia="Arial" w:hAnsi="Arial"/>
          <w:sz w:val="18"/>
          <w:szCs w:val="18"/>
          <w:u w:val="single" w:color="auto"/>
          <w:color w:val="auto"/>
        </w:rPr>
        <w:t>Stock Exchange</w:t>
      </w:r>
      <w:r>
        <w:rPr>
          <w:rFonts w:ascii="Arial" w:cs="Arial" w:eastAsia="Arial" w:hAnsi="Arial"/>
          <w:sz w:val="18"/>
          <w:szCs w:val="18"/>
          <w:color w:val="auto"/>
        </w:rPr>
        <w:t>”), and (iv) the failure of which to obtain would not be reasonably likely to have, individually or in the aggregate, a Material Adverse Effect.</w:t>
      </w:r>
    </w:p>
    <w:p>
      <w:pPr>
        <w:spacing w:after="0" w:line="138"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As of the date of this Subscription Agreement, the authorized capital stock of ARYA consists of 479,000,000 Class A ordinary shares (“</w:t>
      </w:r>
      <w:r>
        <w:rPr>
          <w:rFonts w:ascii="Arial" w:cs="Arial" w:eastAsia="Arial" w:hAnsi="Arial"/>
          <w:sz w:val="17"/>
          <w:szCs w:val="17"/>
          <w:u w:val="single" w:color="auto"/>
          <w:color w:val="auto"/>
        </w:rPr>
        <w:t>Class A Shares</w:t>
      </w:r>
      <w:r>
        <w:rPr>
          <w:rFonts w:ascii="Arial" w:cs="Arial" w:eastAsia="Arial" w:hAnsi="Arial"/>
          <w:sz w:val="17"/>
          <w:szCs w:val="17"/>
          <w:color w:val="auto"/>
        </w:rPr>
        <w:t>”), 20,000,000 Class B ordinary shares (the “</w:t>
      </w:r>
      <w:r>
        <w:rPr>
          <w:rFonts w:ascii="Arial" w:cs="Arial" w:eastAsia="Arial" w:hAnsi="Arial"/>
          <w:sz w:val="17"/>
          <w:szCs w:val="17"/>
          <w:u w:val="single" w:color="auto"/>
          <w:color w:val="auto"/>
        </w:rPr>
        <w:t>Class B Shares</w:t>
      </w:r>
      <w:r>
        <w:rPr>
          <w:rFonts w:ascii="Arial" w:cs="Arial" w:eastAsia="Arial" w:hAnsi="Arial"/>
          <w:sz w:val="17"/>
          <w:szCs w:val="17"/>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27" w:lineRule="exact"/>
        <w:rPr>
          <w:rFonts w:ascii="Arial" w:cs="Arial" w:eastAsia="Arial" w:hAnsi="Arial"/>
          <w:sz w:val="17"/>
          <w:szCs w:val="17"/>
          <w:color w:val="auto"/>
        </w:rPr>
      </w:pPr>
    </w:p>
    <w:p>
      <w:pPr>
        <w:jc w:val="both"/>
        <w:ind w:firstLine="1304"/>
        <w:spacing w:after="0" w:line="272" w:lineRule="auto"/>
        <w:tabs>
          <w:tab w:leader="none" w:pos="1931" w:val="left"/>
        </w:tabs>
        <w:numPr>
          <w:ilvl w:val="0"/>
          <w:numId w:val="559"/>
        </w:numPr>
        <w:rPr>
          <w:rFonts w:ascii="Arial" w:cs="Arial" w:eastAsia="Arial" w:hAnsi="Arial"/>
          <w:sz w:val="17"/>
          <w:szCs w:val="17"/>
          <w:color w:val="auto"/>
        </w:rPr>
      </w:pPr>
      <w:r>
        <w:rPr>
          <w:rFonts w:ascii="Arial" w:cs="Arial" w:eastAsia="Arial" w:hAnsi="Arial"/>
          <w:sz w:val="17"/>
          <w:szCs w:val="17"/>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Arial" w:cs="Arial" w:eastAsia="Arial" w:hAnsi="Arial"/>
          <w:sz w:val="17"/>
          <w:szCs w:val="17"/>
          <w:u w:val="single" w:color="auto"/>
          <w:color w:val="auto"/>
        </w:rPr>
        <w:t>Delaware Common Shares</w:t>
      </w:r>
      <w:r>
        <w:rPr>
          <w:rFonts w:ascii="Arial" w:cs="Arial" w:eastAsia="Arial" w:hAnsi="Arial"/>
          <w:sz w:val="17"/>
          <w:szCs w:val="17"/>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1"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59"/>
        </w:numPr>
        <w:rPr>
          <w:rFonts w:ascii="Arial" w:cs="Arial" w:eastAsia="Arial" w:hAnsi="Arial"/>
          <w:sz w:val="18"/>
          <w:szCs w:val="18"/>
          <w:color w:val="auto"/>
        </w:rPr>
      </w:pPr>
      <w:r>
        <w:rPr>
          <w:rFonts w:ascii="Arial" w:cs="Arial" w:eastAsia="Arial" w:hAnsi="Arial"/>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4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Investor effecting a pledge of Shares shall not be required to provide ARYA with any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17" w:lineRule="exact"/>
        <w:rPr>
          <w:sz w:val="20"/>
          <w:szCs w:val="20"/>
          <w:color w:val="auto"/>
        </w:rPr>
      </w:pPr>
    </w:p>
    <w:p>
      <w:pPr>
        <w:ind w:left="1300" w:hanging="644"/>
        <w:spacing w:after="0"/>
        <w:tabs>
          <w:tab w:leader="none" w:pos="1300"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ARYA that:</w:t>
      </w:r>
    </w:p>
    <w:p>
      <w:pPr>
        <w:spacing w:after="0" w:line="171" w:lineRule="exact"/>
        <w:rPr>
          <w:rFonts w:ascii="Arial" w:cs="Arial" w:eastAsia="Arial" w:hAnsi="Arial"/>
          <w:sz w:val="18"/>
          <w:szCs w:val="18"/>
          <w:color w:val="auto"/>
        </w:rPr>
      </w:pPr>
    </w:p>
    <w:p>
      <w:pPr>
        <w:jc w:val="both"/>
        <w:ind w:firstLine="1304"/>
        <w:spacing w:after="0" w:line="272" w:lineRule="auto"/>
        <w:tabs>
          <w:tab w:leader="none" w:pos="1934" w:val="left"/>
        </w:tabs>
        <w:numPr>
          <w:ilvl w:val="1"/>
          <w:numId w:val="560"/>
        </w:numPr>
        <w:rPr>
          <w:rFonts w:ascii="Arial" w:cs="Arial" w:eastAsia="Arial" w:hAnsi="Arial"/>
          <w:sz w:val="17"/>
          <w:szCs w:val="17"/>
          <w:color w:val="auto"/>
        </w:rPr>
      </w:pPr>
      <w:r>
        <w:rPr>
          <w:rFonts w:ascii="Arial" w:cs="Arial" w:eastAsia="Arial" w:hAnsi="Arial"/>
          <w:sz w:val="17"/>
          <w:szCs w:val="17"/>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The Investor is not an entity formed for the specific purpose of acquiring the Shares.</w:t>
      </w:r>
    </w:p>
    <w:p>
      <w:pPr>
        <w:spacing w:after="0" w:line="123" w:lineRule="exact"/>
        <w:rPr>
          <w:rFonts w:ascii="Arial" w:cs="Arial" w:eastAsia="Arial" w:hAnsi="Arial"/>
          <w:sz w:val="17"/>
          <w:szCs w:val="17"/>
          <w:color w:val="auto"/>
        </w:rPr>
      </w:pPr>
    </w:p>
    <w:p>
      <w:pPr>
        <w:jc w:val="both"/>
        <w:ind w:firstLine="1304"/>
        <w:spacing w:after="0" w:line="269" w:lineRule="auto"/>
        <w:tabs>
          <w:tab w:leader="none" w:pos="1944" w:val="left"/>
        </w:tabs>
        <w:numPr>
          <w:ilvl w:val="1"/>
          <w:numId w:val="560"/>
        </w:numPr>
        <w:rPr>
          <w:rFonts w:ascii="Arial" w:cs="Arial" w:eastAsia="Arial" w:hAnsi="Arial"/>
          <w:sz w:val="17"/>
          <w:szCs w:val="17"/>
          <w:color w:val="auto"/>
        </w:rPr>
      </w:pPr>
      <w:r>
        <w:rPr>
          <w:rFonts w:ascii="Arial" w:cs="Arial" w:eastAsia="Arial" w:hAnsi="Arial"/>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24" w:lineRule="exact"/>
        <w:rPr>
          <w:rFonts w:ascii="Arial" w:cs="Arial" w:eastAsia="Arial" w:hAnsi="Arial"/>
          <w:sz w:val="17"/>
          <w:szCs w:val="17"/>
          <w:color w:val="auto"/>
        </w:rPr>
      </w:pPr>
    </w:p>
    <w:p>
      <w:pPr>
        <w:jc w:val="both"/>
        <w:ind w:firstLine="1304"/>
        <w:spacing w:after="0" w:line="257" w:lineRule="auto"/>
        <w:tabs>
          <w:tab w:leader="none" w:pos="193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3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29" w:lineRule="exact"/>
        <w:rPr>
          <w:rFonts w:ascii="Arial" w:cs="Arial" w:eastAsia="Arial" w:hAnsi="Arial"/>
          <w:sz w:val="18"/>
          <w:szCs w:val="18"/>
          <w:color w:val="auto"/>
        </w:rPr>
      </w:pPr>
    </w:p>
    <w:p>
      <w:pPr>
        <w:ind w:firstLine="1304"/>
        <w:spacing w:after="0" w:line="277" w:lineRule="auto"/>
        <w:tabs>
          <w:tab w:leader="none" w:pos="193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has received such information as the Investor deems necessary in order to make an investment decision with respect to the Shares, including, without</w:t>
      </w:r>
    </w:p>
    <w:p>
      <w:pPr>
        <w:spacing w:after="0" w:line="116"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03" w:lineRule="exact"/>
        <w:rPr>
          <w:sz w:val="20"/>
          <w:szCs w:val="20"/>
          <w:color w:val="auto"/>
        </w:rPr>
      </w:pPr>
    </w:p>
    <w:p>
      <w:pPr>
        <w:ind w:firstLine="1304"/>
        <w:spacing w:after="0" w:line="277" w:lineRule="auto"/>
        <w:tabs>
          <w:tab w:leader="none" w:pos="194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Investor became aware of this offering of the Shares solely by means of direct contact between the Investor and ARYA, the Company or a representative of ARYA or the Company, and the Shares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24" w:lineRule="exact"/>
        <w:rPr>
          <w:sz w:val="20"/>
          <w:szCs w:val="20"/>
          <w:color w:val="auto"/>
        </w:rPr>
      </w:pPr>
    </w:p>
    <w:p>
      <w:pPr>
        <w:jc w:val="both"/>
        <w:ind w:firstLine="1304"/>
        <w:spacing w:after="0" w:line="259" w:lineRule="auto"/>
        <w:tabs>
          <w:tab w:leader="none" w:pos="194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32" w:lineRule="exact"/>
        <w:rPr>
          <w:rFonts w:ascii="Arial" w:cs="Arial" w:eastAsia="Arial" w:hAnsi="Arial"/>
          <w:sz w:val="18"/>
          <w:szCs w:val="18"/>
          <w:color w:val="auto"/>
        </w:rPr>
      </w:pPr>
    </w:p>
    <w:p>
      <w:pPr>
        <w:jc w:val="both"/>
        <w:ind w:firstLine="1304"/>
        <w:spacing w:after="0" w:line="311" w:lineRule="auto"/>
        <w:tabs>
          <w:tab w:leader="none" w:pos="1944" w:val="left"/>
        </w:tabs>
        <w:numPr>
          <w:ilvl w:val="0"/>
          <w:numId w:val="562"/>
        </w:numPr>
        <w:rPr>
          <w:rFonts w:ascii="Arial" w:cs="Arial" w:eastAsia="Arial" w:hAnsi="Arial"/>
          <w:sz w:val="16"/>
          <w:szCs w:val="16"/>
          <w:color w:val="auto"/>
        </w:rPr>
      </w:pPr>
      <w:r>
        <w:rPr>
          <w:rFonts w:ascii="Arial" w:cs="Arial" w:eastAsia="Arial" w:hAnsi="Arial"/>
          <w:sz w:val="16"/>
          <w:szCs w:val="16"/>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94" w:lineRule="exact"/>
        <w:rPr>
          <w:rFonts w:ascii="Arial" w:cs="Arial" w:eastAsia="Arial" w:hAnsi="Arial"/>
          <w:sz w:val="16"/>
          <w:szCs w:val="16"/>
          <w:color w:val="auto"/>
        </w:rPr>
      </w:pPr>
    </w:p>
    <w:p>
      <w:pPr>
        <w:jc w:val="both"/>
        <w:ind w:firstLine="1304"/>
        <w:spacing w:after="0" w:line="257" w:lineRule="auto"/>
        <w:tabs>
          <w:tab w:leader="none" w:pos="1931"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33" w:lineRule="exact"/>
        <w:rPr>
          <w:rFonts w:ascii="Arial" w:cs="Arial" w:eastAsia="Arial" w:hAnsi="Arial"/>
          <w:sz w:val="18"/>
          <w:szCs w:val="18"/>
          <w:color w:val="auto"/>
        </w:rPr>
      </w:pPr>
    </w:p>
    <w:p>
      <w:pPr>
        <w:ind w:firstLine="1304"/>
        <w:spacing w:after="0" w:line="277" w:lineRule="auto"/>
        <w:tabs>
          <w:tab w:leader="none" w:pos="1931"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16" w:lineRule="exact"/>
        <w:rPr>
          <w:rFonts w:ascii="Arial" w:cs="Arial" w:eastAsia="Arial" w:hAnsi="Arial"/>
          <w:sz w:val="18"/>
          <w:szCs w:val="18"/>
          <w:color w:val="auto"/>
        </w:rPr>
      </w:pPr>
    </w:p>
    <w:p>
      <w:pPr>
        <w:ind w:firstLine="1304"/>
        <w:spacing w:after="0" w:line="308" w:lineRule="auto"/>
        <w:tabs>
          <w:tab w:leader="none" w:pos="1944"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92" w:lineRule="exact"/>
        <w:rPr>
          <w:rFonts w:ascii="Arial" w:cs="Arial" w:eastAsia="Arial" w:hAnsi="Arial"/>
          <w:sz w:val="17"/>
          <w:szCs w:val="17"/>
          <w:color w:val="auto"/>
        </w:rPr>
      </w:pPr>
    </w:p>
    <w:p>
      <w:pPr>
        <w:jc w:val="both"/>
        <w:ind w:firstLine="1304"/>
        <w:spacing w:after="0" w:line="288" w:lineRule="auto"/>
        <w:tabs>
          <w:tab w:leader="none" w:pos="1931" w:val="left"/>
        </w:tabs>
        <w:numPr>
          <w:ilvl w:val="0"/>
          <w:numId w:val="562"/>
        </w:numPr>
        <w:rPr>
          <w:rFonts w:ascii="Arial" w:cs="Arial" w:eastAsia="Arial" w:hAnsi="Arial"/>
          <w:sz w:val="16"/>
          <w:szCs w:val="16"/>
          <w:color w:val="auto"/>
        </w:rPr>
      </w:pPr>
      <w:r>
        <w:rPr>
          <w:rFonts w:ascii="Arial" w:cs="Arial" w:eastAsia="Arial" w:hAnsi="Arial"/>
          <w:sz w:val="16"/>
          <w:szCs w:val="16"/>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4"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The Investor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w:t>
      </w:r>
      <w:r>
        <w:rPr>
          <w:rFonts w:ascii="Arial" w:cs="Arial" w:eastAsia="Arial" w:hAnsi="Arial"/>
          <w:sz w:val="17"/>
          <w:szCs w:val="17"/>
          <w:u w:val="single" w:color="auto"/>
          <w:color w:val="auto"/>
        </w:rPr>
        <w:t>OFAC List</w:t>
      </w:r>
      <w:r>
        <w:rPr>
          <w:rFonts w:ascii="Arial" w:cs="Arial" w:eastAsia="Arial" w:hAnsi="Arial"/>
          <w:sz w:val="17"/>
          <w:szCs w:val="17"/>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Arial" w:cs="Arial" w:eastAsia="Arial" w:hAnsi="Arial"/>
          <w:sz w:val="17"/>
          <w:szCs w:val="17"/>
          <w:u w:val="single" w:color="auto"/>
          <w:color w:val="auto"/>
        </w:rPr>
        <w:t>Prohibited Investo</w:t>
      </w:r>
      <w:r>
        <w:rPr>
          <w:rFonts w:ascii="Arial" w:cs="Arial" w:eastAsia="Arial" w:hAnsi="Arial"/>
          <w:sz w:val="17"/>
          <w:szCs w:val="17"/>
          <w:color w:val="auto"/>
        </w:rPr>
        <w:t>r”). The Investor agrees to provide law enforcement agencies, if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thereby, such records as required by applicable law, provided that the Investor is permitted to do so under applicable law. If the Investor is a financial institution subject to the Bank Secrecy Act (31 U.S.C. Section 5311 et seq.)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(the “</w:t>
      </w:r>
      <w:r>
        <w:rPr>
          <w:rFonts w:ascii="Arial" w:cs="Arial" w:eastAsia="Arial" w:hAnsi="Arial"/>
          <w:sz w:val="18"/>
          <w:szCs w:val="18"/>
          <w:u w:val="single" w:color="auto"/>
          <w:color w:val="auto"/>
        </w:rPr>
        <w:t>PATRIOT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its implementing regulations (collectively, the “</w:t>
      </w:r>
      <w:r>
        <w:rPr>
          <w:rFonts w:ascii="Arial" w:cs="Arial" w:eastAsia="Arial" w:hAnsi="Arial"/>
          <w:sz w:val="18"/>
          <w:szCs w:val="18"/>
          <w:u w:val="single" w:color="auto"/>
          <w:color w:val="auto"/>
        </w:rPr>
        <w:t>BSA/PATRIOT Act</w:t>
      </w:r>
      <w:r>
        <w:rPr>
          <w:rFonts w:ascii="Arial" w:cs="Arial" w:eastAsia="Arial" w:hAnsi="Arial"/>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41" w:lineRule="exact"/>
        <w:rPr>
          <w:sz w:val="20"/>
          <w:szCs w:val="20"/>
          <w:color w:val="auto"/>
        </w:rPr>
      </w:pPr>
    </w:p>
    <w:p>
      <w:pPr>
        <w:ind w:firstLine="1304"/>
        <w:spacing w:after="0" w:line="277" w:lineRule="auto"/>
        <w:tabs>
          <w:tab w:leader="none" w:pos="194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Investor acknowledges that no disclosure or offering document has been prepared by Jefferies LLC, Goldman Sachs &amp; Co. LLC or any of their respective affiliates (collectively,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in connection with the offer and sale of the Shares.</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32" w:lineRule="exact"/>
        <w:rPr>
          <w:rFonts w:ascii="Arial" w:cs="Arial" w:eastAsia="Arial" w:hAnsi="Arial"/>
          <w:sz w:val="18"/>
          <w:szCs w:val="18"/>
          <w:color w:val="auto"/>
        </w:rPr>
      </w:pPr>
    </w:p>
    <w:p>
      <w:pPr>
        <w:ind w:firstLine="1304"/>
        <w:spacing w:after="0" w:line="277" w:lineRule="auto"/>
        <w:tabs>
          <w:tab w:leader="none" w:pos="194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Investor acknowledges that in connection with the issue and purchase of the Shares, neither Placement Agent has acted as the Investor’s financial advisor or fiduciary.</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9" w:lineRule="exact"/>
        <w:rPr>
          <w:rFonts w:ascii="Arial" w:cs="Arial" w:eastAsia="Arial" w:hAnsi="Arial"/>
          <w:sz w:val="18"/>
          <w:szCs w:val="18"/>
          <w:color w:val="auto"/>
        </w:rPr>
      </w:pPr>
    </w:p>
    <w:p>
      <w:pPr>
        <w:jc w:val="both"/>
        <w:ind w:firstLine="1304"/>
        <w:spacing w:after="0" w:line="293" w:lineRule="auto"/>
        <w:tabs>
          <w:tab w:leader="none" w:pos="1931" w:val="left"/>
        </w:tabs>
        <w:numPr>
          <w:ilvl w:val="1"/>
          <w:numId w:val="563"/>
        </w:numPr>
        <w:rPr>
          <w:rFonts w:ascii="Arial" w:cs="Arial" w:eastAsia="Arial" w:hAnsi="Arial"/>
          <w:sz w:val="16"/>
          <w:szCs w:val="16"/>
          <w:color w:val="auto"/>
        </w:rPr>
      </w:pPr>
      <w:r>
        <w:rPr>
          <w:rFonts w:ascii="Arial" w:cs="Arial" w:eastAsia="Arial" w:hAnsi="Arial"/>
          <w:sz w:val="16"/>
          <w:szCs w:val="16"/>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0" w:lineRule="exact"/>
        <w:rPr>
          <w:rFonts w:ascii="Arial" w:cs="Arial" w:eastAsia="Arial" w:hAnsi="Arial"/>
          <w:sz w:val="16"/>
          <w:szCs w:val="16"/>
          <w:color w:val="auto"/>
        </w:rPr>
      </w:pPr>
    </w:p>
    <w:p>
      <w:pPr>
        <w:ind w:left="1300" w:hanging="644"/>
        <w:spacing w:after="0"/>
        <w:tabs>
          <w:tab w:leader="none" w:pos="13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71"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564"/>
        </w:numPr>
        <w:rPr>
          <w:rFonts w:ascii="Arial" w:cs="Arial" w:eastAsia="Arial" w:hAnsi="Arial"/>
          <w:sz w:val="17"/>
          <w:szCs w:val="17"/>
          <w:color w:val="auto"/>
        </w:rPr>
      </w:pPr>
      <w:r>
        <w:rPr>
          <w:rFonts w:ascii="Arial" w:cs="Arial" w:eastAsia="Arial" w:hAnsi="Arial"/>
          <w:sz w:val="17"/>
          <w:szCs w:val="17"/>
          <w:color w:val="auto"/>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 (120) 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115" w:lineRule="exact"/>
        <w:rPr>
          <w:sz w:val="20"/>
          <w:szCs w:val="20"/>
          <w:color w:val="auto"/>
        </w:rPr>
      </w:pPr>
    </w:p>
    <w:p>
      <w:pPr>
        <w:jc w:val="both"/>
        <w:ind w:firstLine="1304"/>
        <w:spacing w:after="0" w:line="286" w:lineRule="auto"/>
        <w:tabs>
          <w:tab w:leader="none" w:pos="1944" w:val="left"/>
        </w:tabs>
        <w:numPr>
          <w:ilvl w:val="0"/>
          <w:numId w:val="565"/>
        </w:numPr>
        <w:rPr>
          <w:rFonts w:ascii="Arial" w:cs="Arial" w:eastAsia="Arial" w:hAnsi="Arial"/>
          <w:sz w:val="16"/>
          <w:szCs w:val="16"/>
          <w:color w:val="auto"/>
        </w:rPr>
      </w:pPr>
      <w:r>
        <w:rPr>
          <w:rFonts w:ascii="Arial" w:cs="Arial" w:eastAsia="Arial" w:hAnsi="Arial"/>
          <w:sz w:val="16"/>
          <w:szCs w:val="16"/>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 (v)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57" w:lineRule="exact"/>
        <w:rPr>
          <w:sz w:val="20"/>
          <w:szCs w:val="20"/>
          <w:color w:val="auto"/>
        </w:rPr>
      </w:pPr>
    </w:p>
    <w:p>
      <w:pPr>
        <w:ind w:left="1940" w:hanging="636"/>
        <w:spacing w:after="0"/>
        <w:tabs>
          <w:tab w:leader="none" w:pos="1940"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00" w:firstLine="638"/>
        <w:spacing w:after="0" w:line="254" w:lineRule="auto"/>
        <w:tabs>
          <w:tab w:leader="none" w:pos="2596" w:val="left"/>
        </w:tabs>
        <w:numPr>
          <w:ilvl w:val="2"/>
          <w:numId w:val="566"/>
        </w:numPr>
        <w:rPr>
          <w:rFonts w:ascii="Arial" w:cs="Arial" w:eastAsia="Arial" w:hAnsi="Arial"/>
          <w:sz w:val="18"/>
          <w:szCs w:val="18"/>
          <w:color w:val="auto"/>
        </w:rPr>
      </w:pPr>
      <w:r>
        <w:rPr>
          <w:rFonts w:ascii="Arial" w:cs="Arial" w:eastAsia="Arial" w:hAnsi="Arial"/>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83" w:lineRule="exact"/>
        <w:rPr>
          <w:rFonts w:ascii="Arial" w:cs="Arial" w:eastAsia="Arial" w:hAnsi="Arial"/>
          <w:sz w:val="18"/>
          <w:szCs w:val="18"/>
          <w:color w:val="auto"/>
        </w:rPr>
      </w:pPr>
    </w:p>
    <w:p>
      <w:pPr>
        <w:jc w:val="both"/>
        <w:ind w:left="1300" w:firstLine="588"/>
        <w:spacing w:after="0" w:line="270" w:lineRule="auto"/>
        <w:tabs>
          <w:tab w:leader="none" w:pos="2596" w:val="left"/>
        </w:tabs>
        <w:numPr>
          <w:ilvl w:val="2"/>
          <w:numId w:val="566"/>
        </w:numPr>
        <w:rPr>
          <w:rFonts w:ascii="Arial" w:cs="Arial" w:eastAsia="Arial" w:hAnsi="Arial"/>
          <w:sz w:val="17"/>
          <w:szCs w:val="17"/>
          <w:color w:val="auto"/>
        </w:rPr>
      </w:pPr>
      <w:r>
        <w:rPr>
          <w:rFonts w:ascii="Arial" w:cs="Arial" w:eastAsia="Arial" w:hAnsi="Arial"/>
          <w:sz w:val="17"/>
          <w:szCs w:val="17"/>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72" w:lineRule="exact"/>
        <w:rPr>
          <w:rFonts w:ascii="Arial" w:cs="Arial" w:eastAsia="Arial" w:hAnsi="Arial"/>
          <w:sz w:val="17"/>
          <w:szCs w:val="17"/>
          <w:color w:val="auto"/>
        </w:rPr>
      </w:pPr>
    </w:p>
    <w:p>
      <w:pPr>
        <w:jc w:val="both"/>
        <w:ind w:left="1300" w:firstLine="538"/>
        <w:spacing w:after="0" w:line="287" w:lineRule="auto"/>
        <w:tabs>
          <w:tab w:leader="none" w:pos="2596" w:val="left"/>
        </w:tabs>
        <w:numPr>
          <w:ilvl w:val="2"/>
          <w:numId w:val="566"/>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59" w:lineRule="exact"/>
        <w:rPr>
          <w:rFonts w:ascii="Arial" w:cs="Arial" w:eastAsia="Arial" w:hAnsi="Arial"/>
          <w:sz w:val="16"/>
          <w:szCs w:val="16"/>
          <w:color w:val="auto"/>
        </w:rPr>
      </w:pPr>
    </w:p>
    <w:p>
      <w:pPr>
        <w:jc w:val="both"/>
        <w:ind w:left="1300" w:firstLine="548"/>
        <w:spacing w:after="0" w:line="286" w:lineRule="auto"/>
        <w:tabs>
          <w:tab w:leader="none" w:pos="2584" w:val="left"/>
        </w:tabs>
        <w:numPr>
          <w:ilvl w:val="1"/>
          <w:numId w:val="566"/>
        </w:numPr>
        <w:rPr>
          <w:rFonts w:ascii="Arial" w:cs="Arial" w:eastAsia="Arial" w:hAnsi="Arial"/>
          <w:sz w:val="17"/>
          <w:szCs w:val="17"/>
          <w:color w:val="auto"/>
        </w:rPr>
      </w:pPr>
      <w:r>
        <w:rPr>
          <w:rFonts w:ascii="Arial" w:cs="Arial" w:eastAsia="Arial" w:hAnsi="Arial"/>
          <w:sz w:val="17"/>
          <w:szCs w:val="17"/>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11" w:lineRule="exact"/>
        <w:rPr>
          <w:rFonts w:ascii="Arial" w:cs="Arial" w:eastAsia="Arial" w:hAnsi="Arial"/>
          <w:sz w:val="17"/>
          <w:szCs w:val="17"/>
          <w:color w:val="auto"/>
        </w:rPr>
      </w:pPr>
    </w:p>
    <w:p>
      <w:pPr>
        <w:jc w:val="both"/>
        <w:ind w:left="1300" w:firstLine="598"/>
        <w:spacing w:after="0" w:line="279" w:lineRule="auto"/>
        <w:tabs>
          <w:tab w:leader="none" w:pos="2584" w:val="left"/>
        </w:tabs>
        <w:numPr>
          <w:ilvl w:val="1"/>
          <w:numId w:val="566"/>
        </w:numPr>
        <w:rPr>
          <w:rFonts w:ascii="Arial" w:cs="Arial" w:eastAsia="Arial" w:hAnsi="Arial"/>
          <w:sz w:val="17"/>
          <w:szCs w:val="17"/>
          <w:color w:val="auto"/>
        </w:rPr>
      </w:pPr>
      <w:r>
        <w:rPr>
          <w:rFonts w:ascii="Arial" w:cs="Arial" w:eastAsia="Arial" w:hAnsi="Arial"/>
          <w:sz w:val="17"/>
          <w:szCs w:val="17"/>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8" w:lineRule="exact"/>
        <w:rPr>
          <w:sz w:val="20"/>
          <w:szCs w:val="20"/>
          <w:color w:val="auto"/>
        </w:rPr>
      </w:pPr>
    </w:p>
    <w:p>
      <w:pPr>
        <w:jc w:val="both"/>
        <w:ind w:left="644"/>
        <w:spacing w:after="0" w:line="287" w:lineRule="auto"/>
        <w:rPr>
          <w:sz w:val="20"/>
          <w:szCs w:val="20"/>
          <w:color w:val="auto"/>
        </w:rPr>
      </w:pPr>
      <w:r>
        <w:rPr>
          <w:rFonts w:ascii="Arial" w:cs="Arial" w:eastAsia="Arial" w:hAnsi="Arial"/>
          <w:sz w:val="16"/>
          <w:szCs w:val="16"/>
          <w:color w:val="auto"/>
        </w:rPr>
        <w:t>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114" w:lineRule="exact"/>
        <w:rPr>
          <w:sz w:val="20"/>
          <w:szCs w:val="20"/>
          <w:color w:val="auto"/>
        </w:rPr>
      </w:pPr>
    </w:p>
    <w:p>
      <w:pPr>
        <w:jc w:val="both"/>
        <w:ind w:left="-656" w:firstLine="656"/>
        <w:spacing w:after="0" w:line="286" w:lineRule="auto"/>
        <w:tabs>
          <w:tab w:leader="none" w:pos="640" w:val="left"/>
        </w:tabs>
        <w:numPr>
          <w:ilvl w:val="0"/>
          <w:numId w:val="56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w:t>
      </w:r>
      <w:r>
        <w:rPr>
          <w:rFonts w:ascii="Arial" w:cs="Arial" w:eastAsia="Arial" w:hAnsi="Arial"/>
          <w:sz w:val="16"/>
          <w:szCs w:val="16"/>
          <w:u w:val="single" w:color="auto"/>
          <w:color w:val="auto"/>
        </w:rPr>
        <w:t>Outside Date</w:t>
      </w:r>
      <w:r>
        <w:rPr>
          <w:rFonts w:ascii="Arial" w:cs="Arial" w:eastAsia="Arial" w:hAnsi="Arial"/>
          <w:sz w:val="16"/>
          <w:szCs w:val="16"/>
          <w:color w:val="auto"/>
        </w:rPr>
        <w:t>”),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13" w:lineRule="exact"/>
        <w:rPr>
          <w:rFonts w:ascii="Arial" w:cs="Arial" w:eastAsia="Arial" w:hAnsi="Arial"/>
          <w:sz w:val="16"/>
          <w:szCs w:val="16"/>
          <w:color w:val="auto"/>
        </w:rPr>
      </w:pPr>
    </w:p>
    <w:p>
      <w:pPr>
        <w:jc w:val="both"/>
        <w:ind w:left="-656" w:firstLine="656"/>
        <w:spacing w:after="0" w:line="286" w:lineRule="auto"/>
        <w:tabs>
          <w:tab w:leader="none" w:pos="640" w:val="left"/>
        </w:tabs>
        <w:numPr>
          <w:ilvl w:val="0"/>
          <w:numId w:val="567"/>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available at www.sec.gov, substantially all of ARYA’s assets consist of the cash proceeds of ARYA’s initial public offering and private placement of its securities, and substantially all of those proceeds have been deposited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833120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557" w:name="page558"/>
    <w:bookmarkEnd w:id="557"/>
    <w:p>
      <w:pPr>
        <w:spacing w:after="0" w:line="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70" w:lineRule="exact"/>
        <w:rPr>
          <w:sz w:val="20"/>
          <w:szCs w:val="20"/>
          <w:color w:val="auto"/>
        </w:rPr>
      </w:pPr>
    </w:p>
    <w:p>
      <w:pPr>
        <w:ind w:left="1300" w:hanging="644"/>
        <w:spacing w:after="0"/>
        <w:tabs>
          <w:tab w:leader="none" w:pos="130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Neither this Subscription Agreement nor any rights that may accrue to the Investor hereunder (other than the Shares acquired hereunder, if any) may be transferred or assigned.</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4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33" w:lineRule="exact"/>
        <w:rPr>
          <w:rFonts w:ascii="Arial" w:cs="Arial" w:eastAsia="Arial" w:hAnsi="Arial"/>
          <w:sz w:val="18"/>
          <w:szCs w:val="18"/>
          <w:color w:val="auto"/>
        </w:rPr>
      </w:pPr>
    </w:p>
    <w:p>
      <w:pPr>
        <w:jc w:val="both"/>
        <w:ind w:firstLine="1304"/>
        <w:spacing w:after="0" w:line="291" w:lineRule="auto"/>
        <w:tabs>
          <w:tab w:leader="none" w:pos="1934" w:val="left"/>
        </w:tabs>
        <w:numPr>
          <w:ilvl w:val="1"/>
          <w:numId w:val="568"/>
        </w:numPr>
        <w:rPr>
          <w:rFonts w:ascii="Arial" w:cs="Arial" w:eastAsia="Arial" w:hAnsi="Arial"/>
          <w:sz w:val="16"/>
          <w:szCs w:val="16"/>
          <w:color w:val="auto"/>
        </w:rPr>
      </w:pPr>
      <w:r>
        <w:rPr>
          <w:rFonts w:ascii="Arial" w:cs="Arial" w:eastAsia="Arial" w:hAnsi="Arial"/>
          <w:sz w:val="16"/>
          <w:szCs w:val="16"/>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12" w:lineRule="exact"/>
        <w:rPr>
          <w:rFonts w:ascii="Arial" w:cs="Arial" w:eastAsia="Arial" w:hAnsi="Arial"/>
          <w:sz w:val="16"/>
          <w:szCs w:val="16"/>
          <w:color w:val="auto"/>
        </w:rPr>
      </w:pPr>
    </w:p>
    <w:p>
      <w:pPr>
        <w:jc w:val="both"/>
        <w:ind w:firstLine="1304"/>
        <w:spacing w:after="0" w:line="288" w:lineRule="auto"/>
        <w:tabs>
          <w:tab w:leader="none" w:pos="1944" w:val="left"/>
        </w:tabs>
        <w:numPr>
          <w:ilvl w:val="1"/>
          <w:numId w:val="568"/>
        </w:numPr>
        <w:rPr>
          <w:rFonts w:ascii="Arial" w:cs="Arial" w:eastAsia="Arial" w:hAnsi="Arial"/>
          <w:sz w:val="16"/>
          <w:szCs w:val="16"/>
          <w:color w:val="auto"/>
        </w:rPr>
      </w:pPr>
      <w:r>
        <w:rPr>
          <w:rFonts w:ascii="Arial" w:cs="Arial" w:eastAsia="Arial" w:hAnsi="Arial"/>
          <w:sz w:val="16"/>
          <w:szCs w:val="16"/>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4" w:lineRule="exact"/>
        <w:rPr>
          <w:rFonts w:ascii="Arial" w:cs="Arial" w:eastAsia="Arial" w:hAnsi="Arial"/>
          <w:sz w:val="16"/>
          <w:szCs w:val="16"/>
          <w:color w:val="auto"/>
        </w:rPr>
      </w:pPr>
    </w:p>
    <w:p>
      <w:pPr>
        <w:jc w:val="both"/>
        <w:ind w:firstLine="1304"/>
        <w:spacing w:after="0" w:line="296" w:lineRule="auto"/>
        <w:tabs>
          <w:tab w:leader="none" w:pos="1934" w:val="left"/>
        </w:tabs>
        <w:numPr>
          <w:ilvl w:val="1"/>
          <w:numId w:val="568"/>
        </w:numPr>
        <w:rPr>
          <w:rFonts w:ascii="Arial" w:cs="Arial" w:eastAsia="Arial" w:hAnsi="Arial"/>
          <w:sz w:val="16"/>
          <w:szCs w:val="16"/>
          <w:color w:val="auto"/>
        </w:rPr>
      </w:pPr>
      <w:r>
        <w:rPr>
          <w:rFonts w:ascii="Arial" w:cs="Arial" w:eastAsia="Arial" w:hAnsi="Arial"/>
          <w:sz w:val="16"/>
          <w:szCs w:val="16"/>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07" w:lineRule="exact"/>
        <w:rPr>
          <w:rFonts w:ascii="Arial" w:cs="Arial" w:eastAsia="Arial" w:hAnsi="Arial"/>
          <w:sz w:val="16"/>
          <w:szCs w:val="16"/>
          <w:color w:val="auto"/>
        </w:rPr>
      </w:pPr>
    </w:p>
    <w:p>
      <w:pPr>
        <w:ind w:left="1940" w:hanging="636"/>
        <w:spacing w:after="0"/>
        <w:tabs>
          <w:tab w:leader="none" w:pos="1940" w:val="left"/>
        </w:tabs>
        <w:numPr>
          <w:ilvl w:val="1"/>
          <w:numId w:val="568"/>
        </w:numPr>
        <w:rPr>
          <w:rFonts w:ascii="Arial" w:cs="Arial" w:eastAsia="Arial" w:hAnsi="Arial"/>
          <w:sz w:val="16"/>
          <w:szCs w:val="16"/>
          <w:color w:val="auto"/>
        </w:rPr>
      </w:pPr>
      <w:r>
        <w:rPr>
          <w:rFonts w:ascii="Arial" w:cs="Arial" w:eastAsia="Arial" w:hAnsi="Arial"/>
          <w:sz w:val="16"/>
          <w:szCs w:val="16"/>
          <w:color w:val="auto"/>
        </w:rPr>
        <w:t>All of the agreements, representations and warranties made by each party hereto in this Subscription Agreement shall survive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w:t>
      </w:r>
    </w:p>
    <w:p>
      <w:pPr>
        <w:spacing w:after="0" w:line="156" w:lineRule="exact"/>
        <w:rPr>
          <w:rFonts w:ascii="Arial" w:cs="Arial" w:eastAsia="Arial" w:hAnsi="Arial"/>
          <w:sz w:val="16"/>
          <w:szCs w:val="16"/>
          <w:color w:val="auto"/>
        </w:rPr>
      </w:pPr>
    </w:p>
    <w:p>
      <w:pPr>
        <w:jc w:val="both"/>
        <w:ind w:firstLine="1304"/>
        <w:spacing w:after="0" w:line="257" w:lineRule="auto"/>
        <w:tabs>
          <w:tab w:leader="none" w:pos="194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33" w:lineRule="exact"/>
        <w:rPr>
          <w:sz w:val="20"/>
          <w:szCs w:val="20"/>
          <w:color w:val="auto"/>
        </w:rPr>
      </w:pPr>
    </w:p>
    <w:p>
      <w:pPr>
        <w:jc w:val="both"/>
        <w:ind w:firstLine="1304"/>
        <w:spacing w:after="0" w:line="254" w:lineRule="auto"/>
        <w:tabs>
          <w:tab w:leader="none" w:pos="194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29" w:lineRule="exact"/>
        <w:rPr>
          <w:rFonts w:ascii="Arial" w:cs="Arial" w:eastAsia="Arial" w:hAnsi="Arial"/>
          <w:sz w:val="18"/>
          <w:szCs w:val="18"/>
          <w:color w:val="auto"/>
        </w:rPr>
      </w:pPr>
    </w:p>
    <w:p>
      <w:pPr>
        <w:jc w:val="both"/>
        <w:ind w:firstLine="1304"/>
        <w:spacing w:after="0" w:line="291" w:lineRule="auto"/>
        <w:tabs>
          <w:tab w:leader="none" w:pos="1931"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12"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22" w:lineRule="exact"/>
        <w:rPr>
          <w:rFonts w:ascii="Arial" w:cs="Arial" w:eastAsia="Arial" w:hAnsi="Arial"/>
          <w:sz w:val="17"/>
          <w:szCs w:val="17"/>
          <w:color w:val="auto"/>
        </w:rPr>
      </w:pPr>
    </w:p>
    <w:p>
      <w:pPr>
        <w:jc w:val="both"/>
        <w:ind w:firstLine="1304"/>
        <w:spacing w:after="0" w:line="254" w:lineRule="auto"/>
        <w:tabs>
          <w:tab w:leader="none" w:pos="194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w:t>
      </w:r>
    </w:p>
    <w:p>
      <w:pPr>
        <w:spacing w:after="0" w:line="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OF THIS SUBSCRIPTION AGREEMENT OR IN SUCH OTHER MANNER AS MAY BE PERMITTED BY LAW SHALL BE VALID AND SUFFICIENT SERVICE THEREOF.</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31" w:lineRule="exact"/>
        <w:rPr>
          <w:sz w:val="20"/>
          <w:szCs w:val="20"/>
          <w:color w:val="auto"/>
        </w:rPr>
      </w:pPr>
    </w:p>
    <w:p>
      <w:pPr>
        <w:jc w:val="both"/>
        <w:ind w:firstLine="656"/>
        <w:spacing w:after="0" w:line="285" w:lineRule="auto"/>
        <w:tabs>
          <w:tab w:leader="none" w:pos="1285"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Non-Reliance and Exculpation</w:t>
      </w:r>
      <w:r>
        <w:rPr>
          <w:rFonts w:ascii="Arial" w:cs="Arial" w:eastAsia="Arial" w:hAnsi="Arial"/>
          <w:sz w:val="16"/>
          <w:szCs w:val="16"/>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partner, member, manager, direct or indirect equityholder or affiliate of ARYA, the Company, any Placement Agent or any of ARYA’s, the Company’s or any Placement Agent’s controlled affiliates or any family member of the foregoing.</w:t>
      </w:r>
    </w:p>
    <w:p>
      <w:pPr>
        <w:spacing w:after="0" w:line="116" w:lineRule="exact"/>
        <w:rPr>
          <w:sz w:val="20"/>
          <w:szCs w:val="20"/>
          <w:color w:val="auto"/>
        </w:rPr>
      </w:pPr>
    </w:p>
    <w:p>
      <w:pPr>
        <w:jc w:val="both"/>
        <w:ind w:firstLine="656"/>
        <w:spacing w:after="0" w:line="268" w:lineRule="auto"/>
        <w:tabs>
          <w:tab w:leader="none" w:pos="1291"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13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 executed by its duly authorized representative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set forth below.</w:t>
      </w:r>
    </w:p>
    <w:p>
      <w:pPr>
        <w:spacing w:after="0" w:line="166"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Name of Investor:</w:t>
      </w:r>
      <w:r>
        <w:rPr>
          <w:sz w:val="20"/>
          <w:szCs w:val="20"/>
          <w:color w:val="auto"/>
        </w:rPr>
        <w:tab/>
      </w:r>
      <w:r>
        <w:rPr>
          <w:rFonts w:ascii="Arial" w:cs="Arial" w:eastAsia="Arial" w:hAnsi="Arial"/>
          <w:sz w:val="16"/>
          <w:szCs w:val="16"/>
          <w:color w:val="auto"/>
        </w:rPr>
        <w:t>State/Country of Formation or Domicile: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30175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Date: ________, 2021</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Investor’s EIN:</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Business Address-Street: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Mailing Address-Street (if different):</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City, State, Zip:</w:t>
            </w:r>
          </w:p>
        </w:tc>
      </w:tr>
      <w:tr>
        <w:trPr>
          <w:trHeight w:val="533"/>
        </w:trPr>
        <w:tc>
          <w:tcPr>
            <w:tcW w:w="620" w:type="dxa"/>
            <w:vAlign w:val="bottom"/>
          </w:tcPr>
          <w:p>
            <w:pPr>
              <w:spacing w:after="0"/>
              <w:rPr>
                <w:sz w:val="20"/>
                <w:szCs w:val="20"/>
                <w:color w:val="auto"/>
              </w:rPr>
            </w:pPr>
            <w:r>
              <w:rPr>
                <w:rFonts w:ascii="Arial" w:cs="Arial" w:eastAsia="Arial" w:hAnsi="Arial"/>
                <w:sz w:val="18"/>
                <w:szCs w:val="18"/>
                <w:color w:val="auto"/>
              </w:rPr>
              <w:t>Attn:</w:t>
            </w:r>
          </w:p>
        </w:tc>
        <w:tc>
          <w:tcPr>
            <w:tcW w:w="4760" w:type="dxa"/>
            <w:vAlign w:val="bottom"/>
            <w:tcBorders>
              <w:bottom w:val="single" w:sz="8" w:color="auto"/>
            </w:tcBorders>
          </w:tcPr>
          <w:p>
            <w:pPr>
              <w:spacing w:after="0"/>
              <w:rPr>
                <w:sz w:val="24"/>
                <w:szCs w:val="24"/>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Attn:</w:t>
            </w:r>
          </w:p>
        </w:tc>
        <w:tc>
          <w:tcPr>
            <w:tcW w:w="4600" w:type="dxa"/>
            <w:vAlign w:val="bottom"/>
            <w:tcBorders>
              <w:bottom w:val="single" w:sz="8" w:color="auto"/>
            </w:tcBorders>
          </w:tcPr>
          <w:p>
            <w:pPr>
              <w:spacing w:after="0"/>
              <w:rPr>
                <w:sz w:val="24"/>
                <w:szCs w:val="24"/>
                <w:color w:val="auto"/>
              </w:rPr>
            </w:pPr>
          </w:p>
        </w:tc>
      </w:tr>
      <w:tr>
        <w:trPr>
          <w:trHeight w:val="499"/>
        </w:trPr>
        <w:tc>
          <w:tcPr>
            <w:tcW w:w="538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Telephone No.:</w:t>
            </w: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Facsimile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Facsimile No.:</w:t>
            </w: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Email:</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Email:</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Number of Shares subscribed for:</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Aggregate Subscription Amount: $</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Price Per Share: $10.00</w:t>
            </w:r>
          </w:p>
        </w:tc>
      </w:tr>
    </w:tbl>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ARYA has accepted this Subscription Agreement as of the date set forth below.</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31750</wp:posOffset>
            </wp:positionV>
            <wp:extent cx="41059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3" w:name="page564"/>
    <w:bookmarkEnd w:id="56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75" w:lineRule="exact"/>
        <w:rPr>
          <w:sz w:val="20"/>
          <w:szCs w:val="20"/>
          <w:color w:val="auto"/>
        </w:rPr>
      </w:pPr>
    </w:p>
    <w:p>
      <w:pPr>
        <w:ind w:left="340" w:right="7180" w:hanging="332"/>
        <w:spacing w:after="0" w:line="308" w:lineRule="auto"/>
        <w:tabs>
          <w:tab w:leader="none" w:pos="339" w:val="left"/>
        </w:tabs>
        <w:numPr>
          <w:ilvl w:val="0"/>
          <w:numId w:val="572"/>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59" w:lineRule="exact"/>
        <w:rPr>
          <w:rFonts w:ascii="Arial" w:cs="Arial" w:eastAsia="Arial" w:hAnsi="Arial"/>
          <w:sz w:val="17"/>
          <w:szCs w:val="17"/>
          <w:color w:val="auto"/>
        </w:rPr>
      </w:pPr>
    </w:p>
    <w:p>
      <w:pPr>
        <w:ind w:left="340"/>
        <w:spacing w:after="0" w:line="207"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3" w:lineRule="exact"/>
        <w:rPr>
          <w:rFonts w:ascii="Arial" w:cs="Arial" w:eastAsia="Arial" w:hAnsi="Arial"/>
          <w:sz w:val="17"/>
          <w:szCs w:val="17"/>
          <w:color w:val="auto"/>
        </w:rPr>
      </w:pPr>
    </w:p>
    <w:p>
      <w:pPr>
        <w:ind w:left="340" w:right="6740" w:hanging="332"/>
        <w:spacing w:after="0" w:line="308" w:lineRule="auto"/>
        <w:tabs>
          <w:tab w:leader="none" w:pos="329"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60" w:lineRule="exact"/>
        <w:rPr>
          <w:sz w:val="20"/>
          <w:szCs w:val="20"/>
          <w:color w:val="auto"/>
        </w:rPr>
      </w:pPr>
    </w:p>
    <w:p>
      <w:pPr>
        <w:ind w:left="660" w:right="180" w:hanging="328"/>
        <w:spacing w:after="0" w:line="232" w:lineRule="exact"/>
        <w:tabs>
          <w:tab w:leader="none" w:pos="660" w:val="left"/>
        </w:tabs>
        <w:numPr>
          <w:ilvl w:val="0"/>
          <w:numId w:val="57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16"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57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33" w:lineRule="exact"/>
        <w:rPr>
          <w:sz w:val="20"/>
          <w:szCs w:val="20"/>
          <w:color w:val="auto"/>
        </w:rPr>
      </w:pPr>
    </w:p>
    <w:p>
      <w:pPr>
        <w:ind w:left="420" w:right="440" w:hanging="7"/>
        <w:spacing w:after="0" w:line="277" w:lineRule="auto"/>
        <w:tabs>
          <w:tab w:leader="none" w:pos="627" w:val="left"/>
        </w:tabs>
        <w:numPr>
          <w:ilvl w:val="0"/>
          <w:numId w:val="574"/>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16" w:lineRule="exact"/>
        <w:rPr>
          <w:rFonts w:ascii="MS PGothic" w:cs="MS PGothic" w:eastAsia="MS PGothic" w:hAnsi="MS PGothic"/>
          <w:sz w:val="18"/>
          <w:szCs w:val="18"/>
          <w:color w:val="auto"/>
        </w:rPr>
      </w:pPr>
    </w:p>
    <w:p>
      <w:pPr>
        <w:ind w:left="420" w:right="40" w:hanging="7"/>
        <w:spacing w:after="0" w:line="277" w:lineRule="auto"/>
        <w:tabs>
          <w:tab w:leader="none" w:pos="627" w:val="left"/>
        </w:tabs>
        <w:numPr>
          <w:ilvl w:val="0"/>
          <w:numId w:val="574"/>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ind w:left="420" w:right="540" w:hanging="7"/>
        <w:spacing w:after="0" w:line="308" w:lineRule="auto"/>
        <w:tabs>
          <w:tab w:leader="none" w:pos="627" w:val="left"/>
        </w:tabs>
        <w:numPr>
          <w:ilvl w:val="0"/>
          <w:numId w:val="574"/>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2" w:lineRule="exact"/>
        <w:rPr>
          <w:rFonts w:ascii="MS PGothic" w:cs="MS PGothic" w:eastAsia="MS PGothic" w:hAnsi="MS PGothic"/>
          <w:sz w:val="17"/>
          <w:szCs w:val="17"/>
          <w:color w:val="auto"/>
        </w:rPr>
      </w:pPr>
    </w:p>
    <w:p>
      <w:pPr>
        <w:ind w:left="420" w:right="320" w:hanging="7"/>
        <w:spacing w:after="0" w:line="308" w:lineRule="auto"/>
        <w:tabs>
          <w:tab w:leader="none" w:pos="627" w:val="left"/>
        </w:tabs>
        <w:numPr>
          <w:ilvl w:val="0"/>
          <w:numId w:val="574"/>
        </w:numPr>
        <w:rPr>
          <w:rFonts w:ascii="MS PGothic" w:cs="MS PGothic" w:eastAsia="MS PGothic" w:hAnsi="MS PGothic"/>
          <w:sz w:val="17"/>
          <w:szCs w:val="17"/>
          <w:color w:val="auto"/>
        </w:rPr>
      </w:pPr>
      <w:r>
        <w:rPr>
          <w:rFonts w:ascii="Arial" w:cs="Arial" w:eastAsia="Arial" w:hAnsi="Arial"/>
          <w:sz w:val="17"/>
          <w:szCs w:val="17"/>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92" w:lineRule="exact"/>
        <w:rPr>
          <w:rFonts w:ascii="MS PGothic" w:cs="MS PGothic" w:eastAsia="MS PGothic" w:hAnsi="MS PGothic"/>
          <w:sz w:val="17"/>
          <w:szCs w:val="17"/>
          <w:color w:val="auto"/>
        </w:rPr>
      </w:pPr>
    </w:p>
    <w:p>
      <w:pPr>
        <w:ind w:left="620" w:hanging="207"/>
        <w:spacing w:after="0"/>
        <w:tabs>
          <w:tab w:leader="none" w:pos="620" w:val="left"/>
        </w:tabs>
        <w:numPr>
          <w:ilvl w:val="0"/>
          <w:numId w:val="574"/>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194" w:lineRule="exact"/>
        <w:rPr>
          <w:rFonts w:ascii="MS PGothic" w:cs="MS PGothic" w:eastAsia="MS PGothic" w:hAnsi="MS PGothic"/>
          <w:sz w:val="16"/>
          <w:szCs w:val="16"/>
          <w:color w:val="auto"/>
        </w:rPr>
      </w:pPr>
    </w:p>
    <w:p>
      <w:pPr>
        <w:ind w:left="620" w:hanging="207"/>
        <w:spacing w:after="0"/>
        <w:tabs>
          <w:tab w:leader="none" w:pos="620" w:val="left"/>
        </w:tabs>
        <w:numPr>
          <w:ilvl w:val="0"/>
          <w:numId w:val="574"/>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Annex 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and Lock-Up Agreement</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This Amended and Restated Registration Rights and Lock-Up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dated as of February 7, 2021, is among ARYA Sciences Acquisition Corp III, a Cayman Islands exempted company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hereto identified as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on the signature pages and Schedule A hereto (each,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xml:space="preserve">”). Capitalized terms used but not defined herein have the meanings assigned to them in the Business Combination Agreement dated as of the date hereof (the </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among the Company, Mako Merger Sub, Inc., a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b w:val="1"/>
          <w:bCs w:val="1"/>
          <w:color w:val="auto"/>
        </w:rPr>
        <w:t>“Nautilus”</w:t>
      </w:r>
      <w:r>
        <w:rPr>
          <w:rFonts w:ascii="Arial" w:cs="Arial" w:eastAsia="Arial" w:hAnsi="Arial"/>
          <w:sz w:val="16"/>
          <w:szCs w:val="16"/>
          <w:color w:val="auto"/>
        </w:rPr>
        <w:t>).</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WHEREAS, the Company, Merger Sub and Nautilus are parties to the Business Combination Agreement, pursuant to which, among other things, on the Closing Date, Merger Sub will merge (the </w:t>
      </w:r>
      <w:r>
        <w:rPr>
          <w:rFonts w:ascii="Arial" w:cs="Arial" w:eastAsia="Arial" w:hAnsi="Arial"/>
          <w:sz w:val="17"/>
          <w:szCs w:val="17"/>
          <w:b w:val="1"/>
          <w:bCs w:val="1"/>
          <w:color w:val="auto"/>
        </w:rPr>
        <w:t>“Merger”</w:t>
      </w:r>
      <w:r>
        <w:rPr>
          <w:rFonts w:ascii="Arial" w:cs="Arial" w:eastAsia="Arial" w:hAnsi="Arial"/>
          <w:sz w:val="17"/>
          <w:szCs w:val="17"/>
          <w:color w:val="auto"/>
        </w:rPr>
        <w:t>) with and into Nautilus, with Nautilus surviving the Merger as a wholly-owned subsidiary of the Company, and the Company will redomesticate as a Delaware corporation and change its name to “Nautilus Biotechnology, Inc.”;</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Company, ARYA Sciences Holdings III, a Cayman Islands exempted limited company (the “</w:t>
      </w:r>
      <w:r>
        <w:rPr>
          <w:rFonts w:ascii="Arial" w:cs="Arial" w:eastAsia="Arial" w:hAnsi="Arial"/>
          <w:sz w:val="18"/>
          <w:szCs w:val="18"/>
          <w:b w:val="1"/>
          <w:bCs w:val="1"/>
          <w:color w:val="auto"/>
        </w:rPr>
        <w:t>Sponsor</w:t>
      </w:r>
      <w:r>
        <w:rPr>
          <w:rFonts w:ascii="Arial" w:cs="Arial" w:eastAsia="Arial" w:hAnsi="Arial"/>
          <w:sz w:val="18"/>
          <w:szCs w:val="18"/>
          <w:color w:val="auto"/>
        </w:rPr>
        <w:t>”) and the Independent Directors (as defined herein, and, together with the Sponsor, the “</w:t>
      </w:r>
      <w:r>
        <w:rPr>
          <w:rFonts w:ascii="Arial" w:cs="Arial" w:eastAsia="Arial" w:hAnsi="Arial"/>
          <w:sz w:val="18"/>
          <w:szCs w:val="18"/>
          <w:b w:val="1"/>
          <w:bCs w:val="1"/>
          <w:color w:val="auto"/>
        </w:rPr>
        <w:t>Original Holders</w:t>
      </w:r>
      <w:r>
        <w:rPr>
          <w:rFonts w:ascii="Arial" w:cs="Arial" w:eastAsia="Arial" w:hAnsi="Arial"/>
          <w:sz w:val="18"/>
          <w:szCs w:val="18"/>
          <w:color w:val="auto"/>
        </w:rPr>
        <w:t>”) are parties to the Registration and Shareholder Rights Agreement dated as of August 11, 2020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(i) Holders designated as “</w:t>
      </w:r>
      <w:r>
        <w:rPr>
          <w:rFonts w:ascii="Arial" w:cs="Arial" w:eastAsia="Arial" w:hAnsi="Arial"/>
          <w:sz w:val="18"/>
          <w:szCs w:val="18"/>
          <w:b w:val="1"/>
          <w:bCs w:val="1"/>
          <w:color w:val="auto"/>
        </w:rPr>
        <w:t>New Holder</w:t>
      </w:r>
      <w:r>
        <w:rPr>
          <w:rFonts w:ascii="Arial" w:cs="Arial" w:eastAsia="Arial" w:hAnsi="Arial"/>
          <w:sz w:val="18"/>
          <w:szCs w:val="18"/>
          <w:color w:val="auto"/>
        </w:rPr>
        <w:t xml:space="preserve">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Holders</w:t>
      </w:r>
      <w:r>
        <w:rPr>
          <w:rFonts w:ascii="Arial" w:cs="Arial" w:eastAsia="Arial" w:hAnsi="Arial"/>
          <w:sz w:val="18"/>
          <w:szCs w:val="18"/>
          <w:color w:val="auto"/>
        </w:rPr>
        <w:t>”) and (ii) Perceptive Life Sciences Master Fund Ltd., a Cayman Islands exempted company (“</w:t>
      </w:r>
      <w:r>
        <w:rPr>
          <w:rFonts w:ascii="Arial" w:cs="Arial" w:eastAsia="Arial" w:hAnsi="Arial"/>
          <w:sz w:val="18"/>
          <w:szCs w:val="18"/>
          <w:b w:val="1"/>
          <w:bCs w:val="1"/>
          <w:color w:val="auto"/>
        </w:rPr>
        <w:t>Perceptive</w:t>
      </w:r>
      <w:r>
        <w:rPr>
          <w:rFonts w:ascii="Arial" w:cs="Arial" w:eastAsia="Arial" w:hAnsi="Arial"/>
          <w:sz w:val="18"/>
          <w:szCs w:val="18"/>
          <w:color w:val="auto"/>
        </w:rPr>
        <w:t>”), will receive upon consummation of the Merger shares of the Company’s Common Stock on the Closing Date pursuant to the Business Combination Agreement;</w:t>
      </w:r>
    </w:p>
    <w:p>
      <w:pPr>
        <w:spacing w:after="0" w:line="12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 in consideration of the foregoing, the parties hereby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1.1. Definitions</w:t>
      </w:r>
      <w:r>
        <w:rPr>
          <w:rFonts w:ascii="Arial" w:cs="Arial" w:eastAsia="Arial" w:hAnsi="Arial"/>
          <w:sz w:val="18"/>
          <w:szCs w:val="18"/>
          <w:color w:val="auto"/>
        </w:rPr>
        <w:t>. For purposes of this Agreement, the following terms and variations thereof have the meanings set forth below:</w:t>
      </w:r>
    </w:p>
    <w:p>
      <w:pPr>
        <w:spacing w:after="0" w:line="17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“Adverse Disclosure” </w:t>
      </w:r>
      <w:r>
        <w:rPr>
          <w:rFonts w:ascii="Arial" w:cs="Arial" w:eastAsia="Arial" w:hAnsi="Arial"/>
          <w:sz w:val="16"/>
          <w:szCs w:val="16"/>
          <w:color w:val="auto"/>
        </w:rPr>
        <w:t>shall mean any public disclosure of material non-public information, which disclosure, in the good faith judgment of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“Block Trade” </w:t>
      </w:r>
      <w:r>
        <w:rPr>
          <w:rFonts w:ascii="Arial" w:cs="Arial" w:eastAsia="Arial" w:hAnsi="Arial"/>
          <w:sz w:val="18"/>
          <w:szCs w:val="18"/>
          <w:color w:val="auto"/>
        </w:rPr>
        <w:t>means any non-marketed underwritten offering taking the form of a block trade to a financial institution, “qualified institutional buyer”</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Rule 144A under the Securities Act) or institutional “accredited” investor (as defined in Rule 501(a) of Regulation D under the Securities Act), bought deal, over-night</w:t>
      </w:r>
    </w:p>
    <w:p>
      <w:pPr>
        <w:spacing w:after="0" w:line="12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65" w:name="page566"/>
    <w:bookmarkEnd w:id="565"/>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shall mean any merger, share exchange, asset acquisition, stock purchase, recapitalization, reorganization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with one or more businesses, involving the Company.</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law to close.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transfer (whether by tender offer, merger, stock purchase, consolidation or other similar transaction),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Company’s common stock, par value $0.0001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Registration”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“Demanding Holders”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shall have the meaning set forth in the Business Combination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S-1” </w:t>
      </w:r>
      <w:r>
        <w:rPr>
          <w:rFonts w:ascii="Arial" w:cs="Arial" w:eastAsia="Arial" w:hAnsi="Arial"/>
          <w:sz w:val="18"/>
          <w:szCs w:val="18"/>
          <w:color w:val="auto"/>
        </w:rPr>
        <w:t>means a Registration Statement on Form S-1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S-3” </w:t>
      </w:r>
      <w:r>
        <w:rPr>
          <w:rFonts w:ascii="Arial" w:cs="Arial" w:eastAsia="Arial" w:hAnsi="Arial"/>
          <w:sz w:val="18"/>
          <w:szCs w:val="18"/>
          <w:color w:val="auto"/>
        </w:rPr>
        <w:t>means a Registration Statement on Form S-3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means Todd Wider, Bradley L. Campbell and Saqib Islam.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“Liquidation Event” s</w:t>
      </w:r>
      <w:r>
        <w:rPr>
          <w:rFonts w:ascii="Arial" w:cs="Arial" w:eastAsia="Arial" w:hAnsi="Arial"/>
          <w:sz w:val="18"/>
          <w:szCs w:val="18"/>
          <w:color w:val="auto"/>
        </w:rPr>
        <w:t>hall mean any of the following that occur following the Effective Time, (i) the acquisition of the Company by another entity by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w:t>
      </w:r>
    </w:p>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other disposition is to a wholly-owned subsidiary of the Company; or (iii) any liquidation, dissolution or winding up of the Company, whether voluntary or involuntary.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“Maximum Number of Securities”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“Misstatement” </w:t>
      </w:r>
      <w:r>
        <w:rPr>
          <w:rFonts w:ascii="Arial" w:cs="Arial" w:eastAsia="Arial" w:hAnsi="Arial"/>
          <w:sz w:val="18"/>
          <w:szCs w:val="18"/>
          <w:color w:val="auto"/>
        </w:rPr>
        <w:t>shall mean an untrue statement of a material fact or an omission to state a material fact required to be stated in a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or Prospectus, or necessary to make the statements in a Registration Statement or Prospectus in the light of the circumstances under which they were made not misleading.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66" w:name="page567"/>
    <w:bookmarkEnd w:id="566"/>
    <w:p>
      <w:pPr>
        <w:ind w:left="340"/>
        <w:spacing w:after="0"/>
        <w:rPr>
          <w:sz w:val="20"/>
          <w:szCs w:val="20"/>
          <w:color w:val="auto"/>
        </w:rPr>
      </w:pPr>
      <w:r>
        <w:rPr>
          <w:rFonts w:ascii="Arial" w:cs="Arial" w:eastAsia="Arial" w:hAnsi="Arial"/>
          <w:sz w:val="18"/>
          <w:szCs w:val="18"/>
          <w:b w:val="1"/>
          <w:bCs w:val="1"/>
          <w:color w:val="auto"/>
        </w:rPr>
        <w:t xml:space="preserve">“Original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“Perceptive Holders” </w:t>
      </w:r>
      <w:r>
        <w:rPr>
          <w:rFonts w:ascii="Arial" w:cs="Arial" w:eastAsia="Arial" w:hAnsi="Arial"/>
          <w:sz w:val="18"/>
          <w:szCs w:val="18"/>
          <w:color w:val="auto"/>
        </w:rPr>
        <w:t>means the Sponsor and Perceptive.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“Piggyback Registration” </w:t>
      </w:r>
      <w:r>
        <w:rPr>
          <w:rFonts w:ascii="Arial" w:cs="Arial" w:eastAsia="Arial" w:hAnsi="Arial"/>
          <w:sz w:val="18"/>
          <w:szCs w:val="18"/>
          <w:color w:val="auto"/>
        </w:rPr>
        <w:t>shall have the meaning given in subsection 2.3.1.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“Prior Agreement”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“PIPE Shares” </w:t>
      </w:r>
      <w:r>
        <w:rPr>
          <w:rFonts w:ascii="Arial" w:cs="Arial" w:eastAsia="Arial" w:hAnsi="Arial"/>
          <w:sz w:val="18"/>
          <w:szCs w:val="18"/>
          <w:color w:val="auto"/>
        </w:rPr>
        <w:t>means shares of Common Stock purchased pursuant to those certain Subscription Agreements between certain Holders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on or about February 7, 2021.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“Pro Rata”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“Prospectus” </w:t>
      </w:r>
      <w:r>
        <w:rPr>
          <w:rFonts w:ascii="Arial" w:cs="Arial" w:eastAsia="Arial" w:hAnsi="Arial"/>
          <w:sz w:val="17"/>
          <w:szCs w:val="17"/>
          <w:color w:val="auto"/>
        </w:rPr>
        <w:t>shall mean the prospectus included in any Registration Statement, as supplemented by any and all prospectus supplements and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any and all post-effective amendments and including all material incorporated by reference in such prospectus.</w:t>
      </w:r>
    </w:p>
    <w:p>
      <w:pPr>
        <w:spacing w:after="0" w:line="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“Registrable Security”, “Registrable Securities” </w:t>
      </w:r>
      <w:r>
        <w:rPr>
          <w:rFonts w:ascii="Arial" w:cs="Arial" w:eastAsia="Arial" w:hAnsi="Arial"/>
          <w:sz w:val="17"/>
          <w:szCs w:val="17"/>
          <w:color w:val="auto"/>
        </w:rPr>
        <w:t>shall mean (a) any outstanding share of Common Stock or any other equity security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spacing w:after="0" w:line="12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“Registration” </w:t>
      </w:r>
      <w:r>
        <w:rPr>
          <w:rFonts w:ascii="Arial" w:cs="Arial" w:eastAsia="Arial" w:hAnsi="Arial"/>
          <w:sz w:val="16"/>
          <w:szCs w:val="16"/>
          <w:color w:val="auto"/>
        </w:rPr>
        <w:t>shall mean a registration effected by preparing and filing a registration statement or similar document in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and the applicable rules and regulations promulgated thereunder, and such registration statement becoming effective.</w:t>
      </w:r>
    </w:p>
    <w:p>
      <w:pPr>
        <w:spacing w:after="0" w:line="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“Registration Expenses” </w:t>
      </w:r>
      <w:r>
        <w:rPr>
          <w:rFonts w:ascii="Arial" w:cs="Arial" w:eastAsia="Arial" w:hAnsi="Arial"/>
          <w:sz w:val="18"/>
          <w:szCs w:val="18"/>
          <w:color w:val="auto"/>
        </w:rPr>
        <w:t>shall mean the out-of-pocket expenses of a Registration or Underwritten Offering,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12" w:lineRule="exact"/>
        <w:rPr>
          <w:sz w:val="20"/>
          <w:szCs w:val="20"/>
          <w:color w:val="auto"/>
        </w:rPr>
      </w:pPr>
    </w:p>
    <w:p>
      <w:pPr>
        <w:ind w:left="340" w:hanging="8"/>
        <w:spacing w:after="0" w:line="277" w:lineRule="auto"/>
        <w:tabs>
          <w:tab w:leader="none" w:pos="657"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16" w:lineRule="exact"/>
        <w:rPr>
          <w:rFonts w:ascii="Arial" w:cs="Arial" w:eastAsia="Arial" w:hAnsi="Arial"/>
          <w:sz w:val="18"/>
          <w:szCs w:val="18"/>
          <w:color w:val="auto"/>
        </w:rPr>
      </w:pPr>
    </w:p>
    <w:p>
      <w:pPr>
        <w:ind w:left="340" w:right="60" w:hanging="8"/>
        <w:spacing w:after="0" w:line="277" w:lineRule="auto"/>
        <w:tabs>
          <w:tab w:leader="none" w:pos="66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hanging="8"/>
        <w:spacing w:after="0" w:line="277" w:lineRule="auto"/>
        <w:tabs>
          <w:tab w:leader="none" w:pos="651" w:val="left"/>
        </w:tabs>
        <w:numPr>
          <w:ilvl w:val="0"/>
          <w:numId w:val="575"/>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or Underwritten Offering; and</w:t>
      </w:r>
    </w:p>
    <w:p>
      <w:pPr>
        <w:spacing w:after="0" w:line="116" w:lineRule="exact"/>
        <w:rPr>
          <w:rFonts w:ascii="Arial" w:cs="Arial" w:eastAsia="Arial" w:hAnsi="Arial"/>
          <w:sz w:val="18"/>
          <w:szCs w:val="18"/>
          <w:color w:val="auto"/>
        </w:rPr>
      </w:pPr>
    </w:p>
    <w:p>
      <w:pPr>
        <w:ind w:left="340" w:right="20" w:hanging="8"/>
        <w:spacing w:after="0" w:line="277" w:lineRule="auto"/>
        <w:tabs>
          <w:tab w:leader="none" w:pos="654" w:val="left"/>
        </w:tabs>
        <w:numPr>
          <w:ilvl w:val="0"/>
          <w:numId w:val="575"/>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or the majority-in interest of the Takedown Requesting Holders (including if such Underwritten Takedown is in the form of a Block Trade), as applicable.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shall mean any registration statement that covers the Registrable Securities pursuant to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b w:val="1"/>
          <w:bCs w:val="1"/>
          <w:color w:val="auto"/>
        </w:rPr>
        <w:t xml:space="preserve">“Requesting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“Resale Shelf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“Selling Holders” </w:t>
      </w:r>
      <w:r>
        <w:rPr>
          <w:rFonts w:ascii="Arial" w:cs="Arial" w:eastAsia="Arial" w:hAnsi="Arial"/>
          <w:sz w:val="18"/>
          <w:szCs w:val="18"/>
          <w:color w:val="auto"/>
        </w:rPr>
        <w:t>means any Holder electing to sell any of its Registrable Securities in a Registration.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Guidance”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“Takedown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Underwritten Registration</w:t>
      </w:r>
      <w:r>
        <w:rPr>
          <w:rFonts w:ascii="Arial" w:cs="Arial" w:eastAsia="Arial" w:hAnsi="Arial"/>
          <w:sz w:val="17"/>
          <w:szCs w:val="17"/>
          <w:color w:val="auto"/>
        </w:rPr>
        <w:t>” or “</w:t>
      </w:r>
      <w:r>
        <w:rPr>
          <w:rFonts w:ascii="Arial" w:cs="Arial" w:eastAsia="Arial" w:hAnsi="Arial"/>
          <w:sz w:val="17"/>
          <w:szCs w:val="17"/>
          <w:b w:val="1"/>
          <w:bCs w:val="1"/>
          <w:color w:val="auto"/>
        </w:rPr>
        <w:t>Underwritten Offering</w:t>
      </w:r>
      <w:r>
        <w:rPr>
          <w:rFonts w:ascii="Arial" w:cs="Arial" w:eastAsia="Arial" w:hAnsi="Arial"/>
          <w:sz w:val="17"/>
          <w:szCs w:val="17"/>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2.1. Demand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at any time and from time to time following the Effective Time (but subject to Article V), (i) New Holders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holding at least a majority in interest of the then-outstanding number of Registrable Securities held by all New Holders including or (ii) the Perceptive Holders holding at least a majority in interest of the then-outstanding number of Registrable Securities held by all Perceptive Holders (such New Holders or Perceptive Holders, as the case may be, the “</w:t>
      </w:r>
      <w:r>
        <w:rPr>
          <w:rFonts w:ascii="Arial" w:cs="Arial" w:eastAsia="Arial" w:hAnsi="Arial"/>
          <w:sz w:val="16"/>
          <w:szCs w:val="16"/>
          <w:b w:val="1"/>
          <w:bCs w:val="1"/>
          <w:color w:val="auto"/>
        </w:rPr>
        <w:t>Demanding Holders</w:t>
      </w:r>
      <w:r>
        <w:rPr>
          <w:rFonts w:ascii="Arial" w:cs="Arial" w:eastAsia="Arial" w:hAnsi="Arial"/>
          <w:sz w:val="16"/>
          <w:szCs w:val="16"/>
          <w:color w:val="auto"/>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color w:val="auto"/>
        </w:rPr>
        <w:t>Demand Registration</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color w:val="auto"/>
        </w:rPr>
        <w:t>Demand 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shall not be obligated to effect any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initiated by New Holders, or (iii) two (2) Registration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initiated by Perceptive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8" w:name="page569"/>
    <w:bookmarkEnd w:id="568"/>
    <w:p>
      <w:pPr>
        <w:jc w:val="both"/>
        <w:ind w:firstLine="1296"/>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subsection 2.1.1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subsection 2.1.1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1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a majority-in-interest of the Demanding Holders, such Underwriter(s) to be reasonably acceptable to the Company.</w:t>
      </w:r>
    </w:p>
    <w:p>
      <w:pPr>
        <w:spacing w:after="0" w:line="13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xml:space="preserve">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Arial" w:cs="Arial" w:eastAsia="Arial" w:hAnsi="Arial"/>
          <w:sz w:val="17"/>
          <w:szCs w:val="17"/>
          <w:b w:val="1"/>
          <w:bCs w:val="1"/>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3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New Holders or a majority-in-interest of the Perceptive Holders, as the case may be, in the case of a Registration under subsection 2.1.1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t xml:space="preserve">the Holders of a majority of the Registrable Securities agree to forfeit their right to a demand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2.2. Piggyback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37"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23" w:lineRule="exact"/>
        <w:rPr>
          <w:sz w:val="20"/>
          <w:szCs w:val="20"/>
          <w:color w:val="auto"/>
        </w:rPr>
      </w:pPr>
    </w:p>
    <w:p>
      <w:pPr>
        <w:jc w:val="both"/>
        <w:ind w:left="1960" w:hanging="656"/>
        <w:spacing w:after="0" w:line="270" w:lineRule="auto"/>
        <w:tabs>
          <w:tab w:leader="none" w:pos="1954" w:val="left"/>
        </w:tabs>
        <w:numPr>
          <w:ilvl w:val="0"/>
          <w:numId w:val="576"/>
        </w:numPr>
        <w:rPr>
          <w:rFonts w:ascii="Arial" w:cs="Arial" w:eastAsia="Arial" w:hAnsi="Arial"/>
          <w:sz w:val="17"/>
          <w:szCs w:val="17"/>
          <w:color w:val="auto"/>
        </w:rPr>
      </w:pPr>
      <w:r>
        <w:rPr>
          <w:rFonts w:ascii="Arial" w:cs="Arial" w:eastAsia="Arial" w:hAnsi="Arial"/>
          <w:sz w:val="17"/>
          <w:szCs w:val="17"/>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spacing w:after="0" w:line="126" w:lineRule="exact"/>
        <w:rPr>
          <w:rFonts w:ascii="Arial" w:cs="Arial" w:eastAsia="Arial" w:hAnsi="Arial"/>
          <w:sz w:val="17"/>
          <w:szCs w:val="17"/>
          <w:color w:val="auto"/>
        </w:rPr>
      </w:pPr>
    </w:p>
    <w:p>
      <w:pPr>
        <w:jc w:val="both"/>
        <w:ind w:left="1960" w:hanging="656"/>
        <w:spacing w:after="0" w:line="254" w:lineRule="auto"/>
        <w:tabs>
          <w:tab w:leader="none" w:pos="195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Pro Rata based on the respective number of Registrable Securities that each Holder has requested, which can be sold without exceeding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0" w:name="page571"/>
    <w:bookmarkEnd w:id="570"/>
    <w:p>
      <w:pPr>
        <w:jc w:val="both"/>
        <w:ind w:left="1960"/>
        <w:spacing w:after="0" w:line="293" w:lineRule="auto"/>
        <w:rPr>
          <w:sz w:val="20"/>
          <w:szCs w:val="20"/>
          <w:color w:val="auto"/>
        </w:rPr>
      </w:pPr>
      <w:r>
        <w:rPr>
          <w:rFonts w:ascii="Arial" w:cs="Arial" w:eastAsia="Arial" w:hAnsi="Arial"/>
          <w:sz w:val="16"/>
          <w:szCs w:val="16"/>
          <w:color w:val="auto"/>
        </w:rPr>
        <w:t>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1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p>
    <w:p>
      <w:pPr>
        <w:spacing w:after="0" w:line="142"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xml:space="preserve">.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prior to the effectiveness of such registration whether or not any Holder of Registrable Securities has elected to include securities in such registration.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2.3. Resale Shelf Registration Rights</w:t>
      </w:r>
    </w:p>
    <w:p>
      <w:pPr>
        <w:spacing w:after="0" w:line="17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The Company shall prepare and file or cause to be prepared and filed with the Commission, no later than forty-five (45) days following the Closing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Arial" w:cs="Arial" w:eastAsia="Arial" w:hAnsi="Arial"/>
          <w:sz w:val="16"/>
          <w:szCs w:val="16"/>
          <w:b w:val="1"/>
          <w:bCs w:val="1"/>
          <w:color w:val="auto"/>
        </w:rPr>
        <w:t>Resale Shelf Registration Statement</w:t>
      </w:r>
      <w:r>
        <w:rPr>
          <w:rFonts w:ascii="Arial" w:cs="Arial" w:eastAsia="Arial" w:hAnsi="Arial"/>
          <w:sz w:val="16"/>
          <w:szCs w:val="16"/>
          <w:color w:val="auto"/>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provided, however,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1" w:name="page572"/>
    <w:bookmarkEnd w:id="571"/>
    <w:p>
      <w:pPr>
        <w:jc w:val="both"/>
        <w:ind w:right="20"/>
        <w:spacing w:after="0" w:line="277" w:lineRule="auto"/>
        <w:rPr>
          <w:sz w:val="20"/>
          <w:szCs w:val="20"/>
          <w:color w:val="auto"/>
        </w:rPr>
      </w:pPr>
      <w:r>
        <w:rPr>
          <w:rFonts w:ascii="Arial" w:cs="Arial" w:eastAsia="Arial" w:hAnsi="Arial"/>
          <w:sz w:val="18"/>
          <w:szCs w:val="18"/>
          <w:color w:val="auto"/>
        </w:rPr>
        <w:t>to lock-up restrictions provided in Section 5.1 of this Agreement), and shall provide that such Registrable Securities may be sold pursuant to any method or combination of methods legally available to, and requested by, Holders.</w:t>
      </w:r>
    </w:p>
    <w:p>
      <w:pPr>
        <w:spacing w:after="0" w:line="11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Notification and Distribution of Materials</w:t>
      </w:r>
      <w:r>
        <w:rPr>
          <w:rFonts w:ascii="Arial" w:cs="Arial" w:eastAsia="Arial" w:hAnsi="Arial"/>
          <w:sz w:val="17"/>
          <w:szCs w:val="17"/>
          <w:color w:val="auto"/>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spacing w:after="0" w:line="12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1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SEC Cutback</w:t>
      </w:r>
      <w:r>
        <w:rPr>
          <w:rFonts w:ascii="Arial" w:cs="Arial" w:eastAsia="Arial" w:hAnsi="Arial"/>
          <w:sz w:val="17"/>
          <w:szCs w:val="17"/>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7"/>
          <w:szCs w:val="17"/>
          <w:b w:val="1"/>
          <w:bCs w:val="1"/>
          <w:color w:val="auto"/>
        </w:rPr>
        <w:t>New Registration Statement</w:t>
      </w:r>
      <w:r>
        <w:rPr>
          <w:rFonts w:ascii="Arial" w:cs="Arial" w:eastAsia="Arial" w:hAnsi="Arial"/>
          <w:sz w:val="17"/>
          <w:szCs w:val="17"/>
          <w:color w:val="auto"/>
        </w:rPr>
        <w:t xml:space="preserve">”) on Form S-3, or if Form S-3 is not then available to the Company for such registration statement, on such other form available to register for resale the Registrable Securities as a secondary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Arial" w:cs="Arial" w:eastAsia="Arial" w:hAnsi="Arial"/>
          <w:sz w:val="17"/>
          <w:szCs w:val="17"/>
          <w:b w:val="1"/>
          <w:bCs w:val="1"/>
          <w:color w:val="auto"/>
        </w:rPr>
        <w:t>SEC Guidance</w:t>
      </w:r>
      <w:r>
        <w:rPr>
          <w:rFonts w:ascii="Arial" w:cs="Arial" w:eastAsia="Arial" w:hAnsi="Arial"/>
          <w:sz w:val="17"/>
          <w:szCs w:val="17"/>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only be obligated to effect an Underwritten Shelf Takedown if such offering shall include securities with a total offering price (including piggyback securities and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2" w:name="page573"/>
    <w:bookmarkEnd w:id="572"/>
    <w:p>
      <w:pPr>
        <w:jc w:val="both"/>
        <w:spacing w:after="0" w:line="269" w:lineRule="auto"/>
        <w:rPr>
          <w:sz w:val="20"/>
          <w:szCs w:val="20"/>
          <w:color w:val="auto"/>
        </w:rPr>
      </w:pPr>
      <w:r>
        <w:rPr>
          <w:rFonts w:ascii="Arial" w:cs="Arial" w:eastAsia="Arial" w:hAnsi="Arial"/>
          <w:sz w:val="17"/>
          <w:szCs w:val="17"/>
          <w:color w:val="auto"/>
        </w:rPr>
        <w:t>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Arial" w:cs="Arial" w:eastAsia="Arial" w:hAnsi="Arial"/>
          <w:sz w:val="17"/>
          <w:szCs w:val="17"/>
          <w:b w:val="1"/>
          <w:bCs w:val="1"/>
          <w:color w:val="auto"/>
        </w:rPr>
        <w:t>Takedown Requesting</w:t>
      </w:r>
      <w:r>
        <w:rPr>
          <w:rFonts w:ascii="Arial" w:cs="Arial" w:eastAsia="Arial" w:hAnsi="Arial"/>
          <w:sz w:val="17"/>
          <w:szCs w:val="17"/>
          <w:color w:val="auto"/>
        </w:rPr>
        <w:t xml:space="preserve"> </w:t>
      </w:r>
      <w:r>
        <w:rPr>
          <w:rFonts w:ascii="Arial" w:cs="Arial" w:eastAsia="Arial" w:hAnsi="Arial"/>
          <w:sz w:val="17"/>
          <w:szCs w:val="17"/>
          <w:b w:val="1"/>
          <w:bCs w:val="1"/>
          <w:color w:val="auto"/>
        </w:rPr>
        <w:t>Holder</w:t>
      </w:r>
      <w:r>
        <w:rPr>
          <w:rFonts w:ascii="Arial" w:cs="Arial" w:eastAsia="Arial" w:hAnsi="Arial"/>
          <w:sz w:val="17"/>
          <w:szCs w:val="17"/>
          <w:color w:val="auto"/>
        </w:rPr>
        <w:t>”) at least 48 hours prior to the anticipated public announcement date of such Underwritten Shelf Takedown set forth in the Company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written contractual piggyback registration rights of such Holder (including those set forth herein). All such Holders proposing to distribute their Registrable Securities through an Underwritten Shelf Takedown under this </w:t>
      </w:r>
      <w:r>
        <w:rPr>
          <w:rFonts w:ascii="Arial" w:cs="Arial" w:eastAsia="Arial" w:hAnsi="Arial"/>
          <w:sz w:val="17"/>
          <w:szCs w:val="17"/>
          <w:u w:val="single" w:color="auto"/>
          <w:color w:val="auto"/>
        </w:rPr>
        <w:t>subsection 2.3.5</w:t>
      </w:r>
      <w:r>
        <w:rPr>
          <w:rFonts w:ascii="Arial" w:cs="Arial" w:eastAsia="Arial" w:hAnsi="Arial"/>
          <w:sz w:val="17"/>
          <w:szCs w:val="17"/>
          <w:color w:val="auto"/>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1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u w:val="single" w:color="auto"/>
          <w:color w:val="auto"/>
        </w:rPr>
        <w:t>Reduction of Underwritten Shelf Takedown</w:t>
      </w:r>
      <w:r>
        <w:rPr>
          <w:rFonts w:ascii="Arial" w:cs="Arial" w:eastAsia="Arial" w:hAnsi="Arial"/>
          <w:sz w:val="17"/>
          <w:szCs w:val="17"/>
          <w:color w:val="auto"/>
        </w:rPr>
        <w:t>. If the managing Underwriter(s) in an Underwritten Shelf Takedown, in good faith, 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spacing w:after="0" w:line="12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2.3.7 Registrations effected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not be counted as Demand Registrations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Under no circumstances shall the Company be obligated to effect more than an aggregate of four (4) Underwritten Shelf Takedowns in any 12-month period.</w:t>
      </w:r>
    </w:p>
    <w:p>
      <w:pPr>
        <w:spacing w:after="0" w:line="13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2.3.8 </w:t>
      </w:r>
      <w:r>
        <w:rPr>
          <w:rFonts w:ascii="Arial" w:cs="Arial" w:eastAsia="Arial" w:hAnsi="Arial"/>
          <w:sz w:val="16"/>
          <w:szCs w:val="16"/>
          <w:u w:val="single" w:color="auto"/>
          <w:color w:val="auto"/>
        </w:rPr>
        <w:t>Block Trades</w:t>
      </w:r>
      <w:r>
        <w:rPr>
          <w:rFonts w:ascii="Arial" w:cs="Arial" w:eastAsia="Arial" w:hAnsi="Arial"/>
          <w:sz w:val="16"/>
          <w:szCs w:val="16"/>
          <w:color w:val="auto"/>
        </w:rPr>
        <w:t xml:space="preserve">. If the Company shall receive a request from a Holder or Holders of Registrable Securities with an estimated market 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Arial" w:cs="Arial" w:eastAsia="Arial" w:hAnsi="Arial"/>
          <w:sz w:val="16"/>
          <w:szCs w:val="16"/>
          <w:u w:val="single" w:color="auto"/>
          <w:color w:val="auto"/>
        </w:rPr>
        <w:t>Section 2.3.7.</w:t>
      </w:r>
    </w:p>
    <w:p>
      <w:pPr>
        <w:spacing w:after="0" w:line="10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2.4. Restrictions on Registration Rights. </w:t>
      </w:r>
      <w:r>
        <w:rPr>
          <w:rFonts w:ascii="Arial" w:cs="Arial" w:eastAsia="Arial" w:hAnsi="Arial"/>
          <w:sz w:val="17"/>
          <w:szCs w:val="17"/>
          <w:color w:val="auto"/>
        </w:rPr>
        <w:t>. Notwithstanding anything to the contrary contained herein, the Company shall not be obligated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may, at its sole option) file a Registration Statement pursuant to a Demand Registration request made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that the Company continues to actively employ, in good faith, commercially reasonable efforts to cause the applicable Registration Statement to become effective.</w:t>
      </w:r>
    </w:p>
    <w:p>
      <w:pPr>
        <w:spacing w:after="0" w:line="11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 PROCEDURES</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3.1 General Procedures</w:t>
      </w:r>
      <w:r>
        <w:rPr>
          <w:rFonts w:ascii="Arial" w:cs="Arial" w:eastAsia="Arial" w:hAnsi="Arial"/>
          <w:sz w:val="17"/>
          <w:szCs w:val="17"/>
          <w:color w:val="auto"/>
        </w:rPr>
        <w:t>. If at any time on or after the Effective Time the Company is required to effect the Registration of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0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3" w:name="page574"/>
    <w:bookmarkEnd w:id="573"/>
    <w:p>
      <w:pPr>
        <w:jc w:val="both"/>
        <w:ind w:firstLine="1296"/>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22"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provide a transfer agent and registrar for all such Registrable Securities no later than the effective date of such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3.1.9 at least five (5) days prior to the filing of any Registration Statement or Prospectus or any amendment or supplement to such Registration Statement or Prospectus, furnish a draft copy thereof to each seller of such Registrable Securities or its counsel;</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3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3.1.11 permit a representative of the Holders, the Underwriter(s), if any, and any attorney or accountant retained by such Holders or 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4" w:name="page575"/>
    <w:bookmarkEnd w:id="574"/>
    <w:p>
      <w:pPr>
        <w:jc w:val="both"/>
        <w:ind w:firstLine="1296"/>
        <w:spacing w:after="0" w:line="286" w:lineRule="auto"/>
        <w:rPr>
          <w:sz w:val="20"/>
          <w:szCs w:val="20"/>
          <w:color w:val="auto"/>
        </w:rPr>
      </w:pPr>
      <w:r>
        <w:rPr>
          <w:rFonts w:ascii="Arial" w:cs="Arial" w:eastAsia="Arial" w:hAnsi="Arial"/>
          <w:sz w:val="17"/>
          <w:szCs w:val="17"/>
          <w:color w:val="auto"/>
        </w:rPr>
        <w:t>3.1.12 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spacing w:after="0" w:line="1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3.1.13 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spacing w:after="0" w:line="11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16"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 xml:space="preserve">3.1.15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3.1.16 if a Registration, including an Underwritten Offering, involves the Registration of Registrable Securities involving gross proceeds in excess of $50,000,000, use its commercially reasonable efforts to make available senior executives of the Company to participate in customary “road show” presentations that may be reasonably requested by the Underwriter(s) in any Underwritten Offering; and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3.1.17 otherwise, in good faith, cooperate reasonably with, and take such customary actions as may reasonably be requested by the Holders, in connection with such Registration.</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3.2. Registration Expenses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all Registration Expenses shal be borne by the Company. It is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3.3. Requirements for Participation in Underwritten Offerings</w:t>
      </w:r>
      <w:r>
        <w:rPr>
          <w:rFonts w:ascii="Arial" w:cs="Arial" w:eastAsia="Arial" w:hAnsi="Arial"/>
          <w:sz w:val="18"/>
          <w:szCs w:val="18"/>
          <w:color w:val="auto"/>
        </w:rPr>
        <w:t>. No person may participate in any Underwritten Offering for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Section 3.4. Suspension of Sales; Adverse Disclosure. </w:t>
      </w:r>
      <w:r>
        <w:rPr>
          <w:rFonts w:ascii="Arial" w:cs="Arial" w:eastAsia="Arial" w:hAnsi="Arial"/>
          <w:sz w:val="16"/>
          <w:szCs w:val="16"/>
          <w:color w:val="auto"/>
        </w:rPr>
        <w:t>Upon receipt of written notice from the Company that a Registration Statement or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w:t>
      </w:r>
    </w:p>
    <w:p>
      <w:pPr>
        <w:spacing w:after="0" w:line="3" w:lineRule="exact"/>
        <w:rPr>
          <w:sz w:val="20"/>
          <w:szCs w:val="20"/>
          <w:color w:val="auto"/>
        </w:rPr>
      </w:pPr>
    </w:p>
    <w:p>
      <w:pPr>
        <w:jc w:val="both"/>
        <w:ind w:firstLine="8"/>
        <w:spacing w:after="0" w:line="269" w:lineRule="auto"/>
        <w:tabs>
          <w:tab w:leader="none" w:pos="29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Section 3.4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5" w:name="page576"/>
    <w:bookmarkEnd w:id="575"/>
    <w:p>
      <w:pPr>
        <w:jc w:val="both"/>
        <w:ind w:firstLine="324"/>
        <w:spacing w:after="0" w:line="291" w:lineRule="auto"/>
        <w:rPr>
          <w:sz w:val="20"/>
          <w:szCs w:val="20"/>
          <w:color w:val="auto"/>
        </w:rPr>
      </w:pPr>
      <w:r>
        <w:rPr>
          <w:rFonts w:ascii="Arial" w:cs="Arial" w:eastAsia="Arial" w:hAnsi="Arial"/>
          <w:sz w:val="16"/>
          <w:szCs w:val="16"/>
          <w:b w:val="1"/>
          <w:bCs w:val="1"/>
          <w:color w:val="auto"/>
        </w:rPr>
        <w:t>Section 3.5. Reporting Obligations</w:t>
      </w:r>
      <w:r>
        <w:rPr>
          <w:rFonts w:ascii="Arial" w:cs="Arial" w:eastAsia="Arial" w:hAnsi="Arial"/>
          <w:sz w:val="16"/>
          <w:szCs w:val="16"/>
          <w:color w:val="auto"/>
        </w:rPr>
        <w:t>. As long as any Holder shall own Registrable Securities, the Company, at all times while it shall be a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3.6. Limitations on Registration Rights</w:t>
      </w:r>
      <w:r>
        <w:rPr>
          <w:rFonts w:ascii="Arial" w:cs="Arial" w:eastAsia="Arial" w:hAnsi="Arial"/>
          <w:sz w:val="18"/>
          <w:szCs w:val="18"/>
          <w:color w:val="auto"/>
        </w:rPr>
        <w:t>. Other than the registration rights granted to the purchasers under the Subscription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be 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4.1  Indemnification</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3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25"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4.1.3 Any person entitled to indemnification herein shall (i) give prompt written notice to the indemnifying party of any claim with respect to which it seeks indemnification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76" w:name="page577"/>
    <w:bookmarkEnd w:id="576"/>
    <w:p>
      <w:pPr>
        <w:ind w:right="60"/>
        <w:spacing w:after="0" w:line="293" w:lineRule="auto"/>
        <w:rPr>
          <w:sz w:val="20"/>
          <w:szCs w:val="20"/>
          <w:color w:val="auto"/>
        </w:rPr>
      </w:pPr>
      <w:r>
        <w:rPr>
          <w:rFonts w:ascii="Arial" w:cs="Arial" w:eastAsia="Arial" w:hAnsi="Arial"/>
          <w:sz w:val="16"/>
          <w:szCs w:val="16"/>
          <w:color w:val="auto"/>
        </w:rPr>
        <w:t>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spacing w:after="0" w:line="11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Arial" w:cs="Arial" w:eastAsia="Arial" w:hAnsi="Arial"/>
          <w:sz w:val="18"/>
          <w:szCs w:val="18"/>
          <w:u w:val="single" w:color="auto"/>
          <w:color w:val="auto"/>
        </w:rPr>
        <w:t>subsection 4.1.5</w:t>
      </w:r>
      <w:r>
        <w:rPr>
          <w:rFonts w:ascii="Arial" w:cs="Arial" w:eastAsia="Arial" w:hAnsi="Arial"/>
          <w:sz w:val="18"/>
          <w:szCs w:val="18"/>
          <w:color w:val="auto"/>
        </w:rPr>
        <w:t>) to such party in the event the Company’s or such Holder’s indemnification is unavailable for any reason.</w:t>
      </w:r>
    </w:p>
    <w:p>
      <w:pPr>
        <w:spacing w:after="0" w:line="13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s</w:t>
      </w:r>
      <w:r>
        <w:rPr>
          <w:rFonts w:ascii="Arial" w:cs="Arial" w:eastAsia="Arial" w:hAnsi="Arial"/>
          <w:sz w:val="16"/>
          <w:szCs w:val="16"/>
          <w:u w:val="single" w:color="auto"/>
          <w:color w:val="auto"/>
        </w:rPr>
        <w:t>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1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4.1.6 Notwithstanding the foregoing, to the extent that the provisions on indemnification and contribution contained in any underwriting agreement entered into in connection with an underwritten public offering are in conflict with the foregoing provisions, the provisions in the underwriting agreement shall control.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5.1 Lock-Up.</w:t>
      </w:r>
      <w:r>
        <w:rPr>
          <w:rFonts w:ascii="Arial" w:cs="Arial" w:eastAsia="Arial" w:hAnsi="Arial"/>
          <w:sz w:val="17"/>
          <w:szCs w:val="17"/>
          <w:color w:val="auto"/>
        </w:rPr>
        <w:t>Except as permitted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shall not Transfer any shares of Common Stock,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PIPE Shares, any shares of Common Stock issued pursuant to the Business Combination Agreement, and any other shares of Common Stock), beneficially owned or owned of record by such Holder until the date that is 180 days from the Closing Date (the “</w:t>
      </w:r>
      <w:r>
        <w:rPr>
          <w:rFonts w:ascii="Arial" w:cs="Arial" w:eastAsia="Arial" w:hAnsi="Arial"/>
          <w:sz w:val="17"/>
          <w:szCs w:val="17"/>
          <w:b w:val="1"/>
          <w:bCs w:val="1"/>
          <w:color w:val="auto"/>
        </w:rPr>
        <w:t>Lock-up Period</w:t>
      </w:r>
      <w:r>
        <w:rPr>
          <w:rFonts w:ascii="Arial" w:cs="Arial" w:eastAsia="Arial" w:hAnsi="Arial"/>
          <w:sz w:val="17"/>
          <w:szCs w:val="17"/>
          <w:color w:val="auto"/>
        </w:rPr>
        <w: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5.2  Exceptions.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apply to:</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transactions relating to shares of Common Stock acquired in open market transactions;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5.2.2 Transfers of shares of Common Stock or any security convertible into or exercisable or exchangeable for Common Stock as a bona fide gift or charitable contribution;</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5.2.3 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7" w:name="page578"/>
    <w:bookmarkEnd w:id="577"/>
    <w:p>
      <w:pPr>
        <w:ind w:left="1300"/>
        <w:spacing w:after="0"/>
        <w:tabs>
          <w:tab w:leader="none" w:pos="19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Transfers by will or intestate succession upon the death of the undersigned;</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color w:val="auto"/>
        </w:rPr>
        <w:t>the Transfer of shares of Common Stock pursuant to a qualified domestic order, court order or in connection with a divorce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5.2.6 if the 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spacing w:after="0" w:line="13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color w:val="auto"/>
        </w:rPr>
        <w:t>if the Holder is a trust, Transfers to a trustor or beneficiary of the trust or to the estate of a beneficiary of such trust;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6"/>
          <w:szCs w:val="16"/>
          <w:color w:val="auto"/>
        </w:rPr>
        <w:t>Transfers to the Company’s officers, directors or their affiliates;</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6"/>
          <w:szCs w:val="16"/>
          <w:color w:val="auto"/>
        </w:rPr>
        <w:t xml:space="preserve">Transfers to a nominee or custodian of a person or entity to whom a disposition or transfer would be permissible under </w:t>
      </w:r>
      <w:r>
        <w:rPr>
          <w:rFonts w:ascii="Arial" w:cs="Arial" w:eastAsia="Arial" w:hAnsi="Arial"/>
          <w:sz w:val="16"/>
          <w:szCs w:val="16"/>
          <w:u w:val="single" w:color="auto"/>
          <w:color w:val="auto"/>
        </w:rPr>
        <w:t>Sections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5.2.8;</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5.2.10 pledges of shares of Common Stock or other Registrable Securities as security or collateral in connection with any borrowing or the incurrence of any indebtedness by any Holder; provided, however, that such borrowing or incurrence of indebtedness is secured by a portfolio of assets or equity interests issued by multiple issuers;</w:t>
      </w:r>
    </w:p>
    <w:p>
      <w:pPr>
        <w:spacing w:after="0" w:line="13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5.2.11 Transfers pursuant to a bona fide third-party tender offer, merger, stock sale, recapitalization, consolidation or other transaction involving a Change in Control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such tender offer, merger, recapitalization, consolidation or other such transaction is not completed, the Common Stock subject to this Agreement shall remain subject to this Agreement;</w:t>
      </w:r>
    </w:p>
    <w:p>
      <w:pPr>
        <w:spacing w:after="0" w:line="1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5.2.12 the establishment of a trading plan pursuant to Rule 10b5-1 promulgated under the Exchange Act; provided, however, that such plan does not provide for the Transfer of Common Stock or any securities convertible into or exercisable or exchangeable for Common Stock during the Lock-Up Period;</w:t>
      </w:r>
    </w:p>
    <w:p>
      <w:pPr>
        <w:spacing w:after="0" w:line="13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5.2.13 Transfers of shares of Common Stock to the Company in connection with the repurchase of the undersigned’s shares in connection with the termination of the undersigned’s employment with the Company pursuant to contractual agreements with the Company;</w:t>
      </w:r>
    </w:p>
    <w:p>
      <w:pPr>
        <w:spacing w:after="0" w:line="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5.2.14 Transfers of shares of Common Stock to satisfy tax withholding obligations in connection with the exercise of options to purchase shares of Common Stock or the vesting of stock-based awards;</w:t>
      </w:r>
    </w:p>
    <w:p>
      <w:pPr>
        <w:spacing w:after="0" w:line="116"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5.2.15 Transfers of shares of Common Stock in payment on a “net exercise” or “cashless” basis of the exercise or purchase price with respect to the exercise of options to purchase shares of Common Stock;</w:t>
      </w:r>
    </w:p>
    <w:p>
      <w:pPr>
        <w:spacing w:after="0" w:line="116"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5.2.16 Transfers to the Company through the exercise of a stock option granted under a stock incentive plan or stock purchase plan or a 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any Transfer pursuant to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each donee, distribute, pledgee or other transferee shall agree in writing, in form and substance reasonably satisfactory to the Company, to be bound by the provisions of this Agreement.</w:t>
      </w:r>
    </w:p>
    <w:p>
      <w:pPr>
        <w:spacing w:after="0" w:line="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5.5 Release of Lock-Up Restrictions</w:t>
      </w:r>
      <w:r>
        <w:rPr>
          <w:rFonts w:ascii="Arial" w:cs="Arial" w:eastAsia="Arial" w:hAnsi="Arial"/>
          <w:sz w:val="18"/>
          <w:szCs w:val="18"/>
          <w:color w:val="auto"/>
        </w:rPr>
        <w:t>.Notwithstanding the other provisions set forth herein, the Board may, in its sole discretion,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waive, amend, or repeal the restrictions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whether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amendment or repeal shall (i) not make such restrictions more restrictive or apply for a longer period of time and (ii) require the unanimous approval of the directors present at any duly called meeting at which 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8" w:name="page579"/>
    <w:bookmarkEnd w:id="578"/>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Section 6.1 Termination.</w:t>
      </w:r>
      <w:r>
        <w:rPr>
          <w:rFonts w:ascii="Arial" w:cs="Arial" w:eastAsia="Arial" w:hAnsi="Arial"/>
          <w:sz w:val="16"/>
          <w:szCs w:val="16"/>
          <w:color w:val="auto"/>
        </w:rPr>
        <w:t>This Agreement shall terminate upon the earliest to occur of: (i) the termination of the Business Combination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(ii) the date on which neither the Holders nor any of their permitted assignees hold any Registrable Securities, and (iii) a Liquidation Event.</w:t>
      </w:r>
    </w:p>
    <w:p>
      <w:pPr>
        <w:spacing w:after="0" w:line="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6.2 Effect of Business Combination Termination. </w:t>
      </w:r>
      <w:r>
        <w:rPr>
          <w:rFonts w:ascii="Arial" w:cs="Arial" w:eastAsia="Arial" w:hAnsi="Arial"/>
          <w:sz w:val="18"/>
          <w:szCs w:val="18"/>
          <w:color w:val="auto"/>
        </w:rPr>
        <w:t>In the event of a termination of this Agreement as a result of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7.1. Notices </w:t>
      </w:r>
      <w:r>
        <w:rPr>
          <w:rFonts w:ascii="Arial" w:cs="Arial" w:eastAsia="Arial" w:hAnsi="Arial"/>
          <w:sz w:val="18"/>
          <w:szCs w:val="18"/>
          <w:color w:val="auto"/>
        </w:rPr>
        <w:t>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3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the Company, to it at:</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425 Pontius Ave. N., Ste. 202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Sujal Patel, Chief Executive Officer</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smpatel@nautilus.bio</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Robert F. Kornegay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a Holder, to the address or email address set forth for Holder on the signature page hereof.</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Section 7.2. Severabiliy. </w:t>
      </w:r>
      <w:r>
        <w:rPr>
          <w:rFonts w:ascii="Arial" w:cs="Arial" w:eastAsia="Arial" w:hAnsi="Arial"/>
          <w:sz w:val="18"/>
          <w:szCs w:val="18"/>
          <w:color w:val="auto"/>
        </w:rPr>
        <w:t>I any term or other provision of this Agreement is invalid, illegal or incapable of being enforced by any rule of law or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Section 7.3. Entire Agreement; Assignment</w:t>
      </w:r>
      <w:r>
        <w:rPr>
          <w:rFonts w:ascii="Arial" w:cs="Arial" w:eastAsia="Arial" w:hAnsi="Arial"/>
          <w:sz w:val="17"/>
          <w:szCs w:val="17"/>
          <w:color w:val="auto"/>
        </w:rPr>
        <w:t>. This Agreement constitutes the entire agreement among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xml:space="preserve"> (such transferees, “</w:t>
      </w:r>
      <w:r>
        <w:rPr>
          <w:rFonts w:ascii="Arial" w:cs="Arial" w:eastAsia="Arial" w:hAnsi="Arial"/>
          <w:sz w:val="17"/>
          <w:szCs w:val="17"/>
          <w:b w:val="1"/>
          <w:bCs w:val="1"/>
          <w:color w:val="auto"/>
        </w:rPr>
        <w:t>Permitted Transferees</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7.4. Parties in Interest. </w:t>
      </w:r>
      <w:r>
        <w:rPr>
          <w:rFonts w:ascii="Arial" w:cs="Arial" w:eastAsia="Arial" w:hAnsi="Arial"/>
          <w:sz w:val="18"/>
          <w:szCs w:val="18"/>
          <w:color w:val="auto"/>
        </w:rPr>
        <w:t>This Agreement shall be binding upon and inure solely to the benefit of each party hereto (and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nothing in this Agreement, express or implied, is intended to or shall confer upon any other person any right, benefit or remedy of any nature whatsoever under or by reason of this Agreement.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7.5. Governing Law. </w:t>
      </w:r>
      <w:r>
        <w:rPr>
          <w:rFonts w:ascii="Arial" w:cs="Arial" w:eastAsia="Arial" w:hAnsi="Arial"/>
          <w:sz w:val="18"/>
          <w:szCs w:val="18"/>
          <w:color w:val="auto"/>
        </w:rPr>
        <w:t>This Agreement shall be governed by, and construed in accordance with, the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executed in and to be performed in that State. All legal actions and proceedings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79" w:name="page580"/>
    <w:bookmarkEnd w:id="579"/>
    <w:p>
      <w:pPr>
        <w:jc w:val="both"/>
        <w:spacing w:after="0" w:line="286" w:lineRule="auto"/>
        <w:rPr>
          <w:sz w:val="20"/>
          <w:szCs w:val="20"/>
          <w:color w:val="auto"/>
        </w:rPr>
      </w:pPr>
      <w:r>
        <w:rPr>
          <w:rFonts w:ascii="Arial" w:cs="Arial" w:eastAsia="Arial" w:hAnsi="Arial"/>
          <w:sz w:val="16"/>
          <w:szCs w:val="16"/>
          <w:color w:val="auto"/>
        </w:rPr>
        <w:t xml:space="preserve">arising out of or relating to this Agreement shall be heard and determined exclusively in any Delaware Chancery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(x) 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r>
        <w:rPr>
          <w:rFonts w:ascii="Arial" w:cs="Arial" w:eastAsia="Arial" w:hAnsi="Arial"/>
          <w:sz w:val="16"/>
          <w:szCs w:val="16"/>
          <w:b w:val="1"/>
          <w:bCs w:val="1"/>
          <w:color w:val="auto"/>
        </w:rPr>
        <w: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Section 7.6. Waiver of Jury Trial</w:t>
      </w:r>
      <w:r>
        <w:rPr>
          <w:rFonts w:ascii="Arial" w:cs="Arial" w:eastAsia="Arial" w:hAnsi="Arial"/>
          <w:sz w:val="18"/>
          <w:szCs w:val="18"/>
          <w:color w:val="auto"/>
        </w:rPr>
        <w:t>. EACH OF THE PARTIES HERETO HEREBY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Arial" w:cs="Arial" w:eastAsia="Arial" w:hAnsi="Arial"/>
          <w:sz w:val="18"/>
          <w:szCs w:val="18"/>
          <w:u w:val="single" w:color="auto"/>
          <w:color w:val="auto"/>
        </w:rPr>
        <w:t>SECTION 7.6.</w:t>
      </w:r>
    </w:p>
    <w:p>
      <w:pPr>
        <w:spacing w:after="0" w:line="13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color w:val="auto"/>
        </w:rPr>
        <w:t xml:space="preserve">Section 7.7. Headings; Interpretation. </w:t>
      </w:r>
      <w:r>
        <w:rPr>
          <w:rFonts w:ascii="Arial" w:cs="Arial" w:eastAsia="Arial" w:hAnsi="Arial"/>
          <w:sz w:val="16"/>
          <w:szCs w:val="16"/>
          <w:color w:val="auto"/>
        </w:rPr>
        <w:t>The descriptive headings contained in this Agreement are included for convenience of reference only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0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Section 7.8. Counterparts</w:t>
      </w:r>
      <w:r>
        <w:rPr>
          <w:rFonts w:ascii="Arial" w:cs="Arial" w:eastAsia="Arial" w:hAnsi="Arial"/>
          <w:sz w:val="18"/>
          <w:szCs w:val="18"/>
          <w:color w:val="auto"/>
        </w:rPr>
        <w:t>. This Agreement may be executed and delivered (including by facsimile or portable document format (pdf)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counterparts, and by the different parties hereto in separate counterparts, each of which when executed shall be deemed to be an original but all of which taken together shall constitute one and the same agreement.</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Section 7.9. Specific Performance. </w:t>
      </w:r>
      <w:r>
        <w:rPr>
          <w:rFonts w:ascii="Arial" w:cs="Arial" w:eastAsia="Arial" w:hAnsi="Arial"/>
          <w:sz w:val="17"/>
          <w:szCs w:val="17"/>
          <w:color w:val="auto"/>
        </w:rPr>
        <w:t>The parties hereto agree that irreparable damage would occur in the event any provision of this Agreement was</w:t>
      </w:r>
      <w:r>
        <w:rPr>
          <w:rFonts w:ascii="Arial" w:cs="Arial" w:eastAsia="Arial" w:hAnsi="Arial"/>
          <w:sz w:val="17"/>
          <w:szCs w:val="17"/>
          <w:b w:val="1"/>
          <w:bCs w:val="1"/>
          <w:color w:val="auto"/>
        </w:rPr>
        <w:t xml:space="preserve"> </w:t>
      </w:r>
      <w:r>
        <w:rPr>
          <w:rFonts w:ascii="Arial" w:cs="Arial" w:eastAsia="Arial" w:hAnsi="Arial"/>
          <w:sz w:val="17"/>
          <w:szCs w:val="17"/>
          <w:color w:val="auto"/>
        </w:rPr>
        <w:t>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7.10. Amendment. </w:t>
      </w:r>
      <w:r>
        <w:rPr>
          <w:rFonts w:ascii="Arial" w:cs="Arial" w:eastAsia="Arial" w:hAnsi="Arial"/>
          <w:sz w:val="18"/>
          <w:szCs w:val="18"/>
          <w:color w:val="auto"/>
        </w:rPr>
        <w:t>This Agreement may be amended in writing by the parties hereto at any time prior to the Effective Time.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80" w:name="page581"/>
    <w:bookmarkEnd w:id="580"/>
    <w:p>
      <w:pPr>
        <w:jc w:val="both"/>
        <w:spacing w:after="0" w:line="277" w:lineRule="auto"/>
        <w:rPr>
          <w:sz w:val="20"/>
          <w:szCs w:val="20"/>
          <w:color w:val="auto"/>
        </w:rPr>
      </w:pPr>
      <w:r>
        <w:rPr>
          <w:rFonts w:ascii="Arial" w:cs="Arial" w:eastAsia="Arial" w:hAnsi="Arial"/>
          <w:sz w:val="18"/>
          <w:szCs w:val="18"/>
          <w:color w:val="auto"/>
        </w:rPr>
        <w:t>majority in interest of the then-outstanding number of Registrable Securities held by all New Holders in their capacity as New Holders (provided the New Holders or their Permitted Transferees hold Registrable Securities at the time of such amendment).</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Section 7.11. Waiver. </w:t>
      </w:r>
      <w:r>
        <w:rPr>
          <w:rFonts w:ascii="Arial" w:cs="Arial" w:eastAsia="Arial" w:hAnsi="Arial"/>
          <w:sz w:val="18"/>
          <w:szCs w:val="18"/>
          <w:color w:val="auto"/>
        </w:rPr>
        <w:t>At any time, (i) the Company may (a) extend the time for the performance of any obligation or other act of any Holder, (b)</w:t>
      </w:r>
      <w:r>
        <w:rPr>
          <w:rFonts w:ascii="Arial" w:cs="Arial" w:eastAsia="Arial" w:hAnsi="Arial"/>
          <w:sz w:val="18"/>
          <w:szCs w:val="18"/>
          <w:b w:val="1"/>
          <w:bCs w:val="1"/>
          <w:color w:val="auto"/>
        </w:rPr>
        <w:t xml:space="preserve"> </w:t>
      </w:r>
      <w:r>
        <w:rPr>
          <w:rFonts w:ascii="Arial" w:cs="Arial" w:eastAsia="Arial" w:hAnsi="Arial"/>
          <w:sz w:val="18"/>
          <w:szCs w:val="18"/>
          <w:color w:val="auto"/>
        </w:rPr>
        <w:t>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35"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b w:val="1"/>
          <w:bCs w:val="1"/>
          <w:color w:val="auto"/>
        </w:rPr>
        <w:t xml:space="preserve">Section 7.12. Further Assurances. </w:t>
      </w:r>
      <w:r>
        <w:rPr>
          <w:rFonts w:ascii="Arial" w:cs="Arial" w:eastAsia="Arial" w:hAnsi="Arial"/>
          <w:sz w:val="17"/>
          <w:szCs w:val="17"/>
          <w:color w:val="auto"/>
        </w:rPr>
        <w:t>At the request of the Company, in the case of any Holder, or at the request of any Holder, in the case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7.13. Prior Agreement Superseded. </w:t>
      </w:r>
      <w:r>
        <w:rPr>
          <w:rFonts w:ascii="Arial" w:cs="Arial" w:eastAsia="Arial" w:hAnsi="Arial"/>
          <w:sz w:val="18"/>
          <w:szCs w:val="18"/>
          <w:color w:val="auto"/>
        </w:rPr>
        <w:t>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Prior Agreement, the undersigned parties who are parties to such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hereby terminate the Prior Agreement, with the intent and effect that the Prior Agreement shall hereby be replaced and superseded in its entirety by this Agreement.</w:t>
      </w:r>
    </w:p>
    <w:p>
      <w:pPr>
        <w:spacing w:after="0" w:line="122"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Section 7.14. No Strict Construction. </w:t>
      </w:r>
      <w:r>
        <w:rPr>
          <w:rFonts w:ascii="Arial" w:cs="Arial" w:eastAsia="Arial" w:hAnsi="Arial"/>
          <w:sz w:val="18"/>
          <w:szCs w:val="18"/>
          <w:color w:val="auto"/>
        </w:rPr>
        <w:t>The language used in this Agreement shall be deemed to be the language chosen by the parties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shall be applied against any 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(Next Page is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81" w:name="page582"/>
    <w:bookmarkEnd w:id="581"/>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parties has executed this Agreement as of the date first written above.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5160"/>
              <w:spacing w:after="0"/>
              <w:rPr>
                <w:sz w:val="20"/>
                <w:szCs w:val="20"/>
                <w:color w:val="auto"/>
              </w:rPr>
            </w:pPr>
            <w:r>
              <w:rPr>
                <w:rFonts w:ascii="Arial" w:cs="Arial" w:eastAsia="Arial" w:hAnsi="Arial"/>
                <w:sz w:val="18"/>
                <w:szCs w:val="18"/>
                <w:color w:val="auto"/>
              </w:rPr>
              <w:t>By:</w:t>
            </w:r>
          </w:p>
        </w:tc>
        <w:tc>
          <w:tcPr>
            <w:tcW w:w="5320" w:type="dxa"/>
            <w:vAlign w:val="bottom"/>
          </w:tcPr>
          <w:p>
            <w:pPr>
              <w:ind w:left="20"/>
              <w:spacing w:after="0"/>
              <w:rPr>
                <w:sz w:val="20"/>
                <w:szCs w:val="20"/>
                <w:color w:val="auto"/>
              </w:rPr>
            </w:pPr>
            <w:r>
              <w:rPr>
                <w:rFonts w:ascii="Arial" w:cs="Arial" w:eastAsia="Arial" w:hAnsi="Arial"/>
                <w:sz w:val="18"/>
                <w:szCs w:val="18"/>
                <w:color w:val="auto"/>
              </w:rPr>
              <w:t>/s/ Chief Financial Officer</w:t>
            </w:r>
          </w:p>
        </w:tc>
      </w:tr>
      <w:tr>
        <w:trPr>
          <w:trHeight w:val="27"/>
        </w:trPr>
        <w:tc>
          <w:tcPr>
            <w:tcW w:w="59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5160"/>
              <w:spacing w:after="0"/>
              <w:rPr>
                <w:sz w:val="20"/>
                <w:szCs w:val="20"/>
                <w:color w:val="auto"/>
              </w:rPr>
            </w:pPr>
            <w:r>
              <w:rPr>
                <w:rFonts w:ascii="Arial" w:cs="Arial" w:eastAsia="Arial" w:hAnsi="Arial"/>
                <w:sz w:val="18"/>
                <w:szCs w:val="18"/>
                <w:color w:val="auto"/>
              </w:rPr>
              <w:t>Name:</w:t>
            </w:r>
          </w:p>
        </w:tc>
        <w:tc>
          <w:tcPr>
            <w:tcW w:w="5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5920" w:type="dxa"/>
            <w:vAlign w:val="bottom"/>
          </w:tcPr>
          <w:p>
            <w:pPr>
              <w:ind w:left="5160"/>
              <w:spacing w:after="0"/>
              <w:rPr>
                <w:sz w:val="20"/>
                <w:szCs w:val="20"/>
                <w:color w:val="auto"/>
              </w:rPr>
            </w:pPr>
            <w:r>
              <w:rPr>
                <w:rFonts w:ascii="Arial" w:cs="Arial" w:eastAsia="Arial" w:hAnsi="Arial"/>
                <w:sz w:val="18"/>
                <w:szCs w:val="18"/>
                <w:color w:val="auto"/>
              </w:rPr>
              <w:t>Title:</w:t>
            </w:r>
          </w:p>
        </w:tc>
        <w:tc>
          <w:tcPr>
            <w:tcW w:w="5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546"/>
        </w:trPr>
        <w:tc>
          <w:tcPr>
            <w:tcW w:w="59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Perceptive Life Sciences Master Fund Ltd</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86"/>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ind w:left="20"/>
              <w:spacing w:after="0"/>
              <w:rPr>
                <w:sz w:val="20"/>
                <w:szCs w:val="20"/>
                <w:color w:val="auto"/>
              </w:rPr>
            </w:pPr>
            <w:r>
              <w:rPr>
                <w:rFonts w:ascii="Arial" w:cs="Arial" w:eastAsia="Arial" w:hAnsi="Arial"/>
                <w:sz w:val="18"/>
                <w:szCs w:val="18"/>
                <w:color w:val="auto"/>
              </w:rPr>
              <w:t>51 Astor Pl 10th fIoor, New York, NY 10003</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6"/>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979170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ARYA Sciences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305181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Michael Altman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4" w:name="page585"/>
    <w:bookmarkEnd w:id="584"/>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r>
        <w:rPr>
          <w:rFonts w:ascii="Arial" w:cs="Arial" w:eastAsia="Arial" w:hAnsi="Arial"/>
          <w:sz w:val="16"/>
          <w:szCs w:val="16"/>
          <w:b w:val="1"/>
          <w:bCs w:val="1"/>
          <w:color w:val="auto"/>
        </w:rPr>
        <w:t>.</w:t>
      </w:r>
    </w:p>
    <w:p>
      <w:pPr>
        <w:sectPr>
          <w:pgSz w:w="11900" w:h="16838" w:orient="portrait"/>
          <w:cols w:equalWidth="0" w:num="1">
            <w:col w:w="9799"/>
          </w:cols>
          <w:pgMar w:left="660" w:top="1440" w:right="1440" w:bottom="1440" w:gutter="0" w:footer="0" w:header="0"/>
        </w:sectPr>
      </w:pP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979170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5" w:name="page586"/>
    <w:bookmarkEnd w:id="58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PFV I, LLC</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Suraj Patel</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1"/>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60"/>
              <w:spacing w:after="0"/>
              <w:rPr>
                <w:sz w:val="20"/>
                <w:szCs w:val="20"/>
                <w:color w:val="auto"/>
              </w:rPr>
            </w:pPr>
            <w:r>
              <w:rPr>
                <w:rFonts w:ascii="Arial" w:cs="Arial" w:eastAsia="Arial" w:hAnsi="Arial"/>
                <w:sz w:val="18"/>
                <w:szCs w:val="18"/>
                <w:b w:val="1"/>
                <w:bCs w:val="1"/>
                <w:color w:val="auto"/>
              </w:rPr>
              <w:t>HOLDER:</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60" w:type="dxa"/>
            <w:vAlign w:val="bottom"/>
          </w:tcPr>
          <w:p>
            <w:pPr>
              <w:ind w:left="4060"/>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Sujal Patel 2020 Children’s Trust, u/a/d December 3, 2020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tcPr>
          <w:p>
            <w:pPr>
              <w:ind w:left="4060"/>
              <w:spacing w:after="0"/>
              <w:rPr>
                <w:sz w:val="20"/>
                <w:szCs w:val="20"/>
                <w:color w:val="auto"/>
              </w:rPr>
            </w:pPr>
            <w:r>
              <w:rPr>
                <w:rFonts w:ascii="Arial" w:cs="Arial" w:eastAsia="Arial" w:hAnsi="Arial"/>
                <w:sz w:val="18"/>
                <w:szCs w:val="18"/>
                <w:color w:val="auto"/>
              </w:rPr>
              <w:t>By:</w:t>
            </w:r>
          </w:p>
        </w:tc>
        <w:tc>
          <w:tcPr>
            <w:tcW w:w="5780" w:type="dxa"/>
            <w:vAlign w:val="bottom"/>
          </w:tcPr>
          <w:p>
            <w:pPr>
              <w:ind w:left="20"/>
              <w:spacing w:after="0"/>
              <w:rPr>
                <w:sz w:val="20"/>
                <w:szCs w:val="20"/>
                <w:color w:val="auto"/>
              </w:rPr>
            </w:pPr>
            <w:r>
              <w:rPr>
                <w:rFonts w:ascii="Arial" w:cs="Arial" w:eastAsia="Arial" w:hAnsi="Arial"/>
                <w:sz w:val="18"/>
                <w:szCs w:val="18"/>
                <w:color w:val="auto"/>
              </w:rPr>
              <w:t>/s/ Trustee</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4060"/>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Meera Patel</w:t>
            </w:r>
          </w:p>
        </w:tc>
        <w:tc>
          <w:tcPr>
            <w:tcW w:w="0" w:type="dxa"/>
            <w:vAlign w:val="bottom"/>
          </w:tcPr>
          <w:p>
            <w:pPr>
              <w:spacing w:after="0"/>
              <w:rPr>
                <w:sz w:val="1"/>
                <w:szCs w:val="1"/>
                <w:color w:val="auto"/>
              </w:rPr>
            </w:pPr>
          </w:p>
        </w:tc>
      </w:tr>
      <w:tr>
        <w:trPr>
          <w:trHeight w:val="270"/>
        </w:trPr>
        <w:tc>
          <w:tcPr>
            <w:tcW w:w="5460" w:type="dxa"/>
            <w:vAlign w:val="bottom"/>
          </w:tcPr>
          <w:p>
            <w:pPr>
              <w:ind w:left="4060"/>
              <w:spacing w:after="0"/>
              <w:rPr>
                <w:sz w:val="20"/>
                <w:szCs w:val="20"/>
                <w:color w:val="auto"/>
              </w:rPr>
            </w:pPr>
            <w:r>
              <w:rPr>
                <w:rFonts w:ascii="Arial" w:cs="Arial" w:eastAsia="Arial" w:hAnsi="Arial"/>
                <w:sz w:val="18"/>
                <w:szCs w:val="18"/>
                <w:color w:val="auto"/>
              </w:rPr>
              <w:t>Title:</w:t>
            </w:r>
          </w:p>
        </w:tc>
        <w:tc>
          <w:tcPr>
            <w:tcW w:w="5780" w:type="dxa"/>
            <w:vAlign w:val="bottom"/>
          </w:tcPr>
          <w:p>
            <w:pPr>
              <w:ind w:left="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526"/>
        </w:trPr>
        <w:tc>
          <w:tcPr>
            <w:tcW w:w="5460" w:type="dxa"/>
            <w:vAlign w:val="bottom"/>
          </w:tcPr>
          <w:p>
            <w:pPr>
              <w:ind w:left="4060"/>
              <w:spacing w:after="0"/>
              <w:rPr>
                <w:sz w:val="20"/>
                <w:szCs w:val="20"/>
                <w:color w:val="auto"/>
              </w:rPr>
            </w:pPr>
            <w:r>
              <w:rPr>
                <w:rFonts w:ascii="Arial" w:cs="Arial" w:eastAsia="Arial" w:hAnsi="Arial"/>
                <w:sz w:val="18"/>
                <w:szCs w:val="18"/>
                <w:color w:val="auto"/>
              </w:rPr>
              <w:t>Address for</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4060"/>
              <w:spacing w:after="0"/>
              <w:rPr>
                <w:sz w:val="20"/>
                <w:szCs w:val="20"/>
                <w:color w:val="auto"/>
              </w:rPr>
            </w:pPr>
            <w:r>
              <w:rPr>
                <w:rFonts w:ascii="Arial" w:cs="Arial" w:eastAsia="Arial" w:hAnsi="Arial"/>
                <w:sz w:val="18"/>
                <w:szCs w:val="18"/>
                <w:color w:val="auto"/>
              </w:rPr>
              <w:t>Notice:</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Telephone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Facsimile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6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4060"/>
              <w:spacing w:after="0"/>
              <w:rPr>
                <w:sz w:val="20"/>
                <w:szCs w:val="20"/>
                <w:color w:val="auto"/>
              </w:rPr>
            </w:pPr>
            <w:r>
              <w:rPr>
                <w:rFonts w:ascii="Arial" w:cs="Arial" w:eastAsia="Arial" w:hAnsi="Arial"/>
                <w:sz w:val="18"/>
                <w:szCs w:val="18"/>
                <w:color w:val="auto"/>
              </w:rPr>
              <w:t>Email:</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5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060"/>
              <w:spacing w:after="0"/>
              <w:rPr>
                <w:sz w:val="20"/>
                <w:szCs w:val="20"/>
                <w:color w:val="auto"/>
              </w:rPr>
            </w:pPr>
            <w:r>
              <w:rPr>
                <w:rFonts w:ascii="Arial" w:cs="Arial" w:eastAsia="Arial" w:hAnsi="Arial"/>
                <w:sz w:val="18"/>
                <w:szCs w:val="18"/>
                <w:color w:val="auto"/>
              </w:rPr>
              <w:t>Address:</w:t>
            </w:r>
          </w:p>
        </w:tc>
        <w:tc>
          <w:tcPr>
            <w:tcW w:w="5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0"/>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Parag Mallick</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8" w:name="page589"/>
    <w:bookmarkEnd w:id="588"/>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Vijay Pande</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Bio Fund II, L.P.</w:t>
            </w: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39"/>
        </w:trPr>
        <w:tc>
          <w:tcPr>
            <w:tcW w:w="644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AH Bio Fund II-B, L.P.</w:t>
            </w:r>
          </w:p>
        </w:tc>
        <w:tc>
          <w:tcPr>
            <w:tcW w:w="2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Equity Partners Bio II, L.L.C.</w:t>
            </w: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 COO</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9"/>
        </w:trPr>
        <w:tc>
          <w:tcPr>
            <w:tcW w:w="6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II-B, L.P. and</w:t>
            </w:r>
          </w:p>
        </w:tc>
        <w:tc>
          <w:tcPr>
            <w:tcW w:w="0" w:type="dxa"/>
            <w:vAlign w:val="bottom"/>
          </w:tcPr>
          <w:p>
            <w:pPr>
              <w:spacing w:after="0"/>
              <w:rPr>
                <w:sz w:val="1"/>
                <w:szCs w:val="1"/>
                <w:color w:val="auto"/>
              </w:rPr>
            </w:pPr>
          </w:p>
        </w:tc>
      </w:tr>
      <w:tr>
        <w:trPr>
          <w:trHeight w:val="378"/>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II-Q, L.P</w:t>
            </w:r>
          </w:p>
        </w:tc>
        <w:tc>
          <w:tcPr>
            <w:tcW w:w="0" w:type="dxa"/>
            <w:vAlign w:val="bottom"/>
          </w:tcPr>
          <w:p>
            <w:pPr>
              <w:spacing w:after="0"/>
              <w:rPr>
                <w:sz w:val="1"/>
                <w:szCs w:val="1"/>
                <w:color w:val="auto"/>
              </w:rPr>
            </w:pPr>
          </w:p>
        </w:tc>
      </w:tr>
      <w:tr>
        <w:trPr>
          <w:trHeight w:val="196"/>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17"/>
                <w:szCs w:val="17"/>
                <w:color w:val="auto"/>
              </w:rPr>
            </w:pPr>
          </w:p>
        </w:tc>
        <w:tc>
          <w:tcPr>
            <w:tcW w:w="3060" w:type="dxa"/>
            <w:vAlign w:val="bottom"/>
            <w:tcBorders>
              <w:top w:val="single" w:sz="8" w:color="auto"/>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AH Equity Partners LSV II, L.L.C</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526"/>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 Chief Operating Officer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Farzad Nazem</w:t>
            </w: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HAND Capital, LLC</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Matthew McIlwain</w:t>
            </w:r>
          </w:p>
        </w:tc>
        <w:tc>
          <w:tcPr>
            <w:tcW w:w="0" w:type="dxa"/>
            <w:vAlign w:val="bottom"/>
          </w:tcPr>
          <w:p>
            <w:pPr>
              <w:spacing w:after="0"/>
              <w:rPr>
                <w:sz w:val="1"/>
                <w:szCs w:val="1"/>
                <w:color w:val="auto"/>
              </w:rPr>
            </w:pPr>
          </w:p>
        </w:tc>
      </w:tr>
      <w:tr>
        <w:trPr>
          <w:trHeight w:val="486"/>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Matthew McIlwain</w:t>
            </w:r>
          </w:p>
        </w:tc>
        <w:tc>
          <w:tcPr>
            <w:tcW w:w="0" w:type="dxa"/>
            <w:vAlign w:val="bottom"/>
          </w:tcPr>
          <w:p>
            <w:pPr>
              <w:spacing w:after="0"/>
              <w:rPr>
                <w:sz w:val="1"/>
                <w:szCs w:val="1"/>
                <w:color w:val="auto"/>
              </w:rPr>
            </w:pPr>
          </w:p>
        </w:tc>
      </w:tr>
      <w:tr>
        <w:trPr>
          <w:trHeight w:val="162"/>
        </w:trPr>
        <w:tc>
          <w:tcPr>
            <w:tcW w:w="644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 LP</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5"/>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VI-A, LP</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5"/>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VCVC V LLC</w:t>
            </w:r>
          </w:p>
        </w:tc>
        <w:tc>
          <w:tcPr>
            <w:tcW w:w="0" w:type="dxa"/>
            <w:vAlign w:val="bottom"/>
          </w:tcPr>
          <w:p>
            <w:pPr>
              <w:spacing w:after="0"/>
              <w:rPr>
                <w:sz w:val="1"/>
                <w:szCs w:val="1"/>
                <w:color w:val="auto"/>
              </w:rPr>
            </w:pPr>
          </w:p>
        </w:tc>
      </w:tr>
      <w:tr>
        <w:trPr>
          <w:trHeight w:val="662"/>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256"/>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820"/>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Vulcan Capital Columbia Holdings LLC</w:t>
            </w:r>
          </w:p>
        </w:tc>
        <w:tc>
          <w:tcPr>
            <w:tcW w:w="0" w:type="dxa"/>
            <w:vAlign w:val="bottom"/>
          </w:tcPr>
          <w:p>
            <w:pPr>
              <w:spacing w:after="0"/>
              <w:rPr>
                <w:sz w:val="1"/>
                <w:szCs w:val="1"/>
                <w:color w:val="auto"/>
              </w:rPr>
            </w:pPr>
          </w:p>
        </w:tc>
      </w:tr>
      <w:tr>
        <w:trPr>
          <w:trHeight w:val="661"/>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418"/>
        </w:trPr>
        <w:tc>
          <w:tcPr>
            <w:tcW w:w="644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6440" w:type="dxa"/>
            <w:vAlign w:val="bottom"/>
          </w:tcPr>
          <w:p>
            <w:pPr>
              <w:ind w:left="4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ind w:left="482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7"/>
        </w:trPr>
        <w:tc>
          <w:tcPr>
            <w:tcW w:w="6440" w:type="dxa"/>
            <w:vAlign w:val="bottom"/>
          </w:tcPr>
          <w:p>
            <w:pPr>
              <w:ind w:left="4820"/>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4820"/>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tcPr>
          <w:p>
            <w:pPr>
              <w:ind w:left="4820"/>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0"/>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8" w:name="page599"/>
    <w:bookmarkEnd w:id="598"/>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99" w:name="page600"/>
    <w:bookmarkEnd w:id="599"/>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0" w:name="page601"/>
    <w:bookmarkEnd w:id="600"/>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Todd Wider</w:t>
      </w: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305181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1"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0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40" w:right="1440" w:bottom="1440" w:gutter="0" w:footer="0" w:header="0"/>
        </w:sectPr>
      </w:pPr>
    </w:p>
    <w:bookmarkStart w:id="601" w:name="page602"/>
    <w:bookmarkEnd w:id="601"/>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1013460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1309370</wp:posOffset>
            </wp:positionV>
            <wp:extent cx="305181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974725</wp:posOffset>
            </wp:positionV>
            <wp:extent cx="305181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640715</wp:posOffset>
            </wp:positionV>
            <wp:extent cx="305181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2" w:name="page603"/>
    <w:bookmarkEnd w:id="602"/>
    <w:p>
      <w:pPr>
        <w:spacing w:after="0" w:line="13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4711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926205" cy="471170"/>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ARYA Sciences Holdings III</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27857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926205" cy="278574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PFV I,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 2020 Children’s Trust, u/a/d December 3, 2020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Parag Mallick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Vijay Pande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AH Bio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Andreessen Horowitz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LSV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Farzad Nazem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HAND Capital,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McIlwain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VI-A,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VCVC V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Vulcan Capital Columbia Holdings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Melissa Epperly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Posard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6254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926205" cy="62547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Wider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L. Campbell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1005205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Annex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TRANSACTION SUPPORT AGREEMENT</w:t>
      </w:r>
    </w:p>
    <w:p>
      <w:pPr>
        <w:spacing w:after="0" w:line="17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TRANSACTION SUPPORT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February 7, 2021, by and among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and [●], a [●] (the “</w:t>
      </w:r>
      <w:r>
        <w:rPr>
          <w:rFonts w:ascii="Arial" w:cs="Arial" w:eastAsia="Arial" w:hAnsi="Arial"/>
          <w:sz w:val="18"/>
          <w:szCs w:val="18"/>
          <w:u w:val="single" w:color="auto"/>
          <w:color w:val="auto"/>
        </w:rPr>
        <w:t>Shareholder</w:t>
      </w:r>
      <w:r>
        <w:rPr>
          <w:rFonts w:ascii="Arial" w:cs="Arial" w:eastAsia="Arial" w:hAnsi="Arial"/>
          <w:sz w:val="18"/>
          <w:szCs w:val="18"/>
          <w:color w:val="auto"/>
        </w:rPr>
        <w:t>”). Each of ARYA and the Shareholder are sometimes referred to herein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them in the Business Combination Agreement (defined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February 7, 2021, ARYA, Mako Merger Sub, Inc., a Delaware corporation and wholly owned subsidiary of ARYA (“</w:t>
      </w:r>
      <w:r>
        <w:rPr>
          <w:rFonts w:ascii="Arial" w:cs="Arial" w:eastAsia="Arial" w:hAnsi="Arial"/>
          <w:sz w:val="16"/>
          <w:szCs w:val="16"/>
          <w:u w:val="single" w:color="auto"/>
          <w:color w:val="auto"/>
        </w:rPr>
        <w:t>Merger Sub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that certain Business Combination Agreement (as amended or modified from time to time in accordance with its terms,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spacing w:after="0" w:line="106"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 is the record and beneficial owner of the number and class or series (as applicable) of issued and outstanding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Owned Shares</w:t>
      </w:r>
      <w:r>
        <w:rPr>
          <w:rFonts w:ascii="Arial" w:cs="Arial" w:eastAsia="Arial" w:hAnsi="Arial"/>
          <w:sz w:val="18"/>
          <w:szCs w:val="18"/>
          <w:color w:val="auto"/>
        </w:rPr>
        <w:t>”, and together with any other Company Shares that the Shareholder acquires record and beneficial ownership after the date hereof, collectively, the “</w:t>
      </w:r>
      <w:r>
        <w:rPr>
          <w:rFonts w:ascii="Arial" w:cs="Arial" w:eastAsia="Arial" w:hAnsi="Arial"/>
          <w:sz w:val="18"/>
          <w:szCs w:val="18"/>
          <w:u w:val="single" w:color="auto"/>
          <w:color w:val="auto"/>
        </w:rPr>
        <w:t>Subject Company Shares</w:t>
      </w:r>
      <w:r>
        <w:rPr>
          <w:rFonts w:ascii="Arial" w:cs="Arial" w:eastAsia="Arial" w:hAnsi="Arial"/>
          <w:sz w:val="18"/>
          <w:szCs w:val="18"/>
          <w:color w:val="auto"/>
        </w:rPr>
        <w:t>”); and</w:t>
      </w:r>
    </w:p>
    <w:p>
      <w:pPr>
        <w:spacing w:after="0" w:line="12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the Shareholder under the terms of the Business Combination Agreement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spacing w:after="0" w:line="126"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each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5" w:lineRule="exact"/>
        <w:rPr>
          <w:sz w:val="20"/>
          <w:szCs w:val="20"/>
          <w:color w:val="auto"/>
        </w:rPr>
      </w:pPr>
    </w:p>
    <w:p>
      <w:pPr>
        <w:ind w:left="660" w:hanging="328"/>
        <w:spacing w:after="0"/>
        <w:tabs>
          <w:tab w:leader="none" w:pos="660" w:val="left"/>
        </w:tabs>
        <w:numPr>
          <w:ilvl w:val="0"/>
          <w:numId w:val="578"/>
        </w:numPr>
        <w:rPr>
          <w:rFonts w:ascii="Arial" w:cs="Arial" w:eastAsia="Arial" w:hAnsi="Arial"/>
          <w:sz w:val="18"/>
          <w:szCs w:val="18"/>
          <w:color w:val="auto"/>
        </w:rPr>
      </w:pPr>
      <w:r>
        <w:rPr>
          <w:rFonts w:ascii="Arial" w:cs="Arial" w:eastAsia="Arial" w:hAnsi="Arial"/>
          <w:sz w:val="18"/>
          <w:szCs w:val="18"/>
          <w:u w:val="single" w:color="auto"/>
          <w:color w:val="auto"/>
        </w:rPr>
        <w:t>Company Shareholder Consent and Related Matters</w:t>
      </w:r>
      <w:r>
        <w:rPr>
          <w:rFonts w:ascii="Arial" w:cs="Arial" w:eastAsia="Arial" w:hAnsi="Arial"/>
          <w:sz w:val="18"/>
          <w:szCs w:val="18"/>
          <w:color w:val="auto"/>
        </w:rPr>
        <w:t>.</w:t>
      </w:r>
    </w:p>
    <w:p>
      <w:pPr>
        <w:spacing w:after="0" w:line="171" w:lineRule="exact"/>
        <w:rPr>
          <w:sz w:val="20"/>
          <w:szCs w:val="20"/>
          <w:color w:val="auto"/>
        </w:rPr>
      </w:pPr>
    </w:p>
    <w:p>
      <w:pPr>
        <w:ind w:right="60" w:firstLine="332"/>
        <w:spacing w:after="0" w:line="268" w:lineRule="auto"/>
        <w:tabs>
          <w:tab w:leader="none" w:pos="64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provided,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Arial" w:cs="Arial" w:eastAsia="Arial" w:hAnsi="Arial"/>
          <w:sz w:val="17"/>
          <w:szCs w:val="17"/>
          <w:u w:val="single" w:color="auto"/>
          <w:color w:val="auto"/>
        </w:rPr>
        <w:t>Excluded Voting Matters</w:t>
      </w:r>
      <w:r>
        <w:rPr>
          <w:rFonts w:ascii="Arial" w:cs="Arial" w:eastAsia="Arial" w:hAnsi="Arial"/>
          <w:sz w:val="17"/>
          <w:szCs w:val="17"/>
          <w:color w:val="auto"/>
        </w:rPr>
        <w:t>”). Without limiting the generality of the foregoing, prior to the Closing, the Shareholder shall vote (or cause to be voted) the Subject Company Shares against and withhold consent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4" w:name="page605"/>
    <w:bookmarkEnd w:id="604"/>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w:t>
      </w:r>
    </w:p>
    <w:p>
      <w:pPr>
        <w:spacing w:after="0" w:line="130" w:lineRule="exact"/>
        <w:rPr>
          <w:sz w:val="20"/>
          <w:szCs w:val="20"/>
          <w:color w:val="auto"/>
        </w:rPr>
      </w:pPr>
    </w:p>
    <w:p>
      <w:pPr>
        <w:jc w:val="both"/>
        <w:ind w:right="20" w:firstLine="332"/>
        <w:spacing w:after="0" w:line="286" w:lineRule="auto"/>
        <w:tabs>
          <w:tab w:leader="none" w:pos="642" w:val="left"/>
        </w:tabs>
        <w:numPr>
          <w:ilvl w:val="1"/>
          <w:numId w:val="580"/>
        </w:numPr>
        <w:rPr>
          <w:rFonts w:ascii="Arial" w:cs="Arial" w:eastAsia="Arial" w:hAnsi="Arial"/>
          <w:sz w:val="16"/>
          <w:szCs w:val="16"/>
          <w:color w:val="auto"/>
        </w:rPr>
      </w:pPr>
      <w:r>
        <w:rPr>
          <w:rFonts w:ascii="Arial" w:cs="Arial" w:eastAsia="Arial" w:hAnsi="Arial"/>
          <w:sz w:val="16"/>
          <w:szCs w:val="16"/>
          <w:color w:val="auto"/>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(ii) to include the Subject Company Shares in any computation for purposes of establishing a quorum at any such meeting of the Company Shareholders and</w:t>
      </w:r>
    </w:p>
    <w:p>
      <w:pPr>
        <w:spacing w:after="0" w:line="1" w:lineRule="exact"/>
        <w:rPr>
          <w:rFonts w:ascii="Arial" w:cs="Arial" w:eastAsia="Arial" w:hAnsi="Arial"/>
          <w:sz w:val="16"/>
          <w:szCs w:val="16"/>
          <w:color w:val="auto"/>
        </w:rPr>
      </w:pPr>
    </w:p>
    <w:p>
      <w:pPr>
        <w:ind w:right="140" w:firstLine="8"/>
        <w:spacing w:after="0" w:line="253" w:lineRule="auto"/>
        <w:tabs>
          <w:tab w:leader="none" w:pos="315"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Arial" w:cs="Arial" w:eastAsia="Arial" w:hAnsi="Arial"/>
          <w:sz w:val="18"/>
          <w:szCs w:val="18"/>
          <w:u w:val="single" w:color="auto"/>
          <w:color w:val="auto"/>
        </w:rPr>
        <w:t>Section 1(a).</w:t>
      </w:r>
    </w:p>
    <w:p>
      <w:pPr>
        <w:spacing w:after="0" w:line="136" w:lineRule="exact"/>
        <w:rPr>
          <w:rFonts w:ascii="Arial" w:cs="Arial" w:eastAsia="Arial" w:hAnsi="Arial"/>
          <w:sz w:val="18"/>
          <w:szCs w:val="18"/>
          <w:color w:val="auto"/>
        </w:rPr>
      </w:pPr>
    </w:p>
    <w:p>
      <w:pPr>
        <w:ind w:right="60" w:firstLine="332"/>
        <w:spacing w:after="0" w:line="287" w:lineRule="auto"/>
        <w:tabs>
          <w:tab w:leader="none" w:pos="645" w:val="left"/>
        </w:tabs>
        <w:numPr>
          <w:ilvl w:val="1"/>
          <w:numId w:val="581"/>
        </w:numPr>
        <w:rPr>
          <w:rFonts w:ascii="Arial" w:cs="Arial" w:eastAsia="Arial" w:hAnsi="Arial"/>
          <w:sz w:val="16"/>
          <w:szCs w:val="16"/>
          <w:color w:val="auto"/>
        </w:rPr>
      </w:pPr>
      <w:r>
        <w:rPr>
          <w:rFonts w:ascii="Arial" w:cs="Arial" w:eastAsia="Arial" w:hAnsi="Arial"/>
          <w:sz w:val="16"/>
          <w:szCs w:val="16"/>
          <w:color w:val="auto"/>
        </w:rPr>
        <w:t xml:space="preserve">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and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The proxyholder may not exercise the proxy granted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on any matter except for those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w:t>
      </w:r>
    </w:p>
    <w:p>
      <w:pPr>
        <w:spacing w:after="0" w:line="118" w:lineRule="exact"/>
        <w:rPr>
          <w:sz w:val="20"/>
          <w:szCs w:val="20"/>
          <w:color w:val="auto"/>
        </w:rPr>
      </w:pPr>
    </w:p>
    <w:p>
      <w:pPr>
        <w:ind w:left="660" w:hanging="328"/>
        <w:spacing w:after="0"/>
        <w:tabs>
          <w:tab w:leader="none" w:pos="660" w:val="left"/>
        </w:tabs>
        <w:numPr>
          <w:ilvl w:val="0"/>
          <w:numId w:val="582"/>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71" w:lineRule="exact"/>
        <w:rPr>
          <w:sz w:val="20"/>
          <w:szCs w:val="20"/>
          <w:color w:val="auto"/>
        </w:rPr>
      </w:pPr>
    </w:p>
    <w:p>
      <w:pPr>
        <w:ind w:firstLine="332"/>
        <w:spacing w:after="0" w:line="275" w:lineRule="auto"/>
        <w:tabs>
          <w:tab w:leader="none" w:pos="645"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spacing w:after="0" w:line="122" w:lineRule="exact"/>
        <w:rPr>
          <w:rFonts w:ascii="Arial" w:cs="Arial" w:eastAsia="Arial" w:hAnsi="Arial"/>
          <w:sz w:val="17"/>
          <w:szCs w:val="17"/>
          <w:color w:val="auto"/>
        </w:rPr>
      </w:pPr>
    </w:p>
    <w:p>
      <w:pPr>
        <w:ind w:right="100" w:firstLine="332"/>
        <w:spacing w:after="0" w:line="255" w:lineRule="auto"/>
        <w:tabs>
          <w:tab w:leader="none" w:pos="64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5" w:name="page606"/>
    <w:bookmarkEnd w:id="605"/>
    <w:p>
      <w:pPr>
        <w:spacing w:after="0" w:line="143" w:lineRule="exact"/>
        <w:rPr>
          <w:sz w:val="20"/>
          <w:szCs w:val="20"/>
          <w:color w:val="auto"/>
        </w:rPr>
      </w:pPr>
    </w:p>
    <w:p>
      <w:pPr>
        <w:ind w:left="652" w:hanging="328"/>
        <w:spacing w:after="0"/>
        <w:tabs>
          <w:tab w:leader="none" w:pos="652"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Shareholder Representations and Warranties</w:t>
      </w:r>
      <w:r>
        <w:rPr>
          <w:rFonts w:ascii="Arial" w:cs="Arial" w:eastAsia="Arial" w:hAnsi="Arial"/>
          <w:sz w:val="18"/>
          <w:szCs w:val="18"/>
          <w:color w:val="auto"/>
        </w:rPr>
        <w:t>. The Shareholder represents and warrants to ARYA as follows:</w:t>
      </w:r>
    </w:p>
    <w:p>
      <w:pPr>
        <w:spacing w:after="0" w:line="171" w:lineRule="exact"/>
        <w:rPr>
          <w:sz w:val="20"/>
          <w:szCs w:val="20"/>
          <w:color w:val="auto"/>
        </w:rPr>
      </w:pPr>
    </w:p>
    <w:p>
      <w:pPr>
        <w:ind w:left="-8" w:right="340" w:firstLine="332"/>
        <w:spacing w:after="0" w:line="311" w:lineRule="auto"/>
        <w:tabs>
          <w:tab w:leader="none" w:pos="637" w:val="left"/>
        </w:tabs>
        <w:numPr>
          <w:ilvl w:val="1"/>
          <w:numId w:val="585"/>
        </w:numPr>
        <w:rPr>
          <w:rFonts w:ascii="Arial" w:cs="Arial" w:eastAsia="Arial" w:hAnsi="Arial"/>
          <w:sz w:val="16"/>
          <w:szCs w:val="16"/>
          <w:color w:val="auto"/>
        </w:rPr>
      </w:pPr>
      <w:r>
        <w:rPr>
          <w:rFonts w:ascii="Arial" w:cs="Arial" w:eastAsia="Arial" w:hAnsi="Arial"/>
          <w:sz w:val="16"/>
          <w:szCs w:val="16"/>
          <w:color w:val="auto"/>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94" w:lineRule="exact"/>
        <w:rPr>
          <w:rFonts w:ascii="Arial" w:cs="Arial" w:eastAsia="Arial" w:hAnsi="Arial"/>
          <w:sz w:val="16"/>
          <w:szCs w:val="16"/>
          <w:color w:val="auto"/>
        </w:rPr>
      </w:pPr>
    </w:p>
    <w:p>
      <w:pPr>
        <w:ind w:left="-8" w:right="20" w:firstLine="332"/>
        <w:spacing w:after="0" w:line="271" w:lineRule="auto"/>
        <w:tabs>
          <w:tab w:leader="none" w:pos="634" w:val="left"/>
        </w:tabs>
        <w:numPr>
          <w:ilvl w:val="1"/>
          <w:numId w:val="585"/>
        </w:numPr>
        <w:rPr>
          <w:rFonts w:ascii="Arial" w:cs="Arial" w:eastAsia="Arial" w:hAnsi="Arial"/>
          <w:sz w:val="17"/>
          <w:szCs w:val="17"/>
          <w:color w:val="auto"/>
        </w:rPr>
      </w:pPr>
      <w:r>
        <w:rPr>
          <w:rFonts w:ascii="Arial" w:cs="Arial" w:eastAsia="Arial" w:hAnsi="Arial"/>
          <w:sz w:val="17"/>
          <w:szCs w:val="17"/>
          <w:color w:val="auto"/>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Arial" w:cs="Arial" w:eastAsia="Arial" w:hAnsi="Arial"/>
          <w:sz w:val="17"/>
          <w:szCs w:val="17"/>
          <w:color w:val="auto"/>
        </w:rPr>
      </w:pPr>
    </w:p>
    <w:p>
      <w:pPr>
        <w:ind w:left="-8" w:right="280" w:firstLine="332"/>
        <w:spacing w:after="0" w:line="273" w:lineRule="auto"/>
        <w:tabs>
          <w:tab w:leader="none" w:pos="637" w:val="left"/>
        </w:tabs>
        <w:numPr>
          <w:ilvl w:val="1"/>
          <w:numId w:val="585"/>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ind w:left="-8" w:right="80" w:firstLine="332"/>
        <w:spacing w:after="0" w:line="269" w:lineRule="auto"/>
        <w:tabs>
          <w:tab w:leader="none" w:pos="634" w:val="left"/>
        </w:tabs>
        <w:numPr>
          <w:ilvl w:val="1"/>
          <w:numId w:val="585"/>
        </w:numPr>
        <w:rPr>
          <w:rFonts w:ascii="Arial" w:cs="Arial" w:eastAsia="Arial" w:hAnsi="Arial"/>
          <w:sz w:val="17"/>
          <w:szCs w:val="17"/>
          <w:color w:val="auto"/>
        </w:rPr>
      </w:pPr>
      <w:r>
        <w:rPr>
          <w:rFonts w:ascii="Arial" w:cs="Arial" w:eastAsia="Arial" w:hAnsi="Arial"/>
          <w:sz w:val="17"/>
          <w:szCs w:val="17"/>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as would not adversely affect the ability of the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ind w:left="-8" w:firstLine="332"/>
        <w:spacing w:after="0" w:line="283" w:lineRule="auto"/>
        <w:tabs>
          <w:tab w:leader="none" w:pos="637" w:val="left"/>
        </w:tabs>
        <w:numPr>
          <w:ilvl w:val="1"/>
          <w:numId w:val="585"/>
        </w:numPr>
        <w:rPr>
          <w:rFonts w:ascii="Arial" w:cs="Arial" w:eastAsia="Arial" w:hAnsi="Arial"/>
          <w:sz w:val="16"/>
          <w:szCs w:val="16"/>
          <w:color w:val="auto"/>
        </w:rPr>
      </w:pPr>
      <w:r>
        <w:rPr>
          <w:rFonts w:ascii="Arial" w:cs="Arial" w:eastAsia="Arial" w:hAnsi="Arial"/>
          <w:sz w:val="16"/>
          <w:szCs w:val="16"/>
          <w:color w:val="auto"/>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together with any other Equity Securities of the Company that the Shareholder acquires record or beneficial ownership after the date hereof that is either permitted pursuant to or acquired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w:t>
      </w:r>
    </w:p>
    <w:p>
      <w:pPr>
        <w:spacing w:after="0" w:line="5" w:lineRule="exact"/>
        <w:rPr>
          <w:rFonts w:ascii="Arial" w:cs="Arial" w:eastAsia="Arial" w:hAnsi="Arial"/>
          <w:sz w:val="16"/>
          <w:szCs w:val="16"/>
          <w:color w:val="auto"/>
        </w:rPr>
      </w:pPr>
    </w:p>
    <w:p>
      <w:pPr>
        <w:ind w:left="212" w:hanging="212"/>
        <w:spacing w:after="0"/>
        <w:tabs>
          <w:tab w:leader="none" w:pos="21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any option, warrant, purchase right, or other Contract that could (either alone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06" w:name="page607"/>
    <w:bookmarkEnd w:id="606"/>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w:t>
      </w:r>
    </w:p>
    <w:p>
      <w:pPr>
        <w:spacing w:after="0" w:line="133" w:lineRule="exact"/>
        <w:rPr>
          <w:sz w:val="20"/>
          <w:szCs w:val="20"/>
          <w:color w:val="auto"/>
        </w:rPr>
      </w:pPr>
    </w:p>
    <w:p>
      <w:pPr>
        <w:jc w:val="both"/>
        <w:ind w:right="40" w:firstLine="332"/>
        <w:spacing w:after="0" w:line="286" w:lineRule="auto"/>
        <w:tabs>
          <w:tab w:leader="none" w:pos="639" w:val="left"/>
        </w:tabs>
        <w:numPr>
          <w:ilvl w:val="1"/>
          <w:numId w:val="587"/>
        </w:numPr>
        <w:rPr>
          <w:rFonts w:ascii="Arial" w:cs="Arial" w:eastAsia="Arial" w:hAnsi="Arial"/>
          <w:sz w:val="17"/>
          <w:szCs w:val="17"/>
          <w:color w:val="auto"/>
        </w:rPr>
      </w:pPr>
      <w:r>
        <w:rPr>
          <w:rFonts w:ascii="Arial" w:cs="Arial" w:eastAsia="Arial" w:hAnsi="Arial"/>
          <w:sz w:val="17"/>
          <w:szCs w:val="17"/>
          <w:color w:val="auto"/>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left="640" w:hanging="308"/>
        <w:spacing w:after="0"/>
        <w:tabs>
          <w:tab w:leader="none" w:pos="640" w:val="left"/>
        </w:tabs>
        <w:numPr>
          <w:ilvl w:val="1"/>
          <w:numId w:val="587"/>
        </w:numPr>
        <w:rPr>
          <w:rFonts w:ascii="Arial" w:cs="Arial" w:eastAsia="Arial" w:hAnsi="Arial"/>
          <w:sz w:val="16"/>
          <w:szCs w:val="16"/>
          <w:color w:val="auto"/>
        </w:rPr>
      </w:pPr>
      <w:r>
        <w:rPr>
          <w:rFonts w:ascii="Arial" w:cs="Arial" w:eastAsia="Arial" w:hAnsi="Arial"/>
          <w:sz w:val="16"/>
          <w:szCs w:val="16"/>
          <w:color w:val="auto"/>
        </w:rPr>
        <w:t>The Shareholder, on his, her or its own behalf and on behalf of his, her or its Representatives, acknowledges, represents, warrants and agrees that</w:t>
      </w:r>
    </w:p>
    <w:p>
      <w:pPr>
        <w:spacing w:after="0" w:line="46" w:lineRule="exact"/>
        <w:rPr>
          <w:rFonts w:ascii="Arial" w:cs="Arial" w:eastAsia="Arial" w:hAnsi="Arial"/>
          <w:sz w:val="16"/>
          <w:szCs w:val="16"/>
          <w:color w:val="auto"/>
        </w:rPr>
      </w:pPr>
    </w:p>
    <w:p>
      <w:pPr>
        <w:ind w:right="20" w:firstLine="8"/>
        <w:spacing w:after="0" w:line="290" w:lineRule="auto"/>
        <w:tabs>
          <w:tab w:leader="none" w:pos="215" w:val="left"/>
        </w:tabs>
        <w:numPr>
          <w:ilvl w:val="0"/>
          <w:numId w:val="588"/>
        </w:numPr>
        <w:rPr>
          <w:rFonts w:ascii="Arial" w:cs="Arial" w:eastAsia="Arial" w:hAnsi="Arial"/>
          <w:sz w:val="16"/>
          <w:szCs w:val="16"/>
          <w:color w:val="auto"/>
        </w:rPr>
      </w:pPr>
      <w:r>
        <w:rPr>
          <w:rFonts w:ascii="Arial" w:cs="Arial" w:eastAsia="Arial" w:hAnsi="Arial"/>
          <w:sz w:val="16"/>
          <w:szCs w:val="16"/>
          <w:color w:val="auto"/>
        </w:rPr>
        <w:t>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09" w:lineRule="exact"/>
        <w:rPr>
          <w:rFonts w:ascii="Arial" w:cs="Arial" w:eastAsia="Arial" w:hAnsi="Arial"/>
          <w:sz w:val="16"/>
          <w:szCs w:val="16"/>
          <w:color w:val="auto"/>
        </w:rPr>
      </w:pPr>
    </w:p>
    <w:p>
      <w:pPr>
        <w:ind w:right="60" w:firstLine="332"/>
        <w:spacing w:after="0" w:line="290" w:lineRule="auto"/>
        <w:tabs>
          <w:tab w:leader="none" w:pos="642" w:val="left"/>
        </w:tabs>
        <w:numPr>
          <w:ilvl w:val="1"/>
          <w:numId w:val="588"/>
        </w:numPr>
        <w:rPr>
          <w:rFonts w:ascii="Arial" w:cs="Arial" w:eastAsia="Arial" w:hAnsi="Arial"/>
          <w:sz w:val="16"/>
          <w:szCs w:val="16"/>
          <w:color w:val="auto"/>
        </w:rPr>
      </w:pPr>
      <w:r>
        <w:rPr>
          <w:rFonts w:ascii="Arial" w:cs="Arial" w:eastAsia="Arial" w:hAnsi="Arial"/>
          <w:sz w:val="16"/>
          <w:szCs w:val="16"/>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11" w:lineRule="exact"/>
        <w:rPr>
          <w:sz w:val="20"/>
          <w:szCs w:val="20"/>
          <w:color w:val="auto"/>
        </w:rPr>
      </w:pPr>
    </w:p>
    <w:p>
      <w:pPr>
        <w:ind w:firstLine="332"/>
        <w:spacing w:after="0" w:line="286" w:lineRule="auto"/>
        <w:tabs>
          <w:tab w:leader="none" w:pos="648" w:val="left"/>
        </w:tabs>
        <w:numPr>
          <w:ilvl w:val="0"/>
          <w:numId w:val="589"/>
        </w:numPr>
        <w:rPr>
          <w:rFonts w:ascii="Arial" w:cs="Arial" w:eastAsia="Arial" w:hAnsi="Arial"/>
          <w:sz w:val="16"/>
          <w:szCs w:val="16"/>
          <w:color w:val="auto"/>
        </w:rPr>
      </w:pPr>
      <w:r>
        <w:rPr>
          <w:rFonts w:ascii="Arial" w:cs="Arial" w:eastAsia="Arial" w:hAnsi="Arial"/>
          <w:sz w:val="16"/>
          <w:szCs w:val="16"/>
          <w:u w:val="single" w:color="auto"/>
          <w:color w:val="auto"/>
        </w:rPr>
        <w:t>Transfer of Subject Company Shares</w:t>
      </w:r>
      <w:r>
        <w:rPr>
          <w:rFonts w:ascii="Arial" w:cs="Arial" w:eastAsia="Arial" w:hAnsi="Arial"/>
          <w:sz w:val="16"/>
          <w:szCs w:val="16"/>
          <w:color w:val="auto"/>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such transferee and his, her or its Subject Company Shares received upon such Transfer, as applicable) prior and as a condition to the occurrence of such Transfer. For purposes of this Agreement, “</w:t>
      </w:r>
      <w:r>
        <w:rPr>
          <w:rFonts w:ascii="Arial" w:cs="Arial" w:eastAsia="Arial" w:hAnsi="Arial"/>
          <w:sz w:val="16"/>
          <w:szCs w:val="16"/>
          <w:u w:val="single" w:color="auto"/>
          <w:color w:val="auto"/>
        </w:rPr>
        <w:t>Transfer</w:t>
      </w:r>
      <w:r>
        <w:rPr>
          <w:rFonts w:ascii="Arial" w:cs="Arial" w:eastAsia="Arial" w:hAnsi="Arial"/>
          <w:sz w:val="16"/>
          <w:szCs w:val="16"/>
          <w:color w:val="auto"/>
        </w:rPr>
        <w:t>” means any, direct or indirect, sale, transfer, assignment, pledge, mortgage, exchange, hypothecation,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7" w:name="page608"/>
    <w:bookmarkEnd w:id="607"/>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grant of a security interest or encumbrance in or disposition of an interest (whether with or without consideration, whether voluntarily or involuntarily or by operation of law or otherwise).</w:t>
      </w:r>
    </w:p>
    <w:p>
      <w:pPr>
        <w:spacing w:after="0" w:line="116" w:lineRule="exact"/>
        <w:rPr>
          <w:sz w:val="20"/>
          <w:szCs w:val="20"/>
          <w:color w:val="auto"/>
        </w:rPr>
      </w:pPr>
    </w:p>
    <w:p>
      <w:pPr>
        <w:ind w:right="40" w:firstLine="332"/>
        <w:spacing w:after="0" w:line="284" w:lineRule="auto"/>
        <w:tabs>
          <w:tab w:leader="none" w:pos="648" w:val="left"/>
        </w:tabs>
        <w:numPr>
          <w:ilvl w:val="1"/>
          <w:numId w:val="59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(including the proxy granted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or Fraud, (ii)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3(g)</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right="60" w:firstLine="8"/>
        <w:spacing w:after="0" w:line="284" w:lineRule="auto"/>
        <w:tabs>
          <w:tab w:leader="none" w:pos="255" w:val="left"/>
        </w:tabs>
        <w:numPr>
          <w:ilvl w:val="0"/>
          <w:numId w:val="591"/>
        </w:numPr>
        <w:rPr>
          <w:rFonts w:ascii="Arial" w:cs="Arial" w:eastAsia="Arial" w:hAnsi="Arial"/>
          <w:sz w:val="16"/>
          <w:szCs w:val="16"/>
          <w:u w:val="single" w:color="auto"/>
          <w:color w:val="auto"/>
        </w:rPr>
      </w:pPr>
      <w:r>
        <w:rPr>
          <w:rFonts w:ascii="Arial" w:cs="Arial" w:eastAsia="Arial" w:hAnsi="Arial"/>
          <w:sz w:val="16"/>
          <w:szCs w:val="16"/>
          <w:color w:val="auto"/>
        </w:rPr>
        <w:t xml:space="preserve">shall each survive the termination of this Agreement, (iii)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(Public Announcements) of the Business Combination Agreement) and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(iv) </w:t>
      </w:r>
      <w:r>
        <w:rPr>
          <w:rFonts w:ascii="Arial" w:cs="Arial" w:eastAsia="Arial" w:hAnsi="Arial"/>
          <w:sz w:val="16"/>
          <w:szCs w:val="16"/>
          <w:u w:val="single" w:color="auto"/>
          <w:color w:val="auto"/>
        </w:rPr>
        <w:t>Section 2(a)(i)(B)</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(Trust Account Waiver) of the Business Combination Agreement) shall survive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(A)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(B) </w:t>
      </w:r>
      <w:r>
        <w:rPr>
          <w:rFonts w:ascii="Arial" w:cs="Arial" w:eastAsia="Arial" w:hAnsi="Arial"/>
          <w:sz w:val="16"/>
          <w:szCs w:val="16"/>
          <w:u w:val="single" w:color="auto"/>
          <w:color w:val="auto"/>
        </w:rPr>
        <w:t>Sections 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17</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(to the extent related to any of the provisions that survive the termination of this Agreement) shall survive any termination of this Agreement. . For purposes of this Agreement,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23" w:lineRule="exact"/>
        <w:rPr>
          <w:rFonts w:ascii="Arial" w:cs="Arial" w:eastAsia="Arial" w:hAnsi="Arial"/>
          <w:sz w:val="16"/>
          <w:szCs w:val="16"/>
          <w:u w:val="single" w:color="auto"/>
          <w:color w:val="auto"/>
        </w:rPr>
      </w:pPr>
    </w:p>
    <w:p>
      <w:pPr>
        <w:ind w:firstLine="332"/>
        <w:spacing w:after="0" w:line="273" w:lineRule="auto"/>
        <w:tabs>
          <w:tab w:leader="none" w:pos="648" w:val="left"/>
        </w:tabs>
        <w:numPr>
          <w:ilvl w:val="1"/>
          <w:numId w:val="591"/>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w:t>
      </w:r>
    </w:p>
    <w:p>
      <w:pPr>
        <w:spacing w:after="0" w:line="123" w:lineRule="exact"/>
        <w:rPr>
          <w:rFonts w:ascii="Arial" w:cs="Arial" w:eastAsia="Arial" w:hAnsi="Arial"/>
          <w:sz w:val="17"/>
          <w:szCs w:val="17"/>
          <w:color w:val="auto"/>
        </w:rPr>
      </w:pPr>
    </w:p>
    <w:p>
      <w:pPr>
        <w:ind w:right="40" w:firstLine="332"/>
        <w:spacing w:after="0" w:line="289" w:lineRule="auto"/>
        <w:tabs>
          <w:tab w:leader="none" w:pos="648" w:val="left"/>
        </w:tabs>
        <w:numPr>
          <w:ilvl w:val="1"/>
          <w:numId w:val="591"/>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8" w:name="page609"/>
    <w:bookmarkEnd w:id="608"/>
    <w:p>
      <w:pPr>
        <w:spacing w:after="0" w:line="14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w:t>
      </w:r>
    </w:p>
    <w:p>
      <w:pPr>
        <w:spacing w:after="0" w:line="70" w:lineRule="exact"/>
        <w:rPr>
          <w:sz w:val="20"/>
          <w:szCs w:val="20"/>
          <w:color w:val="auto"/>
        </w:rPr>
      </w:pPr>
    </w:p>
    <w:p>
      <w:pPr>
        <w:ind w:firstLine="332"/>
        <w:spacing w:after="0" w:line="301" w:lineRule="auto"/>
        <w:tabs>
          <w:tab w:leader="none" w:pos="648" w:val="left"/>
        </w:tabs>
        <w:numPr>
          <w:ilvl w:val="0"/>
          <w:numId w:val="59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ARYA,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konstantin@perceptivelife.com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2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ryan.brissette@kirkland.com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Shareholder, to the address and email set forth on the signature pages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rkornegay@wsgr.com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bkeyes@wsgr.com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194" w:lineRule="exact"/>
        <w:rPr>
          <w:sz w:val="20"/>
          <w:szCs w:val="20"/>
          <w:color w:val="auto"/>
        </w:rPr>
      </w:pPr>
    </w:p>
    <w:p>
      <w:pPr>
        <w:ind w:right="420" w:firstLine="332"/>
        <w:spacing w:after="0" w:line="277" w:lineRule="auto"/>
        <w:tabs>
          <w:tab w:leader="none" w:pos="648"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Business Combination Agreement and documents referred to herein and therein constitutes the entire agreement of the Parties with respect to the subject matter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Agreement, and supersedes all prior agreements and undertakings, both written and oral, among the Parties with respect to the subject matter of this Agreement, except as otherwise expressly provided in this Agreement.</w:t>
      </w:r>
    </w:p>
    <w:p>
      <w:pPr>
        <w:spacing w:after="0" w:line="116" w:lineRule="exact"/>
        <w:rPr>
          <w:sz w:val="20"/>
          <w:szCs w:val="20"/>
          <w:color w:val="auto"/>
        </w:rPr>
      </w:pPr>
    </w:p>
    <w:p>
      <w:pPr>
        <w:ind w:firstLine="332"/>
        <w:spacing w:after="0" w:line="273" w:lineRule="auto"/>
        <w:tabs>
          <w:tab w:leader="none" w:pos="643"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Amendments and Waivers; Assignment</w:t>
      </w:r>
      <w:r>
        <w:rPr>
          <w:rFonts w:ascii="Arial" w:cs="Arial" w:eastAsia="Arial" w:hAnsi="Arial"/>
          <w:sz w:val="17"/>
          <w:szCs w:val="17"/>
          <w:color w:val="auto"/>
        </w:rPr>
        <w:t xml:space="preserve"> 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void.</w:t>
      </w:r>
    </w:p>
    <w:p>
      <w:pPr>
        <w:spacing w:after="0" w:line="123" w:lineRule="exact"/>
        <w:rPr>
          <w:rFonts w:ascii="Arial" w:cs="Arial" w:eastAsia="Arial" w:hAnsi="Arial"/>
          <w:sz w:val="17"/>
          <w:szCs w:val="17"/>
          <w:color w:val="auto"/>
        </w:rPr>
      </w:pPr>
    </w:p>
    <w:p>
      <w:pPr>
        <w:ind w:firstLine="332"/>
        <w:spacing w:after="0" w:line="263" w:lineRule="auto"/>
        <w:tabs>
          <w:tab w:leader="none" w:pos="637"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29" w:lineRule="exact"/>
        <w:rPr>
          <w:rFonts w:ascii="Arial" w:cs="Arial" w:eastAsia="Arial" w:hAnsi="Arial"/>
          <w:sz w:val="18"/>
          <w:szCs w:val="18"/>
          <w:color w:val="auto"/>
        </w:rPr>
      </w:pPr>
    </w:p>
    <w:p>
      <w:pPr>
        <w:ind w:right="40" w:firstLine="332"/>
        <w:spacing w:after="0" w:line="269" w:lineRule="auto"/>
        <w:tabs>
          <w:tab w:leader="none" w:pos="643"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ind w:right="200" w:firstLine="332"/>
        <w:spacing w:after="0" w:line="259" w:lineRule="auto"/>
        <w:tabs>
          <w:tab w:leader="none" w:pos="643"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spacing w:after="0" w:line="132" w:lineRule="exact"/>
        <w:rPr>
          <w:rFonts w:ascii="Arial" w:cs="Arial" w:eastAsia="Arial" w:hAnsi="Arial"/>
          <w:sz w:val="18"/>
          <w:szCs w:val="18"/>
          <w:color w:val="auto"/>
        </w:rPr>
      </w:pPr>
    </w:p>
    <w:p>
      <w:pPr>
        <w:ind w:right="100" w:firstLine="332"/>
        <w:spacing w:after="0" w:line="291" w:lineRule="auto"/>
        <w:tabs>
          <w:tab w:leader="none" w:pos="643" w:val="left"/>
        </w:tabs>
        <w:numPr>
          <w:ilvl w:val="0"/>
          <w:numId w:val="594"/>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12" w:lineRule="exact"/>
        <w:rPr>
          <w:rFonts w:ascii="Arial" w:cs="Arial" w:eastAsia="Arial" w:hAnsi="Arial"/>
          <w:sz w:val="16"/>
          <w:szCs w:val="16"/>
          <w:color w:val="auto"/>
        </w:rPr>
      </w:pPr>
    </w:p>
    <w:p>
      <w:pPr>
        <w:ind w:right="40" w:firstLine="332"/>
        <w:spacing w:after="0" w:line="255" w:lineRule="auto"/>
        <w:tabs>
          <w:tab w:leader="none" w:pos="643"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otherwise and (d) the Shareholder acknowledges that he, she or it has had the opportunity to consult with its, his or her own counsel.</w:t>
      </w:r>
    </w:p>
    <w:p>
      <w:pPr>
        <w:spacing w:after="0" w:line="171" w:lineRule="exact"/>
        <w:rPr>
          <w:sz w:val="20"/>
          <w:szCs w:val="20"/>
          <w:color w:val="auto"/>
        </w:rPr>
      </w:pPr>
    </w:p>
    <w:p>
      <w:pPr>
        <w:ind w:right="640" w:firstLine="332"/>
        <w:spacing w:after="0" w:line="259" w:lineRule="auto"/>
        <w:tabs>
          <w:tab w:leader="none" w:pos="643" w:val="left"/>
        </w:tabs>
        <w:numPr>
          <w:ilvl w:val="1"/>
          <w:numId w:val="595"/>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ind w:right="80" w:firstLine="332"/>
        <w:spacing w:after="0" w:line="263" w:lineRule="auto"/>
        <w:tabs>
          <w:tab w:leader="none" w:pos="643" w:val="left"/>
        </w:tabs>
        <w:numPr>
          <w:ilvl w:val="1"/>
          <w:numId w:val="59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ind w:firstLine="332"/>
        <w:spacing w:after="0" w:line="268" w:lineRule="auto"/>
        <w:tabs>
          <w:tab w:leader="none" w:pos="643" w:val="left"/>
        </w:tabs>
        <w:numPr>
          <w:ilvl w:val="1"/>
          <w:numId w:val="595"/>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25" w:lineRule="exact"/>
        <w:rPr>
          <w:rFonts w:ascii="Arial" w:cs="Arial" w:eastAsia="Arial" w:hAnsi="Arial"/>
          <w:sz w:val="17"/>
          <w:szCs w:val="17"/>
          <w:color w:val="auto"/>
        </w:rPr>
      </w:pPr>
    </w:p>
    <w:p>
      <w:pPr>
        <w:ind w:right="80" w:firstLine="332"/>
        <w:spacing w:after="0" w:line="254" w:lineRule="auto"/>
        <w:tabs>
          <w:tab w:leader="none" w:pos="643" w:val="left"/>
        </w:tabs>
        <w:numPr>
          <w:ilvl w:val="1"/>
          <w:numId w:val="59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ind w:right="20" w:firstLine="332"/>
        <w:spacing w:after="0" w:line="263" w:lineRule="auto"/>
        <w:tabs>
          <w:tab w:leader="none" w:pos="643" w:val="left"/>
        </w:tabs>
        <w:numPr>
          <w:ilvl w:val="1"/>
          <w:numId w:val="595"/>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ind w:right="160" w:firstLine="332"/>
        <w:spacing w:after="0" w:line="274" w:lineRule="auto"/>
        <w:tabs>
          <w:tab w:leader="none" w:pos="643" w:val="left"/>
        </w:tabs>
        <w:numPr>
          <w:ilvl w:val="1"/>
          <w:numId w:val="595"/>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PARTIES EACH HEREBY WAIVES, TO THE FULLEST EXTENT PERMITTED BY LAW, ANY RIGHT TO TRIAL BY JURY OF ANY PROCEEDING, CLAIM, DEMAND, ACTION, OR CAUSE OF ACTION (I) ARISING UNDER THIS AGREEMENT OR</w:t>
      </w:r>
    </w:p>
    <w:p>
      <w:pPr>
        <w:ind w:left="300" w:hanging="292"/>
        <w:spacing w:after="0"/>
        <w:tabs>
          <w:tab w:leader="none" w:pos="3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 ANY WAY CONNECTED WITH OR RELATED OR INCIDENTAL TO THE DEALINGS OF THE PARTIES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1" w:name="page612"/>
    <w:bookmarkEnd w:id="611"/>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spacing w:after="0" w:line="146" w:lineRule="exact"/>
        <w:rPr>
          <w:sz w:val="20"/>
          <w:szCs w:val="20"/>
          <w:color w:val="auto"/>
        </w:rPr>
      </w:pPr>
    </w:p>
    <w:p>
      <w:pPr>
        <w:ind w:right="40" w:firstLine="332"/>
        <w:spacing w:after="0" w:line="285" w:lineRule="auto"/>
        <w:tabs>
          <w:tab w:leader="none" w:pos="643" w:val="left"/>
        </w:tabs>
        <w:numPr>
          <w:ilvl w:val="0"/>
          <w:numId w:val="597"/>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Section 22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3156585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2" w:name="page613"/>
    <w:bookmarkEnd w:id="612"/>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00"/>
          </w:cols>
          <w:pgMar w:left="660" w:top="144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187960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60" w:top="1440" w:right="1339" w:bottom="1440" w:gutter="0" w:footer="0" w:header="0"/>
          <w:type w:val="continuous"/>
        </w:sectPr>
      </w:pPr>
    </w:p>
    <w:bookmarkStart w:id="613" w:name="page614"/>
    <w:bookmarkEnd w:id="61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[SHAREHOLDER]</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187960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660" w:top="1440" w:right="1339" w:bottom="1440" w:gutter="0" w:footer="0" w:header="0"/>
          <w:type w:val="continuous"/>
        </w:sectPr>
      </w:pPr>
    </w:p>
    <w:bookmarkStart w:id="614" w:name="page615"/>
    <w:bookmarkEnd w:id="614"/>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96" w:lineRule="exact"/>
        <w:rPr>
          <w:sz w:val="20"/>
          <w:szCs w:val="20"/>
          <w:color w:val="auto"/>
        </w:rPr>
      </w:pPr>
    </w:p>
    <w:tbl>
      <w:tblPr>
        <w:tblLayout w:type="fixed"/>
        <w:tblInd w:w="6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Class/Series Securities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Company Preferred Seed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A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B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Common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173355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5" w:name="page616"/>
    <w:bookmarkEnd w:id="615"/>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71" w:lineRule="exact"/>
        <w:rPr>
          <w:sz w:val="20"/>
          <w:szCs w:val="20"/>
          <w:color w:val="auto"/>
        </w:rPr>
      </w:pPr>
    </w:p>
    <w:p>
      <w:pPr>
        <w:ind w:left="660" w:hanging="328"/>
        <w:spacing w:after="0"/>
        <w:tabs>
          <w:tab w:leader="none" w:pos="660" w:val="left"/>
        </w:tabs>
        <w:numPr>
          <w:ilvl w:val="0"/>
          <w:numId w:val="598"/>
        </w:numPr>
        <w:rPr>
          <w:rFonts w:ascii="Arial" w:cs="Arial" w:eastAsia="Arial" w:hAnsi="Arial"/>
          <w:sz w:val="18"/>
          <w:szCs w:val="18"/>
          <w:color w:val="auto"/>
        </w:rPr>
      </w:pPr>
      <w:r>
        <w:rPr>
          <w:rFonts w:ascii="Arial" w:cs="Arial" w:eastAsia="Arial" w:hAnsi="Arial"/>
          <w:sz w:val="18"/>
          <w:szCs w:val="18"/>
          <w:b w:val="1"/>
          <w:bCs w:val="1"/>
          <w:color w:val="auto"/>
        </w:rPr>
        <w:t>Purposes of the Plan</w:t>
      </w:r>
      <w:r>
        <w:rPr>
          <w:rFonts w:ascii="Arial" w:cs="Arial" w:eastAsia="Arial" w:hAnsi="Arial"/>
          <w:sz w:val="18"/>
          <w:szCs w:val="18"/>
          <w:color w:val="auto"/>
        </w:rPr>
        <w:t>. The purposes of this Plan are:</w:t>
      </w:r>
    </w:p>
    <w:p>
      <w:pPr>
        <w:spacing w:after="0" w:line="175" w:lineRule="exact"/>
        <w:rPr>
          <w:rFonts w:ascii="Arial" w:cs="Arial" w:eastAsia="Arial" w:hAnsi="Arial"/>
          <w:sz w:val="18"/>
          <w:szCs w:val="18"/>
          <w:color w:val="auto"/>
        </w:rPr>
      </w:pPr>
    </w:p>
    <w:p>
      <w:pPr>
        <w:ind w:left="1300" w:hanging="320"/>
        <w:spacing w:after="0"/>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598"/>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and Performance Awards.</w:t>
      </w:r>
    </w:p>
    <w:p>
      <w:pPr>
        <w:spacing w:after="0" w:line="112" w:lineRule="exact"/>
        <w:rPr>
          <w:sz w:val="20"/>
          <w:szCs w:val="20"/>
          <w:color w:val="auto"/>
        </w:rPr>
      </w:pPr>
    </w:p>
    <w:p>
      <w:pPr>
        <w:ind w:left="660" w:hanging="328"/>
        <w:spacing w:after="0"/>
        <w:tabs>
          <w:tab w:leader="none" w:pos="660"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definitions will apply:</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Performance Awards.</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jc w:val="both"/>
        <w:ind w:firstLine="1385"/>
        <w:spacing w:after="0" w:line="269" w:lineRule="auto"/>
        <w:tabs>
          <w:tab w:leader="none" w:pos="1941" w:val="left"/>
        </w:tabs>
        <w:numPr>
          <w:ilvl w:val="0"/>
          <w:numId w:val="600"/>
        </w:numPr>
        <w:rPr>
          <w:rFonts w:ascii="Arial" w:cs="Arial" w:eastAsia="Arial" w:hAnsi="Arial"/>
          <w:sz w:val="17"/>
          <w:szCs w:val="17"/>
          <w:color w:val="auto"/>
        </w:rPr>
      </w:pPr>
      <w:r>
        <w:rPr>
          <w:rFonts w:ascii="Arial" w:cs="Arial" w:eastAsia="Arial" w:hAnsi="Arial"/>
          <w:sz w:val="17"/>
          <w:szCs w:val="17"/>
          <w:b w:val="1"/>
          <w:bCs w:val="1"/>
          <w:color w:val="auto"/>
        </w:rPr>
        <w:t>Change in Ownership of the Company</w:t>
      </w:r>
      <w:r>
        <w:rPr>
          <w:rFonts w:ascii="Arial" w:cs="Arial" w:eastAsia="Arial" w:hAnsi="Arial"/>
          <w:sz w:val="17"/>
          <w:szCs w:val="17"/>
          <w:color w:val="auto"/>
        </w:rPr>
        <w:t>. A change in the ownership of the Company which occurs on the date that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more than one person acting as a group (“</w:t>
      </w:r>
      <w:r>
        <w:rPr>
          <w:rFonts w:ascii="Arial" w:cs="Arial" w:eastAsia="Arial" w:hAnsi="Arial"/>
          <w:sz w:val="17"/>
          <w:szCs w:val="17"/>
          <w:b w:val="1"/>
          <w:bCs w:val="1"/>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4" w:lineRule="exact"/>
        <w:rPr>
          <w:rFonts w:ascii="Arial" w:cs="Arial" w:eastAsia="Arial" w:hAnsi="Arial"/>
          <w:sz w:val="17"/>
          <w:szCs w:val="17"/>
          <w:color w:val="auto"/>
        </w:rPr>
      </w:pPr>
    </w:p>
    <w:p>
      <w:pPr>
        <w:jc w:val="both"/>
        <w:ind w:firstLine="1385"/>
        <w:spacing w:after="0" w:line="266" w:lineRule="auto"/>
        <w:tabs>
          <w:tab w:leader="none" w:pos="1938"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Change in Effective Control of the Company</w:t>
      </w:r>
      <w:r>
        <w:rPr>
          <w:rFonts w:ascii="Arial" w:cs="Arial" w:eastAsia="Arial" w:hAnsi="Arial"/>
          <w:sz w:val="18"/>
          <w:szCs w:val="18"/>
          <w:color w:val="auto"/>
        </w:rPr>
        <w:t>. If the Company has a class of securities registered pursuant to Section 12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 change in the effective control of the Company which occurs on the date that a majority of members of the Board is replaced during any twelve (12) month period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6" w:name="page617"/>
    <w:bookmarkEnd w:id="616"/>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26" w:lineRule="exact"/>
        <w:rPr>
          <w:sz w:val="20"/>
          <w:szCs w:val="20"/>
          <w:color w:val="auto"/>
        </w:rPr>
      </w:pPr>
    </w:p>
    <w:p>
      <w:pPr>
        <w:jc w:val="both"/>
        <w:ind w:firstLine="1385"/>
        <w:spacing w:after="0" w:line="269" w:lineRule="auto"/>
        <w:tabs>
          <w:tab w:leader="none" w:pos="1941" w:val="left"/>
        </w:tabs>
        <w:numPr>
          <w:ilvl w:val="0"/>
          <w:numId w:val="601"/>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ind w:right="100" w:firstLine="1539"/>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w:t>
      </w:r>
    </w:p>
    <w:p>
      <w:pPr>
        <w:spacing w:after="0" w:line="12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including the rules and regulations promulgated thereunder.</w:t>
      </w:r>
    </w:p>
    <w:p>
      <w:pPr>
        <w:spacing w:after="0" w:line="10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Exchange Program</w:t>
      </w:r>
      <w:r>
        <w:rPr>
          <w:rFonts w:ascii="Arial" w:cs="Arial" w:eastAsia="Arial" w:hAnsi="Arial"/>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sz w:val="20"/>
          <w:szCs w:val="20"/>
          <w:color w:val="auto"/>
        </w:rPr>
      </w:pPr>
    </w:p>
    <w:p>
      <w:pPr>
        <w:jc w:val="both"/>
        <w:ind w:firstLine="1385"/>
        <w:spacing w:after="0" w:line="257" w:lineRule="auto"/>
        <w:tabs>
          <w:tab w:leader="none" w:pos="1941"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33" w:lineRule="exact"/>
        <w:rPr>
          <w:rFonts w:ascii="Arial" w:cs="Arial" w:eastAsia="Arial" w:hAnsi="Arial"/>
          <w:sz w:val="18"/>
          <w:szCs w:val="18"/>
          <w:color w:val="auto"/>
        </w:rPr>
      </w:pPr>
    </w:p>
    <w:p>
      <w:pPr>
        <w:jc w:val="both"/>
        <w:ind w:firstLine="1385"/>
        <w:spacing w:after="0" w:line="259" w:lineRule="auto"/>
        <w:tabs>
          <w:tab w:leader="none" w:pos="193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555"/>
        <w:spacing w:after="0"/>
        <w:tabs>
          <w:tab w:leader="none" w:pos="194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Inside Director</w:t>
      </w:r>
      <w:r>
        <w:rPr>
          <w:rFonts w:ascii="Arial" w:cs="Arial" w:eastAsia="Arial" w:hAnsi="Arial"/>
          <w:sz w:val="16"/>
          <w:szCs w:val="16"/>
          <w:color w:val="auto"/>
        </w:rPr>
        <w:t>” means a Director who is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15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 stock option granted pursuant to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Director</w:t>
      </w:r>
      <w:r>
        <w:rPr>
          <w:rFonts w:ascii="Arial" w:cs="Arial" w:eastAsia="Arial" w:hAnsi="Arial"/>
          <w:sz w:val="16"/>
          <w:szCs w:val="16"/>
          <w:color w:val="auto"/>
        </w:rPr>
        <w:t>” means a Director who is not an Employee.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the holder of an outstanding Award.</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Performance Period as defined in Section 10.1.</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2021 Equity Incentive Plan, as may be amended from time to time.</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08"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Rule 16b</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w:t>
      </w:r>
      <w:r>
        <w:rPr>
          <w:rFonts w:ascii="Arial" w:cs="Arial" w:eastAsia="Arial" w:hAnsi="Arial"/>
          <w:sz w:val="18"/>
          <w:szCs w:val="18"/>
          <w:color w:val="auto"/>
        </w:rPr>
        <w:t>” means Rule 16b</w:t>
      </w:r>
      <w:r>
        <w:rPr>
          <w:rFonts w:ascii="MS PGothic" w:cs="MS PGothic" w:eastAsia="MS PGothic" w:hAnsi="MS PGothic"/>
          <w:sz w:val="18"/>
          <w:szCs w:val="18"/>
          <w:color w:val="auto"/>
        </w:rPr>
        <w:t>‑</w:t>
      </w:r>
      <w:r>
        <w:rPr>
          <w:rFonts w:ascii="Arial" w:cs="Arial" w:eastAsia="Arial" w:hAnsi="Arial"/>
          <w:sz w:val="18"/>
          <w:szCs w:val="18"/>
          <w:color w:val="auto"/>
        </w:rPr>
        <w:t>3 of the Exchange Act or any successor to Rule 16b</w:t>
      </w:r>
      <w:r>
        <w:rPr>
          <w:rFonts w:ascii="MS PGothic" w:cs="MS PGothic" w:eastAsia="MS PGothic" w:hAnsi="MS PGothic"/>
          <w:sz w:val="18"/>
          <w:szCs w:val="18"/>
          <w:color w:val="auto"/>
        </w:rPr>
        <w:t>‑</w:t>
      </w:r>
      <w:r>
        <w:rPr>
          <w:rFonts w:ascii="Arial" w:cs="Arial" w:eastAsia="Arial" w:hAnsi="Arial"/>
          <w:sz w:val="18"/>
          <w:szCs w:val="18"/>
          <w:color w:val="auto"/>
        </w:rPr>
        <w:t>3, as in effect when discretion is being exercised with respect to the Plan.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Section 16b</w:t>
      </w:r>
      <w:r>
        <w:rPr>
          <w:rFonts w:ascii="Arial" w:cs="Arial" w:eastAsia="Arial" w:hAnsi="Arial"/>
          <w:sz w:val="16"/>
          <w:szCs w:val="16"/>
          <w:color w:val="auto"/>
        </w:rPr>
        <w:t>” means Section 16(b) of the Exchange Act.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including the rules and regulations promulgated thereunder.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 Provider</w:t>
      </w:r>
      <w:r>
        <w:rPr>
          <w:rFonts w:ascii="Arial" w:cs="Arial" w:eastAsia="Arial" w:hAnsi="Arial"/>
          <w:sz w:val="16"/>
          <w:szCs w:val="16"/>
          <w:color w:val="auto"/>
        </w:rPr>
        <w:t>” means an Employee, Director or Consultant.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the Common Stock, as adjusted in accordance with Section 15 of the Plan.</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4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2.42 “</w:t>
      </w:r>
      <w:r>
        <w:rPr>
          <w:rFonts w:ascii="Arial" w:cs="Arial" w:eastAsia="Arial" w:hAnsi="Arial"/>
          <w:sz w:val="17"/>
          <w:szCs w:val="17"/>
          <w:b w:val="1"/>
          <w:bCs w:val="1"/>
          <w:color w:val="auto"/>
        </w:rPr>
        <w:t>Trading Day</w:t>
      </w:r>
      <w:r>
        <w:rPr>
          <w:rFonts w:ascii="Arial" w:cs="Arial" w:eastAsia="Arial" w:hAnsi="Arial"/>
          <w:sz w:val="17"/>
          <w:szCs w:val="17"/>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Stock Subject to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Stock Subject to the Plan</w:t>
      </w:r>
      <w:r>
        <w:rPr>
          <w:rFonts w:ascii="Arial" w:cs="Arial" w:eastAsia="Arial" w:hAnsi="Arial"/>
          <w:sz w:val="16"/>
          <w:szCs w:val="16"/>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Arial" w:cs="Arial" w:eastAsia="Arial" w:hAnsi="Arial"/>
          <w:sz w:val="16"/>
          <w:szCs w:val="16"/>
          <w:b w:val="1"/>
          <w:bCs w:val="1"/>
          <w:color w:val="auto"/>
        </w:rPr>
        <w:t>Assumed Awards</w:t>
      </w:r>
      <w:r>
        <w:rPr>
          <w:rFonts w:ascii="Arial" w:cs="Arial" w:eastAsia="Arial" w:hAnsi="Arial"/>
          <w:sz w:val="16"/>
          <w:szCs w:val="16"/>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1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2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08" w:lineRule="exact"/>
        <w:rPr>
          <w:sz w:val="20"/>
          <w:szCs w:val="20"/>
          <w:color w:val="auto"/>
        </w:rPr>
      </w:pPr>
    </w:p>
    <w:p>
      <w:pPr>
        <w:ind w:left="660" w:hanging="328"/>
        <w:spacing w:after="0"/>
        <w:tabs>
          <w:tab w:leader="none" w:pos="660"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Procedure</w:t>
      </w:r>
      <w:r>
        <w:rPr>
          <w:rFonts w:ascii="Arial" w:cs="Arial" w:eastAsia="Arial" w:hAnsi="Arial"/>
          <w:sz w:val="16"/>
          <w:szCs w:val="16"/>
          <w:color w:val="auto"/>
        </w:rPr>
        <w: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53"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08"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comply with Applicable Laws.</w:t>
      </w:r>
    </w:p>
    <w:p>
      <w:pPr>
        <w:spacing w:after="0" w:line="1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12" w:lineRule="exact"/>
        <w:rPr>
          <w:sz w:val="20"/>
          <w:szCs w:val="20"/>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determine the number of Shares or dollar amounts to be covered by each Award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71" w:lineRule="exact"/>
        <w:rPr>
          <w:rFonts w:ascii="Arial" w:cs="Arial" w:eastAsia="Arial" w:hAnsi="Arial"/>
          <w:sz w:val="18"/>
          <w:szCs w:val="18"/>
          <w:color w:val="auto"/>
        </w:rPr>
      </w:pPr>
    </w:p>
    <w:p>
      <w:pPr>
        <w:jc w:val="both"/>
        <w:ind w:firstLine="1304"/>
        <w:spacing w:after="0" w:line="293" w:lineRule="auto"/>
        <w:tabs>
          <w:tab w:leader="none" w:pos="1941" w:val="left"/>
        </w:tabs>
        <w:numPr>
          <w:ilvl w:val="0"/>
          <w:numId w:val="605"/>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10" w:lineRule="exact"/>
        <w:rPr>
          <w:rFonts w:ascii="Arial" w:cs="Arial" w:eastAsia="Arial" w:hAnsi="Arial"/>
          <w:sz w:val="16"/>
          <w:szCs w:val="16"/>
          <w:color w:val="auto"/>
        </w:rPr>
      </w:pPr>
    </w:p>
    <w:p>
      <w:pPr>
        <w:ind w:firstLine="1304"/>
        <w:spacing w:after="0" w:line="277" w:lineRule="auto"/>
        <w:tabs>
          <w:tab w:leader="none" w:pos="193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71" w:lineRule="exact"/>
        <w:rPr>
          <w:rFonts w:ascii="Arial" w:cs="Arial" w:eastAsia="Arial" w:hAnsi="Arial"/>
          <w:sz w:val="18"/>
          <w:szCs w:val="18"/>
          <w:color w:val="auto"/>
        </w:rPr>
      </w:pPr>
    </w:p>
    <w:p>
      <w:pPr>
        <w:jc w:val="both"/>
        <w:ind w:firstLine="1304"/>
        <w:spacing w:after="0" w:line="221" w:lineRule="exact"/>
        <w:tabs>
          <w:tab w:leader="none" w:pos="1938"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easing the administration of the Plan and/or for qualifying for favorable tax treatment under applicable non</w:t>
      </w:r>
      <w:r>
        <w:rPr>
          <w:rFonts w:ascii="MS PGothic" w:cs="MS PGothic" w:eastAsia="MS PGothic" w:hAnsi="MS PGothic"/>
          <w:sz w:val="17"/>
          <w:szCs w:val="17"/>
          <w:color w:val="auto"/>
        </w:rPr>
        <w:t>‑</w:t>
      </w:r>
      <w:r>
        <w:rPr>
          <w:rFonts w:ascii="Arial" w:cs="Arial" w:eastAsia="Arial" w:hAnsi="Arial"/>
          <w:sz w:val="17"/>
          <w:szCs w:val="17"/>
          <w:color w:val="auto"/>
        </w:rPr>
        <w:t>U.S. laws, in each case as the Administrator may deem necessary or advisable;</w:t>
      </w:r>
    </w:p>
    <w:p>
      <w:pPr>
        <w:spacing w:after="0" w:line="147"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16;</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16" w:lineRule="exact"/>
        <w:rPr>
          <w:rFonts w:ascii="Arial" w:cs="Arial" w:eastAsia="Arial" w:hAnsi="Arial"/>
          <w:sz w:val="18"/>
          <w:szCs w:val="18"/>
          <w:color w:val="auto"/>
        </w:rPr>
      </w:pPr>
    </w:p>
    <w:p>
      <w:pPr>
        <w:ind w:firstLine="1304"/>
        <w:spacing w:after="0" w:line="277" w:lineRule="auto"/>
        <w:tabs>
          <w:tab w:leader="none" w:pos="1938"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4" w:lineRule="exact"/>
        <w:rPr>
          <w:sz w:val="20"/>
          <w:szCs w:val="20"/>
          <w:color w:val="auto"/>
        </w:rPr>
      </w:pPr>
    </w:p>
    <w:p>
      <w:pPr>
        <w:ind w:left="1940" w:hanging="636"/>
        <w:spacing w:after="0"/>
        <w:tabs>
          <w:tab w:leader="none" w:pos="19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6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08" w:lineRule="exact"/>
        <w:rPr>
          <w:sz w:val="20"/>
          <w:szCs w:val="20"/>
          <w:color w:val="auto"/>
        </w:rPr>
      </w:pPr>
    </w:p>
    <w:p>
      <w:pPr>
        <w:ind w:right="380" w:firstLine="332"/>
        <w:spacing w:after="0" w:line="282" w:lineRule="auto"/>
        <w:tabs>
          <w:tab w:leader="none" w:pos="648" w:val="left"/>
        </w:tabs>
        <w:numPr>
          <w:ilvl w:val="0"/>
          <w:numId w:val="607"/>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Nonstatutory Stock Options, Stock Appreciation Rights, Restricted Stock, Restricted Stock Units, or Performance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Service Providers. Incentive Stock Options may be granted only to Employees.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607"/>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Grant of Options</w:t>
      </w:r>
      <w:r>
        <w:rPr>
          <w:rFonts w:ascii="Arial" w:cs="Arial" w:eastAsia="Arial" w:hAnsi="Arial"/>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Option Exercise Price and Consideration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b w:val="1"/>
          <w:bCs w:val="1"/>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3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b w:val="1"/>
          <w:bCs w:val="1"/>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b w:val="1"/>
          <w:bCs w:val="1"/>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Exercise of Option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b w:val="1"/>
          <w:bCs w:val="1"/>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2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12"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6.6.2 </w:t>
      </w:r>
      <w:r>
        <w:rPr>
          <w:rFonts w:ascii="Arial" w:cs="Arial" w:eastAsia="Arial" w:hAnsi="Arial"/>
          <w:sz w:val="17"/>
          <w:szCs w:val="17"/>
          <w:b w:val="1"/>
          <w:bCs w:val="1"/>
          <w:color w:val="auto"/>
        </w:rPr>
        <w:t>Termination of Relationship as a Service Provider</w:t>
      </w:r>
      <w:r>
        <w:rPr>
          <w:rFonts w:ascii="Arial" w:cs="Arial" w:eastAsia="Arial" w:hAnsi="Arial"/>
          <w:sz w:val="17"/>
          <w:szCs w:val="17"/>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1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b w:val="1"/>
          <w:bCs w:val="1"/>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such cessation the Participant does not exercise his or her Option within the time specified herein, the Option will terminate, and the Shares covered by such Option will revert to the Plan.</w:t>
      </w:r>
    </w:p>
    <w:p>
      <w:pPr>
        <w:spacing w:after="0" w:line="11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6.6.4 </w:t>
      </w:r>
      <w:r>
        <w:rPr>
          <w:rFonts w:ascii="Arial" w:cs="Arial" w:eastAsia="Arial" w:hAnsi="Arial"/>
          <w:sz w:val="17"/>
          <w:szCs w:val="17"/>
          <w:b w:val="1"/>
          <w:bCs w:val="1"/>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7"/>
          <w:szCs w:val="17"/>
          <w:b w:val="1"/>
          <w:bCs w:val="1"/>
          <w:color w:val="auto"/>
        </w:rPr>
        <w:t>Legal Representative</w:t>
      </w:r>
      <w:r>
        <w:rPr>
          <w:rFonts w:ascii="Arial" w:cs="Arial" w:eastAsia="Arial" w:hAnsi="Arial"/>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2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6.6.5</w:t>
      </w:r>
      <w:r>
        <w:rPr>
          <w:sz w:val="20"/>
          <w:szCs w:val="20"/>
          <w:color w:val="auto"/>
        </w:rPr>
        <w:tab/>
      </w:r>
      <w:r>
        <w:rPr>
          <w:rFonts w:ascii="Arial" w:cs="Arial" w:eastAsia="Arial" w:hAnsi="Arial"/>
          <w:sz w:val="16"/>
          <w:szCs w:val="16"/>
          <w:b w:val="1"/>
          <w:bCs w:val="1"/>
          <w:color w:val="auto"/>
        </w:rPr>
        <w:t>Tolling Expiration</w:t>
      </w:r>
      <w:r>
        <w:rPr>
          <w:rFonts w:ascii="Arial" w:cs="Arial" w:eastAsia="Arial" w:hAnsi="Arial"/>
          <w:sz w:val="16"/>
          <w:szCs w:val="16"/>
          <w:color w:val="auto"/>
        </w:rPr>
        <w:t>. A Participant’s Award Agreement may also provide that:</w:t>
      </w:r>
    </w:p>
    <w:p>
      <w:pPr>
        <w:spacing w:after="0" w:line="175" w:lineRule="exact"/>
        <w:rPr>
          <w:sz w:val="20"/>
          <w:szCs w:val="20"/>
          <w:color w:val="auto"/>
        </w:rPr>
      </w:pPr>
    </w:p>
    <w:p>
      <w:pPr>
        <w:jc w:val="both"/>
        <w:ind w:firstLine="1952"/>
        <w:spacing w:after="0" w:line="259" w:lineRule="auto"/>
        <w:tabs>
          <w:tab w:leader="none" w:pos="2589" w:val="left"/>
        </w:tabs>
        <w:numPr>
          <w:ilvl w:val="2"/>
          <w:numId w:val="608"/>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spacing w:after="0" w:line="132" w:lineRule="exact"/>
        <w:rPr>
          <w:rFonts w:ascii="Arial" w:cs="Arial" w:eastAsia="Arial" w:hAnsi="Arial"/>
          <w:sz w:val="18"/>
          <w:szCs w:val="18"/>
          <w:color w:val="auto"/>
        </w:rPr>
      </w:pPr>
    </w:p>
    <w:p>
      <w:pPr>
        <w:jc w:val="both"/>
        <w:ind w:firstLine="1952"/>
        <w:spacing w:after="0" w:line="287" w:lineRule="auto"/>
        <w:tabs>
          <w:tab w:leader="none" w:pos="2586" w:val="left"/>
        </w:tabs>
        <w:numPr>
          <w:ilvl w:val="2"/>
          <w:numId w:val="608"/>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2" w:lineRule="exact"/>
        <w:rPr>
          <w:rFonts w:ascii="Arial" w:cs="Arial" w:eastAsia="Arial" w:hAnsi="Arial"/>
          <w:sz w:val="16"/>
          <w:szCs w:val="16"/>
          <w:color w:val="auto"/>
        </w:rPr>
      </w:pPr>
    </w:p>
    <w:p>
      <w:pPr>
        <w:ind w:firstLine="8"/>
        <w:spacing w:after="0" w:line="260" w:lineRule="auto"/>
        <w:tabs>
          <w:tab w:leader="none" w:pos="362" w:val="left"/>
        </w:tabs>
        <w:numPr>
          <w:ilvl w:val="0"/>
          <w:numId w:val="609"/>
        </w:numPr>
        <w:rPr>
          <w:rFonts w:ascii="Arial" w:cs="Arial" w:eastAsia="Arial" w:hAnsi="Arial"/>
          <w:sz w:val="18"/>
          <w:szCs w:val="18"/>
          <w:color w:val="auto"/>
        </w:rPr>
      </w:pPr>
      <w:r>
        <w:rPr>
          <w:rFonts w:ascii="Arial" w:cs="Arial" w:eastAsia="Arial" w:hAnsi="Arial"/>
          <w:sz w:val="18"/>
          <w:szCs w:val="18"/>
          <w:color w:val="auto"/>
        </w:rPr>
        <w:t>days after the cessation of the Participant’s status as a Service Provider during which the exercise of the Option would not be in violation of such registration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1"/>
          <w:numId w:val="609"/>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b w:val="1"/>
          <w:bCs w:val="1"/>
          <w:color w:val="auto"/>
        </w:rPr>
        <w:t>Grant of Stock Appreciation Rights</w:t>
      </w:r>
      <w:r>
        <w:rPr>
          <w:rFonts w:ascii="Arial" w:cs="Arial" w:eastAsia="Arial" w:hAnsi="Arial"/>
          <w:sz w:val="16"/>
          <w:szCs w:val="16"/>
          <w:color w:val="auto"/>
        </w:rPr>
        <w:t>. Subject to the terms and conditions of the Plan, a Stock Appreciation Right may be granted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at any time and from time to time as will be determined by the Administrator, in its sole discretion.</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0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12" w:lineRule="exact"/>
        <w:rPr>
          <w:sz w:val="20"/>
          <w:szCs w:val="20"/>
          <w:color w:val="auto"/>
        </w:rPr>
      </w:pPr>
    </w:p>
    <w:p>
      <w:pPr>
        <w:ind w:left="1940" w:hanging="636"/>
        <w:spacing w:after="0"/>
        <w:tabs>
          <w:tab w:leader="none" w:pos="19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7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12" w:lineRule="exact"/>
        <w:rPr>
          <w:sz w:val="20"/>
          <w:szCs w:val="20"/>
          <w:color w:val="auto"/>
        </w:rPr>
      </w:pPr>
    </w:p>
    <w:p>
      <w:pPr>
        <w:ind w:left="660" w:hanging="328"/>
        <w:spacing w:after="0"/>
        <w:tabs>
          <w:tab w:leader="none" w:pos="660" w:val="left"/>
        </w:tabs>
        <w:numPr>
          <w:ilvl w:val="0"/>
          <w:numId w:val="611"/>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Removal of Restrictions</w:t>
      </w:r>
      <w:r>
        <w:rPr>
          <w:rFonts w:ascii="Arial" w:cs="Arial" w:eastAsia="Arial" w:hAnsi="Arial"/>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0" w:lineRule="exact"/>
        <w:rPr>
          <w:sz w:val="20"/>
          <w:szCs w:val="20"/>
          <w:color w:val="auto"/>
        </w:rPr>
      </w:pPr>
    </w:p>
    <w:p>
      <w:pPr>
        <w:ind w:left="660" w:hanging="328"/>
        <w:spacing w:after="0"/>
        <w:tabs>
          <w:tab w:leader="none" w:pos="660"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2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171" w:lineRule="exact"/>
        <w:rPr>
          <w:sz w:val="20"/>
          <w:szCs w:val="20"/>
          <w:color w:val="auto"/>
        </w:rPr>
      </w:pPr>
    </w:p>
    <w:p>
      <w:pPr>
        <w:ind w:left="660" w:hanging="328"/>
        <w:spacing w:after="0"/>
        <w:tabs>
          <w:tab w:leader="none" w:pos="660"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Award Agreement</w:t>
      </w:r>
      <w:r>
        <w:rPr>
          <w:rFonts w:ascii="Arial" w:cs="Arial" w:eastAsia="Arial" w:hAnsi="Arial"/>
          <w:sz w:val="17"/>
          <w:szCs w:val="17"/>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Objectives or Vesting Provisions and Other Terms</w:t>
      </w:r>
      <w:r>
        <w:rPr>
          <w:rFonts w:ascii="Arial" w:cs="Arial" w:eastAsia="Arial" w:hAnsi="Arial"/>
          <w:sz w:val="18"/>
          <w:szCs w:val="18"/>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29" w:lineRule="exact"/>
        <w:rPr>
          <w:sz w:val="20"/>
          <w:szCs w:val="20"/>
          <w:color w:val="auto"/>
        </w:rPr>
      </w:pPr>
    </w:p>
    <w:p>
      <w:pPr>
        <w:jc w:val="both"/>
        <w:ind w:right="180" w:firstLine="567"/>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Earning Performance Awards</w:t>
      </w:r>
      <w:r>
        <w:rPr>
          <w:rFonts w:ascii="Arial" w:cs="Arial" w:eastAsia="Arial" w:hAnsi="Arial"/>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22"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Cancellation of Performance Awards</w:t>
      </w:r>
      <w:r>
        <w:rPr>
          <w:rFonts w:ascii="Arial" w:cs="Arial" w:eastAsia="Arial" w:hAnsi="Arial"/>
          <w:sz w:val="18"/>
          <w:szCs w:val="18"/>
          <w:color w:val="auto"/>
        </w:rPr>
        <w:t>. On the date set forth in the Award Agreement, all unearned or unvested Performance Awards will be forfeited to the Company, and again will be available for grant under the Plan.</w:t>
      </w:r>
    </w:p>
    <w:p>
      <w:pPr>
        <w:spacing w:after="0" w:line="108" w:lineRule="exact"/>
        <w:rPr>
          <w:sz w:val="20"/>
          <w:szCs w:val="20"/>
          <w:color w:val="auto"/>
        </w:rPr>
      </w:pPr>
    </w:p>
    <w:p>
      <w:pPr>
        <w:ind w:right="360" w:firstLine="332"/>
        <w:spacing w:after="0" w:line="314" w:lineRule="auto"/>
        <w:tabs>
          <w:tab w:leader="none" w:pos="637" w:val="left"/>
        </w:tabs>
        <w:numPr>
          <w:ilvl w:val="0"/>
          <w:numId w:val="614"/>
        </w:numPr>
        <w:rPr>
          <w:rFonts w:ascii="Arial" w:cs="Arial" w:eastAsia="Arial" w:hAnsi="Arial"/>
          <w:sz w:val="16"/>
          <w:szCs w:val="16"/>
          <w:color w:val="auto"/>
        </w:rPr>
      </w:pPr>
      <w:r>
        <w:rPr>
          <w:rFonts w:ascii="Arial" w:cs="Arial" w:eastAsia="Arial" w:hAnsi="Arial"/>
          <w:sz w:val="16"/>
          <w:szCs w:val="16"/>
          <w:b w:val="1"/>
          <w:bCs w:val="1"/>
          <w:color w:val="auto"/>
        </w:rPr>
        <w:t>Outside Director Award Limitations</w:t>
      </w:r>
      <w:r>
        <w:rPr>
          <w:rFonts w:ascii="Arial" w:cs="Arial" w:eastAsia="Arial" w:hAnsi="Arial"/>
          <w:sz w:val="16"/>
          <w:szCs w:val="16"/>
          <w:color w:val="auto"/>
        </w:rPr>
        <w:t>. No Outside Director may be granted, in any Fiscal Year, equity awards (including any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w:t>
      </w:r>
    </w:p>
    <w:p>
      <w:pPr>
        <w:spacing w:after="0" w:line="126" w:lineRule="exact"/>
        <w:rPr>
          <w:sz w:val="20"/>
          <w:szCs w:val="20"/>
          <w:color w:val="auto"/>
        </w:rPr>
      </w:pPr>
    </w:p>
    <w:p>
      <w:pPr>
        <w:ind w:right="40" w:firstLine="332"/>
        <w:spacing w:after="0" w:line="270" w:lineRule="auto"/>
        <w:tabs>
          <w:tab w:leader="none" w:pos="643" w:val="left"/>
        </w:tabs>
        <w:numPr>
          <w:ilvl w:val="1"/>
          <w:numId w:val="615"/>
        </w:numPr>
        <w:rPr>
          <w:rFonts w:ascii="Arial" w:cs="Arial" w:eastAsia="Arial" w:hAnsi="Arial"/>
          <w:sz w:val="17"/>
          <w:szCs w:val="17"/>
          <w:color w:val="auto"/>
        </w:rPr>
      </w:pPr>
      <w:r>
        <w:rPr>
          <w:rFonts w:ascii="Arial" w:cs="Arial" w:eastAsia="Arial" w:hAnsi="Arial"/>
          <w:sz w:val="17"/>
          <w:szCs w:val="17"/>
          <w:b w:val="1"/>
          <w:bCs w:val="1"/>
          <w:color w:val="auto"/>
        </w:rPr>
        <w:t>Compliance With Section 409A</w:t>
      </w:r>
      <w:r>
        <w:rPr>
          <w:rFonts w:ascii="Arial" w:cs="Arial" w:eastAsia="Arial" w:hAnsi="Arial"/>
          <w:sz w:val="17"/>
          <w:szCs w:val="17"/>
          <w:color w:val="auto"/>
        </w:rPr>
        <w:t>. Awards will be designed and operated in such a manner that they are either exempt from the application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22" w:lineRule="exact"/>
        <w:rPr>
          <w:rFonts w:ascii="Arial" w:cs="Arial" w:eastAsia="Arial" w:hAnsi="Arial"/>
          <w:sz w:val="17"/>
          <w:szCs w:val="17"/>
          <w:color w:val="auto"/>
        </w:rPr>
      </w:pPr>
    </w:p>
    <w:p>
      <w:pPr>
        <w:ind w:right="200" w:firstLine="332"/>
        <w:spacing w:after="0" w:line="293" w:lineRule="auto"/>
        <w:tabs>
          <w:tab w:leader="none" w:pos="643" w:val="left"/>
        </w:tabs>
        <w:numPr>
          <w:ilvl w:val="1"/>
          <w:numId w:val="615"/>
        </w:numPr>
        <w:rPr>
          <w:rFonts w:ascii="Arial" w:cs="Arial" w:eastAsia="Arial" w:hAnsi="Arial"/>
          <w:sz w:val="16"/>
          <w:szCs w:val="16"/>
          <w:color w:val="auto"/>
        </w:rPr>
      </w:pPr>
      <w:r>
        <w:rPr>
          <w:rFonts w:ascii="Arial" w:cs="Arial" w:eastAsia="Arial" w:hAnsi="Arial"/>
          <w:sz w:val="16"/>
          <w:szCs w:val="16"/>
          <w:b w:val="1"/>
          <w:bCs w:val="1"/>
          <w:color w:val="auto"/>
        </w:rPr>
        <w:t>Leaves of Absence/Transfer Between Locations</w:t>
      </w:r>
      <w:r>
        <w:rPr>
          <w:rFonts w:ascii="Arial" w:cs="Arial" w:eastAsia="Arial" w:hAnsi="Arial"/>
          <w:sz w:val="16"/>
          <w:szCs w:val="16"/>
          <w:color w:val="auto"/>
        </w:rPr>
        <w:t>. Unless the Administrator provides otherwise or as otherwise required by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Awards granted hereunder will be suspended during any unpaid leave of absence. A Participant will not cease to be an Employee in the case of</w:t>
      </w:r>
    </w:p>
    <w:p>
      <w:pPr>
        <w:spacing w:after="0" w:line="1" w:lineRule="exact"/>
        <w:rPr>
          <w:rFonts w:ascii="Arial" w:cs="Arial" w:eastAsia="Arial" w:hAnsi="Arial"/>
          <w:sz w:val="16"/>
          <w:szCs w:val="16"/>
          <w:color w:val="auto"/>
        </w:rPr>
      </w:pPr>
    </w:p>
    <w:p>
      <w:pPr>
        <w:ind w:right="140" w:firstLine="8"/>
        <w:spacing w:after="0" w:line="271" w:lineRule="auto"/>
        <w:tabs>
          <w:tab w:leader="none" w:pos="245" w:val="left"/>
        </w:tabs>
        <w:numPr>
          <w:ilvl w:val="0"/>
          <w:numId w:val="616"/>
        </w:numPr>
        <w:rPr>
          <w:rFonts w:ascii="Arial" w:cs="Arial" w:eastAsia="Arial" w:hAnsi="Arial"/>
          <w:sz w:val="17"/>
          <w:szCs w:val="17"/>
          <w:color w:val="auto"/>
        </w:rPr>
      </w:pPr>
      <w:r>
        <w:rPr>
          <w:rFonts w:ascii="Arial" w:cs="Arial" w:eastAsia="Arial" w:hAnsi="Arial"/>
          <w:sz w:val="17"/>
          <w:szCs w:val="17"/>
          <w:color w:val="auto"/>
        </w:rPr>
        <w:t>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0" w:lineRule="exact"/>
        <w:rPr>
          <w:rFonts w:ascii="Arial" w:cs="Arial" w:eastAsia="Arial" w:hAnsi="Arial"/>
          <w:sz w:val="17"/>
          <w:szCs w:val="17"/>
          <w:color w:val="auto"/>
        </w:rPr>
      </w:pPr>
    </w:p>
    <w:p>
      <w:pPr>
        <w:ind w:right="80" w:firstLine="332"/>
        <w:spacing w:after="0" w:line="258" w:lineRule="auto"/>
        <w:tabs>
          <w:tab w:leader="none" w:pos="643" w:val="left"/>
        </w:tabs>
        <w:numPr>
          <w:ilvl w:val="1"/>
          <w:numId w:val="616"/>
        </w:numPr>
        <w:rPr>
          <w:rFonts w:ascii="Arial" w:cs="Arial" w:eastAsia="Arial" w:hAnsi="Arial"/>
          <w:sz w:val="18"/>
          <w:szCs w:val="18"/>
          <w:color w:val="auto"/>
        </w:rPr>
      </w:pPr>
      <w:r>
        <w:rPr>
          <w:rFonts w:ascii="Arial" w:cs="Arial" w:eastAsia="Arial" w:hAnsi="Arial"/>
          <w:sz w:val="18"/>
          <w:szCs w:val="18"/>
          <w:b w:val="1"/>
          <w:bCs w:val="1"/>
          <w:color w:val="auto"/>
        </w:rPr>
        <w:t>Limited 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616"/>
        </w:numPr>
        <w:rPr>
          <w:rFonts w:ascii="Arial" w:cs="Arial" w:eastAsia="Arial" w:hAnsi="Arial"/>
          <w:sz w:val="18"/>
          <w:szCs w:val="18"/>
          <w:color w:val="auto"/>
        </w:rPr>
      </w:pPr>
      <w:r>
        <w:rPr>
          <w:rFonts w:ascii="Arial" w:cs="Arial" w:eastAsia="Arial" w:hAnsi="Arial"/>
          <w:sz w:val="18"/>
          <w:szCs w:val="18"/>
          <w:b w:val="1"/>
          <w:bCs w:val="1"/>
          <w:color w:val="auto"/>
        </w:rPr>
        <w:t>Adjustments; Dissolution or Liquidation; Merger or Change in Control</w:t>
      </w:r>
      <w:r>
        <w:rPr>
          <w:rFonts w:ascii="Arial" w:cs="Arial" w:eastAsia="Arial" w:hAnsi="Arial"/>
          <w:sz w:val="18"/>
          <w:szCs w:val="18"/>
          <w:color w:val="auto"/>
        </w:rPr>
        <w:t>.</w:t>
      </w:r>
    </w:p>
    <w:p>
      <w:pPr>
        <w:spacing w:after="0" w:line="171"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06"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Merger or 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1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2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5"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18"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color w:val="auto"/>
        </w:rPr>
        <w:t>Outside Director Awards</w:t>
      </w:r>
      <w:r>
        <w:rPr>
          <w:rFonts w:ascii="Arial" w:cs="Arial" w:eastAsia="Arial" w:hAnsi="Arial"/>
          <w:sz w:val="16"/>
          <w:szCs w:val="16"/>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05" w:lineRule="exact"/>
        <w:rPr>
          <w:sz w:val="20"/>
          <w:szCs w:val="20"/>
          <w:color w:val="auto"/>
        </w:rPr>
      </w:pPr>
    </w:p>
    <w:p>
      <w:pPr>
        <w:ind w:left="660" w:hanging="328"/>
        <w:spacing w:after="0"/>
        <w:tabs>
          <w:tab w:leader="none" w:pos="660" w:val="left"/>
        </w:tabs>
        <w:numPr>
          <w:ilvl w:val="0"/>
          <w:numId w:val="617"/>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7"/>
          <w:szCs w:val="17"/>
          <w:color w:val="auto"/>
        </w:rPr>
        <w:t>‑</w:t>
      </w:r>
      <w:r>
        <w:rPr>
          <w:rFonts w:ascii="Arial" w:cs="Arial" w:eastAsia="Arial" w:hAnsi="Arial"/>
          <w:sz w:val="17"/>
          <w:szCs w:val="17"/>
          <w:color w:val="auto"/>
        </w:rPr>
        <w:t>U.S., and other taxes (including the Participant’s FICA or other social insurance contribution obligation) required to be withheld or paid with respect to such Award (or exercise thereof).</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26" w:lineRule="exact"/>
        <w:rPr>
          <w:sz w:val="20"/>
          <w:szCs w:val="20"/>
          <w:color w:val="auto"/>
        </w:rPr>
      </w:pPr>
    </w:p>
    <w:p>
      <w:pPr>
        <w:ind w:right="240" w:firstLine="332"/>
        <w:spacing w:after="0" w:line="266" w:lineRule="auto"/>
        <w:tabs>
          <w:tab w:leader="none" w:pos="643"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No Effect on Employment or Service</w:t>
      </w:r>
      <w:r>
        <w:rPr>
          <w:rFonts w:ascii="Arial" w:cs="Arial" w:eastAsia="Arial" w:hAnsi="Arial"/>
          <w:sz w:val="18"/>
          <w:szCs w:val="18"/>
          <w:color w:val="auto"/>
        </w:rPr>
        <w:t>. Neither the Plan nor any Award will confer upon a Participant any right with respect to continuing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relationship as a Service Provider with the Company or its Subsidiaries or Parents, as applicable, nor will they interfere in any way with the Participant’s right or the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or Parents, as applicable, to terminate such relationship at any time, free from any liability or claim under the Plan.</w:t>
      </w:r>
    </w:p>
    <w:p>
      <w:pPr>
        <w:spacing w:after="0" w:line="179" w:lineRule="exact"/>
        <w:rPr>
          <w:sz w:val="20"/>
          <w:szCs w:val="20"/>
          <w:color w:val="auto"/>
        </w:rPr>
      </w:pPr>
    </w:p>
    <w:p>
      <w:pPr>
        <w:ind w:right="380" w:firstLine="332"/>
        <w:spacing w:after="0" w:line="266" w:lineRule="auto"/>
        <w:tabs>
          <w:tab w:leader="none" w:pos="643"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 The date of grant of an Award will be, for all purposes, the date on which the Administrator makes the determination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21"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619"/>
        </w:numPr>
        <w:rPr>
          <w:rFonts w:ascii="Arial" w:cs="Arial" w:eastAsia="Arial" w:hAnsi="Arial"/>
          <w:sz w:val="17"/>
          <w:szCs w:val="17"/>
          <w:color w:val="auto"/>
        </w:rPr>
      </w:pPr>
      <w:r>
        <w:rPr>
          <w:rFonts w:ascii="Arial" w:cs="Arial" w:eastAsia="Arial" w:hAnsi="Arial"/>
          <w:sz w:val="17"/>
          <w:szCs w:val="17"/>
          <w:b w:val="1"/>
          <w:bCs w:val="1"/>
          <w:color w:val="auto"/>
        </w:rPr>
        <w:t>Term of Plan</w:t>
      </w:r>
      <w:r>
        <w:rPr>
          <w:rFonts w:ascii="Arial" w:cs="Arial" w:eastAsia="Arial" w:hAnsi="Arial"/>
          <w:sz w:val="17"/>
          <w:szCs w:val="17"/>
          <w:color w:val="auto"/>
        </w:rPr>
        <w:t>. Subject to Section 23 of the Plan, the Plan will become effective upon the later to occur of (a) its adoption by the Board, (b)</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Amendment and Termination of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Amendment and Termination</w:t>
      </w:r>
      <w:r>
        <w:rPr>
          <w:rFonts w:ascii="Arial" w:cs="Arial" w:eastAsia="Arial" w:hAnsi="Arial"/>
          <w:sz w:val="18"/>
          <w:szCs w:val="18"/>
          <w:color w:val="auto"/>
        </w:rPr>
        <w:t>. The Administrator, in its sole discretion, may amend, alter, suspend or terminate the Plan, or any part thereof, at any time and for any reason.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26" w:lineRule="exact"/>
        <w:rPr>
          <w:sz w:val="20"/>
          <w:szCs w:val="20"/>
          <w:color w:val="auto"/>
        </w:rPr>
      </w:pPr>
    </w:p>
    <w:p>
      <w:pPr>
        <w:ind w:left="660" w:hanging="328"/>
        <w:spacing w:after="0"/>
        <w:tabs>
          <w:tab w:leader="none" w:pos="660" w:val="left"/>
        </w:tabs>
        <w:numPr>
          <w:ilvl w:val="0"/>
          <w:numId w:val="620"/>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Legal Compliance</w:t>
      </w:r>
      <w:r>
        <w:rPr>
          <w:rFonts w:ascii="Arial" w:cs="Arial" w:eastAsia="Arial" w:hAnsi="Arial"/>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Investment Representations</w:t>
      </w:r>
      <w:r>
        <w:rPr>
          <w:rFonts w:ascii="Arial" w:cs="Arial" w:eastAsia="Arial" w:hAnsi="Arial"/>
          <w:sz w:val="17"/>
          <w:szCs w:val="17"/>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04" w:lineRule="exact"/>
        <w:rPr>
          <w:sz w:val="20"/>
          <w:szCs w:val="20"/>
          <w:color w:val="auto"/>
        </w:rPr>
      </w:pPr>
    </w:p>
    <w:p>
      <w:pPr>
        <w:ind w:right="80" w:firstLine="332"/>
        <w:spacing w:after="0" w:line="219" w:lineRule="exact"/>
        <w:tabs>
          <w:tab w:leader="none" w:pos="643" w:val="left"/>
        </w:tabs>
        <w:numPr>
          <w:ilvl w:val="0"/>
          <w:numId w:val="621"/>
        </w:numPr>
        <w:rPr>
          <w:rFonts w:ascii="Arial" w:cs="Arial" w:eastAsia="Arial" w:hAnsi="Arial"/>
          <w:sz w:val="16"/>
          <w:szCs w:val="16"/>
          <w:color w:val="auto"/>
        </w:rPr>
      </w:pPr>
      <w:r>
        <w:rPr>
          <w:rFonts w:ascii="Arial" w:cs="Arial" w:eastAsia="Arial" w:hAnsi="Arial"/>
          <w:sz w:val="16"/>
          <w:szCs w:val="16"/>
          <w:b w:val="1"/>
          <w:bCs w:val="1"/>
          <w:color w:val="auto"/>
        </w:rPr>
        <w:t>Inability to Obtain Authority</w:t>
      </w:r>
      <w:r>
        <w:rPr>
          <w:rFonts w:ascii="Arial" w:cs="Arial" w:eastAsia="Arial" w:hAnsi="Arial"/>
          <w:sz w:val="16"/>
          <w:szCs w:val="16"/>
          <w:color w:val="auto"/>
        </w:rPr>
        <w:t>. If the Company determines it to be impossible or impractical to obtain authority from any regulatory body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to complete or comply with the requirements of any registration or other qualification of the Shares under any U.S. state or federal law or non</w:t>
      </w:r>
      <w:r>
        <w:rPr>
          <w:rFonts w:ascii="MS PGothic" w:cs="MS PGothic" w:eastAsia="MS PGothic" w:hAnsi="MS PGothic"/>
          <w:sz w:val="16"/>
          <w:szCs w:val="16"/>
          <w:color w:val="auto"/>
        </w:rPr>
        <w:t>‑</w:t>
      </w:r>
      <w:r>
        <w:rPr>
          <w:rFonts w:ascii="Arial" w:cs="Arial" w:eastAsia="Arial" w:hAnsi="Arial"/>
          <w:sz w:val="16"/>
          <w:szCs w:val="16"/>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47" w:lineRule="exact"/>
        <w:rPr>
          <w:rFonts w:ascii="Arial" w:cs="Arial" w:eastAsia="Arial" w:hAnsi="Arial"/>
          <w:sz w:val="16"/>
          <w:szCs w:val="16"/>
          <w:color w:val="auto"/>
        </w:rPr>
      </w:pPr>
    </w:p>
    <w:p>
      <w:pPr>
        <w:ind w:right="360" w:firstLine="332"/>
        <w:spacing w:after="0" w:line="347" w:lineRule="auto"/>
        <w:tabs>
          <w:tab w:leader="none" w:pos="643" w:val="left"/>
        </w:tabs>
        <w:numPr>
          <w:ilvl w:val="0"/>
          <w:numId w:val="621"/>
        </w:numPr>
        <w:rPr>
          <w:rFonts w:ascii="Arial" w:cs="Arial" w:eastAsia="Arial" w:hAnsi="Arial"/>
          <w:sz w:val="16"/>
          <w:szCs w:val="16"/>
          <w:color w:val="auto"/>
        </w:rPr>
      </w:pPr>
      <w:r>
        <w:rPr>
          <w:rFonts w:ascii="Arial" w:cs="Arial" w:eastAsia="Arial" w:hAnsi="Arial"/>
          <w:sz w:val="16"/>
          <w:szCs w:val="16"/>
          <w:b w:val="1"/>
          <w:bCs w:val="1"/>
          <w:color w:val="auto"/>
        </w:rPr>
        <w:t>Stockholder Approval</w:t>
      </w:r>
      <w:r>
        <w:rPr>
          <w:rFonts w:ascii="Arial" w:cs="Arial" w:eastAsia="Arial" w:hAnsi="Arial"/>
          <w:sz w:val="16"/>
          <w:szCs w:val="16"/>
          <w:color w:val="auto"/>
        </w:rPr>
        <w:t>. 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ind w:right="100" w:firstLine="332"/>
        <w:spacing w:after="0" w:line="289" w:lineRule="auto"/>
        <w:tabs>
          <w:tab w:leader="none" w:pos="643" w:val="left"/>
        </w:tabs>
        <w:numPr>
          <w:ilvl w:val="0"/>
          <w:numId w:val="621"/>
        </w:numPr>
        <w:rPr>
          <w:rFonts w:ascii="Arial" w:cs="Arial" w:eastAsia="Arial" w:hAnsi="Arial"/>
          <w:sz w:val="17"/>
          <w:szCs w:val="17"/>
          <w:color w:val="auto"/>
        </w:rPr>
      </w:pPr>
      <w:r>
        <w:rPr>
          <w:rFonts w:ascii="Arial" w:cs="Arial" w:eastAsia="Arial" w:hAnsi="Arial"/>
          <w:sz w:val="17"/>
          <w:szCs w:val="17"/>
          <w:b w:val="1"/>
          <w:bCs w:val="1"/>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4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Arial" w:cs="Arial" w:eastAsia="Arial" w:hAnsi="Arial"/>
          <w:sz w:val="17"/>
          <w:szCs w:val="17"/>
          <w:b w:val="1"/>
          <w:bCs w:val="1"/>
          <w:color w:val="auto"/>
        </w:rPr>
        <w:t>Clawback Policy</w:t>
      </w:r>
      <w:r>
        <w:rPr>
          <w:rFonts w:ascii="Arial" w:cs="Arial" w:eastAsia="Arial" w:hAnsi="Arial"/>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constitute an event that triggers or contributes to any right of a Participant to resign for “good reason” or “constructive termination” (or similar term) under any agreement with the Company or any Parent or Subsidiary of the Company.</w:t>
      </w:r>
    </w:p>
    <w:p>
      <w:pPr>
        <w:spacing w:after="0" w:line="116" w:lineRule="exact"/>
        <w:rPr>
          <w:sz w:val="20"/>
          <w:szCs w:val="20"/>
          <w:color w:val="auto"/>
        </w:rPr>
      </w:pPr>
    </w:p>
    <w:p>
      <w:pPr>
        <w:ind w:left="5080"/>
        <w:spacing w:after="0"/>
        <w:tabs>
          <w:tab w:leader="none" w:pos="556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31" w:name="page632"/>
    <w:bookmarkEnd w:id="631"/>
    <w:p>
      <w:pPr>
        <w:jc w:val="right"/>
        <w:spacing w:after="0"/>
        <w:rPr>
          <w:sz w:val="20"/>
          <w:szCs w:val="20"/>
          <w:color w:val="auto"/>
        </w:rPr>
      </w:pPr>
      <w:r>
        <w:rPr>
          <w:rFonts w:ascii="Arial" w:cs="Arial" w:eastAsia="Arial" w:hAnsi="Arial"/>
          <w:sz w:val="18"/>
          <w:szCs w:val="18"/>
          <w:b w:val="1"/>
          <w:bCs w:val="1"/>
          <w:color w:val="auto"/>
        </w:rPr>
        <w:t>Annex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ind w:left="660" w:hanging="328"/>
        <w:spacing w:after="0"/>
        <w:tabs>
          <w:tab w:leader="none" w:pos="660" w:val="left"/>
        </w:tabs>
        <w:numPr>
          <w:ilvl w:val="0"/>
          <w:numId w:val="622"/>
        </w:numPr>
        <w:rPr>
          <w:rFonts w:ascii="Arial" w:cs="Arial" w:eastAsia="Arial" w:hAnsi="Arial"/>
          <w:sz w:val="17"/>
          <w:szCs w:val="17"/>
          <w:b w:val="1"/>
          <w:bCs w:val="1"/>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Companies with an opportunity to purchase</w:t>
      </w:r>
    </w:p>
    <w:p>
      <w:pPr>
        <w:spacing w:after="0" w:line="34" w:lineRule="exact"/>
        <w:rPr>
          <w:rFonts w:ascii="Arial" w:cs="Arial" w:eastAsia="Arial" w:hAnsi="Arial"/>
          <w:sz w:val="17"/>
          <w:szCs w:val="17"/>
          <w:b w:val="1"/>
          <w:bCs w:val="1"/>
          <w:color w:val="auto"/>
        </w:rPr>
      </w:pPr>
    </w:p>
    <w:p>
      <w:pPr>
        <w:spacing w:after="0" w:line="216" w:lineRule="exact"/>
        <w:rPr>
          <w:rFonts w:ascii="Arial" w:cs="Arial" w:eastAsia="Arial" w:hAnsi="Arial"/>
          <w:sz w:val="17"/>
          <w:szCs w:val="17"/>
          <w:b w:val="1"/>
          <w:bCs w:val="1"/>
          <w:color w:val="auto"/>
        </w:rPr>
      </w:pPr>
      <w:r>
        <w:rPr>
          <w:rFonts w:ascii="Arial" w:cs="Arial" w:eastAsia="Arial" w:hAnsi="Arial"/>
          <w:sz w:val="17"/>
          <w:szCs w:val="17"/>
          <w:color w:val="auto"/>
        </w:rPr>
        <w:t>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7"/>
          <w:szCs w:val="17"/>
          <w:b w:val="1"/>
          <w:bCs w:val="1"/>
          <w:color w:val="auto"/>
        </w:rPr>
        <w:t>423 Component</w:t>
      </w:r>
      <w:r>
        <w:rPr>
          <w:rFonts w:ascii="Arial" w:cs="Arial" w:eastAsia="Arial" w:hAnsi="Arial"/>
          <w:sz w:val="17"/>
          <w:szCs w:val="17"/>
          <w:color w:val="auto"/>
        </w:rPr>
        <w:t>”) and a component that is not intended to qualify as an “employee stock purchase plan” under Code Section 423 (the “</w:t>
      </w:r>
      <w:r>
        <w:rPr>
          <w:rFonts w:ascii="Arial" w:cs="Arial" w:eastAsia="Arial" w:hAnsi="Arial"/>
          <w:sz w:val="17"/>
          <w:szCs w:val="17"/>
          <w:b w:val="1"/>
          <w:bCs w:val="1"/>
          <w:color w:val="auto"/>
        </w:rPr>
        <w:t>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423 Component</w:t>
      </w:r>
      <w:r>
        <w:rPr>
          <w:rFonts w:ascii="Arial" w:cs="Arial" w:eastAsia="Arial" w:hAnsi="Arial"/>
          <w:sz w:val="17"/>
          <w:szCs w:val="17"/>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that does not qualify as an “employee stock purchase plan” under Code Section 423; an option granted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provide for substantially the same benefits as an option granted under the 423 Component, except that a Non</w:t>
      </w:r>
      <w:r>
        <w:rPr>
          <w:rFonts w:ascii="MS PGothic" w:cs="MS PGothic" w:eastAsia="MS PGothic" w:hAnsi="MS PGothic"/>
          <w:sz w:val="17"/>
          <w:szCs w:val="17"/>
          <w:color w:val="auto"/>
        </w:rPr>
        <w:t>‑</w:t>
      </w:r>
      <w:r>
        <w:rPr>
          <w:rFonts w:ascii="Arial" w:cs="Arial" w:eastAsia="Arial" w:hAnsi="Arial"/>
          <w:sz w:val="17"/>
          <w:szCs w:val="17"/>
          <w:color w:val="auto"/>
        </w:rPr>
        <w:t>423 Component option may include features necessary to comply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pursuant to rules, procedures or sub</w:t>
      </w:r>
      <w:r>
        <w:rPr>
          <w:rFonts w:ascii="MS PGothic" w:cs="MS PGothic" w:eastAsia="MS PGothic" w:hAnsi="MS PGothic"/>
          <w:sz w:val="17"/>
          <w:szCs w:val="17"/>
          <w:color w:val="auto"/>
        </w:rPr>
        <w:t>‑</w:t>
      </w:r>
      <w:r>
        <w:rPr>
          <w:rFonts w:ascii="Arial" w:cs="Arial" w:eastAsia="Arial" w:hAnsi="Arial"/>
          <w:sz w:val="17"/>
          <w:szCs w:val="17"/>
          <w:color w:val="auto"/>
        </w:rPr>
        <w:t>plans adopted by the Administrator. Except as otherwise provided herein or by the Administrator,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operate and be administered in the same manner as the 423 Component.</w:t>
      </w:r>
    </w:p>
    <w:p>
      <w:pPr>
        <w:spacing w:after="0" w:line="145" w:lineRule="exact"/>
        <w:rPr>
          <w:rFonts w:ascii="Arial" w:cs="Arial" w:eastAsia="Arial" w:hAnsi="Arial"/>
          <w:sz w:val="17"/>
          <w:szCs w:val="17"/>
          <w:b w:val="1"/>
          <w:bCs w:val="1"/>
          <w:color w:val="auto"/>
        </w:rPr>
      </w:pPr>
    </w:p>
    <w:p>
      <w:pPr>
        <w:ind w:left="660" w:hanging="328"/>
        <w:spacing w:after="0"/>
        <w:tabs>
          <w:tab w:leader="none" w:pos="660" w:val="left"/>
        </w:tabs>
        <w:numPr>
          <w:ilvl w:val="0"/>
          <w:numId w:val="6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Committee designated by the Board to administer the Plan pursuant to Section 3.</w:t>
      </w:r>
    </w:p>
    <w:p>
      <w:pPr>
        <w:spacing w:after="0" w:line="171" w:lineRule="exact"/>
        <w:rPr>
          <w:sz w:val="20"/>
          <w:szCs w:val="20"/>
          <w:color w:val="auto"/>
        </w:rPr>
      </w:pPr>
    </w:p>
    <w:p>
      <w:pPr>
        <w:jc w:val="both"/>
        <w:ind w:right="80" w:firstLine="648"/>
        <w:spacing w:after="0" w:line="220" w:lineRule="exact"/>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w:t>
      </w:r>
      <w:r>
        <w:rPr>
          <w:rFonts w:ascii="MS PGothic" w:cs="MS PGothic" w:eastAsia="MS PGothic" w:hAnsi="MS PGothic"/>
          <w:sz w:val="18"/>
          <w:szCs w:val="18"/>
          <w:color w:val="auto"/>
        </w:rPr>
        <w:t>‑</w:t>
      </w:r>
      <w:r>
        <w:rPr>
          <w:rFonts w:ascii="Arial" w:cs="Arial" w:eastAsia="Arial" w:hAnsi="Arial"/>
          <w:sz w:val="18"/>
          <w:szCs w:val="18"/>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8"/>
          <w:szCs w:val="18"/>
          <w:color w:val="auto"/>
        </w:rPr>
        <w:t>‑</w:t>
      </w:r>
      <w:r>
        <w:rPr>
          <w:rFonts w:ascii="Arial" w:cs="Arial" w:eastAsia="Arial" w:hAnsi="Arial"/>
          <w:sz w:val="18"/>
          <w:szCs w:val="18"/>
          <w:color w:val="auto"/>
        </w:rPr>
        <w:t>U.S. country or jurisdiction where options are, or will be, granted under the Plan.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ind w:right="60" w:firstLine="1304"/>
        <w:spacing w:after="0" w:line="287" w:lineRule="auto"/>
        <w:tabs>
          <w:tab w:leader="none" w:pos="1941"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Change in Ownership of the Company</w:t>
      </w:r>
      <w:r>
        <w:rPr>
          <w:rFonts w:ascii="Arial" w:cs="Arial" w:eastAsia="Arial" w:hAnsi="Arial"/>
          <w:sz w:val="16"/>
          <w:szCs w:val="16"/>
          <w:color w:val="auto"/>
        </w:rPr>
        <w:t>. A change in the ownership of the Company which occurs on the date that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13" w:lineRule="exact"/>
        <w:rPr>
          <w:rFonts w:ascii="Arial" w:cs="Arial" w:eastAsia="Arial" w:hAnsi="Arial"/>
          <w:sz w:val="16"/>
          <w:szCs w:val="16"/>
          <w:color w:val="auto"/>
        </w:rPr>
      </w:pPr>
    </w:p>
    <w:p>
      <w:pPr>
        <w:ind w:right="60" w:firstLine="1304"/>
        <w:spacing w:after="0" w:line="281" w:lineRule="auto"/>
        <w:tabs>
          <w:tab w:leader="none" w:pos="1938" w:val="left"/>
        </w:tabs>
        <w:numPr>
          <w:ilvl w:val="0"/>
          <w:numId w:val="623"/>
        </w:numPr>
        <w:rPr>
          <w:rFonts w:ascii="Arial" w:cs="Arial" w:eastAsia="Arial" w:hAnsi="Arial"/>
          <w:sz w:val="17"/>
          <w:szCs w:val="17"/>
          <w:color w:val="auto"/>
        </w:rPr>
      </w:pPr>
      <w:r>
        <w:rPr>
          <w:rFonts w:ascii="Arial" w:cs="Arial" w:eastAsia="Arial" w:hAnsi="Arial"/>
          <w:sz w:val="17"/>
          <w:szCs w:val="17"/>
          <w:b w:val="1"/>
          <w:bCs w:val="1"/>
          <w:color w:val="auto"/>
        </w:rPr>
        <w:t>Change in Effective Control of the Company</w:t>
      </w:r>
      <w:r>
        <w:rPr>
          <w:rFonts w:ascii="Arial" w:cs="Arial" w:eastAsia="Arial" w:hAnsi="Arial"/>
          <w:sz w:val="17"/>
          <w:szCs w:val="17"/>
          <w:color w:val="auto"/>
        </w:rPr>
        <w:t>. If the Company has a class of securities registered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2" w:name="page633"/>
    <w:bookmarkEnd w:id="632"/>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Company, the acquisition of additional control of the Company by the same Person will not be considered a Change in Control; or</w:t>
      </w:r>
    </w:p>
    <w:p>
      <w:pPr>
        <w:spacing w:after="0" w:line="179" w:lineRule="exact"/>
        <w:rPr>
          <w:sz w:val="20"/>
          <w:szCs w:val="20"/>
          <w:color w:val="auto"/>
        </w:rPr>
      </w:pPr>
    </w:p>
    <w:p>
      <w:pPr>
        <w:ind w:right="20" w:firstLine="1304"/>
        <w:spacing w:after="0" w:line="269" w:lineRule="auto"/>
        <w:tabs>
          <w:tab w:leader="none" w:pos="1941" w:val="left"/>
        </w:tabs>
        <w:numPr>
          <w:ilvl w:val="0"/>
          <w:numId w:val="624"/>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2.5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a committee of the Board appointed in accordance with Section 3 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color w:val="auto"/>
        </w:rPr>
        <w:t>Compensation</w:t>
      </w:r>
      <w:r>
        <w:rPr>
          <w:rFonts w:ascii="Arial" w:cs="Arial" w:eastAsia="Arial" w:hAnsi="Arial"/>
          <w:sz w:val="17"/>
          <w:szCs w:val="17"/>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0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0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Designated Company</w:t>
      </w:r>
      <w:r>
        <w:rPr>
          <w:rFonts w:ascii="Arial" w:cs="Arial" w:eastAsia="Arial" w:hAnsi="Arial"/>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3" w:name="page634"/>
    <w:bookmarkEnd w:id="633"/>
    <w:p>
      <w:pPr>
        <w:spacing w:after="0" w:line="209" w:lineRule="auto"/>
        <w:framePr w:w="400" w:h="160" w:wrap="auto" w:vAnchor="page" w:hAnchor="page" w:x="940" w:y="8188"/>
        <w:rPr>
          <w:rFonts w:ascii="Arial" w:cs="Arial" w:eastAsia="Arial" w:hAnsi="Arial"/>
          <w:sz w:val="16"/>
          <w:szCs w:val="16"/>
          <w:color w:val="auto"/>
        </w:rPr>
      </w:pPr>
      <w:r>
        <w:rPr>
          <w:rFonts w:ascii="Arial" w:cs="Arial" w:eastAsia="Arial" w:hAnsi="Arial"/>
          <w:sz w:val="16"/>
          <w:szCs w:val="16"/>
          <w:color w:val="auto"/>
        </w:rPr>
        <w:t>2.17</w:t>
      </w:r>
    </w:p>
    <w:p>
      <w:pPr>
        <w:spacing w:after="0" w:line="209" w:lineRule="auto"/>
        <w:framePr w:w="900" w:h="160" w:wrap="auto" w:vAnchor="page" w:hAnchor="page" w:x="280" w:y="8404"/>
        <w:rPr>
          <w:rFonts w:ascii="Arial" w:cs="Arial" w:eastAsia="Arial" w:hAnsi="Arial"/>
          <w:sz w:val="16"/>
          <w:szCs w:val="16"/>
          <w:color w:val="auto"/>
        </w:rPr>
      </w:pPr>
      <w:r>
        <w:rPr>
          <w:rFonts w:ascii="Arial" w:cs="Arial" w:eastAsia="Arial" w:hAnsi="Arial"/>
          <w:sz w:val="16"/>
          <w:szCs w:val="16"/>
          <w:color w:val="auto"/>
        </w:rPr>
        <w:t>thereunder.</w:t>
      </w:r>
    </w:p>
    <w:p>
      <w:pPr>
        <w:spacing w:after="0" w:line="144" w:lineRule="exact"/>
        <w:rPr>
          <w:rFonts w:ascii="Arial" w:cs="Arial" w:eastAsia="Arial" w:hAnsi="Arial"/>
          <w:sz w:val="16"/>
          <w:szCs w:val="16"/>
          <w:color w:val="auto"/>
        </w:rPr>
      </w:pPr>
    </w:p>
    <w:p>
      <w:pPr>
        <w:spacing w:after="0" w:line="207" w:lineRule="exact"/>
        <w:rPr>
          <w:sz w:val="20"/>
          <w:szCs w:val="20"/>
          <w:color w:val="auto"/>
        </w:rPr>
      </w:pPr>
      <w:r>
        <w:rPr>
          <w:rFonts w:ascii="Arial" w:cs="Arial" w:eastAsia="Arial" w:hAnsi="Arial"/>
          <w:sz w:val="18"/>
          <w:szCs w:val="18"/>
          <w:color w:val="auto"/>
        </w:rPr>
        <w:t>Subsidiary that is a Designated Company under the 423 Component will not be a Designated Company under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67"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member of the Board.</w:t>
      </w:r>
    </w:p>
    <w:p>
      <w:pPr>
        <w:spacing w:after="0" w:line="171" w:lineRule="exact"/>
        <w:rPr>
          <w:rFonts w:ascii="Arial" w:cs="Arial" w:eastAsia="Arial" w:hAnsi="Arial"/>
          <w:sz w:val="16"/>
          <w:szCs w:val="16"/>
          <w:color w:val="auto"/>
        </w:rPr>
      </w:pPr>
    </w:p>
    <w:p>
      <w:pPr>
        <w:ind w:right="60" w:firstLine="648"/>
        <w:spacing w:after="0" w:line="289"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Arial" w:cs="Arial" w:eastAsia="Arial" w:hAnsi="Arial"/>
          <w:sz w:val="17"/>
          <w:szCs w:val="17"/>
          <w:b w:val="1"/>
          <w:bCs w:val="1"/>
          <w:color w:val="auto"/>
        </w:rPr>
        <w:t>Merger</w:t>
      </w:r>
      <w:r>
        <w:rPr>
          <w:rFonts w:ascii="Arial" w:cs="Arial" w:eastAsia="Arial" w:hAnsi="Arial"/>
          <w:sz w:val="17"/>
          <w:szCs w:val="17"/>
          <w:color w:val="auto"/>
        </w:rPr>
        <w:t>”).</w:t>
      </w:r>
    </w:p>
    <w:p>
      <w:pPr>
        <w:spacing w:after="0" w:line="104" w:lineRule="exact"/>
        <w:rPr>
          <w:rFonts w:ascii="Arial" w:cs="Arial" w:eastAsia="Arial" w:hAnsi="Arial"/>
          <w:sz w:val="16"/>
          <w:szCs w:val="16"/>
          <w:color w:val="auto"/>
        </w:rPr>
      </w:pPr>
    </w:p>
    <w:p>
      <w:pPr>
        <w:ind w:firstLine="648"/>
        <w:spacing w:after="0" w:line="217" w:lineRule="exact"/>
        <w:rPr>
          <w:sz w:val="20"/>
          <w:szCs w:val="20"/>
          <w:color w:val="auto"/>
        </w:rPr>
      </w:pPr>
      <w:r>
        <w:rPr>
          <w:rFonts w:ascii="Arial" w:cs="Arial" w:eastAsia="Arial" w:hAnsi="Arial"/>
          <w:sz w:val="16"/>
          <w:szCs w:val="16"/>
          <w:color w:val="auto"/>
        </w:rPr>
        <w:t>2.14 “</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2(e)(2)(ii). Such exclusions may be applied with respect to an Offering under the Non</w:t>
      </w:r>
      <w:r>
        <w:rPr>
          <w:rFonts w:ascii="MS PGothic" w:cs="MS PGothic" w:eastAsia="MS PGothic" w:hAnsi="MS PGothic"/>
          <w:sz w:val="16"/>
          <w:szCs w:val="16"/>
          <w:color w:val="auto"/>
        </w:rPr>
        <w:t>‑</w:t>
      </w:r>
      <w:r>
        <w:rPr>
          <w:rFonts w:ascii="Arial" w:cs="Arial" w:eastAsia="Arial" w:hAnsi="Arial"/>
          <w:sz w:val="16"/>
          <w:szCs w:val="16"/>
          <w:color w:val="auto"/>
        </w:rPr>
        <w:t>423 Component without regard to the limitations of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w:t>
      </w:r>
    </w:p>
    <w:p>
      <w:pPr>
        <w:spacing w:after="0" w:line="144"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Employer</w:t>
      </w:r>
      <w:r>
        <w:rPr>
          <w:rFonts w:ascii="Arial" w:cs="Arial" w:eastAsia="Arial" w:hAnsi="Arial"/>
          <w:sz w:val="16"/>
          <w:szCs w:val="16"/>
          <w:color w:val="auto"/>
        </w:rPr>
        <w:t>” means the employer of the applicable Eligible Employee(s).</w:t>
      </w:r>
    </w:p>
    <w:p>
      <w:pPr>
        <w:spacing w:after="0" w:line="171"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Enrollment Date</w:t>
      </w:r>
      <w:r>
        <w:rPr>
          <w:rFonts w:ascii="Arial" w:cs="Arial" w:eastAsia="Arial" w:hAnsi="Arial"/>
          <w:sz w:val="16"/>
          <w:szCs w:val="16"/>
          <w:color w:val="auto"/>
        </w:rPr>
        <w:t>” means the first Trading Day of each Offering Period.</w:t>
      </w:r>
    </w:p>
    <w:p>
      <w:pPr>
        <w:spacing w:after="0" w:line="171" w:lineRule="exact"/>
        <w:rPr>
          <w:rFonts w:ascii="Arial" w:cs="Arial" w:eastAsia="Arial" w:hAnsi="Arial"/>
          <w:sz w:val="16"/>
          <w:szCs w:val="16"/>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99" w:lineRule="exact"/>
        <w:rPr>
          <w:rFonts w:ascii="Arial" w:cs="Arial" w:eastAsia="Arial" w:hAnsi="Arial"/>
          <w:sz w:val="16"/>
          <w:szCs w:val="16"/>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Exercise Date</w:t>
      </w:r>
      <w:r>
        <w:rPr>
          <w:rFonts w:ascii="Arial" w:cs="Arial" w:eastAsia="Arial" w:hAnsi="Arial"/>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26" w:lineRule="exact"/>
        <w:rPr>
          <w:rFonts w:ascii="Arial" w:cs="Arial" w:eastAsia="Arial" w:hAnsi="Arial"/>
          <w:sz w:val="16"/>
          <w:szCs w:val="16"/>
          <w:color w:val="auto"/>
        </w:rPr>
      </w:pPr>
    </w:p>
    <w:p>
      <w:pPr>
        <w:jc w:val="both"/>
        <w:ind w:right="100" w:firstLine="648"/>
        <w:spacing w:after="0" w:line="28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rFonts w:ascii="Arial" w:cs="Arial" w:eastAsia="Arial" w:hAnsi="Arial"/>
          <w:sz w:val="16"/>
          <w:szCs w:val="16"/>
          <w:color w:val="auto"/>
        </w:rPr>
      </w:pPr>
    </w:p>
    <w:p>
      <w:pPr>
        <w:ind w:right="60" w:firstLine="1304"/>
        <w:spacing w:after="0" w:line="263" w:lineRule="auto"/>
        <w:tabs>
          <w:tab w:leader="none" w:pos="1941" w:val="left"/>
        </w:tabs>
        <w:numPr>
          <w:ilvl w:val="0"/>
          <w:numId w:val="625"/>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4" w:name="page635"/>
    <w:bookmarkEnd w:id="634"/>
    <w:p>
      <w:pPr>
        <w:spacing w:after="0" w:line="145"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or such other source as the Administrator deems reliable;</w:t>
      </w:r>
    </w:p>
    <w:p>
      <w:pPr>
        <w:spacing w:after="0" w:line="130" w:lineRule="exact"/>
        <w:rPr>
          <w:sz w:val="20"/>
          <w:szCs w:val="20"/>
          <w:color w:val="auto"/>
        </w:rPr>
      </w:pPr>
    </w:p>
    <w:p>
      <w:pPr>
        <w:ind w:right="20" w:firstLine="1304"/>
        <w:spacing w:after="0" w:line="259" w:lineRule="auto"/>
        <w:tabs>
          <w:tab w:leader="none" w:pos="1938"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Exercise Date</w:t>
      </w:r>
      <w:r>
        <w:rPr>
          <w:rFonts w:ascii="Arial" w:cs="Arial" w:eastAsia="Arial" w:hAnsi="Arial"/>
          <w:sz w:val="16"/>
          <w:szCs w:val="16"/>
          <w:color w:val="auto"/>
        </w:rPr>
        <w:t>” means a new Exercise Date if the Administrator shortens any Offering Period then in progress.</w:t>
      </w:r>
    </w:p>
    <w:p>
      <w:pPr>
        <w:spacing w:after="0" w:line="171" w:lineRule="exact"/>
        <w:rPr>
          <w:sz w:val="20"/>
          <w:szCs w:val="20"/>
          <w:color w:val="auto"/>
        </w:rPr>
      </w:pPr>
    </w:p>
    <w:p>
      <w:pPr>
        <w:ind w:right="40" w:firstLine="648"/>
        <w:spacing w:after="0" w:line="220" w:lineRule="exact"/>
        <w:rPr>
          <w:sz w:val="20"/>
          <w:szCs w:val="20"/>
          <w:color w:val="auto"/>
        </w:rPr>
      </w:pPr>
      <w:r>
        <w:rPr>
          <w:rFonts w:ascii="Arial" w:cs="Arial" w:eastAsia="Arial" w:hAnsi="Arial"/>
          <w:sz w:val="16"/>
          <w:szCs w:val="16"/>
          <w:color w:val="auto"/>
        </w:rPr>
        <w:t>2.22 “</w:t>
      </w:r>
      <w:r>
        <w:rPr>
          <w:rFonts w:ascii="Arial" w:cs="Arial" w:eastAsia="Arial" w:hAnsi="Arial"/>
          <w:sz w:val="16"/>
          <w:szCs w:val="16"/>
          <w:b w:val="1"/>
          <w:bCs w:val="1"/>
          <w:color w:val="auto"/>
        </w:rPr>
        <w:t>Offering</w:t>
      </w:r>
      <w:r>
        <w:rPr>
          <w:rFonts w:ascii="Arial" w:cs="Arial" w:eastAsia="Arial" w:hAnsi="Arial"/>
          <w:sz w:val="16"/>
          <w:szCs w:val="16"/>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2(a)(2) and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Offering Period</w:t>
      </w:r>
      <w:r>
        <w:rPr>
          <w:rFonts w:ascii="Arial" w:cs="Arial" w:eastAsia="Arial" w:hAnsi="Arial"/>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w:t>
      </w:r>
      <w:r>
        <w:rPr>
          <w:rFonts w:ascii="Arial" w:cs="Arial" w:eastAsia="Arial" w:hAnsi="Arial"/>
          <w:sz w:val="16"/>
          <w:szCs w:val="16"/>
          <w:b w:val="1"/>
          <w:bCs w:val="1"/>
          <w:color w:val="auto"/>
        </w:rPr>
        <w:t>parent corporation</w:t>
      </w:r>
      <w:r>
        <w:rPr>
          <w:rFonts w:ascii="Arial" w:cs="Arial" w:eastAsia="Arial" w:hAnsi="Arial"/>
          <w:sz w:val="16"/>
          <w:szCs w:val="16"/>
          <w:color w:val="auto"/>
        </w:rPr>
        <w:t>,”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that participates in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Nautilus Biotechnology, Inc. 2021 Employee Stock Purchase Plan.</w:t>
      </w:r>
    </w:p>
    <w:p>
      <w:pPr>
        <w:spacing w:after="0" w:line="171"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Purchase Period</w:t>
      </w:r>
      <w:r>
        <w:rPr>
          <w:rFonts w:ascii="Arial" w:cs="Arial" w:eastAsia="Arial" w:hAnsi="Arial"/>
          <w:sz w:val="18"/>
          <w:szCs w:val="18"/>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eighty</w:t>
      </w:r>
      <w:r>
        <w:rPr>
          <w:rFonts w:ascii="MS PGothic" w:cs="MS PGothic" w:eastAsia="MS PGothic" w:hAnsi="MS PGothic"/>
          <w:sz w:val="18"/>
          <w:szCs w:val="18"/>
          <w:color w:val="auto"/>
        </w:rPr>
        <w:t>‑</w:t>
      </w:r>
      <w:r>
        <w:rPr>
          <w:rFonts w:ascii="Arial" w:cs="Arial" w:eastAsia="Arial" w:hAnsi="Arial"/>
          <w:sz w:val="18"/>
          <w:szCs w:val="18"/>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5" w:name="page636"/>
    <w:bookmarkEnd w:id="635"/>
    <w:p>
      <w:pPr>
        <w:spacing w:after="0" w:line="14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171"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7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Stock Subject to the Plan</w:t>
      </w:r>
      <w:r>
        <w:rPr>
          <w:rFonts w:ascii="Arial" w:cs="Arial" w:eastAsia="Arial" w:hAnsi="Arial"/>
          <w:sz w:val="17"/>
          <w:szCs w:val="17"/>
          <w:color w:val="auto"/>
        </w:rPr>
        <w:t>. Subject to adjustment upon changes in capitalization of the Company as provided in Section 17 hereof, the maximum number of shares of Common Stock that will be made available for sale under the Plan will be 1,244,900 shares of Common Stock.</w:t>
      </w:r>
    </w:p>
    <w:p>
      <w:pPr>
        <w:spacing w:after="0" w:line="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33" w:lineRule="exact"/>
        <w:rPr>
          <w:sz w:val="20"/>
          <w:szCs w:val="20"/>
          <w:color w:val="auto"/>
        </w:rPr>
      </w:pPr>
    </w:p>
    <w:p>
      <w:pPr>
        <w:ind w:right="360" w:firstLine="332"/>
        <w:spacing w:after="0" w:line="282" w:lineRule="auto"/>
        <w:tabs>
          <w:tab w:leader="none" w:pos="648" w:val="left"/>
        </w:tabs>
        <w:numPr>
          <w:ilvl w:val="0"/>
          <w:numId w:val="62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Plan will be administered by the Board or a Committee appointed by the Board, which Committee will be constituted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Laws. The Administrator will have full and exclusive discretionary authority to</w:t>
      </w:r>
    </w:p>
    <w:p>
      <w:pPr>
        <w:spacing w:after="0" w:line="111" w:lineRule="exact"/>
        <w:rPr>
          <w:rFonts w:ascii="Arial" w:cs="Arial" w:eastAsia="Arial" w:hAnsi="Arial"/>
          <w:sz w:val="18"/>
          <w:szCs w:val="18"/>
          <w:color w:val="auto"/>
        </w:rPr>
      </w:pPr>
    </w:p>
    <w:p>
      <w:pPr>
        <w:ind w:left="1300" w:hanging="644"/>
        <w:spacing w:after="0"/>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construe, interpret and apply the terms of the Plan,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delegate ministerial duties to any of the Company’s employees,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designate separate Offerings under the Plan,</w:t>
      </w:r>
    </w:p>
    <w:p>
      <w:pPr>
        <w:spacing w:after="0" w:line="171" w:lineRule="exact"/>
        <w:rPr>
          <w:rFonts w:ascii="Arial" w:cs="Arial" w:eastAsia="Arial" w:hAnsi="Arial"/>
          <w:sz w:val="18"/>
          <w:szCs w:val="18"/>
          <w:color w:val="auto"/>
        </w:rPr>
      </w:pPr>
    </w:p>
    <w:p>
      <w:pPr>
        <w:ind w:left="1300" w:hanging="644"/>
        <w:spacing w:after="0" w:line="207" w:lineRule="exact"/>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designate Subsidiaries as participating in the 423 Component or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adjudicate all disputed claims filed under the Plan, and</w:t>
      </w:r>
    </w:p>
    <w:p>
      <w:pPr>
        <w:spacing w:after="0" w:line="171" w:lineRule="exact"/>
        <w:rPr>
          <w:rFonts w:ascii="Arial" w:cs="Arial" w:eastAsia="Arial" w:hAnsi="Arial"/>
          <w:sz w:val="18"/>
          <w:szCs w:val="18"/>
          <w:color w:val="auto"/>
        </w:rPr>
      </w:pPr>
    </w:p>
    <w:p>
      <w:pPr>
        <w:ind w:firstLine="656"/>
        <w:spacing w:after="0" w:line="218" w:lineRule="exact"/>
        <w:tabs>
          <w:tab w:leader="none" w:pos="1290" w:val="left"/>
        </w:tabs>
        <w:numPr>
          <w:ilvl w:val="1"/>
          <w:numId w:val="628"/>
        </w:numPr>
        <w:rPr>
          <w:rFonts w:ascii="Arial" w:cs="Arial" w:eastAsia="Arial" w:hAnsi="Arial"/>
          <w:sz w:val="16"/>
          <w:szCs w:val="16"/>
          <w:color w:val="auto"/>
        </w:rPr>
      </w:pPr>
      <w:r>
        <w:rPr>
          <w:rFonts w:ascii="Arial" w:cs="Arial" w:eastAsia="Arial" w:hAnsi="Arial"/>
          <w:sz w:val="16"/>
          <w:szCs w:val="16"/>
          <w:color w:val="auto"/>
        </w:rPr>
        <w:t>establish such procedures that it deems necessary or advisable for the administration of the Plan (including, without limitation, to adopt such procedures, sub</w:t>
      </w:r>
      <w:r>
        <w:rPr>
          <w:rFonts w:ascii="MS PGothic" w:cs="MS PGothic" w:eastAsia="MS PGothic" w:hAnsi="MS PGothic"/>
          <w:sz w:val="16"/>
          <w:szCs w:val="16"/>
          <w:color w:val="auto"/>
        </w:rPr>
        <w:t>‑</w:t>
      </w:r>
      <w:r>
        <w:rPr>
          <w:rFonts w:ascii="Arial" w:cs="Arial" w:eastAsia="Arial" w:hAnsi="Arial"/>
          <w:sz w:val="16"/>
          <w:szCs w:val="16"/>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6"/>
          <w:szCs w:val="16"/>
          <w:color w:val="auto"/>
        </w:rPr>
        <w:t>‑</w:t>
      </w:r>
      <w:r>
        <w:rPr>
          <w:rFonts w:ascii="Arial" w:cs="Arial" w:eastAsia="Arial" w:hAnsi="Arial"/>
          <w:sz w:val="16"/>
          <w:szCs w:val="16"/>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the provisions of this Plan will govern the operation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Unless otherwise determined by the Administrator, the Eligible Employees eligible to participate in each sub</w:t>
      </w:r>
      <w:r>
        <w:rPr>
          <w:rFonts w:ascii="MS PGothic" w:cs="MS PGothic" w:eastAsia="MS PGothic" w:hAnsi="MS PGothic"/>
          <w:sz w:val="16"/>
          <w:szCs w:val="16"/>
          <w:color w:val="auto"/>
        </w:rPr>
        <w:t>‑</w:t>
      </w:r>
      <w:r>
        <w:rPr>
          <w:rFonts w:ascii="Arial" w:cs="Arial" w:eastAsia="Arial" w:hAnsi="Arial"/>
          <w:sz w:val="16"/>
          <w:szCs w:val="16"/>
          <w:color w:val="auto"/>
        </w:rPr>
        <w:t>plan will participate in a separate Offering under the 423 Component, or if the terms would not qualify under the 423 Component, in the Non</w:t>
      </w:r>
      <w:r>
        <w:rPr>
          <w:rFonts w:ascii="MS PGothic" w:cs="MS PGothic" w:eastAsia="MS PGothic" w:hAnsi="MS PGothic"/>
          <w:sz w:val="16"/>
          <w:szCs w:val="16"/>
          <w:color w:val="auto"/>
        </w:rPr>
        <w:t>‑</w:t>
      </w:r>
      <w:r>
        <w:rPr>
          <w:rFonts w:ascii="Arial" w:cs="Arial" w:eastAsia="Arial" w:hAnsi="Arial"/>
          <w:sz w:val="16"/>
          <w:szCs w:val="16"/>
          <w:color w:val="auto"/>
        </w:rPr>
        <w:t>423 Component, in either case unless such designation would cause the 423 Component to violate the requirements of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6" w:name="page637"/>
    <w:bookmarkEnd w:id="636"/>
    <w:p>
      <w:pPr>
        <w:spacing w:after="0" w:line="14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 the terms of an option granted under the Plan or an Offering to citizens or residents of a non</w:t>
      </w:r>
      <w:r>
        <w:rPr>
          <w:rFonts w:ascii="MS PGothic" w:cs="MS PGothic" w:eastAsia="MS PGothic" w:hAnsi="MS PGothic"/>
          <w:sz w:val="17"/>
          <w:szCs w:val="17"/>
          <w:color w:val="auto"/>
        </w:rPr>
        <w:t>‑</w:t>
      </w:r>
      <w:r>
        <w:rPr>
          <w:rFonts w:ascii="Arial" w:cs="Arial" w:eastAsia="Arial" w:hAnsi="Arial"/>
          <w:sz w:val="17"/>
          <w:szCs w:val="17"/>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46" w:lineRule="exact"/>
        <w:rPr>
          <w:sz w:val="20"/>
          <w:szCs w:val="20"/>
          <w:color w:val="auto"/>
        </w:rPr>
      </w:pPr>
    </w:p>
    <w:p>
      <w:pPr>
        <w:ind w:left="660" w:hanging="328"/>
        <w:spacing w:after="0"/>
        <w:tabs>
          <w:tab w:leader="none" w:pos="660"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1"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Offering Periods.</w:t>
      </w:r>
      <w:r>
        <w:rPr>
          <w:rFonts w:ascii="Arial" w:cs="Arial" w:eastAsia="Arial" w:hAnsi="Arial"/>
          <w:sz w:val="18"/>
          <w:szCs w:val="18"/>
          <w:color w:val="auto"/>
        </w:rPr>
        <w:t xml:space="preserve"> Any Eligible Employee on a given Enrollment Date will be eligible to participate in the Plan, subject to the requirements of Section 7.</w:t>
      </w:r>
    </w:p>
    <w:p>
      <w:pPr>
        <w:spacing w:after="0" w:line="108"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Employees.</w:t>
      </w:r>
      <w:r>
        <w:rPr>
          <w:rFonts w:ascii="Arial" w:cs="Arial" w:eastAsia="Arial" w:hAnsi="Arial"/>
          <w:sz w:val="18"/>
          <w:szCs w:val="18"/>
          <w:color w:val="auto"/>
        </w:rPr>
        <w:t xml:space="preserve"> Eligible Employees who are citizens or residents of a non</w:t>
      </w:r>
      <w:r>
        <w:rPr>
          <w:rFonts w:ascii="MS PGothic" w:cs="MS PGothic" w:eastAsia="MS PGothic" w:hAnsi="MS PGothic"/>
          <w:sz w:val="18"/>
          <w:szCs w:val="18"/>
          <w:color w:val="auto"/>
        </w:rPr>
        <w:t>‑</w:t>
      </w:r>
      <w:r>
        <w:rPr>
          <w:rFonts w:ascii="Arial" w:cs="Arial" w:eastAsia="Arial" w:hAnsi="Arial"/>
          <w:sz w:val="18"/>
          <w:szCs w:val="18"/>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8"/>
          <w:szCs w:val="18"/>
          <w:color w:val="auto"/>
        </w:rPr>
        <w:t>‑</w:t>
      </w:r>
      <w:r>
        <w:rPr>
          <w:rFonts w:ascii="Arial" w:cs="Arial" w:eastAsia="Arial" w:hAnsi="Arial"/>
          <w:sz w:val="18"/>
          <w:szCs w:val="18"/>
          <w:color w:val="auto"/>
        </w:rPr>
        <w:t>423 Component, an Eligible Employee may be excluded from participation in the Plan or an Offering if the Administrator has determined that participation of such Eligible Employee is not advisable or practicable.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 xml:space="preserve">Limitations. </w:t>
      </w:r>
      <w:r>
        <w:rPr>
          <w:rFonts w:ascii="Arial" w:cs="Arial" w:eastAsia="Arial" w:hAnsi="Arial"/>
          <w:sz w:val="16"/>
          <w:szCs w:val="16"/>
          <w:color w:val="auto"/>
        </w:rPr>
        <w:t>Any provisions of the Plan to the contrary notwithstanding, no Eligible Employee will be granted an option under the Plan</w:t>
      </w:r>
    </w:p>
    <w:p>
      <w:pPr>
        <w:spacing w:after="0" w:line="27" w:lineRule="exact"/>
        <w:rPr>
          <w:sz w:val="20"/>
          <w:szCs w:val="20"/>
          <w:color w:val="auto"/>
        </w:rPr>
      </w:pPr>
    </w:p>
    <w:p>
      <w:pPr>
        <w:ind w:right="60" w:firstLine="8"/>
        <w:spacing w:after="0" w:line="216" w:lineRule="exact"/>
        <w:tabs>
          <w:tab w:leader="none" w:pos="245" w:val="left"/>
        </w:tabs>
        <w:numPr>
          <w:ilvl w:val="0"/>
          <w:numId w:val="630"/>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6"/>
          <w:szCs w:val="16"/>
          <w:color w:val="auto"/>
        </w:rPr>
        <w:t>‑</w:t>
      </w:r>
      <w:r>
        <w:rPr>
          <w:rFonts w:ascii="Arial" w:cs="Arial" w:eastAsia="Arial" w:hAnsi="Arial"/>
          <w:sz w:val="16"/>
          <w:szCs w:val="16"/>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7" w:lineRule="exact"/>
        <w:rPr>
          <w:rFonts w:ascii="Arial" w:cs="Arial" w:eastAsia="Arial" w:hAnsi="Arial"/>
          <w:sz w:val="16"/>
          <w:szCs w:val="16"/>
          <w:color w:val="auto"/>
        </w:rPr>
      </w:pPr>
    </w:p>
    <w:p>
      <w:pPr>
        <w:ind w:right="60" w:firstLine="332"/>
        <w:spacing w:after="0" w:line="219" w:lineRule="exact"/>
        <w:tabs>
          <w:tab w:leader="none" w:pos="648" w:val="left"/>
        </w:tabs>
        <w:numPr>
          <w:ilvl w:val="1"/>
          <w:numId w:val="630"/>
        </w:numPr>
        <w:rPr>
          <w:rFonts w:ascii="Arial" w:cs="Arial" w:eastAsia="Arial" w:hAnsi="Arial"/>
          <w:sz w:val="16"/>
          <w:szCs w:val="16"/>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The Plan will be implemented by Offering Periods as established by the Administrator from time to time. Offering Periods will</w:t>
      </w:r>
      <w:r>
        <w:rPr>
          <w:rFonts w:ascii="Arial" w:cs="Arial" w:eastAsia="Arial" w:hAnsi="Arial"/>
          <w:sz w:val="16"/>
          <w:szCs w:val="16"/>
          <w:b w:val="1"/>
          <w:bCs w:val="1"/>
          <w:color w:val="auto"/>
        </w:rPr>
        <w:t xml:space="preserve"> </w:t>
      </w:r>
      <w:r>
        <w:rPr>
          <w:rFonts w:ascii="Arial" w:cs="Arial" w:eastAsia="Arial" w:hAnsi="Arial"/>
          <w:sz w:val="16"/>
          <w:szCs w:val="16"/>
          <w:color w:val="auto"/>
        </w:rPr>
        <w:t>expire on the earliest to occur of (a) the completion of the purchase of shares on the last Exercise Date occurring within twenty</w:t>
      </w:r>
      <w:r>
        <w:rPr>
          <w:rFonts w:ascii="MS PGothic" w:cs="MS PGothic" w:eastAsia="MS PGothic" w:hAnsi="MS PGothic"/>
          <w:sz w:val="16"/>
          <w:szCs w:val="16"/>
          <w:color w:val="auto"/>
        </w:rPr>
        <w:t>‑</w:t>
      </w:r>
      <w:r>
        <w:rPr>
          <w:rFonts w:ascii="Arial" w:cs="Arial" w:eastAsia="Arial" w:hAnsi="Arial"/>
          <w:sz w:val="16"/>
          <w:szCs w:val="16"/>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6"/>
          <w:szCs w:val="16"/>
          <w:color w:val="auto"/>
        </w:rPr>
        <w:t>‑</w:t>
      </w:r>
      <w:r>
        <w:rPr>
          <w:rFonts w:ascii="Arial" w:cs="Arial" w:eastAsia="Arial" w:hAnsi="Arial"/>
          <w:sz w:val="16"/>
          <w:szCs w:val="16"/>
          <w:color w:val="auto"/>
        </w:rPr>
        <w:t>seven (27) months.</w:t>
      </w:r>
    </w:p>
    <w:p>
      <w:pPr>
        <w:spacing w:after="0" w:line="144" w:lineRule="exact"/>
        <w:rPr>
          <w:rFonts w:ascii="Arial" w:cs="Arial" w:eastAsia="Arial" w:hAnsi="Arial"/>
          <w:sz w:val="16"/>
          <w:szCs w:val="16"/>
          <w:color w:val="auto"/>
        </w:rPr>
      </w:pPr>
    </w:p>
    <w:p>
      <w:pPr>
        <w:jc w:val="both"/>
        <w:ind w:right="60" w:firstLine="332"/>
        <w:spacing w:after="0" w:line="303" w:lineRule="auto"/>
        <w:tabs>
          <w:tab w:leader="none" w:pos="648" w:val="left"/>
        </w:tabs>
        <w:numPr>
          <w:ilvl w:val="1"/>
          <w:numId w:val="630"/>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An Eligible Employee may participate in the Plan pursuant to Section 5.1 by (a) submitting to the Company’s stock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(or its designee), a properly completed subscription agreement authorizing Contributions in the form provided by the Administrator for such purpose (which may be similar to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or (b) following an electronic or other enrollment procedure determined by the Administrator, in either case, on or before a date determined by the Administrator prior to an applicable Enrollment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0" w:lineRule="exact"/>
        <w:rPr>
          <w:sz w:val="20"/>
          <w:szCs w:val="20"/>
          <w:color w:val="auto"/>
        </w:rPr>
      </w:pPr>
    </w:p>
    <w:p>
      <w:pPr>
        <w:ind w:left="660" w:hanging="328"/>
        <w:spacing w:after="0"/>
        <w:tabs>
          <w:tab w:leader="none" w:pos="66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Contributions.</w:t>
      </w:r>
    </w:p>
    <w:p>
      <w:pPr>
        <w:spacing w:after="0" w:line="171"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Contribution Amounts.</w:t>
      </w:r>
      <w:r>
        <w:rPr>
          <w:rFonts w:ascii="Arial" w:cs="Arial" w:eastAsia="Arial" w:hAnsi="Arial"/>
          <w:sz w:val="16"/>
          <w:szCs w:val="16"/>
          <w:color w:val="auto"/>
        </w:rPr>
        <w:t xml:space="preserve">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0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Contribution Methods.</w:t>
      </w:r>
      <w:r>
        <w:rPr>
          <w:rFonts w:ascii="Arial" w:cs="Arial" w:eastAsia="Arial" w:hAnsi="Arial"/>
          <w:sz w:val="18"/>
          <w:szCs w:val="18"/>
          <w:color w:val="auto"/>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30" w:lineRule="exact"/>
        <w:rPr>
          <w:sz w:val="20"/>
          <w:szCs w:val="20"/>
          <w:color w:val="auto"/>
        </w:rPr>
      </w:pPr>
    </w:p>
    <w:p>
      <w:pPr>
        <w:ind w:right="60" w:firstLine="1304"/>
        <w:spacing w:after="0" w:line="259" w:lineRule="auto"/>
        <w:tabs>
          <w:tab w:leader="none" w:pos="1941"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32" w:lineRule="exact"/>
        <w:rPr>
          <w:rFonts w:ascii="Arial" w:cs="Arial" w:eastAsia="Arial" w:hAnsi="Arial"/>
          <w:sz w:val="18"/>
          <w:szCs w:val="18"/>
          <w:color w:val="auto"/>
        </w:rPr>
      </w:pPr>
    </w:p>
    <w:p>
      <w:pPr>
        <w:ind w:right="120" w:firstLine="1304"/>
        <w:spacing w:after="0" w:line="277" w:lineRule="auto"/>
        <w:tabs>
          <w:tab w:leader="none" w:pos="193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Participant Changes to Contributions.</w:t>
      </w:r>
      <w:r>
        <w:rPr>
          <w:rFonts w:ascii="Arial" w:cs="Arial" w:eastAsia="Arial" w:hAnsi="Arial"/>
          <w:sz w:val="18"/>
          <w:szCs w:val="18"/>
          <w:color w:val="auto"/>
        </w:rPr>
        <w:t xml:space="preserve">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42" w:lineRule="exact"/>
        <w:rPr>
          <w:sz w:val="20"/>
          <w:szCs w:val="20"/>
          <w:color w:val="auto"/>
        </w:rPr>
      </w:pPr>
    </w:p>
    <w:p>
      <w:pPr>
        <w:ind w:right="140" w:firstLine="1304"/>
        <w:spacing w:after="0" w:line="254" w:lineRule="auto"/>
        <w:tabs>
          <w:tab w:leader="none" w:pos="1941"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40" w:lineRule="exact"/>
        <w:rPr>
          <w:rFonts w:ascii="Arial" w:cs="Arial" w:eastAsia="Arial" w:hAnsi="Arial"/>
          <w:sz w:val="18"/>
          <w:szCs w:val="18"/>
          <w:color w:val="auto"/>
        </w:rPr>
      </w:pPr>
    </w:p>
    <w:p>
      <w:pPr>
        <w:ind w:firstLine="1304"/>
        <w:spacing w:after="0" w:line="263" w:lineRule="auto"/>
        <w:tabs>
          <w:tab w:leader="none" w:pos="1938"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29" w:lineRule="exact"/>
        <w:rPr>
          <w:rFonts w:ascii="Arial" w:cs="Arial" w:eastAsia="Arial" w:hAnsi="Arial"/>
          <w:sz w:val="18"/>
          <w:szCs w:val="18"/>
          <w:color w:val="auto"/>
        </w:rPr>
      </w:pPr>
    </w:p>
    <w:p>
      <w:pPr>
        <w:ind w:right="120" w:firstLine="1304"/>
        <w:spacing w:after="0" w:line="263" w:lineRule="auto"/>
        <w:tabs>
          <w:tab w:leader="none" w:pos="1941" w:val="left"/>
        </w:tabs>
        <w:numPr>
          <w:ilvl w:val="0"/>
          <w:numId w:val="633"/>
        </w:numPr>
        <w:rPr>
          <w:rFonts w:ascii="Arial" w:cs="Arial" w:eastAsia="Arial" w:hAnsi="Arial"/>
          <w:sz w:val="18"/>
          <w:szCs w:val="18"/>
          <w:color w:val="auto"/>
        </w:rPr>
      </w:pPr>
      <w:r>
        <w:rPr>
          <w:rFonts w:ascii="Arial" w:cs="Arial" w:eastAsia="Arial" w:hAnsi="Arial"/>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Contribution Changes.</w:t>
      </w:r>
      <w:r>
        <w:rPr>
          <w:rFonts w:ascii="Arial" w:cs="Arial" w:eastAsia="Arial" w:hAnsi="Arial"/>
          <w:sz w:val="18"/>
          <w:szCs w:val="18"/>
          <w:color w:val="auto"/>
        </w:rPr>
        <w:t xml:space="preserve">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33"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Cash Contributions.</w:t>
      </w:r>
      <w:r>
        <w:rPr>
          <w:rFonts w:ascii="Arial" w:cs="Arial" w:eastAsia="Arial" w:hAnsi="Arial"/>
          <w:sz w:val="18"/>
          <w:szCs w:val="18"/>
          <w:color w:val="auto"/>
        </w:rPr>
        <w:t xml:space="preserve">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4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Tax Withholdings.</w:t>
      </w:r>
      <w:r>
        <w:rPr>
          <w:rFonts w:ascii="Arial" w:cs="Arial" w:eastAsia="Arial" w:hAnsi="Arial"/>
          <w:sz w:val="17"/>
          <w:szCs w:val="17"/>
          <w:color w:val="auto"/>
        </w:rPr>
        <w:t xml:space="preserve">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7"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Use of Funds.</w:t>
      </w:r>
      <w:r>
        <w:rPr>
          <w:rFonts w:ascii="Arial" w:cs="Arial" w:eastAsia="Arial" w:hAnsi="Arial"/>
          <w:sz w:val="16"/>
          <w:szCs w:val="16"/>
          <w:color w:val="auto"/>
        </w:rPr>
        <w:t xml:space="preserve">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2(f). Until shares of Common Stock are issued, Participants will have only the rights of an unsecured creditor with respect to such shares.</w:t>
      </w:r>
    </w:p>
    <w:p>
      <w:pPr>
        <w:spacing w:after="0" w:line="147" w:lineRule="exact"/>
        <w:rPr>
          <w:sz w:val="20"/>
          <w:szCs w:val="20"/>
          <w:color w:val="auto"/>
        </w:rPr>
      </w:pPr>
    </w:p>
    <w:p>
      <w:pPr>
        <w:ind w:right="140" w:firstLine="332"/>
        <w:spacing w:after="0" w:line="261" w:lineRule="auto"/>
        <w:tabs>
          <w:tab w:leader="none" w:pos="648" w:val="left"/>
        </w:tabs>
        <w:numPr>
          <w:ilvl w:val="0"/>
          <w:numId w:val="634"/>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On the Enrollment Date of each Offering Period, each Eligible Employee participating in such Offering Period will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2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Certain Option Limits.</w:t>
      </w:r>
      <w:r>
        <w:rPr>
          <w:rFonts w:ascii="Arial" w:cs="Arial" w:eastAsia="Arial" w:hAnsi="Arial"/>
          <w:sz w:val="16"/>
          <w:szCs w:val="16"/>
          <w:color w:val="auto"/>
        </w:rPr>
        <w:t xml:space="preserve"> 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97"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Option Receipt.</w:t>
      </w:r>
      <w:r>
        <w:rPr>
          <w:rFonts w:ascii="Arial" w:cs="Arial" w:eastAsia="Arial" w:hAnsi="Arial"/>
          <w:sz w:val="18"/>
          <w:szCs w:val="18"/>
          <w:color w:val="auto"/>
        </w:rPr>
        <w:t xml:space="preserve"> The Eligible Employee may accept the grant of an option under the Plan by electing to participate in the Plan in accordance with the requirements of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9" w:name="page640"/>
    <w:bookmarkEnd w:id="639"/>
    <w:p>
      <w:pPr>
        <w:spacing w:after="0" w:line="14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Exercise of the option will occur as provided in Section 10, unless the Participant’s participation has terminated pursuant to Sections 12 or 13. The option will expire on the last day of the Offering Period.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Exercise of Option.</w:t>
      </w:r>
    </w:p>
    <w:p>
      <w:pPr>
        <w:spacing w:after="0" w:line="171"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Automatic Exercise.</w:t>
      </w:r>
      <w:r>
        <w:rPr>
          <w:rFonts w:ascii="Arial" w:cs="Arial" w:eastAsia="Arial" w:hAnsi="Arial"/>
          <w:sz w:val="16"/>
          <w:szCs w:val="16"/>
          <w:color w:val="auto"/>
        </w:rPr>
        <w:t xml:space="preserve">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0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Pro Rata Allocations.</w:t>
      </w:r>
      <w:r>
        <w:rPr>
          <w:rFonts w:ascii="Arial" w:cs="Arial" w:eastAsia="Arial" w:hAnsi="Arial"/>
          <w:sz w:val="17"/>
          <w:szCs w:val="17"/>
          <w:color w:val="auto"/>
        </w:rPr>
        <w:t xml:space="preserve">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25" w:lineRule="exact"/>
        <w:rPr>
          <w:sz w:val="20"/>
          <w:szCs w:val="20"/>
          <w:color w:val="auto"/>
        </w:rPr>
      </w:pPr>
    </w:p>
    <w:p>
      <w:pPr>
        <w:ind w:right="100" w:firstLine="332"/>
        <w:spacing w:after="0" w:line="291" w:lineRule="auto"/>
        <w:tabs>
          <w:tab w:leader="none" w:pos="637"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 xml:space="preserve">Delivery. </w:t>
      </w:r>
      <w:r>
        <w:rPr>
          <w:rFonts w:ascii="Arial" w:cs="Arial" w:eastAsia="Arial" w:hAnsi="Arial"/>
          <w:sz w:val="16"/>
          <w:szCs w:val="16"/>
          <w:color w:val="auto"/>
        </w:rPr>
        <w:t>As soon as reasonably practicable after each Exercise Date on which a purchase of shares of Common Stock occurs,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05" w:lineRule="exact"/>
        <w:rPr>
          <w:rFonts w:ascii="Arial" w:cs="Arial" w:eastAsia="Arial" w:hAnsi="Arial"/>
          <w:sz w:val="16"/>
          <w:szCs w:val="16"/>
          <w:color w:val="auto"/>
        </w:rPr>
      </w:pPr>
    </w:p>
    <w:p>
      <w:pPr>
        <w:ind w:left="660" w:hanging="328"/>
        <w:spacing w:after="0"/>
        <w:tabs>
          <w:tab w:leader="none" w:pos="660"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Withdrawal Procedures.</w:t>
      </w:r>
      <w:r>
        <w:rPr>
          <w:rFonts w:ascii="Arial" w:cs="Arial" w:eastAsia="Arial" w:hAnsi="Arial"/>
          <w:sz w:val="18"/>
          <w:szCs w:val="18"/>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0" w:name="page641"/>
    <w:bookmarkEnd w:id="640"/>
    <w:p>
      <w:pPr>
        <w:spacing w:after="0" w:line="145"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8"/>
          <w:szCs w:val="18"/>
          <w:color w:val="auto"/>
        </w:rPr>
        <w:t>‑</w:t>
      </w:r>
      <w:r>
        <w:rPr>
          <w:rFonts w:ascii="Arial" w:cs="Arial" w:eastAsia="Arial" w:hAnsi="Arial"/>
          <w:sz w:val="18"/>
          <w:szCs w:val="18"/>
          <w:color w:val="auto"/>
        </w:rPr>
        <w:t>enrolls in the Plan in accordance with the provisions of Section 7.</w:t>
      </w:r>
    </w:p>
    <w:p>
      <w:pPr>
        <w:spacing w:after="0" w:line="146"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 Effect on Future Participation.</w:t>
      </w:r>
      <w:r>
        <w:rPr>
          <w:rFonts w:ascii="Arial" w:cs="Arial" w:eastAsia="Arial" w:hAnsi="Arial"/>
          <w:sz w:val="18"/>
          <w:szCs w:val="18"/>
          <w:color w:val="auto"/>
        </w:rPr>
        <w:t xml:space="preserve">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22" w:lineRule="exact"/>
        <w:rPr>
          <w:sz w:val="20"/>
          <w:szCs w:val="20"/>
          <w:color w:val="auto"/>
        </w:rPr>
      </w:pPr>
    </w:p>
    <w:p>
      <w:pPr>
        <w:ind w:firstLine="332"/>
        <w:spacing w:after="0" w:line="218" w:lineRule="exact"/>
        <w:tabs>
          <w:tab w:leader="none" w:pos="643" w:val="left"/>
        </w:tabs>
        <w:numPr>
          <w:ilvl w:val="0"/>
          <w:numId w:val="63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Upon a Participant’s ceasing to be an Eligible Employee, for any reason, he or she will be deemed to have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7"/>
          <w:szCs w:val="17"/>
          <w:color w:val="auto"/>
        </w:rPr>
        <w:t>‑</w:t>
      </w:r>
      <w:r>
        <w:rPr>
          <w:rFonts w:ascii="Arial" w:cs="Arial" w:eastAsia="Arial" w:hAnsi="Arial"/>
          <w:sz w:val="17"/>
          <w:szCs w:val="17"/>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to an Offering under the 423 Component or vice versa unless (and then only to the extent) such switch would not cause the 423 Component or any option thereunder to fail to comply with Code Section 423.</w:t>
      </w:r>
    </w:p>
    <w:p>
      <w:pPr>
        <w:spacing w:after="0" w:line="147" w:lineRule="exact"/>
        <w:rPr>
          <w:rFonts w:ascii="Arial" w:cs="Arial" w:eastAsia="Arial" w:hAnsi="Arial"/>
          <w:sz w:val="17"/>
          <w:szCs w:val="17"/>
          <w:color w:val="auto"/>
        </w:rPr>
      </w:pPr>
    </w:p>
    <w:p>
      <w:pPr>
        <w:ind w:right="120" w:firstLine="332"/>
        <w:spacing w:after="0" w:line="288" w:lineRule="auto"/>
        <w:tabs>
          <w:tab w:leader="none" w:pos="643" w:val="left"/>
        </w:tabs>
        <w:numPr>
          <w:ilvl w:val="0"/>
          <w:numId w:val="636"/>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Plan is intended to be exempt from the application of Section 409A, and, to the extent not exempt, is intended to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09" w:lineRule="exact"/>
        <w:rPr>
          <w:rFonts w:ascii="Arial" w:cs="Arial" w:eastAsia="Arial" w:hAnsi="Arial"/>
          <w:sz w:val="16"/>
          <w:szCs w:val="16"/>
          <w:color w:val="auto"/>
        </w:rPr>
      </w:pPr>
    </w:p>
    <w:p>
      <w:pPr>
        <w:ind w:right="100" w:firstLine="332"/>
        <w:spacing w:after="0" w:line="258" w:lineRule="auto"/>
        <w:tabs>
          <w:tab w:leader="none" w:pos="643" w:val="left"/>
        </w:tabs>
        <w:numPr>
          <w:ilvl w:val="0"/>
          <w:numId w:val="636"/>
        </w:numPr>
        <w:rPr>
          <w:rFonts w:ascii="Arial" w:cs="Arial" w:eastAsia="Arial" w:hAnsi="Arial"/>
          <w:sz w:val="18"/>
          <w:szCs w:val="18"/>
          <w:color w:val="auto"/>
        </w:rPr>
      </w:pPr>
      <w:r>
        <w:rPr>
          <w:rFonts w:ascii="Arial" w:cs="Arial" w:eastAsia="Arial" w:hAnsi="Arial"/>
          <w:sz w:val="18"/>
          <w:szCs w:val="18"/>
          <w:b w:val="1"/>
          <w:bCs w:val="1"/>
          <w:color w:val="auto"/>
        </w:rPr>
        <w:t xml:space="preserve">Rights as Stockholder. </w:t>
      </w:r>
      <w:r>
        <w:rPr>
          <w:rFonts w:ascii="Arial" w:cs="Arial" w:eastAsia="Arial" w:hAnsi="Arial"/>
          <w:sz w:val="18"/>
          <w:szCs w:val="18"/>
          <w:color w:val="auto"/>
        </w:rPr>
        <w:t>Until the shares of Common Stock are issued (as evidenced by the appropriate entry on the books of the Company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29" w:lineRule="exact"/>
        <w:rPr>
          <w:rFonts w:ascii="Arial" w:cs="Arial" w:eastAsia="Arial" w:hAnsi="Arial"/>
          <w:sz w:val="18"/>
          <w:szCs w:val="18"/>
          <w:color w:val="auto"/>
        </w:rPr>
      </w:pPr>
    </w:p>
    <w:p>
      <w:pPr>
        <w:ind w:right="380" w:firstLine="332"/>
        <w:spacing w:after="0" w:line="303" w:lineRule="auto"/>
        <w:tabs>
          <w:tab w:leader="none" w:pos="643" w:val="left"/>
        </w:tabs>
        <w:numPr>
          <w:ilvl w:val="0"/>
          <w:numId w:val="636"/>
        </w:numPr>
        <w:rPr>
          <w:rFonts w:ascii="Arial" w:cs="Arial" w:eastAsia="Arial" w:hAnsi="Arial"/>
          <w:sz w:val="16"/>
          <w:szCs w:val="16"/>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Neither Contributions credited to a Participant’s account nor any rights with regard to the exercise of an option or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Adjustments, Dissolution, Liquidation, Merger or Change in Control.</w:t>
      </w:r>
    </w:p>
    <w:p>
      <w:pPr>
        <w:spacing w:after="0" w:line="17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Adjustments.</w:t>
      </w:r>
      <w:r>
        <w:rPr>
          <w:rFonts w:ascii="Arial" w:cs="Arial" w:eastAsia="Arial" w:hAnsi="Arial"/>
          <w:sz w:val="17"/>
          <w:szCs w:val="17"/>
          <w:color w:val="auto"/>
        </w:rPr>
        <w:t xml:space="preserve">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7"/>
          <w:szCs w:val="17"/>
          <w:color w:val="auto"/>
        </w:rPr>
        <w:t>‑</w:t>
      </w:r>
      <w:r>
        <w:rPr>
          <w:rFonts w:ascii="Arial" w:cs="Arial" w:eastAsia="Arial" w:hAnsi="Arial"/>
          <w:sz w:val="17"/>
          <w:szCs w:val="17"/>
          <w:color w:val="auto"/>
        </w:rPr>
        <w:t>up, spin</w:t>
      </w:r>
      <w:r>
        <w:rPr>
          <w:rFonts w:ascii="MS PGothic" w:cs="MS PGothic" w:eastAsia="MS PGothic" w:hAnsi="MS PGothic"/>
          <w:sz w:val="17"/>
          <w:szCs w:val="17"/>
          <w:color w:val="auto"/>
        </w:rPr>
        <w:t>‑</w:t>
      </w:r>
      <w:r>
        <w:rPr>
          <w:rFonts w:ascii="Arial" w:cs="Arial" w:eastAsia="Arial" w:hAnsi="Arial"/>
          <w:sz w:val="17"/>
          <w:szCs w:val="17"/>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color w:val="auto"/>
        </w:rPr>
        <w:t>Dissolution or Liquidation.</w:t>
      </w:r>
      <w:r>
        <w:rPr>
          <w:rFonts w:ascii="Arial" w:cs="Arial" w:eastAsia="Arial" w:hAnsi="Arial"/>
          <w:sz w:val="17"/>
          <w:szCs w:val="17"/>
          <w:color w:val="auto"/>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1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color w:val="auto"/>
        </w:rPr>
        <w:t>Merger or Change in Control.</w:t>
      </w:r>
      <w:r>
        <w:rPr>
          <w:rFonts w:ascii="Arial" w:cs="Arial" w:eastAsia="Arial" w:hAnsi="Arial"/>
          <w:sz w:val="16"/>
          <w:szCs w:val="16"/>
          <w:color w:val="auto"/>
        </w:rPr>
        <w:t xml:space="preserve">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Amendment or Termination.</w:t>
      </w:r>
    </w:p>
    <w:p>
      <w:pPr>
        <w:spacing w:after="0" w:line="171"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color w:val="auto"/>
        </w:rPr>
        <w:t>Amendment, Suspension, Termination.</w:t>
      </w:r>
      <w:r>
        <w:rPr>
          <w:rFonts w:ascii="Arial" w:cs="Arial" w:eastAsia="Arial" w:hAnsi="Arial"/>
          <w:sz w:val="16"/>
          <w:szCs w:val="16"/>
          <w:color w:val="auto"/>
        </w:rPr>
        <w:t xml:space="preserve">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0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Certain Administrator Changes</w:t>
      </w:r>
      <w:r>
        <w:rPr>
          <w:rFonts w:ascii="Arial" w:cs="Arial" w:eastAsia="Arial" w:hAnsi="Arial"/>
          <w:sz w:val="17"/>
          <w:szCs w:val="17"/>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Changes Due to Accounting Consequences.</w:t>
      </w:r>
      <w:r>
        <w:rPr>
          <w:rFonts w:ascii="Arial" w:cs="Arial" w:eastAsia="Arial" w:hAnsi="Arial"/>
          <w:sz w:val="18"/>
          <w:szCs w:val="18"/>
          <w:color w:val="auto"/>
        </w:rPr>
        <w:t xml:space="preserve">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6" w:lineRule="exact"/>
        <w:rPr>
          <w:sz w:val="20"/>
          <w:szCs w:val="20"/>
          <w:color w:val="auto"/>
        </w:rPr>
      </w:pPr>
    </w:p>
    <w:p>
      <w:pPr>
        <w:ind w:right="440" w:firstLine="1304"/>
        <w:spacing w:after="0" w:line="308" w:lineRule="auto"/>
        <w:tabs>
          <w:tab w:leader="none" w:pos="1941" w:val="left"/>
        </w:tabs>
        <w:numPr>
          <w:ilvl w:val="0"/>
          <w:numId w:val="637"/>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92" w:lineRule="exact"/>
        <w:rPr>
          <w:rFonts w:ascii="Arial" w:cs="Arial" w:eastAsia="Arial" w:hAnsi="Arial"/>
          <w:sz w:val="17"/>
          <w:szCs w:val="17"/>
          <w:color w:val="auto"/>
        </w:rPr>
      </w:pPr>
    </w:p>
    <w:p>
      <w:pPr>
        <w:ind w:right="40" w:firstLine="1304"/>
        <w:spacing w:after="0" w:line="277" w:lineRule="auto"/>
        <w:tabs>
          <w:tab w:leader="none" w:pos="193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or Offering Period including a Purchase Period or Offering Period underway at the time of the change in Purchase Price;</w:t>
      </w:r>
    </w:p>
    <w:p>
      <w:pPr>
        <w:spacing w:after="0" w:line="116" w:lineRule="exact"/>
        <w:rPr>
          <w:rFonts w:ascii="Arial" w:cs="Arial" w:eastAsia="Arial" w:hAnsi="Arial"/>
          <w:sz w:val="18"/>
          <w:szCs w:val="18"/>
          <w:color w:val="auto"/>
        </w:rPr>
      </w:pPr>
    </w:p>
    <w:p>
      <w:pPr>
        <w:ind w:right="380" w:firstLine="1304"/>
        <w:spacing w:after="0" w:line="277" w:lineRule="auto"/>
        <w:tabs>
          <w:tab w:leader="none" w:pos="1941" w:val="left"/>
        </w:tabs>
        <w:numPr>
          <w:ilvl w:val="0"/>
          <w:numId w:val="637"/>
        </w:numPr>
        <w:rPr>
          <w:rFonts w:ascii="Arial" w:cs="Arial" w:eastAsia="Arial" w:hAnsi="Arial"/>
          <w:sz w:val="18"/>
          <w:szCs w:val="18"/>
          <w:color w:val="auto"/>
        </w:rPr>
      </w:pPr>
      <w:r>
        <w:rPr>
          <w:rFonts w:ascii="Arial" w:cs="Arial" w:eastAsia="Arial" w:hAnsi="Arial"/>
          <w:sz w:val="18"/>
          <w:szCs w:val="18"/>
          <w:color w:val="auto"/>
        </w:rPr>
        <w:t>shortening any Purchase Period or Offering Period by setting a New Exercise Date, including a Purchase Period or Offering Period underway at the time of the Administrator action;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37"/>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Purchase Period or Offering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167" w:lineRule="exact"/>
        <w:rPr>
          <w:sz w:val="20"/>
          <w:szCs w:val="20"/>
          <w:color w:val="auto"/>
        </w:rPr>
      </w:pPr>
    </w:p>
    <w:p>
      <w:pPr>
        <w:ind w:left="660" w:hanging="328"/>
        <w:spacing w:after="0"/>
        <w:tabs>
          <w:tab w:leader="none" w:pos="660"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p>
    <w:p>
      <w:pPr>
        <w:spacing w:after="0" w:line="171"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Legal Compliance.</w:t>
      </w:r>
      <w:r>
        <w:rPr>
          <w:rFonts w:ascii="Arial" w:cs="Arial" w:eastAsia="Arial" w:hAnsi="Arial"/>
          <w:sz w:val="18"/>
          <w:szCs w:val="18"/>
          <w:color w:val="auto"/>
        </w:rPr>
        <w:t xml:space="preserve">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2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2" w:lineRule="exact"/>
        <w:rPr>
          <w:sz w:val="20"/>
          <w:szCs w:val="20"/>
          <w:color w:val="auto"/>
        </w:rPr>
      </w:pPr>
    </w:p>
    <w:p>
      <w:pPr>
        <w:ind w:firstLine="332"/>
        <w:spacing w:after="0" w:line="266" w:lineRule="auto"/>
        <w:tabs>
          <w:tab w:leader="none" w:pos="643"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will become effective upon the later to occur of (a) its adoption by the Board, (b) approval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(c) the time as of immediately prior to the completion of the Merger. The Plan will continue in effect for a term of twenty (20) years, unless sooner terminated under Section 18.</w:t>
      </w:r>
    </w:p>
    <w:p>
      <w:pPr>
        <w:spacing w:after="0" w:line="121" w:lineRule="exact"/>
        <w:rPr>
          <w:rFonts w:ascii="Arial" w:cs="Arial" w:eastAsia="Arial" w:hAnsi="Arial"/>
          <w:sz w:val="18"/>
          <w:szCs w:val="18"/>
          <w:color w:val="auto"/>
        </w:rPr>
      </w:pPr>
    </w:p>
    <w:p>
      <w:pPr>
        <w:ind w:right="360" w:firstLine="332"/>
        <w:spacing w:after="0" w:line="347" w:lineRule="auto"/>
        <w:tabs>
          <w:tab w:leader="none" w:pos="643" w:val="left"/>
        </w:tabs>
        <w:numPr>
          <w:ilvl w:val="0"/>
          <w:numId w:val="639"/>
        </w:numPr>
        <w:rPr>
          <w:rFonts w:ascii="Arial" w:cs="Arial" w:eastAsia="Arial" w:hAnsi="Arial"/>
          <w:sz w:val="16"/>
          <w:szCs w:val="16"/>
          <w:color w:val="auto"/>
        </w:rPr>
      </w:pPr>
      <w:r>
        <w:rPr>
          <w:rFonts w:ascii="Arial" w:cs="Arial" w:eastAsia="Arial" w:hAnsi="Arial"/>
          <w:sz w:val="16"/>
          <w:szCs w:val="16"/>
          <w:b w:val="1"/>
          <w:bCs w:val="1"/>
          <w:color w:val="auto"/>
        </w:rPr>
        <w:t xml:space="preserve">Stockholder Approval. </w:t>
      </w:r>
      <w:r>
        <w:rPr>
          <w:rFonts w:ascii="Arial" w:cs="Arial" w:eastAsia="Arial" w:hAnsi="Arial"/>
          <w:sz w:val="16"/>
          <w:szCs w:val="16"/>
          <w:color w:val="auto"/>
        </w:rPr>
        <w:t>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jc w:val="both"/>
        <w:ind w:firstLine="332"/>
        <w:spacing w:after="0" w:line="222" w:lineRule="exact"/>
        <w:tabs>
          <w:tab w:leader="none" w:pos="643" w:val="left"/>
        </w:tabs>
        <w:numPr>
          <w:ilvl w:val="0"/>
          <w:numId w:val="639"/>
        </w:numPr>
        <w:rPr>
          <w:rFonts w:ascii="Arial" w:cs="Arial" w:eastAsia="Arial" w:hAnsi="Arial"/>
          <w:sz w:val="17"/>
          <w:szCs w:val="17"/>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No interest will accrue on the Contributions of a participant in the Plan, except as may be required by Applicable Laws,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5" w:lineRule="exact"/>
        <w:rPr>
          <w:rFonts w:ascii="Arial" w:cs="Arial" w:eastAsia="Arial" w:hAnsi="Arial"/>
          <w:sz w:val="17"/>
          <w:szCs w:val="17"/>
          <w:color w:val="auto"/>
        </w:rPr>
      </w:pPr>
    </w:p>
    <w:p>
      <w:pPr>
        <w:jc w:val="both"/>
        <w:ind w:right="100" w:firstLine="332"/>
        <w:spacing w:after="0" w:line="261" w:lineRule="auto"/>
        <w:tabs>
          <w:tab w:leader="none" w:pos="643"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Neither the Plan nor any option under the Plan will confer upon any Participant any right with respect to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25" w:lineRule="exact"/>
        <w:rPr>
          <w:rFonts w:ascii="Arial" w:cs="Arial" w:eastAsia="Arial" w:hAnsi="Arial"/>
          <w:sz w:val="18"/>
          <w:szCs w:val="18"/>
          <w:color w:val="auto"/>
        </w:rPr>
      </w:pPr>
    </w:p>
    <w:p>
      <w:pPr>
        <w:ind w:right="400" w:firstLine="332"/>
        <w:spacing w:after="0" w:line="282" w:lineRule="auto"/>
        <w:tabs>
          <w:tab w:leader="none" w:pos="643"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least annually, which statements will set forth the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the Purchase Price, the number of shares of Common Stock purchased and the remaining cash balance, if any.</w:t>
      </w:r>
    </w:p>
    <w:p>
      <w:pPr>
        <w:spacing w:after="0" w:line="167" w:lineRule="exact"/>
        <w:rPr>
          <w:sz w:val="20"/>
          <w:szCs w:val="20"/>
          <w:color w:val="auto"/>
        </w:rPr>
      </w:pPr>
    </w:p>
    <w:p>
      <w:pPr>
        <w:ind w:right="80" w:firstLine="332"/>
        <w:spacing w:after="0" w:line="266" w:lineRule="auto"/>
        <w:tabs>
          <w:tab w:leader="none" w:pos="643"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the Plan will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when received in the form and manner specified by the Company at the location, or by the person, designated by the Company for the receipt thereof.</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Legal Construction.</w:t>
      </w:r>
    </w:p>
    <w:p>
      <w:pPr>
        <w:spacing w:after="0" w:line="171" w:lineRule="exact"/>
        <w:rPr>
          <w:sz w:val="20"/>
          <w:szCs w:val="20"/>
          <w:color w:val="auto"/>
        </w:rPr>
      </w:pPr>
    </w:p>
    <w:p>
      <w:pPr>
        <w:jc w:val="both"/>
        <w:ind w:right="460" w:firstLine="648"/>
        <w:spacing w:after="0" w:line="314"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color w:val="auto"/>
        </w:rPr>
        <w:t>Severability.</w:t>
      </w:r>
      <w:r>
        <w:rPr>
          <w:rFonts w:ascii="Arial" w:cs="Arial" w:eastAsia="Arial" w:hAnsi="Arial"/>
          <w:sz w:val="16"/>
          <w:szCs w:val="16"/>
          <w:color w:val="auto"/>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8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The Plan will be governed by, and construed in accordance with, the laws of the State of Delaware, but without regard to its conflict of law provisions.</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Headings are provided herein for convenience only, and will not serve as a basis for interpretation of the Plan.</w:t>
      </w:r>
    </w:p>
    <w:p>
      <w:pPr>
        <w:spacing w:after="0" w:line="171" w:lineRule="exact"/>
        <w:rPr>
          <w:sz w:val="20"/>
          <w:szCs w:val="20"/>
          <w:color w:val="auto"/>
        </w:rPr>
      </w:pPr>
    </w:p>
    <w:p>
      <w:pPr>
        <w:ind w:left="640" w:hanging="308"/>
        <w:spacing w:after="0"/>
        <w:tabs>
          <w:tab w:leader="none" w:pos="640" w:val="left"/>
        </w:tabs>
        <w:numPr>
          <w:ilvl w:val="0"/>
          <w:numId w:val="641"/>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Applicable Laws. </w:t>
      </w:r>
      <w:r>
        <w:rPr>
          <w:rFonts w:ascii="Arial" w:cs="Arial" w:eastAsia="Arial" w:hAnsi="Arial"/>
          <w:sz w:val="16"/>
          <w:szCs w:val="16"/>
          <w:color w:val="auto"/>
        </w:rPr>
        <w:t>The terms of this Plan are intended to comply with all Applicable Laws and will be construed accordingly.</w:t>
      </w:r>
    </w:p>
    <w:p>
      <w:pPr>
        <w:spacing w:after="0" w:line="194" w:lineRule="exact"/>
        <w:rPr>
          <w:rFonts w:ascii="Arial" w:cs="Arial" w:eastAsia="Arial" w:hAnsi="Arial"/>
          <w:sz w:val="16"/>
          <w:szCs w:val="16"/>
          <w:color w:val="auto"/>
        </w:rPr>
      </w:pPr>
    </w:p>
    <w:p>
      <w:pPr>
        <w:ind w:firstLine="332"/>
        <w:spacing w:after="0" w:line="219" w:lineRule="exact"/>
        <w:tabs>
          <w:tab w:leader="none" w:pos="639"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Automatic Transfer to Low Price Offering Period. </w:t>
      </w:r>
      <w:r>
        <w:rPr>
          <w:rFonts w:ascii="Arial" w:cs="Arial" w:eastAsia="Arial" w:hAnsi="Arial"/>
          <w:sz w:val="18"/>
          <w:szCs w:val="18"/>
          <w:color w:val="auto"/>
        </w:rPr>
        <w:t>Unless determined otherwise by the Administrator, this Section 28 applies to an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8"/>
          <w:szCs w:val="18"/>
          <w:color w:val="auto"/>
        </w:rPr>
        <w:t>‑</w:t>
      </w:r>
      <w:r>
        <w:rPr>
          <w:rFonts w:ascii="Arial" w:cs="Arial" w:eastAsia="Arial" w:hAnsi="Arial"/>
          <w:sz w:val="18"/>
          <w:szCs w:val="18"/>
          <w:color w:val="auto"/>
        </w:rPr>
        <w:t>enrolled in the immediately following Offering Period as of the first day thereof.</w:t>
      </w:r>
    </w:p>
    <w:p>
      <w:pPr>
        <w:spacing w:after="0" w:line="152"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44" w:name="page645"/>
    <w:bookmarkEnd w:id="644"/>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740"/>
        <w:spacing w:after="0"/>
        <w:tabs>
          <w:tab w:leader="none" w:pos="7220" w:val="left"/>
        </w:tabs>
        <w:rPr>
          <w:sz w:val="20"/>
          <w:szCs w:val="20"/>
          <w:color w:val="auto"/>
        </w:rPr>
      </w:pPr>
      <w:r>
        <w:rPr>
          <w:rFonts w:ascii="Arial" w:cs="Arial" w:eastAsia="Arial" w:hAnsi="Arial"/>
          <w:sz w:val="18"/>
          <w:szCs w:val="18"/>
          <w:color w:val="auto"/>
        </w:rPr>
        <w:t>Original Application</w:t>
      </w:r>
      <w:r>
        <w:rPr>
          <w:sz w:val="20"/>
          <w:szCs w:val="20"/>
          <w:color w:val="auto"/>
        </w:rPr>
        <w:tab/>
      </w:r>
      <w:r>
        <w:rPr>
          <w:rFonts w:ascii="Arial" w:cs="Arial" w:eastAsia="Arial" w:hAnsi="Arial"/>
          <w:sz w:val="16"/>
          <w:szCs w:val="16"/>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31750</wp:posOffset>
            </wp:positionV>
            <wp:extent cx="153416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Change in Payroll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46" w:lineRule="exact"/>
        <w:rPr>
          <w:sz w:val="20"/>
          <w:szCs w:val="20"/>
          <w:color w:val="auto"/>
        </w:rPr>
      </w:pPr>
    </w:p>
    <w:p>
      <w:pPr>
        <w:ind w:left="1300" w:hanging="644"/>
        <w:spacing w:after="0"/>
        <w:tabs>
          <w:tab w:leader="none" w:pos="1300" w:val="left"/>
        </w:tabs>
        <w:numPr>
          <w:ilvl w:val="0"/>
          <w:numId w:val="642"/>
        </w:numPr>
        <w:rPr>
          <w:rFonts w:ascii="Arial" w:cs="Arial" w:eastAsia="Arial" w:hAnsi="Arial"/>
          <w:sz w:val="17"/>
          <w:szCs w:val="17"/>
          <w:color w:val="auto"/>
        </w:rPr>
      </w:pPr>
      <w:r>
        <w:rPr>
          <w:rFonts w:ascii="Arial" w:cs="Arial" w:eastAsia="Arial" w:hAnsi="Arial"/>
          <w:sz w:val="17"/>
          <w:szCs w:val="17"/>
          <w:color w:val="auto"/>
        </w:rPr>
        <w:t>____________________ hereby elects to participate in the Nautilus Biotechnology, Inc. 2021 Employee Stock Purchase Plan (the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31" w:lineRule="exact"/>
        <w:rPr>
          <w:sz w:val="20"/>
          <w:szCs w:val="20"/>
          <w:color w:val="auto"/>
        </w:rPr>
      </w:pPr>
    </w:p>
    <w:p>
      <w:pPr>
        <w:ind w:left="660"/>
        <w:spacing w:after="0"/>
        <w:tabs>
          <w:tab w:leader="none" w:pos="1280" w:val="left"/>
          <w:tab w:leader="none" w:pos="8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 hereby authorize and consent to payroll deductions from each paycheck in the amount of</w:t>
      </w:r>
      <w:r>
        <w:rPr>
          <w:sz w:val="20"/>
          <w:szCs w:val="20"/>
          <w:color w:val="auto"/>
        </w:rPr>
        <w:tab/>
      </w:r>
      <w:r>
        <w:rPr>
          <w:rFonts w:ascii="Arial" w:cs="Arial" w:eastAsia="Arial" w:hAnsi="Arial"/>
          <w:sz w:val="16"/>
          <w:szCs w:val="16"/>
          <w:color w:val="auto"/>
        </w:rPr>
        <w:t>% of my Compensation on each payday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-10160</wp:posOffset>
            </wp:positionV>
            <wp:extent cx="28575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22" w:lineRule="exact"/>
        <w:rPr>
          <w:sz w:val="20"/>
          <w:szCs w:val="20"/>
          <w:color w:val="auto"/>
        </w:rPr>
      </w:pPr>
    </w:p>
    <w:p>
      <w:pPr>
        <w:ind w:right="180" w:firstLine="656"/>
        <w:spacing w:after="0" w:line="279" w:lineRule="auto"/>
        <w:tabs>
          <w:tab w:leader="none" w:pos="1296" w:val="left"/>
        </w:tabs>
        <w:numPr>
          <w:ilvl w:val="0"/>
          <w:numId w:val="643"/>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17"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 Shares of Common Stock purchased for me under the Plan should be issued in the name(s) of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-182245</wp:posOffset>
            </wp:positionV>
            <wp:extent cx="5715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ind w:firstLine="656"/>
        <w:spacing w:after="0" w:line="268" w:lineRule="auto"/>
        <w:tabs>
          <w:tab w:leader="none" w:pos="1296" w:val="left"/>
        </w:tabs>
        <w:numPr>
          <w:ilvl w:val="0"/>
          <w:numId w:val="644"/>
        </w:numPr>
        <w:rPr>
          <w:rFonts w:ascii="Arial" w:cs="Arial" w:eastAsia="Arial" w:hAnsi="Arial"/>
          <w:sz w:val="17"/>
          <w:szCs w:val="17"/>
          <w:color w:val="auto"/>
        </w:rPr>
      </w:pPr>
      <w:r>
        <w:rPr>
          <w:rFonts w:ascii="Arial" w:cs="Arial" w:eastAsia="Arial" w:hAnsi="Arial"/>
          <w:sz w:val="17"/>
          <w:szCs w:val="17"/>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7"/>
          <w:szCs w:val="17"/>
          <w:b w:val="1"/>
          <w:bCs w:val="1"/>
          <w:color w:val="auto"/>
        </w:rPr>
        <w:t>I hereby agree to notify the Company in writing within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thirty (30) days after the date of any disposition of my shares and I will make adequate provision for federal, state or other tax withholding obligations, if any, which arise upon the disposition of the Common Stock. </w:t>
      </w:r>
      <w:r>
        <w:rPr>
          <w:rFonts w:ascii="Arial" w:cs="Arial" w:eastAsia="Arial" w:hAnsi="Arial"/>
          <w:sz w:val="17"/>
          <w:szCs w:val="17"/>
          <w:color w:val="auto"/>
        </w:rPr>
        <w:t>The Company may, but will not be obligated to, withhold from my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44" w:lineRule="exact"/>
        <w:rPr>
          <w:sz w:val="20"/>
          <w:szCs w:val="20"/>
          <w:color w:val="auto"/>
        </w:rPr>
      </w:pPr>
    </w:p>
    <w:p>
      <w:pPr>
        <w:ind w:firstLine="656"/>
        <w:spacing w:after="0" w:line="217" w:lineRule="exact"/>
        <w:tabs>
          <w:tab w:leader="none" w:pos="1296" w:val="left"/>
        </w:tabs>
        <w:numPr>
          <w:ilvl w:val="0"/>
          <w:numId w:val="645"/>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6"/>
          <w:szCs w:val="16"/>
          <w:b w:val="1"/>
          <w:bCs w:val="1"/>
          <w:color w:val="auto"/>
        </w:rPr>
        <w:t>Tax</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Related Items</w:t>
      </w:r>
      <w:r>
        <w:rPr>
          <w:rFonts w:ascii="Arial" w:cs="Arial" w:eastAsia="Arial" w:hAnsi="Arial"/>
          <w:sz w:val="16"/>
          <w:szCs w:val="16"/>
          <w:color w:val="auto"/>
        </w:rPr>
        <w:t>”), the ultimate liability for all Tax</w:t>
      </w:r>
      <w:r>
        <w:rPr>
          <w:rFonts w:ascii="MS PGothic" w:cs="MS PGothic" w:eastAsia="MS PGothic" w:hAnsi="MS PGothic"/>
          <w:sz w:val="16"/>
          <w:szCs w:val="16"/>
          <w:color w:val="auto"/>
        </w:rPr>
        <w:t>‑</w:t>
      </w:r>
      <w:r>
        <w:rPr>
          <w:rFonts w:ascii="Arial" w:cs="Arial" w:eastAsia="Arial" w:hAnsi="Arial"/>
          <w:sz w:val="16"/>
          <w:szCs w:val="16"/>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6"/>
          <w:szCs w:val="16"/>
          <w:color w:val="auto"/>
        </w:rPr>
        <w:t>‑</w:t>
      </w:r>
      <w:r>
        <w:rPr>
          <w:rFonts w:ascii="Arial" w:cs="Arial" w:eastAsia="Arial" w:hAnsi="Arial"/>
          <w:sz w:val="16"/>
          <w:szCs w:val="16"/>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6"/>
          <w:szCs w:val="16"/>
          <w:color w:val="auto"/>
        </w:rPr>
        <w:t>‑</w:t>
      </w:r>
      <w:r>
        <w:rPr>
          <w:rFonts w:ascii="Arial" w:cs="Arial" w:eastAsia="Arial" w:hAnsi="Arial"/>
          <w:sz w:val="16"/>
          <w:szCs w:val="16"/>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in more than one jurisdiction.</w:t>
      </w:r>
    </w:p>
    <w:p>
      <w:pPr>
        <w:spacing w:after="0" w:line="15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6"/>
          <w:szCs w:val="16"/>
          <w:color w:val="auto"/>
        </w:rPr>
        <w:t>‑</w:t>
      </w:r>
      <w:r>
        <w:rPr>
          <w:rFonts w:ascii="Arial" w:cs="Arial" w:eastAsia="Arial" w:hAnsi="Arial"/>
          <w:sz w:val="16"/>
          <w:szCs w:val="16"/>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6"/>
          <w:szCs w:val="16"/>
          <w:color w:val="auto"/>
        </w:rPr>
        <w:t>‑</w:t>
      </w:r>
      <w:r>
        <w:rPr>
          <w:rFonts w:ascii="Arial" w:cs="Arial" w:eastAsia="Arial" w:hAnsi="Arial"/>
          <w:sz w:val="16"/>
          <w:szCs w:val="16"/>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by considering applicable maximum withholding rates, in which case I will receive a refund of any over</w:t>
      </w:r>
      <w:r>
        <w:rPr>
          <w:rFonts w:ascii="MS PGothic" w:cs="MS PGothic" w:eastAsia="MS PGothic" w:hAnsi="MS PGothic"/>
          <w:sz w:val="16"/>
          <w:szCs w:val="16"/>
          <w:color w:val="auto"/>
        </w:rPr>
        <w:t>‑</w:t>
      </w:r>
      <w:r>
        <w:rPr>
          <w:rFonts w:ascii="Arial" w:cs="Arial" w:eastAsia="Arial" w:hAnsi="Arial"/>
          <w:sz w:val="16"/>
          <w:szCs w:val="16"/>
          <w:color w:val="auto"/>
        </w:rPr>
        <w:t>withheld amount in cash and will have no entitlement to the Common Stock equivalent.</w:t>
      </w:r>
    </w:p>
    <w:p>
      <w:pPr>
        <w:spacing w:after="0" w:line="148" w:lineRule="exact"/>
        <w:rPr>
          <w:sz w:val="20"/>
          <w:szCs w:val="20"/>
          <w:color w:val="auto"/>
        </w:rPr>
      </w:pPr>
    </w:p>
    <w:p>
      <w:pPr>
        <w:ind w:right="240" w:firstLine="648"/>
        <w:spacing w:after="0" w:line="220" w:lineRule="exact"/>
        <w:rPr>
          <w:sz w:val="20"/>
          <w:szCs w:val="20"/>
          <w:color w:val="auto"/>
        </w:rPr>
      </w:pPr>
      <w:r>
        <w:rPr>
          <w:rFonts w:ascii="Arial" w:cs="Arial" w:eastAsia="Arial" w:hAnsi="Arial"/>
          <w:sz w:val="17"/>
          <w:szCs w:val="17"/>
          <w:color w:val="auto"/>
        </w:rPr>
        <w:t>Finally, I agree to pay to the Company or the applicable Designated Company any amount of Tax</w:t>
      </w:r>
      <w:r>
        <w:rPr>
          <w:rFonts w:ascii="MS PGothic" w:cs="MS PGothic" w:eastAsia="MS PGothic" w:hAnsi="MS PGothic"/>
          <w:sz w:val="17"/>
          <w:szCs w:val="17"/>
          <w:color w:val="auto"/>
        </w:rPr>
        <w:t>‑</w:t>
      </w:r>
      <w:r>
        <w:rPr>
          <w:rFonts w:ascii="Arial" w:cs="Arial" w:eastAsia="Arial" w:hAnsi="Arial"/>
          <w:sz w:val="17"/>
          <w:szCs w:val="17"/>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7"/>
          <w:szCs w:val="17"/>
          <w:color w:val="auto"/>
        </w:rPr>
        <w:t>‑</w:t>
      </w:r>
      <w:r>
        <w:rPr>
          <w:rFonts w:ascii="Arial" w:cs="Arial" w:eastAsia="Arial" w:hAnsi="Arial"/>
          <w:sz w:val="17"/>
          <w:szCs w:val="17"/>
          <w:color w:val="auto"/>
        </w:rPr>
        <w:t>Related Items.</w:t>
      </w:r>
    </w:p>
    <w:p>
      <w:pPr>
        <w:spacing w:after="0" w:line="150" w:lineRule="exact"/>
        <w:rPr>
          <w:sz w:val="20"/>
          <w:szCs w:val="20"/>
          <w:color w:val="auto"/>
        </w:rPr>
      </w:pPr>
    </w:p>
    <w:p>
      <w:pPr>
        <w:ind w:left="1300" w:hanging="644"/>
        <w:spacing w:after="0"/>
        <w:tabs>
          <w:tab w:leader="none" w:pos="130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171" w:lineRule="exact"/>
        <w:rPr>
          <w:rFonts w:ascii="Arial" w:cs="Arial" w:eastAsia="Arial" w:hAnsi="Arial"/>
          <w:sz w:val="18"/>
          <w:szCs w:val="18"/>
          <w:color w:val="auto"/>
        </w:rPr>
      </w:pPr>
    </w:p>
    <w:p>
      <w:pPr>
        <w:ind w:right="140" w:firstLine="1304"/>
        <w:spacing w:after="0" w:line="277" w:lineRule="auto"/>
        <w:tabs>
          <w:tab w:leader="none" w:pos="1941"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171" w:lineRule="exact"/>
        <w:rPr>
          <w:rFonts w:ascii="Arial" w:cs="Arial" w:eastAsia="Arial" w:hAnsi="Arial"/>
          <w:sz w:val="18"/>
          <w:szCs w:val="18"/>
          <w:color w:val="auto"/>
        </w:rPr>
      </w:pPr>
    </w:p>
    <w:p>
      <w:pPr>
        <w:ind w:right="160" w:firstLine="1304"/>
        <w:spacing w:after="0" w:line="263" w:lineRule="auto"/>
        <w:tabs>
          <w:tab w:leader="none" w:pos="1941"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171" w:lineRule="exact"/>
        <w:rPr>
          <w:rFonts w:ascii="Arial" w:cs="Arial" w:eastAsia="Arial" w:hAnsi="Arial"/>
          <w:sz w:val="18"/>
          <w:szCs w:val="18"/>
          <w:color w:val="auto"/>
        </w:rPr>
      </w:pPr>
    </w:p>
    <w:p>
      <w:pPr>
        <w:ind w:right="40" w:firstLine="1304"/>
        <w:spacing w:after="0" w:line="277" w:lineRule="auto"/>
        <w:tabs>
          <w:tab w:leader="none" w:pos="1941"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intended to replace any pension rights or compensation;</w:t>
      </w:r>
    </w:p>
    <w:p>
      <w:pPr>
        <w:spacing w:after="0" w:line="116" w:lineRule="exact"/>
        <w:rPr>
          <w:rFonts w:ascii="Arial" w:cs="Arial" w:eastAsia="Arial" w:hAnsi="Arial"/>
          <w:sz w:val="18"/>
          <w:szCs w:val="18"/>
          <w:color w:val="auto"/>
        </w:rPr>
      </w:pPr>
    </w:p>
    <w:p>
      <w:pPr>
        <w:ind w:right="40" w:firstLine="1304"/>
        <w:spacing w:after="0" w:line="277" w:lineRule="auto"/>
        <w:tabs>
          <w:tab w:leader="none" w:pos="1935" w:val="left"/>
        </w:tabs>
        <w:numPr>
          <w:ilvl w:val="1"/>
          <w:numId w:val="646"/>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part of my normal or expected compensation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4"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color w:val="auto"/>
        </w:rPr>
        <w:t>including, but not limited to, calculating any severance, resignation, termination, redundancy, dismissal,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service payments, bonuses, long</w:t>
      </w:r>
      <w:r>
        <w:rPr>
          <w:rFonts w:ascii="MS PGothic" w:cs="MS PGothic" w:eastAsia="MS PGothic" w:hAnsi="MS PGothic"/>
          <w:sz w:val="18"/>
          <w:szCs w:val="18"/>
          <w:color w:val="auto"/>
        </w:rPr>
        <w:t>‑</w:t>
      </w:r>
      <w:r>
        <w:rPr>
          <w:rFonts w:ascii="Arial" w:cs="Arial" w:eastAsia="Arial" w:hAnsi="Arial"/>
          <w:sz w:val="18"/>
          <w:szCs w:val="18"/>
          <w:color w:val="auto"/>
        </w:rPr>
        <w:t>service awards, pension or retirement benefits or similar payments;</w:t>
      </w:r>
    </w:p>
    <w:p>
      <w:pPr>
        <w:spacing w:after="0" w:line="149" w:lineRule="exact"/>
        <w:rPr>
          <w:sz w:val="20"/>
          <w:szCs w:val="20"/>
          <w:color w:val="auto"/>
        </w:rPr>
      </w:pPr>
    </w:p>
    <w:p>
      <w:pPr>
        <w:ind w:left="1940" w:hanging="636"/>
        <w:spacing w:after="0"/>
        <w:tabs>
          <w:tab w:leader="none" w:pos="194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the future value of the shares of Common Stock offered under the Plan is unknown, indeterminable and cannot be predicted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certainty;</w:t>
      </w:r>
    </w:p>
    <w:p>
      <w:pPr>
        <w:spacing w:after="0" w:line="157" w:lineRule="exact"/>
        <w:rPr>
          <w:sz w:val="20"/>
          <w:szCs w:val="20"/>
          <w:color w:val="auto"/>
        </w:rPr>
      </w:pPr>
    </w:p>
    <w:p>
      <w:pPr>
        <w:ind w:left="1940" w:hanging="636"/>
        <w:spacing w:after="0"/>
        <w:tabs>
          <w:tab w:leader="none" w:pos="1940" w:val="left"/>
        </w:tabs>
        <w:numPr>
          <w:ilvl w:val="1"/>
          <w:numId w:val="648"/>
        </w:numPr>
        <w:rPr>
          <w:rFonts w:ascii="Arial" w:cs="Arial" w:eastAsia="Arial" w:hAnsi="Arial"/>
          <w:sz w:val="16"/>
          <w:szCs w:val="16"/>
          <w:color w:val="auto"/>
        </w:rPr>
      </w:pPr>
      <w:r>
        <w:rPr>
          <w:rFonts w:ascii="Arial" w:cs="Arial" w:eastAsia="Arial" w:hAnsi="Arial"/>
          <w:sz w:val="16"/>
          <w:szCs w:val="16"/>
          <w:color w:val="auto"/>
        </w:rPr>
        <w:t>the shares of Common Stock that I acquire under the Plan may increase or decrease in value, even below the Purchase Price;</w:t>
      </w:r>
    </w:p>
    <w:p>
      <w:pPr>
        <w:spacing w:after="0" w:line="194" w:lineRule="exact"/>
        <w:rPr>
          <w:rFonts w:ascii="Arial" w:cs="Arial" w:eastAsia="Arial" w:hAnsi="Arial"/>
          <w:sz w:val="16"/>
          <w:szCs w:val="16"/>
          <w:color w:val="auto"/>
        </w:rPr>
      </w:pPr>
    </w:p>
    <w:p>
      <w:pPr>
        <w:ind w:right="60" w:firstLine="1304"/>
        <w:spacing w:after="0" w:line="272" w:lineRule="auto"/>
        <w:tabs>
          <w:tab w:leader="none" w:pos="1938" w:val="left"/>
        </w:tabs>
        <w:numPr>
          <w:ilvl w:val="1"/>
          <w:numId w:val="648"/>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23" w:lineRule="exact"/>
        <w:rPr>
          <w:rFonts w:ascii="Arial" w:cs="Arial" w:eastAsia="Arial" w:hAnsi="Arial"/>
          <w:sz w:val="17"/>
          <w:szCs w:val="17"/>
          <w:color w:val="auto"/>
        </w:rPr>
      </w:pPr>
    </w:p>
    <w:p>
      <w:pPr>
        <w:ind w:firstLine="1304"/>
        <w:spacing w:after="0" w:line="271" w:lineRule="auto"/>
        <w:tabs>
          <w:tab w:leader="none" w:pos="1938" w:val="left"/>
        </w:tabs>
        <w:numPr>
          <w:ilvl w:val="1"/>
          <w:numId w:val="648"/>
        </w:numPr>
        <w:rPr>
          <w:rFonts w:ascii="Arial" w:cs="Arial" w:eastAsia="Arial" w:hAnsi="Arial"/>
          <w:sz w:val="17"/>
          <w:szCs w:val="17"/>
          <w:color w:val="auto"/>
        </w:rPr>
      </w:pPr>
      <w:r>
        <w:rPr>
          <w:rFonts w:ascii="Arial" w:cs="Arial" w:eastAsia="Arial" w:hAnsi="Arial"/>
          <w:sz w:val="17"/>
          <w:szCs w:val="17"/>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Arial" w:cs="Arial" w:eastAsia="Arial" w:hAnsi="Arial"/>
          <w:sz w:val="17"/>
          <w:szCs w:val="17"/>
          <w:b w:val="1"/>
          <w:bCs w:val="1"/>
          <w:color w:val="auto"/>
        </w:rPr>
        <w:t>garden</w:t>
      </w:r>
      <w:r>
        <w:rPr>
          <w:rFonts w:ascii="Arial" w:cs="Arial" w:eastAsia="Arial" w:hAnsi="Arial"/>
          <w:sz w:val="17"/>
          <w:szCs w:val="17"/>
          <w:color w:val="auto"/>
        </w:rPr>
        <w:t xml:space="preserve"> </w:t>
      </w:r>
      <w:r>
        <w:rPr>
          <w:rFonts w:ascii="Arial" w:cs="Arial" w:eastAsia="Arial" w:hAnsi="Arial"/>
          <w:sz w:val="17"/>
          <w:szCs w:val="17"/>
          <w:b w:val="1"/>
          <w:bCs w:val="1"/>
          <w:color w:val="auto"/>
        </w:rPr>
        <w:t>leave</w:t>
      </w:r>
      <w:r>
        <w:rPr>
          <w:rFonts w:ascii="Arial" w:cs="Arial" w:eastAsia="Arial" w:hAnsi="Arial"/>
          <w:sz w:val="17"/>
          <w:szCs w:val="17"/>
          <w:color w:val="auto"/>
        </w:rPr>
        <w:t>” or similar period pursuant to the employment laws in the jurisdiction in which I am employed or the terms of my employment agreement,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have the exclusive discretion to determine when I am no longer actively employed for purposes of my participation in the Plan (including whether I may still be considered to be actively employed while on a leave of absence).</w:t>
      </w:r>
    </w:p>
    <w:p>
      <w:pPr>
        <w:spacing w:after="0" w:line="124" w:lineRule="exact"/>
        <w:rPr>
          <w:rFonts w:ascii="Arial" w:cs="Arial" w:eastAsia="Arial" w:hAnsi="Arial"/>
          <w:sz w:val="17"/>
          <w:szCs w:val="17"/>
          <w:color w:val="auto"/>
        </w:rPr>
      </w:pPr>
    </w:p>
    <w:p>
      <w:pPr>
        <w:ind w:firstLine="656"/>
        <w:spacing w:after="0" w:line="285" w:lineRule="auto"/>
        <w:tabs>
          <w:tab w:leader="none" w:pos="1296" w:val="left"/>
        </w:tabs>
        <w:numPr>
          <w:ilvl w:val="0"/>
          <w:numId w:val="649"/>
        </w:numPr>
        <w:rPr>
          <w:rFonts w:ascii="Arial" w:cs="Arial" w:eastAsia="Arial" w:hAnsi="Arial"/>
          <w:sz w:val="16"/>
          <w:szCs w:val="16"/>
          <w:i w:val="1"/>
          <w:iCs w:val="1"/>
          <w:color w:val="auto"/>
        </w:rPr>
      </w:pPr>
      <w:r>
        <w:rPr>
          <w:rFonts w:ascii="Arial" w:cs="Arial" w:eastAsia="Arial" w:hAnsi="Arial"/>
          <w:sz w:val="16"/>
          <w:szCs w:val="16"/>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6"/>
          <w:szCs w:val="16"/>
          <w:b w:val="1"/>
          <w:bCs w:val="1"/>
          <w:i w:val="1"/>
          <w:iCs w:val="1"/>
          <w:color w:val="auto"/>
        </w:rPr>
        <w:t>Data</w:t>
      </w:r>
      <w:r>
        <w:rPr>
          <w:rFonts w:ascii="Arial" w:cs="Arial" w:eastAsia="Arial" w:hAnsi="Arial"/>
          <w:sz w:val="16"/>
          <w:szCs w:val="16"/>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7" w:name="page648"/>
    <w:bookmarkEnd w:id="647"/>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3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3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17" w:lineRule="exact"/>
        <w:rPr>
          <w:sz w:val="20"/>
          <w:szCs w:val="20"/>
          <w:color w:val="auto"/>
        </w:rPr>
      </w:pPr>
    </w:p>
    <w:p>
      <w:pPr>
        <w:ind w:right="20" w:firstLine="656"/>
        <w:spacing w:after="0" w:line="308" w:lineRule="auto"/>
        <w:tabs>
          <w:tab w:leader="none" w:pos="1291" w:val="left"/>
        </w:tabs>
        <w:numPr>
          <w:ilvl w:val="0"/>
          <w:numId w:val="650"/>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92" w:lineRule="exact"/>
        <w:rPr>
          <w:rFonts w:ascii="Arial" w:cs="Arial" w:eastAsia="Arial" w:hAnsi="Arial"/>
          <w:sz w:val="17"/>
          <w:szCs w:val="17"/>
          <w:color w:val="auto"/>
        </w:rPr>
      </w:pPr>
    </w:p>
    <w:p>
      <w:pPr>
        <w:ind w:right="40" w:firstLine="656"/>
        <w:spacing w:after="0" w:line="308" w:lineRule="auto"/>
        <w:tabs>
          <w:tab w:leader="none" w:pos="1285" w:val="left"/>
        </w:tabs>
        <w:numPr>
          <w:ilvl w:val="0"/>
          <w:numId w:val="650"/>
        </w:numPr>
        <w:rPr>
          <w:rFonts w:ascii="Arial" w:cs="Arial" w:eastAsia="Arial" w:hAnsi="Arial"/>
          <w:sz w:val="17"/>
          <w:szCs w:val="17"/>
          <w:color w:val="auto"/>
        </w:rPr>
      </w:pPr>
      <w:r>
        <w:rPr>
          <w:rFonts w:ascii="Arial" w:cs="Arial" w:eastAsia="Arial" w:hAnsi="Arial"/>
          <w:sz w:val="17"/>
          <w:szCs w:val="17"/>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92" w:lineRule="exact"/>
        <w:rPr>
          <w:rFonts w:ascii="Arial" w:cs="Arial" w:eastAsia="Arial" w:hAnsi="Arial"/>
          <w:sz w:val="17"/>
          <w:szCs w:val="17"/>
          <w:color w:val="auto"/>
        </w:rPr>
      </w:pPr>
    </w:p>
    <w:p>
      <w:pPr>
        <w:ind w:firstLine="656"/>
        <w:spacing w:after="0" w:line="273" w:lineRule="auto"/>
        <w:tabs>
          <w:tab w:leader="none" w:pos="1291" w:val="left"/>
        </w:tabs>
        <w:numPr>
          <w:ilvl w:val="0"/>
          <w:numId w:val="650"/>
        </w:numPr>
        <w:rPr>
          <w:rFonts w:ascii="Arial" w:cs="Arial" w:eastAsia="Arial" w:hAnsi="Arial"/>
          <w:sz w:val="17"/>
          <w:szCs w:val="17"/>
          <w:color w:val="auto"/>
        </w:rPr>
      </w:pPr>
      <w:r>
        <w:rPr>
          <w:rFonts w:ascii="Arial" w:cs="Arial" w:eastAsia="Arial" w:hAnsi="Arial"/>
          <w:sz w:val="17"/>
          <w:szCs w:val="17"/>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23" w:lineRule="exact"/>
        <w:rPr>
          <w:rFonts w:ascii="Arial" w:cs="Arial" w:eastAsia="Arial" w:hAnsi="Arial"/>
          <w:sz w:val="17"/>
          <w:szCs w:val="17"/>
          <w:color w:val="auto"/>
        </w:rPr>
      </w:pPr>
    </w:p>
    <w:p>
      <w:pPr>
        <w:ind w:right="40" w:firstLine="656"/>
        <w:spacing w:after="0" w:line="277" w:lineRule="auto"/>
        <w:tabs>
          <w:tab w:leader="none" w:pos="1291"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Social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Security Number</w:t>
      </w:r>
    </w:p>
    <w:p>
      <w:pPr>
        <w:spacing w:after="0" w:line="63"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(for U.S.</w:t>
      </w:r>
      <w:r>
        <w:rPr>
          <w:rFonts w:ascii="MS PGothic" w:cs="MS PGothic" w:eastAsia="MS PGothic" w:hAnsi="MS PGothic"/>
          <w:sz w:val="18"/>
          <w:szCs w:val="18"/>
          <w:color w:val="auto"/>
        </w:rPr>
        <w:t>‑</w:t>
      </w:r>
      <w:r>
        <w:rPr>
          <w:rFonts w:ascii="Arial" w:cs="Arial" w:eastAsia="Arial" w:hAnsi="Arial"/>
          <w:sz w:val="18"/>
          <w:szCs w:val="18"/>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717550</wp:posOffset>
            </wp:positionV>
            <wp:extent cx="366014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374650</wp:posOffset>
            </wp:positionV>
            <wp:extent cx="366014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660082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8" w:name="page649"/>
    <w:bookmarkEnd w:id="648"/>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WITHDRAWAL</w:t>
      </w:r>
    </w:p>
    <w:p>
      <w:pPr>
        <w:spacing w:after="0" w:line="17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undersigned Participant in the Offering Period of the Nautilus Biotechnology, Inc. 2021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that began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______ (the “</w:t>
      </w:r>
      <w:r>
        <w:rPr>
          <w:rFonts w:ascii="Arial" w:cs="Arial" w:eastAsia="Arial" w:hAnsi="Arial"/>
          <w:sz w:val="16"/>
          <w:szCs w:val="16"/>
          <w:b w:val="1"/>
          <w:bCs w:val="1"/>
          <w:color w:val="auto"/>
        </w:rPr>
        <w:t>Offering Date</w:t>
      </w:r>
      <w:r>
        <w:rPr>
          <w:rFonts w:ascii="Arial" w:cs="Arial" w:eastAsia="Arial" w:hAnsi="Arial"/>
          <w:sz w:val="16"/>
          <w:szCs w:val="16"/>
          <w:color w:val="auto"/>
        </w:rPr>
        <w:t>”) hereby notifies the Company that he or she hereby withdraws from the Offering Period. He or she hereby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803275</wp:posOffset>
            </wp:positionV>
            <wp:extent cx="361759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503555</wp:posOffset>
            </wp:positionV>
            <wp:extent cx="361759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16293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49" w:name="page650"/>
    <w:bookmarkEnd w:id="649"/>
    <w:p>
      <w:pPr>
        <w:jc w:val="right"/>
        <w:spacing w:after="0"/>
        <w:rPr>
          <w:sz w:val="20"/>
          <w:szCs w:val="20"/>
          <w:color w:val="auto"/>
        </w:rPr>
      </w:pPr>
      <w:r>
        <w:rPr>
          <w:rFonts w:ascii="Arial" w:cs="Arial" w:eastAsia="Arial" w:hAnsi="Arial"/>
          <w:sz w:val="18"/>
          <w:szCs w:val="18"/>
          <w:b w:val="1"/>
          <w:bCs w:val="1"/>
          <w:color w:val="auto"/>
        </w:rPr>
        <w:t>Annex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CARD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w:t>
      </w:r>
    </w:p>
    <w:p>
      <w:pPr>
        <w:spacing w:after="0" w:line="15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ARYA Sciences Acquisition Corp III Extraordinary General Meeting</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NY 10003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SHAREHOLDERS OF ARYA SCIENCES ACQUISITION CORP III</w:t>
      </w:r>
    </w:p>
    <w:p>
      <w:pPr>
        <w:spacing w:after="0" w:line="15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EXTRAORDINARY GENERAL MEETING OF SHAREHOLDERS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TO BE HELD ON ____________, 2021.</w:t>
      </w:r>
    </w:p>
    <w:p>
      <w:pPr>
        <w:spacing w:after="0" w:line="197" w:lineRule="exact"/>
        <w:rPr>
          <w:sz w:val="20"/>
          <w:szCs w:val="20"/>
          <w:color w:val="auto"/>
        </w:rPr>
      </w:pPr>
    </w:p>
    <w:p>
      <w:pPr>
        <w:ind w:left="720" w:hanging="694"/>
        <w:spacing w:after="0"/>
        <w:tabs>
          <w:tab w:leader="none" w:pos="720" w:val="left"/>
        </w:tabs>
        <w:numPr>
          <w:ilvl w:val="0"/>
          <w:numId w:val="651"/>
        </w:numPr>
        <w:rPr>
          <w:rFonts w:ascii="Arial" w:cs="Arial" w:eastAsia="Arial" w:hAnsi="Arial"/>
          <w:sz w:val="16"/>
          <w:szCs w:val="16"/>
          <w:b w:val="1"/>
          <w:bCs w:val="1"/>
          <w:color w:val="auto"/>
        </w:rPr>
      </w:pPr>
      <w:r>
        <w:rPr>
          <w:rFonts w:ascii="Arial" w:cs="Arial" w:eastAsia="Arial" w:hAnsi="Arial"/>
          <w:sz w:val="16"/>
          <w:szCs w:val="16"/>
          <w:color w:val="auto"/>
        </w:rPr>
        <w:t>The undersigned, revoking any previous proxies relating to these shares, hereby acknowledges receipt of the Notice and Proxy Statement, dated</w:t>
      </w:r>
    </w:p>
    <w:tbl>
      <w:tblPr>
        <w:tblLayout w:type="fixed"/>
        <w:tblInd w:w="20" w:type="dxa"/>
        <w:tblCellMar>
          <w:top w:w="0" w:type="dxa"/>
          <w:left w:w="0" w:type="dxa"/>
          <w:bottom w:w="0" w:type="dxa"/>
          <w:right w:w="0" w:type="dxa"/>
        </w:tblCellMar>
      </w:tblPr>
      <w:tr>
        <w:trPr>
          <w:trHeight w:val="183"/>
        </w:trPr>
        <w:tc>
          <w:tcPr>
            <w:tcW w:w="420" w:type="dxa"/>
            <w:vAlign w:val="bottom"/>
          </w:tcPr>
          <w:p>
            <w:pPr>
              <w:spacing w:after="0" w:line="183" w:lineRule="exact"/>
              <w:rPr>
                <w:sz w:val="20"/>
                <w:szCs w:val="20"/>
                <w:color w:val="auto"/>
              </w:rPr>
            </w:pPr>
            <w:r>
              <w:rPr>
                <w:rFonts w:ascii="Arial" w:cs="Arial" w:eastAsia="Arial" w:hAnsi="Arial"/>
                <w:sz w:val="18"/>
                <w:szCs w:val="18"/>
                <w:b w:val="1"/>
                <w:bCs w:val="1"/>
                <w:color w:val="auto"/>
              </w:rPr>
              <w:t>R</w:t>
            </w:r>
          </w:p>
        </w:tc>
        <w:tc>
          <w:tcPr>
            <w:tcW w:w="10680" w:type="dxa"/>
            <w:vAlign w:val="bottom"/>
          </w:tcPr>
          <w:p>
            <w:pPr>
              <w:ind w:left="280"/>
              <w:spacing w:after="0" w:line="183" w:lineRule="exact"/>
              <w:rPr>
                <w:sz w:val="20"/>
                <w:szCs w:val="20"/>
                <w:color w:val="auto"/>
              </w:rPr>
            </w:pPr>
            <w:r>
              <w:rPr>
                <w:rFonts w:ascii="Arial" w:cs="Arial" w:eastAsia="Arial" w:hAnsi="Arial"/>
                <w:sz w:val="18"/>
                <w:szCs w:val="18"/>
                <w:color w:val="auto"/>
                <w:w w:val="90"/>
              </w:rPr>
              <w:t>_________, 2021, in connection with the extraordinary general meeting of Shareholders (the “extraordinary general meeting”) to be held at 9:00</w:t>
            </w:r>
          </w:p>
        </w:tc>
        <w:tc>
          <w:tcPr>
            <w:tcW w:w="0" w:type="dxa"/>
            <w:vAlign w:val="bottom"/>
          </w:tcPr>
          <w:p>
            <w:pPr>
              <w:spacing w:after="0"/>
              <w:rPr>
                <w:sz w:val="1"/>
                <w:szCs w:val="1"/>
                <w:color w:val="auto"/>
              </w:rPr>
            </w:pPr>
          </w:p>
        </w:tc>
      </w:tr>
      <w:tr>
        <w:trPr>
          <w:trHeight w:val="16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O</w:t>
            </w:r>
          </w:p>
        </w:tc>
        <w:tc>
          <w:tcPr>
            <w:tcW w:w="10680" w:type="dxa"/>
            <w:vAlign w:val="bottom"/>
          </w:tcPr>
          <w:p>
            <w:pPr>
              <w:ind w:left="280"/>
              <w:spacing w:after="0" w:line="160" w:lineRule="exact"/>
              <w:rPr>
                <w:sz w:val="20"/>
                <w:szCs w:val="20"/>
                <w:color w:val="auto"/>
              </w:rPr>
            </w:pPr>
            <w:r>
              <w:rPr>
                <w:rFonts w:ascii="Arial" w:cs="Arial" w:eastAsia="Arial" w:hAnsi="Arial"/>
                <w:sz w:val="18"/>
                <w:szCs w:val="18"/>
                <w:color w:val="auto"/>
                <w:w w:val="93"/>
              </w:rPr>
              <w:t>a.m. Eastern Time on _________, 2021, at the offices of Kirkland &amp; Ellis LLP located at 601 Lexington Avenue, New York, New York 10022,</w:t>
            </w:r>
          </w:p>
        </w:tc>
        <w:tc>
          <w:tcPr>
            <w:tcW w:w="0" w:type="dxa"/>
            <w:vAlign w:val="bottom"/>
          </w:tcPr>
          <w:p>
            <w:pPr>
              <w:spacing w:after="0"/>
              <w:rPr>
                <w:sz w:val="1"/>
                <w:szCs w:val="1"/>
                <w:color w:val="auto"/>
              </w:rPr>
            </w:pPr>
          </w:p>
        </w:tc>
      </w:tr>
      <w:tr>
        <w:trPr>
          <w:trHeight w:val="177"/>
        </w:trPr>
        <w:tc>
          <w:tcPr>
            <w:tcW w:w="420" w:type="dxa"/>
            <w:vAlign w:val="bottom"/>
            <w:vMerge w:val="continue"/>
          </w:tcPr>
          <w:p>
            <w:pPr>
              <w:spacing w:after="0"/>
              <w:rPr>
                <w:sz w:val="15"/>
                <w:szCs w:val="15"/>
                <w:color w:val="auto"/>
              </w:rPr>
            </w:pPr>
          </w:p>
        </w:tc>
        <w:tc>
          <w:tcPr>
            <w:tcW w:w="10680" w:type="dxa"/>
            <w:vAlign w:val="bottom"/>
          </w:tcPr>
          <w:p>
            <w:pPr>
              <w:ind w:left="280"/>
              <w:spacing w:after="0" w:line="177" w:lineRule="exact"/>
              <w:rPr>
                <w:sz w:val="20"/>
                <w:szCs w:val="20"/>
                <w:color w:val="auto"/>
              </w:rPr>
            </w:pPr>
            <w:r>
              <w:rPr>
                <w:rFonts w:ascii="Arial" w:cs="Arial" w:eastAsia="Arial" w:hAnsi="Arial"/>
                <w:sz w:val="18"/>
                <w:szCs w:val="18"/>
                <w:color w:val="auto"/>
                <w:w w:val="96"/>
              </w:rPr>
              <w:t>and hereby appoints Adam Stone and Michael Altman, and each of them (with full power to act alone), the attorneys and proxies of the</w:t>
            </w:r>
          </w:p>
        </w:tc>
        <w:tc>
          <w:tcPr>
            <w:tcW w:w="0" w:type="dxa"/>
            <w:vAlign w:val="bottom"/>
          </w:tcPr>
          <w:p>
            <w:pPr>
              <w:spacing w:after="0"/>
              <w:rPr>
                <w:sz w:val="1"/>
                <w:szCs w:val="1"/>
                <w:color w:val="auto"/>
              </w:rPr>
            </w:pPr>
          </w:p>
        </w:tc>
      </w:tr>
    </w:tbl>
    <w:p>
      <w:pPr>
        <w:ind w:left="720" w:hanging="694"/>
        <w:spacing w:after="0"/>
        <w:tabs>
          <w:tab w:leader="none" w:pos="720" w:val="left"/>
        </w:tabs>
        <w:numPr>
          <w:ilvl w:val="0"/>
          <w:numId w:val="652"/>
        </w:numPr>
        <w:rPr>
          <w:rFonts w:ascii="Arial" w:cs="Arial" w:eastAsia="Arial" w:hAnsi="Arial"/>
          <w:sz w:val="17"/>
          <w:szCs w:val="17"/>
          <w:b w:val="1"/>
          <w:bCs w:val="1"/>
          <w:color w:val="auto"/>
        </w:rPr>
      </w:pPr>
      <w:r>
        <w:rPr>
          <w:rFonts w:ascii="Arial" w:cs="Arial" w:eastAsia="Arial" w:hAnsi="Arial"/>
          <w:sz w:val="17"/>
          <w:szCs w:val="17"/>
          <w:color w:val="auto"/>
        </w:rPr>
        <w:t>undersigned, with power of substitution to each, to vote all ordinary shares of ARYA Sciences Acquisition Corp III (“ARYA”) registered in the</w:t>
      </w:r>
    </w:p>
    <w:p>
      <w:pPr>
        <w:sectPr>
          <w:pgSz w:w="11900" w:h="16838" w:orient="portrait"/>
          <w:cols w:equalWidth="0" w:num="1">
            <w:col w:w="11240"/>
          </w:cols>
          <w:pgMar w:left="320" w:top="122"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80"/>
        <w:spacing w:after="0" w:line="228" w:lineRule="auto"/>
        <w:rPr>
          <w:sz w:val="20"/>
          <w:szCs w:val="20"/>
          <w:color w:val="auto"/>
        </w:rPr>
      </w:pPr>
      <w:r>
        <w:rPr>
          <w:rFonts w:ascii="Arial" w:cs="Arial" w:eastAsia="Arial" w:hAnsi="Arial"/>
          <w:sz w:val="16"/>
          <w:szCs w:val="16"/>
          <w:color w:val="auto"/>
        </w:rPr>
        <w:t>name provided, which the undersigned is entitled to vote at the extraordinary general meeting, and at any adjournments thereof, with all the powers the undersigned would have if personally present. Without limiting the general authorization hereby given, said proxies are, and each of</w:t>
      </w:r>
    </w:p>
    <w:p>
      <w:pPr>
        <w:spacing w:after="0" w:line="1" w:lineRule="exact"/>
        <w:rPr>
          <w:sz w:val="20"/>
          <w:szCs w:val="20"/>
          <w:color w:val="auto"/>
        </w:rPr>
      </w:pPr>
    </w:p>
    <w:p>
      <w:pPr>
        <w:sectPr>
          <w:pgSz w:w="11900" w:h="16838" w:orient="portrait"/>
          <w:cols w:equalWidth="0" w:num="2">
            <w:col w:w="160" w:space="560"/>
            <w:col w:w="10520"/>
          </w:cols>
          <w:pgMar w:left="320" w:top="122" w:right="339" w:bottom="1440" w:gutter="0" w:footer="0" w:header="0"/>
          <w:type w:val="continuous"/>
        </w:sectPr>
      </w:pPr>
    </w:p>
    <w:p>
      <w:pPr>
        <w:ind w:left="720" w:hanging="694"/>
        <w:spacing w:after="0" w:line="184" w:lineRule="auto"/>
        <w:tabs>
          <w:tab w:leader="none" w:pos="720" w:val="left"/>
        </w:tabs>
        <w:numPr>
          <w:ilvl w:val="0"/>
          <w:numId w:val="653"/>
        </w:numPr>
        <w:rPr>
          <w:rFonts w:ascii="Arial" w:cs="Arial" w:eastAsia="Arial" w:hAnsi="Arial"/>
          <w:sz w:val="20"/>
          <w:szCs w:val="20"/>
          <w:b w:val="1"/>
          <w:bCs w:val="1"/>
          <w:color w:val="auto"/>
          <w:vertAlign w:val="subscript"/>
        </w:rPr>
      </w:pPr>
      <w:r>
        <w:rPr>
          <w:rFonts w:ascii="Arial" w:cs="Arial" w:eastAsia="Arial" w:hAnsi="Arial"/>
          <w:sz w:val="12"/>
          <w:szCs w:val="12"/>
          <w:color w:val="auto"/>
        </w:rPr>
        <w:t>them is, instructed to vote or act as follows on the proposals set forth in the accompanying proxy statement/prospectus.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w:t>
      </w:r>
    </w:p>
    <w:p>
      <w:pPr>
        <w:spacing w:after="0" w:line="76" w:lineRule="exact"/>
        <w:rPr>
          <w:sz w:val="20"/>
          <w:szCs w:val="20"/>
          <w:color w:val="auto"/>
        </w:rPr>
      </w:pPr>
    </w:p>
    <w:p>
      <w:pPr>
        <w:ind w:left="720" w:right="340"/>
        <w:spacing w:after="0" w:line="245" w:lineRule="auto"/>
        <w:rPr>
          <w:sz w:val="20"/>
          <w:szCs w:val="20"/>
          <w:color w:val="auto"/>
        </w:rPr>
      </w:pPr>
      <w:r>
        <w:rPr>
          <w:rFonts w:ascii="Arial" w:cs="Arial" w:eastAsia="Arial" w:hAnsi="Arial"/>
          <w:sz w:val="16"/>
          <w:szCs w:val="16"/>
          <w:b w:val="1"/>
          <w:bCs w:val="1"/>
          <w:color w:val="auto"/>
        </w:rPr>
        <w:t>THIS PROXY, WHEN EXECUTED, WILL BE VOTED IN THE MANNER DIRECTED HEREIN. IF NO DIRECTION IS MADE, THIS PROXY WILL BE VOTED “FOR” PROPOSALS 1 THROUGH 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9260" w:type="dxa"/>
            <w:vAlign w:val="bottom"/>
          </w:tcPr>
          <w:p>
            <w:pPr>
              <w:ind w:left="1780"/>
              <w:spacing w:after="0"/>
              <w:rPr>
                <w:sz w:val="20"/>
                <w:szCs w:val="20"/>
                <w:color w:val="auto"/>
              </w:rPr>
            </w:pPr>
            <w:r>
              <w:rPr>
                <w:rFonts w:ascii="Arial" w:cs="Arial" w:eastAsia="Arial" w:hAnsi="Arial"/>
                <w:sz w:val="16"/>
                <w:szCs w:val="16"/>
                <w:b w:val="1"/>
                <w:bCs w:val="1"/>
                <w:color w:val="auto"/>
              </w:rPr>
              <w:t>(Continued and to be marked, dated and signed on reverse side)</w:t>
            </w:r>
          </w:p>
        </w:tc>
      </w:tr>
      <w:tr>
        <w:trPr>
          <w:trHeight w:val="384"/>
        </w:trPr>
        <w:tc>
          <w:tcPr>
            <w:tcW w:w="1980" w:type="dxa"/>
            <w:vAlign w:val="bottom"/>
          </w:tcPr>
          <w:p>
            <w:pPr>
              <w:jc w:val="center"/>
              <w:ind w:right="519"/>
              <w:spacing w:after="0"/>
              <w:rPr>
                <w:sz w:val="20"/>
                <w:szCs w:val="20"/>
                <w:color w:val="auto"/>
              </w:rPr>
            </w:pPr>
            <w:r>
              <w:rPr>
                <w:rFonts w:ascii="Arial" w:cs="Arial" w:eastAsia="Arial" w:hAnsi="Arial"/>
                <w:sz w:val="16"/>
                <w:szCs w:val="16"/>
                <w:b w:val="1"/>
                <w:bCs w:val="1"/>
                <w:color w:val="auto"/>
                <w:w w:val="82"/>
              </w:rPr>
              <w:t>Please</w:t>
            </w:r>
          </w:p>
        </w:tc>
        <w:tc>
          <w:tcPr>
            <w:tcW w:w="9260" w:type="dxa"/>
            <w:vAlign w:val="bottom"/>
          </w:tcPr>
          <w:p>
            <w:pPr>
              <w:ind w:left="740"/>
              <w:spacing w:after="0" w:line="161" w:lineRule="exact"/>
              <w:rPr>
                <w:sz w:val="20"/>
                <w:szCs w:val="20"/>
                <w:color w:val="auto"/>
              </w:rPr>
            </w:pP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THE BOARD OF DIRECTORS RECOMMENDS A VOTE “FOR” PROPOSALS 1, 2, 3, 4, 5, 6, 7, 8, 9, 10 and 11.</w:t>
            </w:r>
          </w:p>
        </w:tc>
      </w:tr>
      <w:tr>
        <w:trPr>
          <w:trHeight w:val="162"/>
        </w:trPr>
        <w:tc>
          <w:tcPr>
            <w:tcW w:w="1980" w:type="dxa"/>
            <w:vAlign w:val="bottom"/>
          </w:tcPr>
          <w:p>
            <w:pPr>
              <w:jc w:val="center"/>
              <w:ind w:right="519"/>
              <w:spacing w:after="0" w:line="162" w:lineRule="exact"/>
              <w:rPr>
                <w:sz w:val="20"/>
                <w:szCs w:val="20"/>
                <w:color w:val="auto"/>
              </w:rPr>
            </w:pPr>
            <w:r>
              <w:rPr>
                <w:rFonts w:ascii="Arial" w:cs="Arial" w:eastAsia="Arial" w:hAnsi="Arial"/>
                <w:sz w:val="16"/>
                <w:szCs w:val="16"/>
                <w:b w:val="1"/>
                <w:bCs w:val="1"/>
                <w:color w:val="auto"/>
                <w:w w:val="91"/>
              </w:rPr>
              <w:t>mark vote as</w:t>
            </w:r>
          </w:p>
        </w:tc>
        <w:tc>
          <w:tcPr>
            <w:tcW w:w="9260" w:type="dxa"/>
            <w:vAlign w:val="bottom"/>
          </w:tcPr>
          <w:p>
            <w:pPr>
              <w:spacing w:after="0"/>
              <w:rPr>
                <w:sz w:val="14"/>
                <w:szCs w:val="14"/>
                <w:color w:val="auto"/>
              </w:rPr>
            </w:pPr>
          </w:p>
        </w:tc>
      </w:tr>
      <w:tr>
        <w:trPr>
          <w:trHeight w:val="162"/>
        </w:trPr>
        <w:tc>
          <w:tcPr>
            <w:tcW w:w="1980" w:type="dxa"/>
            <w:vAlign w:val="bottom"/>
          </w:tcPr>
          <w:p>
            <w:pPr>
              <w:jc w:val="center"/>
              <w:ind w:right="519"/>
              <w:spacing w:after="0" w:line="162" w:lineRule="exact"/>
              <w:rPr>
                <w:sz w:val="20"/>
                <w:szCs w:val="20"/>
                <w:color w:val="auto"/>
              </w:rPr>
            </w:pPr>
            <w:r>
              <w:rPr>
                <w:rFonts w:ascii="Arial" w:cs="Arial" w:eastAsia="Arial" w:hAnsi="Arial"/>
                <w:sz w:val="16"/>
                <w:szCs w:val="16"/>
                <w:b w:val="1"/>
                <w:bCs w:val="1"/>
                <w:color w:val="auto"/>
                <w:w w:val="90"/>
              </w:rPr>
              <w:t>indicated in this</w:t>
            </w:r>
          </w:p>
        </w:tc>
        <w:tc>
          <w:tcPr>
            <w:tcW w:w="9260" w:type="dxa"/>
            <w:vAlign w:val="bottom"/>
          </w:tcPr>
          <w:p>
            <w:pPr>
              <w:spacing w:after="0"/>
              <w:rPr>
                <w:sz w:val="14"/>
                <w:szCs w:val="14"/>
                <w:color w:val="auto"/>
              </w:rPr>
            </w:pPr>
          </w:p>
        </w:tc>
      </w:tr>
      <w:tr>
        <w:trPr>
          <w:trHeight w:val="210"/>
        </w:trPr>
        <w:tc>
          <w:tcPr>
            <w:tcW w:w="1980" w:type="dxa"/>
            <w:vAlign w:val="bottom"/>
          </w:tcPr>
          <w:p>
            <w:pPr>
              <w:jc w:val="center"/>
              <w:ind w:right="519"/>
              <w:spacing w:after="0"/>
              <w:rPr>
                <w:sz w:val="20"/>
                <w:szCs w:val="20"/>
                <w:color w:val="auto"/>
              </w:rPr>
            </w:pPr>
            <w:r>
              <w:rPr>
                <w:rFonts w:ascii="Arial" w:cs="Arial" w:eastAsia="Arial" w:hAnsi="Arial"/>
                <w:sz w:val="16"/>
                <w:szCs w:val="16"/>
                <w:b w:val="1"/>
                <w:bCs w:val="1"/>
                <w:color w:val="auto"/>
                <w:w w:val="90"/>
              </w:rPr>
              <w:t>example</w:t>
            </w:r>
          </w:p>
        </w:tc>
        <w:tc>
          <w:tcPr>
            <w:tcW w:w="9260" w:type="dxa"/>
            <w:vAlign w:val="bottom"/>
          </w:tcPr>
          <w:p>
            <w:pPr>
              <w:spacing w:after="0"/>
              <w:rPr>
                <w:sz w:val="18"/>
                <w:szCs w:val="18"/>
                <w:color w:val="auto"/>
              </w:rPr>
            </w:pPr>
          </w:p>
        </w:tc>
      </w:tr>
      <w:tr>
        <w:trPr>
          <w:trHeight w:val="1579"/>
        </w:trPr>
        <w:tc>
          <w:tcPr>
            <w:tcW w:w="198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0" w:name="page651"/>
    <w:bookmarkEnd w:id="650"/>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Proposal No. 1—The Business Combination Proposal—RESOLVED</w:t>
            </w:r>
            <w:r>
              <w:rPr>
                <w:rFonts w:ascii="Arial" w:cs="Arial" w:eastAsia="Arial" w:hAnsi="Arial"/>
                <w:sz w:val="14"/>
                <w:szCs w:val="14"/>
                <w:color w:val="auto"/>
                <w:w w:val="95"/>
              </w:rPr>
              <w:t>, as an ordinary resolution, that ARYA’s entry into the Business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Combination Agreement, dated as of February 7, 2021 (as may be amended, supplemented or otherwise modified from time to time, the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by and among ARYA, Mako Merger Sub, Inc., a Delaware corporation (“Merger Sub”),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Nautilus Biotechnology, Inc., a Delaware corporation (“Nautilus”), a copy of which is attached to the proxy statement/prospectus as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Annex A, pursuant to which, among other things, following the de-registration of ARYA as an exempted company in the Cayman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Islands and the continuation and domestication of ARYA as a corporation in the State of Delaware with the name “Nautilus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Biotechnology, Inc.,” (a) Merger Sub will merge with and into Nautilus (the “Merger”), with Nautilus as the surviving company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Merger and, after giving effect to such Merger, Nautilus shall be a wholly-owned subsidiary of ARYA and (b) at the Effective Time, each</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outstanding share of Nautilus (other than treasury shares and shares with respect to which appraisal rights under the DGCL are properly</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exercised and not withdrawn) will be exchanged for shares of New Nautilus Common Stock and outstanding Nautilus options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purchase shares of Nautilus (whether vested or unvested) will be exchanged for comparable options to purchase New Nautilus Common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Stock, in each case, based on an implied Nautilus equity value of $900 million, on the terms and subject to the conditions set forth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certain related agreements (including the Subscription Agreements, the Nautilus Shareholder</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Transaction Support Agreements, the Sponsor Letter Agreement, and the Amended and Restated Registration Rights and Lock-Up</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3"/>
              </w:rPr>
              <w:t>Agreement, each in the form attached to the proxy statement/prospectus as Annex F, Annex H, Annex E and Annex G, respectively),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the transactions contemplated thereby, be approved, ratified and confirmed in all respects.</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2— The Domestication Proposal—RESOLVED</w:t>
            </w:r>
            <w:r>
              <w:rPr>
                <w:rFonts w:ascii="Arial" w:cs="Arial" w:eastAsia="Arial" w:hAnsi="Arial"/>
                <w:sz w:val="14"/>
                <w:szCs w:val="14"/>
                <w:color w:val="auto"/>
              </w:rPr>
              <w:t>, as a special resolution, that ARYA be transferred by way of</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continuation to Delaware pursuant to Part XII of the Companies Act (Revised) of the Cayman Islands and Section 388 of the General</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Corporation Law of the State of Delaware and, immediately upon being de-registered in the Cayman Islands, ARYA be continued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domesticated as a corporation under the laws of the state of Delaware and, conditional upon, and with effect from, the registration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ARYA as a corporation in the State of Delaware, the name of ARYA be changed from “ARYA Sciences Acquisition Corp III”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“Nautilus Biotechnology, Inc.”</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9"/>
              </w:rPr>
              <w:t>Proposal No. 3— The Charter Proposal—RESOLVED</w:t>
            </w:r>
            <w:r>
              <w:rPr>
                <w:rFonts w:ascii="Arial" w:cs="Arial" w:eastAsia="Arial" w:hAnsi="Arial"/>
                <w:sz w:val="14"/>
                <w:szCs w:val="14"/>
                <w:color w:val="auto"/>
                <w:w w:val="99"/>
              </w:rPr>
              <w:t>, as a special resolution, that, upon the Domestication, the amended and</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restated memorandum and articles of association of ARYA (“Existing Governing Documents”) be amended and restated by the deletion</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in their entirety and the substitution in their place of the proposed new certificate of incorporation of “Nautilus Biotechnology, Inc.”</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upon the Domestication, a copy of which is attached to the proxy statement/prospectus as Annex C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Advisory Governing Documents Proposals</w:t>
            </w:r>
            <w:r>
              <w:rPr>
                <w:rFonts w:ascii="Arial" w:cs="Arial" w:eastAsia="Arial" w:hAnsi="Arial"/>
                <w:sz w:val="14"/>
                <w:szCs w:val="14"/>
                <w:color w:val="auto"/>
                <w:w w:val="96"/>
              </w:rPr>
              <w:t>—to consider and vote upon, on a non-binding advisory basis, the following governance</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regarding the Proposed Certificate of Incorporation (such proposals, collectively, the “Advisory Governing Documents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and the following material differences between the Existing Governing Documents and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(A)</w:t>
            </w:r>
          </w:p>
        </w:tc>
        <w:tc>
          <w:tcPr>
            <w:tcW w:w="7580" w:type="dxa"/>
            <w:vAlign w:val="bottom"/>
          </w:tcPr>
          <w:p>
            <w:pPr>
              <w:ind w:left="240"/>
              <w:spacing w:after="0"/>
              <w:rPr>
                <w:sz w:val="20"/>
                <w:szCs w:val="20"/>
                <w:color w:val="auto"/>
              </w:rPr>
            </w:pPr>
            <w:r>
              <w:rPr>
                <w:rFonts w:ascii="Arial" w:cs="Arial" w:eastAsia="Arial" w:hAnsi="Arial"/>
                <w:sz w:val="14"/>
                <w:szCs w:val="14"/>
                <w:b w:val="1"/>
                <w:bCs w:val="1"/>
                <w:color w:val="auto"/>
              </w:rPr>
              <w:t>Proposal No. 4—Advisory Governing Documents Proposal A—RESOLVED</w:t>
            </w:r>
            <w:r>
              <w:rPr>
                <w:rFonts w:ascii="Arial" w:cs="Arial" w:eastAsia="Arial" w:hAnsi="Arial"/>
                <w:sz w:val="14"/>
                <w:szCs w:val="14"/>
                <w:color w:val="auto"/>
              </w:rPr>
              <w:t>, that an amendment to change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8000" w:type="dxa"/>
            <w:vAlign w:val="bottom"/>
            <w:gridSpan w:val="2"/>
          </w:tcPr>
          <w:p>
            <w:pPr>
              <w:spacing w:after="0" w:line="142" w:lineRule="exact"/>
              <w:rPr>
                <w:sz w:val="20"/>
                <w:szCs w:val="20"/>
                <w:color w:val="auto"/>
              </w:rPr>
            </w:pPr>
            <w:r>
              <w:rPr>
                <w:rFonts w:ascii="Arial" w:cs="Arial" w:eastAsia="Arial" w:hAnsi="Arial"/>
                <w:sz w:val="14"/>
                <w:szCs w:val="14"/>
                <w:color w:val="auto"/>
                <w:w w:val="96"/>
              </w:rPr>
              <w:t>authorized share capital of ARYA from US$50,000 divided into (i) 479,000,000 Class A ordinary shares, par value $0.0001 per share,</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80" w:firstLine="6"/>
        <w:spacing w:after="0" w:line="235" w:lineRule="auto"/>
        <w:tabs>
          <w:tab w:leader="none" w:pos="212" w:val="left"/>
        </w:tabs>
        <w:numPr>
          <w:ilvl w:val="0"/>
          <w:numId w:val="654"/>
        </w:numPr>
        <w:rPr>
          <w:rFonts w:ascii="Arial" w:cs="Arial" w:eastAsia="Arial" w:hAnsi="Arial"/>
          <w:sz w:val="13"/>
          <w:szCs w:val="13"/>
          <w:color w:val="auto"/>
        </w:rPr>
      </w:pPr>
      <w:r>
        <w:rPr>
          <w:rFonts w:ascii="Arial" w:cs="Arial" w:eastAsia="Arial" w:hAnsi="Arial"/>
          <w:sz w:val="13"/>
          <w:szCs w:val="13"/>
          <w:color w:val="auto"/>
        </w:rPr>
        <w:t>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b w:val="1"/>
                <w:bCs w:val="1"/>
                <w:color w:val="auto"/>
              </w:rPr>
              <w:t>(B)</w:t>
            </w:r>
          </w:p>
        </w:tc>
        <w:tc>
          <w:tcPr>
            <w:tcW w:w="7560" w:type="dxa"/>
            <w:vAlign w:val="bottom"/>
          </w:tcPr>
          <w:p>
            <w:pPr>
              <w:ind w:left="220"/>
              <w:spacing w:after="0"/>
              <w:rPr>
                <w:sz w:val="20"/>
                <w:szCs w:val="20"/>
                <w:color w:val="auto"/>
              </w:rPr>
            </w:pPr>
            <w:r>
              <w:rPr>
                <w:rFonts w:ascii="Arial" w:cs="Arial" w:eastAsia="Arial" w:hAnsi="Arial"/>
                <w:sz w:val="14"/>
                <w:szCs w:val="14"/>
                <w:b w:val="1"/>
                <w:bCs w:val="1"/>
                <w:color w:val="auto"/>
                <w:w w:val="96"/>
              </w:rPr>
              <w:t>Proposal No. 5—Advisory Governing Documents Proposal B—RESOLVED</w:t>
            </w:r>
            <w:r>
              <w:rPr>
                <w:rFonts w:ascii="Arial" w:cs="Arial" w:eastAsia="Arial" w:hAnsi="Arial"/>
                <w:sz w:val="14"/>
                <w:szCs w:val="14"/>
                <w:color w:val="auto"/>
                <w:w w:val="96"/>
              </w:rPr>
              <w:t>, that an amendment to authorize the New</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rPr>
              <w:t>Nautilus Board to issue any or all shares of New Nautilus Preferred Stock in one or more classes or series, with such terms and</w:t>
            </w:r>
          </w:p>
        </w:tc>
        <w:tc>
          <w:tcPr>
            <w:tcW w:w="660" w:type="dxa"/>
            <w:vAlign w:val="bottom"/>
          </w:tcPr>
          <w:p>
            <w:pPr>
              <w:jc w:val="center"/>
              <w:ind w:right="4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w w:val="95"/>
              </w:rPr>
              <w:t>conditions as may be expressly determined by the New Nautilus Board and as may be permitted by the Delaware General Corporation</w:t>
            </w: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7980" w:type="dxa"/>
            <w:vAlign w:val="bottom"/>
            <w:gridSpan w:val="2"/>
          </w:tcPr>
          <w:p>
            <w:pPr>
              <w:spacing w:after="0"/>
              <w:rPr>
                <w:sz w:val="20"/>
                <w:szCs w:val="20"/>
                <w:color w:val="auto"/>
              </w:rPr>
            </w:pPr>
            <w:r>
              <w:rPr>
                <w:rFonts w:ascii="Arial" w:cs="Arial" w:eastAsia="Arial" w:hAnsi="Arial"/>
                <w:sz w:val="14"/>
                <w:szCs w:val="14"/>
                <w:color w:val="auto"/>
              </w:rPr>
              <w:t>Law be approved on a non-binding advisory basis.</w:t>
            </w: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(C)</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5"/>
              </w:rPr>
              <w:t>Proposal No. 6—Advisory Governing Documents Proposal C—RESOLVED</w:t>
            </w:r>
            <w:r>
              <w:rPr>
                <w:rFonts w:ascii="Arial" w:cs="Arial" w:eastAsia="Arial" w:hAnsi="Arial"/>
                <w:sz w:val="14"/>
                <w:szCs w:val="14"/>
                <w:color w:val="auto"/>
                <w:w w:val="95"/>
              </w:rPr>
              <w:t>, that an amendment to remove the ability of</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7980" w:type="dxa"/>
            <w:vAlign w:val="bottom"/>
            <w:gridSpan w:val="2"/>
          </w:tcPr>
          <w:p>
            <w:pPr>
              <w:spacing w:after="0"/>
              <w:rPr>
                <w:sz w:val="20"/>
                <w:szCs w:val="20"/>
                <w:color w:val="auto"/>
              </w:rPr>
            </w:pPr>
            <w:r>
              <w:rPr>
                <w:rFonts w:ascii="Arial" w:cs="Arial" w:eastAsia="Arial" w:hAnsi="Arial"/>
                <w:sz w:val="14"/>
                <w:szCs w:val="14"/>
                <w:color w:val="auto"/>
              </w:rPr>
              <w:t>New Nautilus stockholders to take action by written consent in lieu of a meeting be approved on a non-binding advisory basis.</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827"/>
        </w:trPr>
        <w:tc>
          <w:tcPr>
            <w:tcW w:w="420" w:type="dxa"/>
            <w:vAlign w:val="bottom"/>
          </w:tcPr>
          <w:p>
            <w:pPr>
              <w:spacing w:after="0"/>
              <w:rPr>
                <w:sz w:val="20"/>
                <w:szCs w:val="20"/>
                <w:color w:val="auto"/>
              </w:rPr>
            </w:pPr>
            <w:r>
              <w:rPr>
                <w:rFonts w:ascii="Arial" w:cs="Arial" w:eastAsia="Arial" w:hAnsi="Arial"/>
                <w:sz w:val="14"/>
                <w:szCs w:val="14"/>
                <w:b w:val="1"/>
                <w:bCs w:val="1"/>
                <w:color w:val="auto"/>
              </w:rPr>
              <w:t>(D)</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7"/>
              </w:rPr>
              <w:t>Proposal No. 7—Advisory Governing Documents Proposal D—RESOLVED</w:t>
            </w:r>
            <w:r>
              <w:rPr>
                <w:rFonts w:ascii="Arial" w:cs="Arial" w:eastAsia="Arial" w:hAnsi="Arial"/>
                <w:sz w:val="14"/>
                <w:szCs w:val="14"/>
                <w:color w:val="auto"/>
                <w:w w:val="97"/>
              </w:rPr>
              <w:t>, that certain other changes in connection</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7980" w:type="dxa"/>
            <w:vAlign w:val="bottom"/>
            <w:gridSpan w:val="2"/>
          </w:tcPr>
          <w:p>
            <w:pPr>
              <w:spacing w:after="0" w:line="142" w:lineRule="exact"/>
              <w:rPr>
                <w:sz w:val="20"/>
                <w:szCs w:val="20"/>
                <w:color w:val="auto"/>
              </w:rPr>
            </w:pPr>
            <w:r>
              <w:rPr>
                <w:rFonts w:ascii="Arial" w:cs="Arial" w:eastAsia="Arial" w:hAnsi="Arial"/>
                <w:sz w:val="14"/>
                <w:szCs w:val="14"/>
                <w:color w:val="auto"/>
                <w:w w:val="97"/>
              </w:rPr>
              <w:t>with the replacement of Existing Governing Documents with the Proposed Certificate of Incorporation as part of the Domestication (a</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40"/>
        <w:spacing w:after="0" w:line="210" w:lineRule="auto"/>
        <w:rPr>
          <w:sz w:val="20"/>
          <w:szCs w:val="20"/>
          <w:color w:val="auto"/>
        </w:rPr>
      </w:pPr>
      <w:r>
        <w:rPr>
          <w:rFonts w:ascii="Arial" w:cs="Arial" w:eastAsia="Arial" w:hAnsi="Arial"/>
          <w:sz w:val="14"/>
          <w:szCs w:val="14"/>
          <w:color w:val="auto"/>
        </w:rPr>
        <w:t>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1440" w:right="699" w:bottom="1440" w:gutter="0" w:footer="0" w:header="0"/>
        </w:sectPr>
      </w:pPr>
    </w:p>
    <w:bookmarkStart w:id="651" w:name="page652"/>
    <w:bookmarkEnd w:id="651"/>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8—The Nasdaq Proposal—RESOLVED</w:t>
            </w:r>
            <w:r>
              <w:rPr>
                <w:rFonts w:ascii="Arial" w:cs="Arial" w:eastAsia="Arial" w:hAnsi="Arial"/>
                <w:sz w:val="14"/>
                <w:szCs w:val="14"/>
                <w:color w:val="auto"/>
              </w:rPr>
              <w:t>, as an ordinary resolution, that for the purposes of complying with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applicable provisions of Nasdaq Stock Exchange Listing Rule 5635, the issuance of shares of New Nautilus Common Stock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Proposal No. 9—The Incentive Award Plan Proposal—RESOLVED</w:t>
            </w:r>
            <w:r>
              <w:rPr>
                <w:rFonts w:ascii="Arial" w:cs="Arial" w:eastAsia="Arial" w:hAnsi="Arial"/>
                <w:sz w:val="14"/>
                <w:szCs w:val="14"/>
                <w:color w:val="auto"/>
                <w:w w:val="96"/>
              </w:rPr>
              <w:t>, as an ordinary resolution, that the Nautilus Biotechnology, Inc.</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2021 Equity Incentive Plan, a copy of which is attached to the proxy statement/prospectus as Annex I, be adopted and approved.</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34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10—The Employee Stock Purchase Plan Proposal—RESOLVED</w:t>
            </w:r>
            <w:r>
              <w:rPr>
                <w:rFonts w:ascii="Arial" w:cs="Arial" w:eastAsia="Arial" w:hAnsi="Arial"/>
                <w:sz w:val="14"/>
                <w:szCs w:val="14"/>
                <w:color w:val="auto"/>
              </w:rPr>
              <w:t>, as an ordinary resolution, that the Nautilus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Biotechnology, Inc. 2021 Employee Stock Purchase Plan, a copy of which is attached to the proxy statement/prospectus as Annex J,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adopted and 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8"/>
              </w:rPr>
              <w:t>Proposal No. 11—The Adjournment Proposal—RESOLVED</w:t>
            </w:r>
            <w:r>
              <w:rPr>
                <w:rFonts w:ascii="Arial" w:cs="Arial" w:eastAsia="Arial" w:hAnsi="Arial"/>
                <w:sz w:val="14"/>
                <w:szCs w:val="14"/>
                <w:color w:val="auto"/>
                <w:w w:val="98"/>
              </w:rPr>
              <w:t>, as an ordinary resolution, that the adjournment of the extraordinary</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general meeting to a later date or dates (A) to the extent necessary to ensure that any required supplement or amendment to the proxy</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statement/prospectus is provided to ARYA shareholders or, if as of the time for which the extraordinary general meeting is scheduled,</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there are insufficient ARYA ordinary shares represented (either in person or by proxy) to constitute a quorum necessary to conduct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business at the extraordinary general meeting, (B) in order to solicit additional proxies from ARYA shareholders in favor of one or more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of the proposals at the extraordinary general meeting or (C) if ARYA shareholders redeem an amount of the public shares such that the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9"/>
              </w:rPr>
              <w:t>condition to consummation of the Business Combination that the aggregate cash proceeds to be received by ARYA from the trust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account in connection with the Business Combination, together with aggregate gross proceeds from the PIPE Financing, equal no less</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than $250,000,000 after deducting ARYA’s unpaid expenses, liabilities, and any amounts paid to ARYA shareholders that exercise their</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redemption rights in connection with the Business Combination would not be satisfied, at the extraordinary general meeting be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Shareholder Certification </w:t>
            </w:r>
            <w:r>
              <w:rPr>
                <w:rFonts w:ascii="Arial" w:cs="Arial" w:eastAsia="Arial" w:hAnsi="Arial"/>
                <w:sz w:val="14"/>
                <w:szCs w:val="14"/>
                <w:color w:val="auto"/>
                <w:w w:val="95"/>
              </w:rPr>
              <w:t>I hereby certify that I am not acting in concert or as a “group” as defined in Section 13(d)(3) of the Securities</w:t>
            </w:r>
          </w:p>
        </w:tc>
        <w:tc>
          <w:tcPr>
            <w:tcW w:w="640" w:type="dxa"/>
            <w:vAlign w:val="bottom"/>
          </w:tcPr>
          <w:p>
            <w:pPr>
              <w:spacing w:after="0"/>
              <w:rPr>
                <w:sz w:val="24"/>
                <w:szCs w:val="24"/>
                <w:color w:val="auto"/>
              </w:rPr>
            </w:pPr>
          </w:p>
        </w:tc>
        <w:tc>
          <w:tcPr>
            <w:tcW w:w="1560" w:type="dxa"/>
            <w:vAlign w:val="bottom"/>
          </w:tcPr>
          <w:p>
            <w:pPr>
              <w:jc w:val="center"/>
              <w:ind w:left="248"/>
              <w:spacing w:after="0"/>
              <w:rPr>
                <w:sz w:val="20"/>
                <w:szCs w:val="20"/>
                <w:color w:val="auto"/>
              </w:rPr>
            </w:pPr>
            <w:r>
              <w:rPr>
                <w:rFonts w:ascii="Arial" w:cs="Arial" w:eastAsia="Arial" w:hAnsi="Arial"/>
                <w:sz w:val="14"/>
                <w:szCs w:val="14"/>
                <w:b w:val="1"/>
                <w:bCs w:val="1"/>
                <w:color w:val="auto"/>
              </w:rPr>
              <w:t>SHAREHOLDER</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Exchange Act of 1934, as amended, with any other shareholder with respect to the Shares in connection with the proposed business</w:t>
            </w:r>
          </w:p>
        </w:tc>
        <w:tc>
          <w:tcPr>
            <w:tcW w:w="640" w:type="dxa"/>
            <w:vAlign w:val="bottom"/>
          </w:tcPr>
          <w:p>
            <w:pPr>
              <w:spacing w:after="0"/>
              <w:rPr>
                <w:sz w:val="11"/>
                <w:szCs w:val="11"/>
                <w:color w:val="auto"/>
              </w:rPr>
            </w:pPr>
          </w:p>
        </w:tc>
        <w:tc>
          <w:tcPr>
            <w:tcW w:w="156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CERTIFICATION</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combination.</w:t>
            </w:r>
          </w:p>
        </w:tc>
        <w:tc>
          <w:tcPr>
            <w:tcW w:w="640" w:type="dxa"/>
            <w:vAlign w:val="bottom"/>
          </w:tcPr>
          <w:p>
            <w:pPr>
              <w:spacing w:after="0"/>
              <w:rPr>
                <w:sz w:val="19"/>
                <w:szCs w:val="19"/>
                <w:color w:val="auto"/>
              </w:rPr>
            </w:pPr>
          </w:p>
        </w:tc>
        <w:tc>
          <w:tcPr>
            <w:tcW w:w="156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35"/>
        </w:trPr>
        <w:tc>
          <w:tcPr>
            <w:tcW w:w="680" w:type="dxa"/>
            <w:vAlign w:val="bottom"/>
          </w:tcPr>
          <w:p>
            <w:pPr>
              <w:spacing w:after="0"/>
              <w:rPr>
                <w:sz w:val="20"/>
                <w:szCs w:val="20"/>
                <w:color w:val="auto"/>
              </w:rPr>
            </w:pPr>
            <w:r>
              <w:rPr>
                <w:rFonts w:ascii="Arial" w:cs="Arial" w:eastAsia="Arial" w:hAnsi="Arial"/>
                <w:sz w:val="14"/>
                <w:szCs w:val="14"/>
                <w:b w:val="1"/>
                <w:bCs w:val="1"/>
                <w:color w:val="auto"/>
              </w:rPr>
              <w:t>Dated:</w:t>
            </w:r>
          </w:p>
        </w:tc>
        <w:tc>
          <w:tcPr>
            <w:tcW w:w="7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2"/>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 if held Jointly)</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b w:val="1"/>
          <w:bCs w:val="1"/>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4"/>
          <w:szCs w:val="14"/>
          <w:b w:val="1"/>
          <w:bCs w:val="1"/>
          <w:color w:val="auto"/>
        </w:rPr>
        <w:t>PLEASE SIGN, DATE AND RETURN THE PROXY IN THE ENVELOPE ENCLOSED TO CONTINENTAL STOCK TRANSFER &amp; TRUST COMPANY. THIS PROXY WILL BE VOTED IN THE MANNER DIRECTED HEREIN BY THE UNDERSIGNED SHAREHOLDER IF NO DIRECTION IS MADE, THIS PROXY WILL BE VOTED “FOR” THE PROPOSAL SET FORTH IN PROPOSALS 1, 2, 3, 4, 5, 6, 7, 8, 9, 10 AND 11 AND WILL GRANT DISCRETIONARY AUTHORITY TO VOTE UPON SUCH OTHER MATTERS AS MAY PROPERLY COME BEFORE THE MEETING OR ANY ADJOURNMENTS THEREOF. THIS PROXY WILL REVOKE ALL PRIOR PROXIES SIGNED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2" w:name="page653"/>
    <w:bookmarkEnd w:id="652"/>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Existing Organizational Documents provided for indemnification of our officers and directors to the maximum extent permitted by law, including for any liability incurred in their capacities as such, except through their own actual fraud, willful default or willful neglect.</w:t>
      </w:r>
    </w:p>
    <w:p>
      <w:pPr>
        <w:spacing w:after="0" w:line="13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the Existing Organizational Documents.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20" w:type="dxa"/>
            <w:vAlign w:val="bottom"/>
            <w:gridSpan w:val="14"/>
            <w:vMerge w:val="restart"/>
          </w:tcPr>
          <w:p>
            <w:pPr>
              <w:ind w:left="18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18"/>
          </w:tcPr>
          <w:p>
            <w:pPr>
              <w:spacing w:after="0" w:line="184" w:lineRule="exact"/>
              <w:rPr>
                <w:rFonts w:ascii="Arial" w:cs="Arial" w:eastAsia="Arial" w:hAnsi="Arial"/>
                <w:sz w:val="18"/>
                <w:szCs w:val="18"/>
                <w:color w:val="0000FF"/>
                <w:w w:val="91"/>
              </w:rPr>
            </w:pPr>
            <w:hyperlink w:anchor="page365">
              <w:r>
                <w:rPr>
                  <w:rFonts w:ascii="Arial" w:cs="Arial" w:eastAsia="Arial" w:hAnsi="Arial"/>
                  <w:sz w:val="18"/>
                  <w:szCs w:val="18"/>
                  <w:color w:val="0000FF"/>
                  <w:w w:val="91"/>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365">
              <w:r>
                <w:rPr>
                  <w:rFonts w:ascii="Arial" w:cs="Arial" w:eastAsia="Arial" w:hAnsi="Arial"/>
                  <w:sz w:val="18"/>
                  <w:szCs w:val="18"/>
                  <w:color w:val="0000FF"/>
                  <w:w w:val="91"/>
                </w:rPr>
                <w:t>Inc., and Nautilus Biotechnology, Inc. (included as Annex A to the proxy statement/prospectus).</w:t>
              </w:r>
            </w:hyperlink>
          </w:p>
        </w:tc>
        <w:tc>
          <w:tcPr>
            <w:tcW w:w="29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3"/>
              </w:rPr>
            </w:pPr>
            <w:hyperlink w:anchor="page450">
              <w:r>
                <w:rPr>
                  <w:rFonts w:ascii="Arial" w:cs="Arial" w:eastAsia="Arial" w:hAnsi="Arial"/>
                  <w:sz w:val="18"/>
                  <w:szCs w:val="18"/>
                  <w:color w:val="0000FF"/>
                  <w:w w:val="93"/>
                </w:rPr>
                <w:t>Amended and Restated Memorandum and Articles of Association of ARYA (included as Annex B to the proxy statement/prospectus).</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top w:val="single" w:sz="8" w:color="0000FF"/>
            </w:tcBorders>
            <w:gridSpan w:val="14"/>
          </w:tcPr>
          <w:p>
            <w:pPr>
              <w:spacing w:after="0"/>
              <w:rPr>
                <w:rFonts w:ascii="Arial" w:cs="Arial" w:eastAsia="Arial" w:hAnsi="Arial"/>
                <w:sz w:val="18"/>
                <w:szCs w:val="18"/>
                <w:color w:val="0000FF"/>
                <w:w w:val="94"/>
              </w:rPr>
            </w:pPr>
            <w:hyperlink w:anchor="page504">
              <w:r>
                <w:rPr>
                  <w:rFonts w:ascii="Arial" w:cs="Arial" w:eastAsia="Arial" w:hAnsi="Arial"/>
                  <w:sz w:val="18"/>
                  <w:szCs w:val="18"/>
                  <w:color w:val="0000FF"/>
                  <w:w w:val="94"/>
                </w:rPr>
                <w:t>Form of Certificate of Incorporation of New Nautilus, to become effective upon Domestication (included as Annex C to the proxy</w:t>
              </w:r>
            </w:hyperlink>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04">
              <w:r>
                <w:rPr>
                  <w:rFonts w:ascii="Arial" w:cs="Arial" w:eastAsia="Arial" w:hAnsi="Arial"/>
                  <w:sz w:val="18"/>
                  <w:szCs w:val="18"/>
                  <w:color w:val="0000FF"/>
                  <w:w w:val="87"/>
                </w:rPr>
                <w:t>statement/prospectus).</w:t>
              </w:r>
            </w:hyperlink>
          </w:p>
        </w:tc>
        <w:tc>
          <w:tcPr>
            <w:tcW w:w="776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4"/>
              </w:rPr>
            </w:pPr>
            <w:hyperlink w:anchor="page509">
              <w:r>
                <w:rPr>
                  <w:rFonts w:ascii="Arial" w:cs="Arial" w:eastAsia="Arial" w:hAnsi="Arial"/>
                  <w:sz w:val="18"/>
                  <w:szCs w:val="18"/>
                  <w:color w:val="0000FF"/>
                  <w:w w:val="94"/>
                </w:rPr>
                <w:t>Form of Bylaws of New Nautilus, to become effective upon Domestication (included as Annex D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3"/>
              </w:rPr>
            </w:pPr>
            <w:hyperlink r:id="rId851">
              <w:r>
                <w:rPr>
                  <w:rFonts w:ascii="Arial" w:cs="Arial" w:eastAsia="Arial" w:hAnsi="Arial"/>
                  <w:sz w:val="18"/>
                  <w:szCs w:val="18"/>
                  <w:color w:val="0000FF"/>
                  <w:w w:val="93"/>
                </w:rPr>
                <w:t>Specimen Ordinary Share Certificate (incorporated by reference to Exhibit 4.1 to the Registration Statement on Form S-1 filed by the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851">
              <w:r>
                <w:rPr>
                  <w:rFonts w:ascii="Arial" w:cs="Arial" w:eastAsia="Arial" w:hAnsi="Arial"/>
                  <w:sz w:val="18"/>
                  <w:szCs w:val="18"/>
                  <w:color w:val="0000FF"/>
                  <w:w w:val="90"/>
                </w:rPr>
                <w:t>Registrant on July 30, 2020).</w:t>
              </w:r>
            </w:hyperlink>
          </w:p>
        </w:tc>
        <w:tc>
          <w:tcPr>
            <w:tcW w:w="750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658">
              <w:r>
                <w:rPr>
                  <w:rFonts w:ascii="Arial" w:cs="Arial" w:eastAsia="Arial" w:hAnsi="Arial"/>
                  <w:sz w:val="18"/>
                  <w:szCs w:val="18"/>
                  <w:color w:val="0000FF"/>
                  <w:w w:val="92"/>
                </w:rPr>
                <w:t>Form of Certificate of Corporate Domestication of ARYA, to be filed with the Secretary of the State of Delaware.</w:t>
              </w:r>
            </w:hyperlink>
          </w:p>
        </w:tc>
        <w:tc>
          <w:tcPr>
            <w:tcW w:w="17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rPr>
            </w:pPr>
            <w:hyperlink r:id="rId852">
              <w:r>
                <w:rPr>
                  <w:rFonts w:ascii="Arial" w:cs="Arial" w:eastAsia="Arial" w:hAnsi="Arial"/>
                  <w:sz w:val="18"/>
                  <w:szCs w:val="18"/>
                  <w:color w:val="0000FF"/>
                </w:rPr>
                <w:t>Opinion of Kirkland &amp; Ellis LLP.</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0000FF"/>
            </w:tcBorders>
            <w:gridSpan w:val="4"/>
          </w:tcPr>
          <w:p>
            <w:pPr>
              <w:spacing w:after="0"/>
              <w:rPr>
                <w:rFonts w:ascii="Arial" w:cs="Arial" w:eastAsia="Arial" w:hAnsi="Arial"/>
                <w:sz w:val="18"/>
                <w:szCs w:val="18"/>
                <w:color w:val="0000FF"/>
                <w:w w:val="95"/>
              </w:rPr>
            </w:pPr>
            <w:hyperlink w:anchor="page660">
              <w:r>
                <w:rPr>
                  <w:rFonts w:ascii="Arial" w:cs="Arial" w:eastAsia="Arial" w:hAnsi="Arial"/>
                  <w:sz w:val="18"/>
                  <w:szCs w:val="18"/>
                  <w:color w:val="0000FF"/>
                  <w:w w:val="95"/>
                </w:rPr>
                <w:t>Tax opinion of Kirkland &amp; Ellis LLP.</w:t>
              </w:r>
            </w:hyperlink>
          </w:p>
        </w:tc>
        <w:tc>
          <w:tcPr>
            <w:tcW w:w="72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2"/>
              </w:rPr>
            </w:pPr>
            <w:hyperlink w:anchor="page533">
              <w:r>
                <w:rPr>
                  <w:rFonts w:ascii="Arial" w:cs="Arial" w:eastAsia="Arial" w:hAnsi="Arial"/>
                  <w:sz w:val="18"/>
                  <w:szCs w:val="18"/>
                  <w:color w:val="0000FF"/>
                  <w:w w:val="92"/>
                </w:rPr>
                <w:t>Sponsor Letter Agreement, dated as of February 7, 2021 by and among ARYA Sciences Holdings III, certain other holders set forth on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5"/>
          </w:tcPr>
          <w:p>
            <w:pPr>
              <w:spacing w:after="0" w:line="156" w:lineRule="exact"/>
              <w:rPr>
                <w:rFonts w:ascii="Arial" w:cs="Arial" w:eastAsia="Arial" w:hAnsi="Arial"/>
                <w:sz w:val="18"/>
                <w:szCs w:val="18"/>
                <w:color w:val="0000FF"/>
                <w:w w:val="99"/>
              </w:rPr>
            </w:pPr>
            <w:hyperlink w:anchor="page533">
              <w:r>
                <w:rPr>
                  <w:rFonts w:ascii="Arial" w:cs="Arial" w:eastAsia="Arial" w:hAnsi="Arial"/>
                  <w:sz w:val="18"/>
                  <w:szCs w:val="18"/>
                  <w:color w:val="0000FF"/>
                  <w:w w:val="99"/>
                </w:rPr>
                <w:t>Schedule I thereto, ARYA Sciences Acquisition Corp III and Nautilus Biotechnology, Inc. (included as Annex E to the proxy</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533">
              <w:r>
                <w:rPr>
                  <w:rFonts w:ascii="Arial" w:cs="Arial" w:eastAsia="Arial" w:hAnsi="Arial"/>
                  <w:sz w:val="18"/>
                  <w:szCs w:val="18"/>
                  <w:color w:val="0000FF"/>
                  <w:w w:val="87"/>
                </w:rPr>
                <w:t>statement/prospectus).</w:t>
              </w:r>
            </w:hyperlink>
          </w:p>
        </w:tc>
        <w:tc>
          <w:tcPr>
            <w:tcW w:w="7380" w:type="dxa"/>
            <w:vAlign w:val="bottom"/>
            <w:tcBorders>
              <w:top w:val="single" w:sz="8" w:color="0000FF"/>
            </w:tcBorders>
            <w:gridSpan w:val="9"/>
          </w:tcPr>
          <w:p>
            <w:pPr>
              <w:spacing w:after="0"/>
              <w:rPr>
                <w:sz w:val="13"/>
                <w:szCs w:val="13"/>
                <w:color w:val="auto"/>
              </w:rPr>
            </w:pPr>
          </w:p>
        </w:tc>
        <w:tc>
          <w:tcPr>
            <w:tcW w:w="52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rPr>
            </w:pPr>
            <w:hyperlink w:anchor="page547">
              <w:r>
                <w:rPr>
                  <w:rFonts w:ascii="Arial" w:cs="Arial" w:eastAsia="Arial" w:hAnsi="Arial"/>
                  <w:sz w:val="18"/>
                  <w:szCs w:val="18"/>
                  <w:color w:val="0000FF"/>
                </w:rPr>
                <w:t>Form of Subscription Agreement (included as Annex F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5"/>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564">
              <w:r>
                <w:rPr>
                  <w:rFonts w:ascii="Arial" w:cs="Arial" w:eastAsia="Arial" w:hAnsi="Arial"/>
                  <w:sz w:val="18"/>
                  <w:szCs w:val="18"/>
                  <w:color w:val="0000FF"/>
                  <w:w w:val="90"/>
                </w:rPr>
                <w:t>Form of Amended and Restated Registration Rights and Lock-Up Agreement (included as Annex G to the proxy statement/prospectus).</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03">
              <w:r>
                <w:rPr>
                  <w:rFonts w:ascii="Arial" w:cs="Arial" w:eastAsia="Arial" w:hAnsi="Arial"/>
                  <w:sz w:val="18"/>
                  <w:szCs w:val="18"/>
                  <w:color w:val="0000FF"/>
                  <w:w w:val="90"/>
                </w:rPr>
                <w:t>Form of Nautilus Shareholder Transaction Support Agreement (included as Annex H to the proxy statement/prospectus).</w:t>
              </w:r>
            </w:hyperlink>
          </w:p>
        </w:tc>
        <w:tc>
          <w:tcPr>
            <w:tcW w:w="12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615">
              <w:r>
                <w:rPr>
                  <w:rFonts w:ascii="Arial" w:cs="Arial" w:eastAsia="Arial" w:hAnsi="Arial"/>
                  <w:sz w:val="18"/>
                  <w:szCs w:val="18"/>
                  <w:color w:val="0000FF"/>
                  <w:w w:val="91"/>
                </w:rPr>
                <w:t>Form of Nautilus Biotechnology, Inc. 2021 Equity Incentive Plan (included as Annex I to the proxy statement/prospectus).</w:t>
              </w:r>
            </w:hyperlink>
          </w:p>
        </w:tc>
        <w:tc>
          <w:tcPr>
            <w:tcW w:w="10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8"/>
          </w:tcPr>
          <w:p>
            <w:pPr>
              <w:spacing w:after="0"/>
              <w:rPr>
                <w:rFonts w:ascii="Arial" w:cs="Arial" w:eastAsia="Arial" w:hAnsi="Arial"/>
                <w:sz w:val="18"/>
                <w:szCs w:val="18"/>
                <w:color w:val="0000FF"/>
                <w:w w:val="94"/>
              </w:rPr>
            </w:pPr>
            <w:hyperlink w:anchor="page631">
              <w:r>
                <w:rPr>
                  <w:rFonts w:ascii="Arial" w:cs="Arial" w:eastAsia="Arial" w:hAnsi="Arial"/>
                  <w:sz w:val="18"/>
                  <w:szCs w:val="18"/>
                  <w:color w:val="0000FF"/>
                  <w:w w:val="94"/>
                </w:rPr>
                <w:t>Form of Nautilus Biotechnology, Inc. 2021 Employee Stock Purchase Plan (included as Annex J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20" w:type="dxa"/>
            <w:vAlign w:val="bottom"/>
            <w:gridSpan w:val="19"/>
            <w:vMerge w:val="restart"/>
          </w:tcPr>
          <w:p>
            <w:pPr>
              <w:ind w:left="4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320" w:type="dxa"/>
            <w:vAlign w:val="bottom"/>
            <w:tcBorders>
              <w:top w:val="single" w:sz="8" w:color="auto"/>
              <w:bottom w:val="single" w:sz="8" w:color="0000FF"/>
            </w:tcBorders>
            <w:gridSpan w:val="20"/>
          </w:tcPr>
          <w:p>
            <w:pPr>
              <w:spacing w:after="0" w:line="184" w:lineRule="exact"/>
              <w:rPr>
                <w:rFonts w:ascii="Arial" w:cs="Arial" w:eastAsia="Arial" w:hAnsi="Arial"/>
                <w:sz w:val="18"/>
                <w:szCs w:val="18"/>
                <w:color w:val="0000FF"/>
                <w:w w:val="91"/>
              </w:rPr>
            </w:pPr>
            <w:hyperlink r:id="rId854">
              <w:r>
                <w:rPr>
                  <w:rFonts w:ascii="Arial" w:cs="Arial" w:eastAsia="Arial" w:hAnsi="Arial"/>
                  <w:sz w:val="18"/>
                  <w:szCs w:val="18"/>
                  <w:color w:val="0000FF"/>
                  <w:w w:val="91"/>
                </w:rPr>
                <w:t>Form of Stock Option Agreement under the Nautilus Biotechnology, Inc. 2021 Equity Incentive Plan.</w:t>
              </w:r>
            </w:hyperlink>
          </w:p>
        </w:tc>
        <w:tc>
          <w:tcPr>
            <w:tcW w:w="2600" w:type="dxa"/>
            <w:vAlign w:val="bottom"/>
            <w:tcBorders>
              <w:top w:val="single" w:sz="8" w:color="auto"/>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bottom w:val="single" w:sz="8" w:color="0000FF"/>
            </w:tcBorders>
            <w:gridSpan w:val="24"/>
          </w:tcPr>
          <w:p>
            <w:pPr>
              <w:spacing w:after="0"/>
              <w:rPr>
                <w:rFonts w:ascii="Arial" w:cs="Arial" w:eastAsia="Arial" w:hAnsi="Arial"/>
                <w:sz w:val="18"/>
                <w:szCs w:val="18"/>
                <w:color w:val="0000FF"/>
                <w:w w:val="91"/>
              </w:rPr>
            </w:pPr>
            <w:hyperlink r:id="rId855">
              <w:r>
                <w:rPr>
                  <w:rFonts w:ascii="Arial" w:cs="Arial" w:eastAsia="Arial" w:hAnsi="Arial"/>
                  <w:sz w:val="18"/>
                  <w:szCs w:val="18"/>
                  <w:color w:val="0000FF"/>
                  <w:w w:val="91"/>
                </w:rPr>
                <w:t>Form of Restricted Stock Unit Agreement under the Nautilus Biotechnology, Inc. 2021 Equity Incentive Plan.</w:t>
              </w:r>
            </w:hyperlink>
          </w:p>
        </w:tc>
        <w:tc>
          <w:tcPr>
            <w:tcW w:w="20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56">
              <w:r>
                <w:rPr>
                  <w:rFonts w:ascii="Arial" w:cs="Arial" w:eastAsia="Arial" w:hAnsi="Arial"/>
                  <w:sz w:val="18"/>
                  <w:szCs w:val="18"/>
                  <w:color w:val="0000FF"/>
                </w:rPr>
                <w:t>Form of Restricted Stock Award Agreement under the Nautilus Biotechnology, Inc. 2021 Equity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w w:val="98"/>
              </w:rPr>
            </w:pPr>
            <w:hyperlink r:id="rId857">
              <w:r>
                <w:rPr>
                  <w:rFonts w:ascii="Arial" w:cs="Arial" w:eastAsia="Arial" w:hAnsi="Arial"/>
                  <w:sz w:val="18"/>
                  <w:szCs w:val="18"/>
                  <w:color w:val="0000FF"/>
                  <w:w w:val="98"/>
                </w:rPr>
                <w:t>Form of Indemnity Agreement (incorporated by reference to Exhibit 10.4 to the Registration Statement on Form S-1 filed by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857">
              <w:r>
                <w:rPr>
                  <w:rFonts w:ascii="Arial" w:cs="Arial" w:eastAsia="Arial" w:hAnsi="Arial"/>
                  <w:sz w:val="18"/>
                  <w:szCs w:val="18"/>
                  <w:color w:val="0000FF"/>
                  <w:w w:val="90"/>
                </w:rPr>
                <w:t>Registrant on July 30, 2020).</w:t>
              </w:r>
            </w:hyperlink>
          </w:p>
        </w:tc>
        <w:tc>
          <w:tcPr>
            <w:tcW w:w="7140" w:type="dxa"/>
            <w:vAlign w:val="bottom"/>
            <w:tcBorders>
              <w:top w:val="single" w:sz="8" w:color="0000FF"/>
            </w:tcBorders>
            <w:gridSpan w:val="26"/>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bottom w:val="single" w:sz="8" w:color="0000FF"/>
            </w:tcBorders>
            <w:gridSpan w:val="16"/>
          </w:tcPr>
          <w:p>
            <w:pPr>
              <w:spacing w:after="0"/>
              <w:rPr>
                <w:rFonts w:ascii="Arial" w:cs="Arial" w:eastAsia="Arial" w:hAnsi="Arial"/>
                <w:sz w:val="18"/>
                <w:szCs w:val="18"/>
                <w:color w:val="0000FF"/>
                <w:w w:val="90"/>
              </w:rPr>
            </w:pPr>
            <w:hyperlink r:id="rId858">
              <w:r>
                <w:rPr>
                  <w:rFonts w:ascii="Arial" w:cs="Arial" w:eastAsia="Arial" w:hAnsi="Arial"/>
                  <w:sz w:val="18"/>
                  <w:szCs w:val="18"/>
                  <w:color w:val="0000FF"/>
                  <w:w w:val="90"/>
                </w:rPr>
                <w:t>Nautilus Biotechnology, Inc. 2017 Equity Incentive Plan and forms of agreements thereunder.</w:t>
              </w:r>
            </w:hyperlink>
          </w:p>
        </w:tc>
        <w:tc>
          <w:tcPr>
            <w:tcW w:w="31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663">
              <w:r>
                <w:rPr>
                  <w:rFonts w:ascii="Arial" w:cs="Arial" w:eastAsia="Arial" w:hAnsi="Arial"/>
                  <w:sz w:val="18"/>
                  <w:szCs w:val="18"/>
                  <w:color w:val="0000FF"/>
                  <w:w w:val="91"/>
                </w:rPr>
                <w:t>Confirmatory Employment Letter between Nautilus Biotechnology, Inc. and Sujal Patel.</w:t>
              </w:r>
            </w:hyperlink>
          </w:p>
        </w:tc>
        <w:tc>
          <w:tcPr>
            <w:tcW w:w="35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669">
              <w:r>
                <w:rPr>
                  <w:rFonts w:ascii="Arial" w:cs="Arial" w:eastAsia="Arial" w:hAnsi="Arial"/>
                  <w:sz w:val="18"/>
                  <w:szCs w:val="18"/>
                  <w:color w:val="0000FF"/>
                  <w:w w:val="92"/>
                </w:rPr>
                <w:t>Confirmatory Employment Letter between Nautilus Biotechnology, Inc. and Anna Mowry.</w:t>
              </w:r>
            </w:hyperlink>
          </w:p>
        </w:tc>
        <w:tc>
          <w:tcPr>
            <w:tcW w:w="33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75">
              <w:r>
                <w:rPr>
                  <w:rFonts w:ascii="Arial" w:cs="Arial" w:eastAsia="Arial" w:hAnsi="Arial"/>
                  <w:sz w:val="18"/>
                  <w:szCs w:val="18"/>
                  <w:color w:val="0000FF"/>
                  <w:w w:val="91"/>
                </w:rPr>
                <w:t>Confirmatory Employment Letter between Nautilus Biotechnology, Inc. and Nick Nelson.</w:t>
              </w:r>
            </w:hyperlink>
          </w:p>
        </w:tc>
        <w:tc>
          <w:tcPr>
            <w:tcW w:w="34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682">
              <w:r>
                <w:rPr>
                  <w:rFonts w:ascii="Arial" w:cs="Arial" w:eastAsia="Arial" w:hAnsi="Arial"/>
                  <w:sz w:val="18"/>
                  <w:szCs w:val="18"/>
                  <w:color w:val="0000FF"/>
                  <w:w w:val="91"/>
                </w:rPr>
                <w:t>Confirmatory Employment Letter between Nautilus Biotechnology, Inc. and Subra Sankar.</w:t>
              </w:r>
            </w:hyperlink>
          </w:p>
        </w:tc>
        <w:tc>
          <w:tcPr>
            <w:tcW w:w="33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688">
              <w:r>
                <w:rPr>
                  <w:rFonts w:ascii="Arial" w:cs="Arial" w:eastAsia="Arial" w:hAnsi="Arial"/>
                  <w:sz w:val="18"/>
                  <w:szCs w:val="18"/>
                  <w:color w:val="0000FF"/>
                  <w:w w:val="92"/>
                </w:rPr>
                <w:t>Confirmatory Employment Letter between Nautilus Biotechnology, Inc. and Parag Mallick.</w:t>
              </w:r>
            </w:hyperlink>
          </w:p>
        </w:tc>
        <w:tc>
          <w:tcPr>
            <w:tcW w:w="33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694">
              <w:r>
                <w:rPr>
                  <w:rFonts w:ascii="Arial" w:cs="Arial" w:eastAsia="Arial" w:hAnsi="Arial"/>
                  <w:sz w:val="18"/>
                  <w:szCs w:val="18"/>
                  <w:color w:val="0000FF"/>
                </w:rPr>
                <w:t>Confirmatory Employment Letter between Nautilus Biotechnology, Inc. and Matt Murphy</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700">
              <w:r>
                <w:rPr>
                  <w:rFonts w:ascii="Arial" w:cs="Arial" w:eastAsia="Arial" w:hAnsi="Arial"/>
                  <w:sz w:val="18"/>
                  <w:szCs w:val="18"/>
                  <w:color w:val="0000FF"/>
                </w:rPr>
                <w:t>Change in Control and Severance Agreement between Nautilus Biotechnology, Inc. and Sujal Patel</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713">
              <w:r>
                <w:rPr>
                  <w:rFonts w:ascii="Arial" w:cs="Arial" w:eastAsia="Arial" w:hAnsi="Arial"/>
                  <w:sz w:val="18"/>
                  <w:szCs w:val="18"/>
                  <w:color w:val="0000FF"/>
                  <w:w w:val="90"/>
                </w:rPr>
                <w:t>Change in Control and Severance Agreement between Nautilus Biotechnology, Inc. and Anna Mowry</w:t>
              </w:r>
            </w:hyperlink>
          </w:p>
        </w:tc>
        <w:tc>
          <w:tcPr>
            <w:tcW w:w="25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725">
              <w:r>
                <w:rPr>
                  <w:rFonts w:ascii="Arial" w:cs="Arial" w:eastAsia="Arial" w:hAnsi="Arial"/>
                  <w:sz w:val="18"/>
                  <w:szCs w:val="18"/>
                  <w:color w:val="0000FF"/>
                  <w:w w:val="90"/>
                </w:rPr>
                <w:t>Change in Control and Severance Agreement between Nautilus Biotechnology, Inc. and Nick Nelson</w:t>
              </w:r>
            </w:hyperlink>
          </w:p>
        </w:tc>
        <w:tc>
          <w:tcPr>
            <w:tcW w:w="26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737">
              <w:r>
                <w:rPr>
                  <w:rFonts w:ascii="Arial" w:cs="Arial" w:eastAsia="Arial" w:hAnsi="Arial"/>
                  <w:sz w:val="18"/>
                  <w:szCs w:val="18"/>
                  <w:color w:val="0000FF"/>
                  <w:w w:val="90"/>
                </w:rPr>
                <w:t>Change in Control and Severance Agreement between Nautilus Biotechnology, Inc. and Subra Sankar</w:t>
              </w:r>
            </w:hyperlink>
          </w:p>
        </w:tc>
        <w:tc>
          <w:tcPr>
            <w:tcW w:w="25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750">
              <w:r>
                <w:rPr>
                  <w:rFonts w:ascii="Arial" w:cs="Arial" w:eastAsia="Arial" w:hAnsi="Arial"/>
                  <w:sz w:val="18"/>
                  <w:szCs w:val="18"/>
                  <w:color w:val="0000FF"/>
                </w:rPr>
                <w:t>Change in Control and Severance Agreement between Nautilus Biotechnology, Inc. and Parag Mallick</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40" w:type="dxa"/>
            <w:vAlign w:val="bottom"/>
            <w:tcBorders>
              <w:top w:val="single" w:sz="8" w:color="0000FF"/>
              <w:bottom w:val="single" w:sz="8" w:color="0000FF"/>
            </w:tcBorders>
            <w:gridSpan w:val="21"/>
          </w:tcPr>
          <w:p>
            <w:pPr>
              <w:spacing w:after="0"/>
              <w:rPr>
                <w:rFonts w:ascii="Arial" w:cs="Arial" w:eastAsia="Arial" w:hAnsi="Arial"/>
                <w:sz w:val="18"/>
                <w:szCs w:val="18"/>
                <w:color w:val="0000FF"/>
                <w:w w:val="90"/>
              </w:rPr>
            </w:pPr>
            <w:hyperlink w:anchor="page763">
              <w:r>
                <w:rPr>
                  <w:rFonts w:ascii="Arial" w:cs="Arial" w:eastAsia="Arial" w:hAnsi="Arial"/>
                  <w:sz w:val="18"/>
                  <w:szCs w:val="18"/>
                  <w:color w:val="0000FF"/>
                  <w:w w:val="90"/>
                </w:rPr>
                <w:t>Change in Control and Severance Agreement between Nautilus Biotechnology, Inc. and Matt Murphy</w:t>
              </w:r>
            </w:hyperlink>
          </w:p>
        </w:tc>
        <w:tc>
          <w:tcPr>
            <w:tcW w:w="40" w:type="dxa"/>
            <w:vAlign w:val="bottom"/>
            <w:tcBorders>
              <w:top w:val="single" w:sz="8" w:color="0000FF"/>
            </w:tcBorders>
            <w:gridSpan w:val="2"/>
          </w:tcPr>
          <w:p>
            <w:pPr>
              <w:spacing w:after="0"/>
              <w:rPr>
                <w:sz w:val="18"/>
                <w:szCs w:val="18"/>
                <w:color w:val="auto"/>
              </w:rPr>
            </w:pPr>
          </w:p>
        </w:tc>
        <w:tc>
          <w:tcPr>
            <w:tcW w:w="25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776">
              <w:r>
                <w:rPr>
                  <w:rFonts w:ascii="Arial" w:cs="Arial" w:eastAsia="Arial" w:hAnsi="Arial"/>
                  <w:sz w:val="18"/>
                  <w:szCs w:val="18"/>
                  <w:color w:val="0000FF"/>
                </w:rPr>
                <w:t>Form of New Nautilus Indemnification Agreement.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790">
              <w:r>
                <w:rPr>
                  <w:rFonts w:ascii="Arial" w:cs="Arial" w:eastAsia="Arial" w:hAnsi="Arial"/>
                  <w:sz w:val="18"/>
                  <w:szCs w:val="18"/>
                  <w:color w:val="0000FF"/>
                  <w:w w:val="91"/>
                </w:rPr>
                <w:t>Nautilus Biotechnology, Inc. Executive Incentive Compensation Plan</w:t>
              </w:r>
            </w:hyperlink>
          </w:p>
        </w:tc>
        <w:tc>
          <w:tcPr>
            <w:tcW w:w="49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Borders>
              <w:bottom w:val="single" w:sz="8" w:color="0000FF"/>
            </w:tcBorders>
            <w:gridSpan w:val="2"/>
          </w:tcPr>
          <w:p>
            <w:pPr>
              <w:spacing w:after="0"/>
              <w:rPr>
                <w:rFonts w:ascii="Arial" w:cs="Arial" w:eastAsia="Arial" w:hAnsi="Arial"/>
                <w:sz w:val="18"/>
                <w:szCs w:val="18"/>
                <w:color w:val="0000FF"/>
                <w:w w:val="93"/>
              </w:rPr>
            </w:pPr>
            <w:hyperlink r:id="rId859">
              <w:r>
                <w:rPr>
                  <w:rFonts w:ascii="Arial" w:cs="Arial" w:eastAsia="Arial" w:hAnsi="Arial"/>
                  <w:sz w:val="18"/>
                  <w:szCs w:val="18"/>
                  <w:color w:val="0000FF"/>
                  <w:w w:val="93"/>
                </w:rPr>
                <w:t>List of subsidiaries of ARYA.</w:t>
              </w:r>
            </w:hyperlink>
          </w:p>
        </w:tc>
        <w:tc>
          <w:tcPr>
            <w:tcW w:w="778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798">
              <w:r>
                <w:rPr>
                  <w:rFonts w:ascii="Arial" w:cs="Arial" w:eastAsia="Arial" w:hAnsi="Arial"/>
                  <w:sz w:val="18"/>
                  <w:szCs w:val="18"/>
                  <w:color w:val="0000FF"/>
                </w:rPr>
                <w:t>Consent of WithumSmith+Brown, PC, independent registered accounting firm for ARYA.</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799">
              <w:r>
                <w:rPr>
                  <w:rFonts w:ascii="Arial" w:cs="Arial" w:eastAsia="Arial" w:hAnsi="Arial"/>
                  <w:sz w:val="18"/>
                  <w:szCs w:val="18"/>
                  <w:color w:val="0000FF"/>
                </w:rPr>
                <w:t>Consent of PricewaterhouseCoopers LLP, independent registered public accounting firm for Nautilus.</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top w:val="single" w:sz="8" w:color="0000FF"/>
            </w:tcBorders>
            <w:gridSpan w:val="20"/>
          </w:tcPr>
          <w:p>
            <w:pPr>
              <w:spacing w:after="0"/>
              <w:rPr>
                <w:rFonts w:ascii="Arial" w:cs="Arial" w:eastAsia="Arial" w:hAnsi="Arial"/>
                <w:sz w:val="18"/>
                <w:szCs w:val="18"/>
                <w:color w:val="0000FF"/>
              </w:rPr>
            </w:pPr>
            <w:hyperlink r:id="rId852">
              <w:r>
                <w:rPr>
                  <w:rFonts w:ascii="Arial" w:cs="Arial" w:eastAsia="Arial" w:hAnsi="Arial"/>
                  <w:sz w:val="18"/>
                  <w:szCs w:val="18"/>
                  <w:color w:val="0000FF"/>
                </w:rPr>
                <w:t>Consent of Kirkland &amp; Ellis LLP (included as part of Exhibit 5.1).</w:t>
              </w:r>
            </w:hyperlink>
          </w:p>
        </w:tc>
        <w:tc>
          <w:tcPr>
            <w:tcW w:w="26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w:anchor="page660">
              <w:r>
                <w:rPr>
                  <w:rFonts w:ascii="Arial" w:cs="Arial" w:eastAsia="Arial" w:hAnsi="Arial"/>
                  <w:sz w:val="18"/>
                  <w:szCs w:val="18"/>
                  <w:color w:val="0000FF"/>
                </w:rPr>
                <w:t>Consent of Kirkland &amp; Ellis LLP (included as part of Exhibit 8.1).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0">
              <w:r>
                <w:rPr>
                  <w:rFonts w:ascii="Arial" w:cs="Arial" w:eastAsia="Arial" w:hAnsi="Arial"/>
                  <w:sz w:val="18"/>
                  <w:szCs w:val="18"/>
                  <w:color w:val="0000FF"/>
                </w:rPr>
                <w:t>Power of Attorney (included on signature page of the initial filing of this registration statement).</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top w:val="single" w:sz="8" w:color="0000FF"/>
            </w:tcBorders>
            <w:gridSpan w:val="17"/>
          </w:tcPr>
          <w:p>
            <w:pPr>
              <w:spacing w:after="0"/>
              <w:rPr>
                <w:rFonts w:ascii="Arial" w:cs="Arial" w:eastAsia="Arial" w:hAnsi="Arial"/>
                <w:sz w:val="18"/>
                <w:szCs w:val="18"/>
                <w:color w:val="0000FF"/>
              </w:rPr>
            </w:pPr>
            <w:hyperlink r:id="rId861">
              <w:r>
                <w:rPr>
                  <w:rFonts w:ascii="Arial" w:cs="Arial" w:eastAsia="Arial" w:hAnsi="Arial"/>
                  <w:sz w:val="18"/>
                  <w:szCs w:val="18"/>
                  <w:color w:val="0000FF"/>
                </w:rPr>
                <w:t>Consent of Sujal Patel to be named as a director.</w:t>
              </w:r>
            </w:hyperlink>
          </w:p>
        </w:tc>
        <w:tc>
          <w:tcPr>
            <w:tcW w:w="29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2">
              <w:r>
                <w:rPr>
                  <w:rFonts w:ascii="Arial" w:cs="Arial" w:eastAsia="Arial" w:hAnsi="Arial"/>
                  <w:sz w:val="18"/>
                  <w:szCs w:val="18"/>
                  <w:color w:val="0000FF"/>
                </w:rPr>
                <w:t>Consent of Parag Mallick to be named as a director.</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6"/>
          </w:tcPr>
          <w:p>
            <w:pPr>
              <w:spacing w:after="0"/>
              <w:rPr>
                <w:rFonts w:ascii="Arial" w:cs="Arial" w:eastAsia="Arial" w:hAnsi="Arial"/>
                <w:sz w:val="18"/>
                <w:szCs w:val="18"/>
                <w:color w:val="0000FF"/>
                <w:w w:val="91"/>
              </w:rPr>
            </w:pPr>
            <w:hyperlink r:id="rId863">
              <w:r>
                <w:rPr>
                  <w:rFonts w:ascii="Arial" w:cs="Arial" w:eastAsia="Arial" w:hAnsi="Arial"/>
                  <w:sz w:val="18"/>
                  <w:szCs w:val="18"/>
                  <w:color w:val="0000FF"/>
                  <w:w w:val="91"/>
                </w:rPr>
                <w:t>Consent of Vijay Pande to be named as a director.</w:t>
              </w:r>
            </w:hyperlink>
          </w:p>
        </w:tc>
        <w:tc>
          <w:tcPr>
            <w:tcW w:w="620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0000FF"/>
            </w:tcBorders>
            <w:gridSpan w:val="7"/>
          </w:tcPr>
          <w:p>
            <w:pPr>
              <w:spacing w:after="0"/>
              <w:rPr>
                <w:rFonts w:ascii="Arial" w:cs="Arial" w:eastAsia="Arial" w:hAnsi="Arial"/>
                <w:sz w:val="18"/>
                <w:szCs w:val="18"/>
                <w:color w:val="0000FF"/>
                <w:w w:val="88"/>
              </w:rPr>
            </w:pPr>
            <w:hyperlink r:id="rId864">
              <w:r>
                <w:rPr>
                  <w:rFonts w:ascii="Arial" w:cs="Arial" w:eastAsia="Arial" w:hAnsi="Arial"/>
                  <w:sz w:val="18"/>
                  <w:szCs w:val="18"/>
                  <w:color w:val="0000FF"/>
                  <w:w w:val="88"/>
                </w:rPr>
                <w:t>Consent of Farzad Nazem to be named as a director.</w:t>
              </w:r>
            </w:hyperlink>
          </w:p>
        </w:tc>
        <w:tc>
          <w:tcPr>
            <w:tcW w:w="61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5">
              <w:r>
                <w:rPr>
                  <w:rFonts w:ascii="Arial" w:cs="Arial" w:eastAsia="Arial" w:hAnsi="Arial"/>
                  <w:sz w:val="18"/>
                  <w:szCs w:val="18"/>
                  <w:color w:val="0000FF"/>
                </w:rPr>
                <w:t>Consent of Melissa Epperly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8"/>
          </w:tcPr>
          <w:p>
            <w:pPr>
              <w:spacing w:after="0"/>
              <w:rPr>
                <w:rFonts w:ascii="Arial" w:cs="Arial" w:eastAsia="Arial" w:hAnsi="Arial"/>
                <w:sz w:val="18"/>
                <w:szCs w:val="18"/>
                <w:color w:val="0000FF"/>
              </w:rPr>
            </w:pPr>
            <w:hyperlink r:id="rId866">
              <w:r>
                <w:rPr>
                  <w:rFonts w:ascii="Arial" w:cs="Arial" w:eastAsia="Arial" w:hAnsi="Arial"/>
                  <w:sz w:val="18"/>
                  <w:szCs w:val="18"/>
                  <w:color w:val="0000FF"/>
                </w:rPr>
                <w:t>Consent of Matthew Posard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bottom w:val="single" w:sz="8" w:color="0000FF"/>
            </w:tcBorders>
            <w:gridSpan w:val="9"/>
          </w:tcPr>
          <w:p>
            <w:pPr>
              <w:spacing w:after="0"/>
              <w:rPr>
                <w:rFonts w:ascii="Arial" w:cs="Arial" w:eastAsia="Arial" w:hAnsi="Arial"/>
                <w:sz w:val="18"/>
                <w:szCs w:val="18"/>
                <w:color w:val="0000FF"/>
                <w:w w:val="90"/>
              </w:rPr>
            </w:pPr>
            <w:hyperlink r:id="rId867">
              <w:r>
                <w:rPr>
                  <w:rFonts w:ascii="Arial" w:cs="Arial" w:eastAsia="Arial" w:hAnsi="Arial"/>
                  <w:sz w:val="18"/>
                  <w:szCs w:val="18"/>
                  <w:color w:val="0000FF"/>
                  <w:w w:val="90"/>
                </w:rPr>
                <w:t>Consent of Matthew McIlwain to be named as a director.</w:t>
              </w:r>
            </w:hyperlink>
          </w:p>
        </w:tc>
        <w:tc>
          <w:tcPr>
            <w:tcW w:w="582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tcBorders>
              <w:bottom w:val="single" w:sz="8" w:color="0000FF"/>
            </w:tcBorders>
            <w:gridSpan w:val="26"/>
          </w:tcPr>
          <w:p>
            <w:pPr>
              <w:spacing w:after="0"/>
              <w:rPr>
                <w:rFonts w:ascii="Arial" w:cs="Arial" w:eastAsia="Arial" w:hAnsi="Arial"/>
                <w:sz w:val="18"/>
                <w:szCs w:val="18"/>
                <w:color w:val="0000FF"/>
                <w:w w:val="91"/>
              </w:rPr>
            </w:pPr>
            <w:hyperlink w:anchor="page649">
              <w:r>
                <w:rPr>
                  <w:rFonts w:ascii="Arial" w:cs="Arial" w:eastAsia="Arial" w:hAnsi="Arial"/>
                  <w:sz w:val="18"/>
                  <w:szCs w:val="18"/>
                  <w:color w:val="0000FF"/>
                  <w:w w:val="91"/>
                </w:rPr>
                <w:t>Form of Proxy for the Extraordinary General Meeting (included as Annex K to the proxy statement/prospectus).</w:t>
              </w:r>
            </w:hyperlink>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Previously filed.</w:t>
      </w:r>
    </w:p>
    <w:p>
      <w:pPr>
        <w:spacing w:after="0" w:line="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To be filed by amendment.</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Certain confidential portions (indicated by brackets and asterisks) have been omitted from this exhibit.</w:t>
      </w:r>
    </w:p>
    <w:p>
      <w:pPr>
        <w:spacing w:after="0" w:line="1" w:lineRule="exact"/>
        <w:rPr>
          <w:sz w:val="20"/>
          <w:szCs w:val="20"/>
          <w:color w:val="auto"/>
        </w:rPr>
      </w:pPr>
    </w:p>
    <w:p>
      <w:pPr>
        <w:ind w:left="340" w:right="180" w:hanging="332"/>
        <w:spacing w:after="0" w:line="255" w:lineRule="auto"/>
        <w:tabs>
          <w:tab w:leader="none" w:pos="304" w:val="left"/>
        </w:tabs>
        <w:numPr>
          <w:ilvl w:val="0"/>
          <w:numId w:val="655"/>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of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4" w:name="page655"/>
    <w:bookmarkEnd w:id="65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175" w:lineRule="exact"/>
        <w:rPr>
          <w:sz w:val="20"/>
          <w:szCs w:val="20"/>
          <w:color w:val="auto"/>
        </w:rPr>
      </w:pPr>
    </w:p>
    <w:p>
      <w:pPr>
        <w:ind w:left="640" w:hanging="308"/>
        <w:spacing w:after="0"/>
        <w:tabs>
          <w:tab w:leader="none" w:pos="64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left="1300" w:hanging="320"/>
        <w:spacing w:after="0" w:line="272" w:lineRule="auto"/>
        <w:tabs>
          <w:tab w:leader="none" w:pos="1290" w:val="left"/>
        </w:tabs>
        <w:numPr>
          <w:ilvl w:val="2"/>
          <w:numId w:val="65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23" w:lineRule="exact"/>
        <w:rPr>
          <w:rFonts w:ascii="Arial" w:cs="Arial" w:eastAsia="Arial" w:hAnsi="Arial"/>
          <w:sz w:val="17"/>
          <w:szCs w:val="17"/>
          <w:color w:val="auto"/>
        </w:rPr>
      </w:pPr>
    </w:p>
    <w:p>
      <w:pPr>
        <w:ind w:left="1300" w:right="60" w:hanging="320"/>
        <w:spacing w:after="0" w:line="277" w:lineRule="auto"/>
        <w:tabs>
          <w:tab w:leader="none" w:pos="130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6" w:lineRule="exact"/>
        <w:rPr>
          <w:rFonts w:ascii="Arial" w:cs="Arial" w:eastAsia="Arial" w:hAnsi="Arial"/>
          <w:sz w:val="18"/>
          <w:szCs w:val="18"/>
          <w:color w:val="auto"/>
        </w:rPr>
      </w:pPr>
    </w:p>
    <w:p>
      <w:pPr>
        <w:ind w:left="980" w:right="20" w:hanging="324"/>
        <w:spacing w:after="0" w:line="263" w:lineRule="auto"/>
        <w:tabs>
          <w:tab w:leader="none" w:pos="974"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980" w:right="560" w:hanging="324"/>
        <w:spacing w:after="0" w:line="277" w:lineRule="auto"/>
        <w:tabs>
          <w:tab w:leader="none" w:pos="977"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980" w:hanging="324"/>
        <w:spacing w:after="0" w:line="254" w:lineRule="auto"/>
        <w:tabs>
          <w:tab w:leader="none" w:pos="974"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7" w:lineRule="exact"/>
        <w:rPr>
          <w:rFonts w:ascii="Arial" w:cs="Arial" w:eastAsia="Arial" w:hAnsi="Arial"/>
          <w:sz w:val="18"/>
          <w:szCs w:val="18"/>
          <w:color w:val="auto"/>
        </w:rPr>
      </w:pPr>
    </w:p>
    <w:p>
      <w:pPr>
        <w:ind w:left="980" w:right="80" w:hanging="324"/>
        <w:spacing w:after="0" w:line="259" w:lineRule="auto"/>
        <w:tabs>
          <w:tab w:leader="none" w:pos="977"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spacing w:after="0" w:line="132" w:lineRule="exact"/>
        <w:rPr>
          <w:rFonts w:ascii="Arial" w:cs="Arial" w:eastAsia="Arial" w:hAnsi="Arial"/>
          <w:sz w:val="18"/>
          <w:szCs w:val="18"/>
          <w:color w:val="auto"/>
        </w:rPr>
      </w:pPr>
    </w:p>
    <w:p>
      <w:pPr>
        <w:ind w:left="1300" w:hanging="320"/>
        <w:spacing w:after="0"/>
        <w:tabs>
          <w:tab w:leader="none" w:pos="1300" w:val="left"/>
        </w:tabs>
        <w:numPr>
          <w:ilvl w:val="2"/>
          <w:numId w:val="65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1300" w:right="280" w:hanging="320"/>
        <w:spacing w:after="0" w:line="277" w:lineRule="auto"/>
        <w:tabs>
          <w:tab w:leader="none" w:pos="129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5" w:name="page656"/>
    <w:bookmarkEnd w:id="655"/>
    <w:p>
      <w:pPr>
        <w:spacing w:after="0" w:line="144" w:lineRule="exact"/>
        <w:rPr>
          <w:sz w:val="20"/>
          <w:szCs w:val="20"/>
          <w:color w:val="auto"/>
        </w:rPr>
      </w:pPr>
    </w:p>
    <w:p>
      <w:pPr>
        <w:ind w:left="968" w:right="120" w:hanging="320"/>
        <w:spacing w:after="0" w:line="277" w:lineRule="auto"/>
        <w:tabs>
          <w:tab w:leader="none" w:pos="968"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68" w:hanging="320"/>
        <w:spacing w:after="0"/>
        <w:tabs>
          <w:tab w:leader="none" w:pos="968" w:val="left"/>
        </w:tabs>
        <w:numPr>
          <w:ilvl w:val="1"/>
          <w:numId w:val="65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328" w:right="80" w:hanging="328"/>
        <w:spacing w:after="0" w:line="271" w:lineRule="auto"/>
        <w:tabs>
          <w:tab w:leader="none" w:pos="323" w:val="left"/>
        </w:tabs>
        <w:numPr>
          <w:ilvl w:val="0"/>
          <w:numId w:val="65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124" w:lineRule="exact"/>
        <w:rPr>
          <w:rFonts w:ascii="Arial" w:cs="Arial" w:eastAsia="Arial" w:hAnsi="Arial"/>
          <w:sz w:val="17"/>
          <w:szCs w:val="17"/>
          <w:color w:val="auto"/>
        </w:rPr>
      </w:pPr>
    </w:p>
    <w:p>
      <w:pPr>
        <w:ind w:left="328" w:hanging="328"/>
        <w:spacing w:after="0" w:line="301" w:lineRule="auto"/>
        <w:tabs>
          <w:tab w:leader="none" w:pos="323" w:val="left"/>
        </w:tabs>
        <w:numPr>
          <w:ilvl w:val="0"/>
          <w:numId w:val="658"/>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3" w:lineRule="exact"/>
        <w:rPr>
          <w:rFonts w:ascii="Arial" w:cs="Arial" w:eastAsia="Arial" w:hAnsi="Arial"/>
          <w:sz w:val="16"/>
          <w:szCs w:val="16"/>
          <w:color w:val="auto"/>
        </w:rPr>
      </w:pPr>
    </w:p>
    <w:p>
      <w:pPr>
        <w:ind w:left="328" w:right="20" w:hanging="328"/>
        <w:spacing w:after="0" w:line="296" w:lineRule="auto"/>
        <w:tabs>
          <w:tab w:leader="none" w:pos="323" w:val="left"/>
        </w:tabs>
        <w:numPr>
          <w:ilvl w:val="0"/>
          <w:numId w:val="658"/>
        </w:numPr>
        <w:rPr>
          <w:rFonts w:ascii="Arial" w:cs="Arial" w:eastAsia="Arial" w:hAnsi="Arial"/>
          <w:sz w:val="16"/>
          <w:szCs w:val="16"/>
          <w:color w:val="auto"/>
        </w:rPr>
      </w:pPr>
      <w:r>
        <w:rPr>
          <w:rFonts w:ascii="Arial" w:cs="Arial" w:eastAsia="Arial" w:hAnsi="Arial"/>
          <w:sz w:val="16"/>
          <w:szCs w:val="16"/>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Arial" w:cs="Arial" w:eastAsia="Arial" w:hAnsi="Arial"/>
          <w:sz w:val="16"/>
          <w:szCs w:val="16"/>
          <w:color w:val="auto"/>
        </w:rPr>
      </w:pPr>
    </w:p>
    <w:p>
      <w:pPr>
        <w:ind w:left="328" w:right="40" w:hanging="328"/>
        <w:spacing w:after="0" w:line="259" w:lineRule="auto"/>
        <w:tabs>
          <w:tab w:leader="none" w:pos="323"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2" w:lineRule="exact"/>
        <w:rPr>
          <w:rFonts w:ascii="Arial" w:cs="Arial" w:eastAsia="Arial" w:hAnsi="Arial"/>
          <w:sz w:val="18"/>
          <w:szCs w:val="18"/>
          <w:color w:val="auto"/>
        </w:rPr>
      </w:pPr>
    </w:p>
    <w:p>
      <w:pPr>
        <w:ind w:left="328" w:right="20" w:hanging="328"/>
        <w:spacing w:after="0" w:line="342" w:lineRule="auto"/>
        <w:tabs>
          <w:tab w:leader="none" w:pos="323" w:val="left"/>
        </w:tabs>
        <w:numPr>
          <w:ilvl w:val="0"/>
          <w:numId w:val="658"/>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56" w:name="page657"/>
    <w:bookmarkEnd w:id="6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the 23rd of April, 2021.</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31750</wp:posOffset>
            </wp:positionV>
            <wp:extent cx="229743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Adam Stone</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310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Chairman of the Board of Directors</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86"/>
              </w:rPr>
              <w:t>Joseph Edelman</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940" w:type="dxa"/>
            <w:vAlign w:val="bottom"/>
          </w:tcPr>
          <w:p>
            <w:pPr>
              <w:spacing w:after="0"/>
              <w:rPr>
                <w:sz w:val="21"/>
                <w:szCs w:val="21"/>
                <w:color w:val="auto"/>
              </w:rPr>
            </w:pPr>
          </w:p>
        </w:tc>
        <w:tc>
          <w:tcPr>
            <w:tcW w:w="292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/s/ Adam Stone</w:t>
            </w:r>
          </w:p>
        </w:tc>
        <w:tc>
          <w:tcPr>
            <w:tcW w:w="100" w:type="dxa"/>
            <w:vAlign w:val="bottom"/>
          </w:tcPr>
          <w:p>
            <w:pPr>
              <w:spacing w:after="0"/>
              <w:rPr>
                <w:sz w:val="21"/>
                <w:szCs w:val="21"/>
                <w:color w:val="auto"/>
              </w:rPr>
            </w:pPr>
          </w:p>
        </w:tc>
        <w:tc>
          <w:tcPr>
            <w:tcW w:w="4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88"/>
              </w:rPr>
              <w:t>Adam Stone</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10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94"/>
              </w:rPr>
              <w:t>Michael Altman</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10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90"/>
              </w:rPr>
              <w:t>Todd Wider</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10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93"/>
              </w:rPr>
              <w:t>Bradley L. Campbell</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10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3"/>
              </w:rPr>
              <w:t>April 23, 2021</w:t>
            </w:r>
          </w:p>
        </w:tc>
        <w:tc>
          <w:tcPr>
            <w:tcW w:w="0" w:type="dxa"/>
            <w:vAlign w:val="bottom"/>
          </w:tcPr>
          <w:p>
            <w:pPr>
              <w:spacing w:after="0"/>
              <w:rPr>
                <w:sz w:val="1"/>
                <w:szCs w:val="1"/>
                <w:color w:val="auto"/>
              </w:rPr>
            </w:pPr>
          </w:p>
        </w:tc>
      </w:tr>
      <w:tr>
        <w:trPr>
          <w:trHeight w:val="88"/>
        </w:trPr>
        <w:tc>
          <w:tcPr>
            <w:tcW w:w="940" w:type="dxa"/>
            <w:vAlign w:val="bottom"/>
          </w:tcPr>
          <w:p>
            <w:pPr>
              <w:spacing w:after="0"/>
              <w:rPr>
                <w:sz w:val="7"/>
                <w:szCs w:val="7"/>
                <w:color w:val="auto"/>
              </w:rPr>
            </w:pPr>
          </w:p>
        </w:tc>
        <w:tc>
          <w:tcPr>
            <w:tcW w:w="292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89"/>
              </w:rPr>
              <w:t>Saqib Islam</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4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0"/>
        </w:trPr>
        <w:tc>
          <w:tcPr>
            <w:tcW w:w="3860" w:type="dxa"/>
            <w:vAlign w:val="bottom"/>
            <w:gridSpan w:val="3"/>
          </w:tcPr>
          <w:p>
            <w:pPr>
              <w:ind w:left="360"/>
              <w:spacing w:after="0"/>
              <w:rPr>
                <w:sz w:val="20"/>
                <w:szCs w:val="20"/>
                <w:color w:val="auto"/>
              </w:rPr>
            </w:pPr>
            <w:r>
              <w:rPr>
                <w:rFonts w:ascii="Arial" w:cs="Arial" w:eastAsia="Arial" w:hAnsi="Arial"/>
                <w:sz w:val="18"/>
                <w:szCs w:val="18"/>
                <w:color w:val="auto"/>
              </w:rPr>
              <w:t>*By:   /s/ Adam Stone</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Adam Stone</w:t>
            </w:r>
          </w:p>
        </w:tc>
        <w:tc>
          <w:tcPr>
            <w:tcW w:w="1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657" w:name="page658"/>
    <w:bookmarkEnd w:id="657"/>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CORPORATE DOMESTICATION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ARYA SCIENCES ACQUISITION CORP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388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the General Corporation Law of the State of Delaware (the “DGCL”)</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ARYA Sciences Acquisition Corp III, presently a Cayman Islands exempted company limited by shares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DOES HEREBY CERTIFY:</w:t>
      </w:r>
    </w:p>
    <w:p>
      <w:pPr>
        <w:spacing w:after="0" w:line="202" w:lineRule="exact"/>
        <w:rPr>
          <w:sz w:val="20"/>
          <w:szCs w:val="20"/>
          <w:color w:val="auto"/>
        </w:rPr>
      </w:pPr>
    </w:p>
    <w:p>
      <w:pPr>
        <w:ind w:left="1300" w:hanging="644"/>
        <w:spacing w:after="0"/>
        <w:tabs>
          <w:tab w:leader="none" w:pos="1300" w:val="left"/>
        </w:tabs>
        <w:numPr>
          <w:ilvl w:val="0"/>
          <w:numId w:val="659"/>
        </w:numPr>
        <w:rPr>
          <w:rFonts w:ascii="Arial" w:cs="Arial" w:eastAsia="Arial" w:hAnsi="Arial"/>
          <w:sz w:val="22"/>
          <w:szCs w:val="22"/>
          <w:color w:val="auto"/>
        </w:rPr>
      </w:pPr>
      <w:r>
        <w:rPr>
          <w:rFonts w:ascii="Arial" w:cs="Arial" w:eastAsia="Arial" w:hAnsi="Arial"/>
          <w:sz w:val="22"/>
          <w:szCs w:val="22"/>
          <w:color w:val="auto"/>
        </w:rPr>
        <w:t>The Company was first incorporated on March 27, 2020 under the laws of the Cayman Islands.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659"/>
        </w:numPr>
        <w:rPr>
          <w:rFonts w:ascii="Arial" w:cs="Arial" w:eastAsia="Arial" w:hAnsi="Arial"/>
          <w:sz w:val="22"/>
          <w:szCs w:val="22"/>
          <w:color w:val="auto"/>
        </w:rPr>
      </w:pPr>
      <w:r>
        <w:rPr>
          <w:rFonts w:ascii="Arial" w:cs="Arial" w:eastAsia="Arial" w:hAnsi="Arial"/>
          <w:sz w:val="22"/>
          <w:szCs w:val="22"/>
          <w:color w:val="auto"/>
        </w:rPr>
        <w:t>The name of the Company immediately prior to the filing of this Certificate of Corporate Domestication with the Secretary of State of the State of Delaware in accordance with Section 388 of the DGCL was ARYA Sciences Acquisition Corp III.</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659"/>
        </w:numPr>
        <w:rPr>
          <w:rFonts w:ascii="Arial" w:cs="Arial" w:eastAsia="Arial" w:hAnsi="Arial"/>
          <w:sz w:val="22"/>
          <w:szCs w:val="22"/>
          <w:color w:val="auto"/>
        </w:rPr>
      </w:pPr>
      <w:r>
        <w:rPr>
          <w:rFonts w:ascii="Arial" w:cs="Arial" w:eastAsia="Arial" w:hAnsi="Arial"/>
          <w:sz w:val="22"/>
          <w:szCs w:val="22"/>
          <w:color w:val="auto"/>
        </w:rPr>
        <w:t>The name of the Company as set forth in the Certificate of Incorporation being filed with the Secretary of State of the State of Delaware in accordance with Section 388(b) of the DGCL is “Nautilus Biotechnology, Inc.”</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296" w:val="left"/>
        </w:tabs>
        <w:numPr>
          <w:ilvl w:val="0"/>
          <w:numId w:val="659"/>
        </w:numPr>
        <w:rPr>
          <w:rFonts w:ascii="Arial" w:cs="Arial" w:eastAsia="Arial" w:hAnsi="Arial"/>
          <w:sz w:val="19"/>
          <w:szCs w:val="19"/>
          <w:color w:val="auto"/>
        </w:rPr>
      </w:pPr>
      <w:r>
        <w:rPr>
          <w:rFonts w:ascii="Arial" w:cs="Arial" w:eastAsia="Arial" w:hAnsi="Arial"/>
          <w:sz w:val="19"/>
          <w:szCs w:val="19"/>
          <w:color w:val="auto"/>
        </w:rPr>
        <w:t>The jurisdiction that constituted the seat, siege social, or principal place of business or central administration of the Company, or any other equivalent thereto under applicable law, immediately prior to the filing of this Certificate of Corporate Domestication in accordance with the provisions of Section 388 of the DGCL was the Cayman Islands.</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659"/>
        </w:numPr>
        <w:rPr>
          <w:rFonts w:ascii="Arial" w:cs="Arial" w:eastAsia="Arial" w:hAnsi="Arial"/>
          <w:sz w:val="22"/>
          <w:szCs w:val="22"/>
          <w:color w:val="auto"/>
        </w:rPr>
      </w:pPr>
      <w:r>
        <w:rPr>
          <w:rFonts w:ascii="Arial" w:cs="Arial" w:eastAsia="Arial" w:hAnsi="Arial"/>
          <w:sz w:val="22"/>
          <w:szCs w:val="22"/>
          <w:color w:val="auto"/>
        </w:rPr>
        <w:t>The domestication has been approved in the manner provided for by the document, instrument, agreement or other writing, as the case may be, governing the internal affairs of the Company and the conduct of its business or by applicable non-Delaware law, as appropriate.</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corporate domestication of the Company shall be effective upon the filing of this Certificate of Corporate Domestication and the Certificate of Incorporation” with “effective at [__:__] [_].m. Eastern Time on [______] [__],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22" w:right="339" w:bottom="1440" w:gutter="0" w:footer="0" w:header="0"/>
        </w:sectPr>
      </w:pPr>
    </w:p>
    <w:bookmarkStart w:id="658" w:name="page659"/>
    <w:bookmarkEnd w:id="658"/>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Certificate to be executed by its duly authorized officer on this [●] day of [●], 2021.</w:t>
      </w:r>
    </w:p>
    <w:p>
      <w:pPr>
        <w:spacing w:after="0" w:line="175" w:lineRule="exact"/>
        <w:rPr>
          <w:sz w:val="20"/>
          <w:szCs w:val="20"/>
          <w:color w:val="auto"/>
        </w:rPr>
      </w:pPr>
    </w:p>
    <w:p>
      <w:pPr>
        <w:ind w:left="3900" w:right="620"/>
        <w:spacing w:after="0" w:line="263" w:lineRule="auto"/>
        <w:rPr>
          <w:sz w:val="20"/>
          <w:szCs w:val="20"/>
          <w:color w:val="auto"/>
        </w:rPr>
      </w:pPr>
      <w:r>
        <w:rPr>
          <w:rFonts w:ascii="Arial" w:cs="Arial" w:eastAsia="Arial" w:hAnsi="Arial"/>
          <w:sz w:val="22"/>
          <w:szCs w:val="22"/>
          <w:color w:val="auto"/>
        </w:rPr>
        <w:t>ARYA SCIENCES ACQUISITION CORP III, a Cayman Islands exempted company limited by shares</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82296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040"/>
          </w:cols>
          <w:pgMar w:left="320" w:top="1428" w:right="539" w:bottom="1440" w:gutter="0" w:footer="0" w:header="0"/>
        </w:sectPr>
      </w:pPr>
    </w:p>
    <w:bookmarkStart w:id="659" w:name="page660"/>
    <w:bookmarkEnd w:id="659"/>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214630</wp:posOffset>
            </wp:positionV>
            <wp:extent cx="2040255" cy="2743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3">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601 Lexington Avenue</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New York, NY 10022</w:t>
      </w:r>
    </w:p>
    <w:p>
      <w:pPr>
        <w:ind w:left="5080"/>
        <w:spacing w:after="0" w:line="212" w:lineRule="auto"/>
        <w:tabs>
          <w:tab w:leader="none" w:pos="8560" w:val="left"/>
        </w:tabs>
        <w:rPr>
          <w:sz w:val="20"/>
          <w:szCs w:val="20"/>
          <w:color w:val="auto"/>
        </w:rPr>
      </w:pPr>
      <w:r>
        <w:rPr>
          <w:rFonts w:ascii="Arial" w:cs="Arial" w:eastAsia="Arial" w:hAnsi="Arial"/>
          <w:sz w:val="14"/>
          <w:szCs w:val="14"/>
          <w:color w:val="auto"/>
        </w:rPr>
        <w:t>United States</w:t>
      </w:r>
      <w:r>
        <w:rPr>
          <w:sz w:val="20"/>
          <w:szCs w:val="20"/>
          <w:color w:val="auto"/>
        </w:rPr>
        <w:tab/>
      </w:r>
      <w:r>
        <w:rPr>
          <w:rFonts w:ascii="Arial" w:cs="Arial" w:eastAsia="Arial" w:hAnsi="Arial"/>
          <w:sz w:val="21"/>
          <w:szCs w:val="21"/>
          <w:color w:val="auto"/>
          <w:vertAlign w:val="subscript"/>
        </w:rPr>
        <w:t>Facsimile:</w:t>
      </w:r>
    </w:p>
    <w:p>
      <w:pPr>
        <w:ind w:left="8360"/>
        <w:spacing w:after="0" w:line="194" w:lineRule="auto"/>
        <w:rPr>
          <w:sz w:val="20"/>
          <w:szCs w:val="20"/>
          <w:color w:val="auto"/>
        </w:rPr>
      </w:pPr>
      <w:r>
        <w:rPr>
          <w:rFonts w:ascii="Arial" w:cs="Arial" w:eastAsia="Arial" w:hAnsi="Arial"/>
          <w:sz w:val="12"/>
          <w:szCs w:val="12"/>
          <w:color w:val="auto"/>
        </w:rPr>
        <w:t>+1 212 446 4900</w:t>
      </w:r>
    </w:p>
    <w:p>
      <w:pPr>
        <w:jc w:val="center"/>
        <w:ind w:right="240"/>
        <w:spacing w:after="0"/>
        <w:rPr>
          <w:sz w:val="20"/>
          <w:szCs w:val="20"/>
          <w:color w:val="auto"/>
        </w:rPr>
      </w:pPr>
      <w:r>
        <w:rPr>
          <w:rFonts w:ascii="Arial" w:cs="Arial" w:eastAsia="Arial" w:hAnsi="Arial"/>
          <w:sz w:val="14"/>
          <w:szCs w:val="14"/>
          <w:color w:val="auto"/>
        </w:rPr>
        <w:t>+1 212 446 4800</w:t>
      </w: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www.kirkland.com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23, 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51 Astor Place, 10th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are United States tax counsel to ARYA Sciences Acquisition Corp III, a Cayman Islands exempted company (“ARYA”), in connection with the preparation of the registration statement on Form S-4 (as amended, and together with the Proxy Statement/Prospectus filed therewith, the “Registration Statement”) (Registration No. 333-254796) originally filed with the Securities and Exchange Commission (the “Commission”) on March 26, 2021, under the Securities Act of 1933, as amended (the “Securities Act”), by ARYA. The Registration Statement relates to the registration of 111,674,810 shares of common stock of Nautilus Biotechnology, Inc., a Delaware corporation (“New Nautilus”).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Registration Statement is being filed in connection with the transactions contemplated by the Business Combination Agreement, dated as of February 7, 2021 (the “Business Combination Agreement”), by and among ARYA, Mako Merger Sub, Inc., a Delaware corporation and Nautilus Biotechnology, Inc., a Delaware corporation (“Nautilus”) (such transactions, including the Domestication, the “Business Combination”).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not otherwise defined herein shall have the same meanings attributed to such terms in the Registration Statement.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have requested our opinion concerning the discussion of the Domestication set forth in the section entitled “Material U.S. Federal Income Tax Consequences—U.S. Holders—Effect of the Domestication on U.S. Holders” in the Registration Statement (the “Tax Disclosure”). In providing this opinion, we have assumed (without any independent investigation or review thereof) that:</w:t>
      </w:r>
    </w:p>
    <w:p>
      <w:pPr>
        <w:spacing w:after="0" w:line="188" w:lineRule="exact"/>
        <w:rPr>
          <w:sz w:val="20"/>
          <w:szCs w:val="20"/>
          <w:color w:val="auto"/>
        </w:rPr>
      </w:pPr>
    </w:p>
    <w:p>
      <w:pPr>
        <w:jc w:val="both"/>
        <w:ind w:firstLine="656"/>
        <w:spacing w:after="0" w:line="248" w:lineRule="auto"/>
        <w:tabs>
          <w:tab w:leader="none" w:pos="1037" w:val="left"/>
        </w:tabs>
        <w:numPr>
          <w:ilvl w:val="0"/>
          <w:numId w:val="660"/>
        </w:numPr>
        <w:rPr>
          <w:rFonts w:ascii="Arial" w:cs="Arial" w:eastAsia="Arial" w:hAnsi="Arial"/>
          <w:sz w:val="22"/>
          <w:szCs w:val="22"/>
          <w:color w:val="auto"/>
        </w:rPr>
      </w:pPr>
      <w:r>
        <w:rPr>
          <w:rFonts w:ascii="Arial" w:cs="Arial" w:eastAsia="Arial" w:hAnsi="Arial"/>
          <w:sz w:val="22"/>
          <w:szCs w:val="22"/>
          <w:color w:val="auto"/>
        </w:rPr>
        <w:t>All original documents submitted to us (including signatures thereto) are authentic, all documents submitted to us as copies conform to the original documents, all such documents have been duly and validly executed and delivered where due execution and delivery are a prerequisite to the effectiveness thereof, and all parties to such documents had or will have, as applicable, the requisite corporate powers and authority to enter into such documents and to undertake and consummate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Beijing  Boston  Chicago  Dallas  Hong Kong  Houston  London  Los Angeles  Munich  Palo Alto  Paris  San Francisco  Shanghai  Washington, D.C.</w:t>
      </w:r>
    </w:p>
    <w:p>
      <w:pPr>
        <w:sectPr>
          <w:pgSz w:w="11900" w:h="16838" w:orient="portrait"/>
          <w:cols w:equalWidth="0" w:num="1">
            <w:col w:w="11240"/>
          </w:cols>
          <w:pgMar w:left="320" w:top="122" w:right="339" w:bottom="1440" w:gutter="0" w:footer="0" w:header="0"/>
        </w:sectPr>
      </w:pPr>
    </w:p>
    <w:bookmarkStart w:id="660" w:name="page661"/>
    <w:bookmarkEnd w:id="660"/>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2874010</wp:posOffset>
            </wp:positionH>
            <wp:positionV relativeFrom="page">
              <wp:posOffset>217805</wp:posOffset>
            </wp:positionV>
            <wp:extent cx="1654175" cy="13716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4">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ARYA Sciences Acquisition Corp III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April 23, 2021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jc w:val="both"/>
        <w:ind w:firstLine="656"/>
        <w:spacing w:after="0" w:line="247" w:lineRule="auto"/>
        <w:tabs>
          <w:tab w:leader="none" w:pos="1060" w:val="left"/>
        </w:tabs>
        <w:numPr>
          <w:ilvl w:val="0"/>
          <w:numId w:val="661"/>
        </w:numPr>
        <w:rPr>
          <w:rFonts w:ascii="Arial" w:cs="Arial" w:eastAsia="Arial" w:hAnsi="Arial"/>
          <w:sz w:val="22"/>
          <w:szCs w:val="22"/>
          <w:color w:val="auto"/>
        </w:rPr>
      </w:pPr>
      <w:r>
        <w:rPr>
          <w:rFonts w:ascii="Arial" w:cs="Arial" w:eastAsia="Arial" w:hAnsi="Arial"/>
          <w:sz w:val="22"/>
          <w:szCs w:val="22"/>
          <w:color w:val="auto"/>
        </w:rPr>
        <w:t>All factual representations, warranties and statements made or agreed to by the parties to the Business Combination Agreement, the Sponsor Letter Agreement, and the other agreements referred to in each of the foregoing (collectively, the “Agreements” and, together with the Registration Statement, the “Documents”), and in the representation letter provided to us by ARYA, are true, correct and complete as of the date hereof and will remain true, correct and complete through the consummation of Transactions (as defined below), in each case without regard to any qualification as to knowledge, belief, materiality, or otherwise;</w:t>
      </w:r>
    </w:p>
    <w:p>
      <w:pPr>
        <w:spacing w:after="0" w:line="192" w:lineRule="exact"/>
        <w:rPr>
          <w:rFonts w:ascii="Arial" w:cs="Arial" w:eastAsia="Arial" w:hAnsi="Arial"/>
          <w:sz w:val="22"/>
          <w:szCs w:val="22"/>
          <w:color w:val="auto"/>
        </w:rPr>
      </w:pPr>
    </w:p>
    <w:p>
      <w:pPr>
        <w:ind w:firstLine="656"/>
        <w:spacing w:after="0" w:line="263" w:lineRule="auto"/>
        <w:tabs>
          <w:tab w:leader="none" w:pos="1053" w:val="left"/>
        </w:tabs>
        <w:numPr>
          <w:ilvl w:val="0"/>
          <w:numId w:val="661"/>
        </w:numPr>
        <w:rPr>
          <w:rFonts w:ascii="Arial" w:cs="Arial" w:eastAsia="Arial" w:hAnsi="Arial"/>
          <w:sz w:val="22"/>
          <w:szCs w:val="22"/>
          <w:color w:val="auto"/>
        </w:rPr>
      </w:pPr>
      <w:r>
        <w:rPr>
          <w:rFonts w:ascii="Arial" w:cs="Arial" w:eastAsia="Arial" w:hAnsi="Arial"/>
          <w:sz w:val="22"/>
          <w:szCs w:val="22"/>
          <w:color w:val="auto"/>
        </w:rPr>
        <w:t>The descriptions of ARYA in the Registration Statement, the registration statement filed in connection with ARYA’s initial public offering, and ARYA’s other public filings are true, accurate and complete;</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085" w:val="left"/>
        </w:tabs>
        <w:numPr>
          <w:ilvl w:val="0"/>
          <w:numId w:val="661"/>
        </w:numPr>
        <w:rPr>
          <w:rFonts w:ascii="Arial" w:cs="Arial" w:eastAsia="Arial" w:hAnsi="Arial"/>
          <w:sz w:val="19"/>
          <w:szCs w:val="19"/>
          <w:color w:val="auto"/>
        </w:rPr>
      </w:pPr>
      <w:r>
        <w:rPr>
          <w:rFonts w:ascii="Arial" w:cs="Arial" w:eastAsia="Arial" w:hAnsi="Arial"/>
          <w:sz w:val="19"/>
          <w:szCs w:val="19"/>
          <w:color w:val="auto"/>
        </w:rPr>
        <w:t>The description of the Business Combination and other transactions related to the Business Combination (together, the “Transactions”) in the Registration Statement is and will remain true, accurate and complete, the Business Combination will be consummated in accordance with such description and with the Business Combination Agreement and the other Agreements, without any waiver or breach of any material provision thereof, and the Business Combination will be effective under applicable corporate law as described in the Business Combination Agreement and the other Agreements; and</w:t>
      </w:r>
    </w:p>
    <w:p>
      <w:pPr>
        <w:spacing w:after="0" w:line="146" w:lineRule="exact"/>
        <w:rPr>
          <w:rFonts w:ascii="Arial" w:cs="Arial" w:eastAsia="Arial" w:hAnsi="Arial"/>
          <w:sz w:val="19"/>
          <w:szCs w:val="19"/>
          <w:color w:val="auto"/>
        </w:rPr>
      </w:pPr>
    </w:p>
    <w:p>
      <w:pPr>
        <w:jc w:val="both"/>
        <w:ind w:firstLine="656"/>
        <w:spacing w:after="0" w:line="271" w:lineRule="auto"/>
        <w:tabs>
          <w:tab w:leader="none" w:pos="1042" w:val="left"/>
        </w:tabs>
        <w:numPr>
          <w:ilvl w:val="0"/>
          <w:numId w:val="661"/>
        </w:numPr>
        <w:rPr>
          <w:rFonts w:ascii="Arial" w:cs="Arial" w:eastAsia="Arial" w:hAnsi="Arial"/>
          <w:sz w:val="21"/>
          <w:szCs w:val="21"/>
          <w:color w:val="auto"/>
        </w:rPr>
      </w:pPr>
      <w:r>
        <w:rPr>
          <w:rFonts w:ascii="Arial" w:cs="Arial" w:eastAsia="Arial" w:hAnsi="Arial"/>
          <w:sz w:val="21"/>
          <w:szCs w:val="21"/>
          <w:color w:val="auto"/>
        </w:rPr>
        <w:t>The Documents represent the entire understanding of the parties with respect to the Business Combination and other Transactions, there are no other written or oral agreements regarding the Transactions other than the Agreements, and none of the material terms and conditions thereof have been or will be waived or modified.</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This opinion is based on current provisions of the U.S. Internal Revenue Code of 1986, as amended (the “Code”), the U.S. Treasury Regulations promulgated thereunder, and the interpretation of the Code and such regulations by the courts and the U.S. Internal Revenue Service, in each case, as they are in effect and exist at the date of this opinion. It should be noted that statutes, regulations, judicial decisions and administrative interpretations are subject to change at any time and, in some circumstances, with retroactive effect. Any change that is made after the date hereof in any of the foregoing bases for our opinion, or any inaccuracy in the facts or assumptions on which we have relied in issuing our opinion, could adversely affect our conclusion. We assume no responsibility to inform you of any such change or inaccuracy that may occur or come to our attention or to supplement or revise our opinion to reflect any legal developments or factual matters arising subsequent to the date hereof. No opinion is expressed as to any transactions other than the Domestication in connection with the Business Combination, or any matter other than those specifically covered by this opinion. In particular, this opinion is limited to the matters discussed in the Tax Disclosure, subject to the assumptions, limitations and qualifications stated therein, and, as further described in the Tax Disclosure, does not address (i) the U.S. federal income tax treatment of any shareholder subject to special rules under the Code or the Treasury Regulations, as further described in the Tax Disclosure, (ii) any matter arising in</w:t>
      </w:r>
    </w:p>
    <w:p>
      <w:pPr>
        <w:sectPr>
          <w:pgSz w:w="11900" w:h="16838" w:orient="portrait"/>
          <w:cols w:equalWidth="0" w:num="1">
            <w:col w:w="11240"/>
          </w:cols>
          <w:pgMar w:left="320" w:top="1253" w:right="339" w:bottom="1440" w:gutter="0" w:footer="0" w:header="0"/>
        </w:sectPr>
      </w:pPr>
    </w:p>
    <w:bookmarkStart w:id="661" w:name="page662"/>
    <w:bookmarkEnd w:id="661"/>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2874010</wp:posOffset>
            </wp:positionH>
            <wp:positionV relativeFrom="page">
              <wp:posOffset>217805</wp:posOffset>
            </wp:positionV>
            <wp:extent cx="1654175" cy="13716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ARYA Sciences Acquisition Corp III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April 23, 2021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connection with Section 367 of the Code, or (iii) any matter arising in connection with the “passive foreign investment company” rules of Sections 1291-1297 of the Code.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U.S. federal income tax consequences of the transactions described in the Registration Statement are complex and are subject to varying interpretations. Our opinion is not binding on the U.S. Internal Revenue Service or any court, and there can be no assurance or guarantee that either will agree with our conclusions. Indeed, the U.S. Internal Revenue Service may challenge one or more of the conclusions contained herein and the U.S. Internal Revenue Service may take a position that is inconsistent with the views expressed herein. There can be no assurance or guarantee that a court would, if presented with the issues addressed herein, reach the same or similar conclusions as we have reached.</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Based upon and subject to the foregoing, we confirm that the statements set forth in the Registration Statement under the heading “Material U.S. Federal Income Tax Consequences—U.S. Holders—Effect of the Domestication on U.S. Holders,” insofar as they address the material U.S. federal income tax considerations for beneficial owners of ARYA Class A Shares of the Domestication, and discuss matters of U.S. federal income tax law and regulations or legal conclusions with respect thereto, and except to the extent stated otherwise therein, are our opinion, subject to the assumptions, qualifications and limitations stated herein and therein.</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opinion is furnished to you solely for use in connection with the Registration Statement. This opinion is based on facts and circumstances existing on the date hereof. We hereby consent to the filing of this opinion as an exhibit to the Registration Statement. In giving such consent, we do not thereby concede that we are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44"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27305</wp:posOffset>
            </wp:positionV>
            <wp:extent cx="241744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61"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Kirkland &amp; Ellis LLP</w:t>
      </w:r>
    </w:p>
    <w:p>
      <w:pPr>
        <w:sectPr>
          <w:pgSz w:w="11900" w:h="16838" w:orient="portrait"/>
          <w:cols w:equalWidth="0" w:num="1">
            <w:col w:w="11240"/>
          </w:cols>
          <w:pgMar w:left="320" w:top="1253" w:right="339" w:bottom="1440" w:gutter="0" w:footer="0" w:header="0"/>
        </w:sectPr>
      </w:pPr>
    </w:p>
    <w:bookmarkStart w:id="662" w:name="page663"/>
    <w:bookmarkEnd w:id="662"/>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April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Sujal Patel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Sujal:</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Sujal Patel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25" w:lineRule="exact"/>
        <w:rPr>
          <w:sz w:val="20"/>
          <w:szCs w:val="20"/>
          <w:color w:val="auto"/>
        </w:rPr>
      </w:pPr>
    </w:p>
    <w:p>
      <w:pPr>
        <w:jc w:val="both"/>
        <w:ind w:firstLine="656"/>
        <w:spacing w:after="0" w:line="295" w:lineRule="auto"/>
        <w:tabs>
          <w:tab w:leader="none" w:pos="1147" w:val="left"/>
        </w:tabs>
        <w:numPr>
          <w:ilvl w:val="0"/>
          <w:numId w:val="662"/>
        </w:numPr>
        <w:rPr>
          <w:rFonts w:ascii="Arial" w:cs="Arial" w:eastAsia="Arial" w:hAnsi="Arial"/>
          <w:sz w:val="19"/>
          <w:szCs w:val="19"/>
          <w:color w:val="auto"/>
        </w:rPr>
      </w:pPr>
      <w:r>
        <w:rPr>
          <w:rFonts w:ascii="Arial" w:cs="Arial" w:eastAsia="Arial" w:hAnsi="Arial"/>
          <w:sz w:val="19"/>
          <w:szCs w:val="19"/>
          <w:b w:val="1"/>
          <w:bCs w:val="1"/>
          <w:color w:val="auto"/>
        </w:rPr>
        <w:t>Title; Position; Location</w:t>
      </w:r>
      <w:r>
        <w:rPr>
          <w:rFonts w:ascii="Arial" w:cs="Arial" w:eastAsia="Arial" w:hAnsi="Arial"/>
          <w:sz w:val="19"/>
          <w:szCs w:val="19"/>
          <w:color w:val="auto"/>
        </w:rPr>
        <w:t>. You will continue to serve as the Company’s Chief Executive Officer. You also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report to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and will perform the duties and responsibilities customary for such position and such other related duties as are reasonably assigned by the Board.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43" w:lineRule="exact"/>
        <w:rPr>
          <w:rFonts w:ascii="Arial" w:cs="Arial" w:eastAsia="Arial" w:hAnsi="Arial"/>
          <w:sz w:val="19"/>
          <w:szCs w:val="19"/>
          <w:color w:val="auto"/>
        </w:rPr>
      </w:pPr>
    </w:p>
    <w:p>
      <w:pPr>
        <w:jc w:val="both"/>
        <w:ind w:firstLine="656"/>
        <w:spacing w:after="0" w:line="260" w:lineRule="auto"/>
        <w:tabs>
          <w:tab w:leader="none" w:pos="1066" w:val="left"/>
        </w:tabs>
        <w:numPr>
          <w:ilvl w:val="0"/>
          <w:numId w:val="662"/>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As of the Effective Date, your annual base salary will continue to be $350,000, and your annual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will be increased to $500,000 effective as of the Closing Date, provided that you continue employment with the Company through such date. For purposes of this Agreement, “</w:t>
      </w:r>
      <w:r>
        <w:rPr>
          <w:rFonts w:ascii="Arial" w:cs="Arial" w:eastAsia="Arial" w:hAnsi="Arial"/>
          <w:sz w:val="21"/>
          <w:szCs w:val="21"/>
          <w:b w:val="1"/>
          <w:bCs w:val="1"/>
          <w:color w:val="auto"/>
        </w:rPr>
        <w:t>Closing Date</w:t>
      </w:r>
      <w:r>
        <w:rPr>
          <w:rFonts w:ascii="Arial" w:cs="Arial" w:eastAsia="Arial" w:hAnsi="Arial"/>
          <w:sz w:val="21"/>
          <w:szCs w:val="21"/>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 Your base salary will be 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1"/>
          <w:szCs w:val="21"/>
          <w:b w:val="1"/>
          <w:bCs w:val="1"/>
          <w:color w:val="auto"/>
        </w:rPr>
        <w:t>Committee</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as applicable, in its sole discretion.</w:t>
      </w:r>
    </w:p>
    <w:p>
      <w:pPr>
        <w:spacing w:after="0" w:line="175" w:lineRule="exact"/>
        <w:rPr>
          <w:rFonts w:ascii="Arial" w:cs="Arial" w:eastAsia="Arial" w:hAnsi="Arial"/>
          <w:sz w:val="21"/>
          <w:szCs w:val="21"/>
          <w:color w:val="auto"/>
        </w:rPr>
      </w:pPr>
    </w:p>
    <w:p>
      <w:pPr>
        <w:jc w:val="both"/>
        <w:ind w:firstLine="656"/>
        <w:spacing w:after="0" w:line="248" w:lineRule="auto"/>
        <w:tabs>
          <w:tab w:leader="none" w:pos="1066" w:val="left"/>
        </w:tabs>
        <w:numPr>
          <w:ilvl w:val="0"/>
          <w:numId w:val="662"/>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For the Company’s 2021 fiscal year, you will be eligible for a target annual cash bonus opportunity</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fifty percent (50%)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w:t>
      </w:r>
    </w:p>
    <w:p>
      <w:pPr>
        <w:sectPr>
          <w:pgSz w:w="11900" w:h="16838" w:orient="portrait"/>
          <w:cols w:equalWidth="0" w:num="1">
            <w:col w:w="11240"/>
          </w:cols>
          <w:pgMar w:left="320" w:top="122" w:right="339" w:bottom="1440" w:gutter="0" w:footer="0" w:header="0"/>
        </w:sectPr>
      </w:pPr>
    </w:p>
    <w:bookmarkStart w:id="663" w:name="page664"/>
    <w:bookmarkEnd w:id="663"/>
    <w:p>
      <w:pPr>
        <w:spacing w:after="0" w:line="263" w:lineRule="auto"/>
        <w:rPr>
          <w:sz w:val="20"/>
          <w:szCs w:val="20"/>
          <w:color w:val="auto"/>
        </w:rPr>
      </w:pPr>
      <w:r>
        <w:rPr>
          <w:rFonts w:ascii="Arial" w:cs="Arial" w:eastAsia="Arial" w:hAnsi="Arial"/>
          <w:sz w:val="22"/>
          <w:szCs w:val="22"/>
          <w:color w:val="auto"/>
        </w:rPr>
        <w:t>the Board or the Committee, as applicable and in its sole discretion, may approve that the Company grant additional discretionary bonus amounts to you.</w:t>
      </w:r>
    </w:p>
    <w:p>
      <w:pPr>
        <w:spacing w:after="0" w:line="169" w:lineRule="exact"/>
        <w:rPr>
          <w:sz w:val="20"/>
          <w:szCs w:val="20"/>
          <w:color w:val="auto"/>
        </w:rPr>
      </w:pPr>
    </w:p>
    <w:p>
      <w:pPr>
        <w:jc w:val="both"/>
        <w:ind w:firstLine="656"/>
        <w:spacing w:after="0" w:line="267" w:lineRule="auto"/>
        <w:tabs>
          <w:tab w:leader="none" w:pos="1039" w:val="left"/>
        </w:tabs>
        <w:numPr>
          <w:ilvl w:val="0"/>
          <w:numId w:val="663"/>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or other equity awards pursuant to any plans</w:t>
      </w:r>
      <w:r>
        <w:rPr>
          <w:rFonts w:ascii="Arial" w:cs="Arial" w:eastAsia="Arial" w:hAnsi="Arial"/>
          <w:sz w:val="21"/>
          <w:szCs w:val="21"/>
          <w:b w:val="1"/>
          <w:bCs w:val="1"/>
          <w:color w:val="auto"/>
        </w:rPr>
        <w:t xml:space="preserve"> </w:t>
      </w:r>
      <w:r>
        <w:rPr>
          <w:rFonts w:ascii="Arial" w:cs="Arial" w:eastAsia="Arial" w:hAnsi="Arial"/>
          <w:sz w:val="21"/>
          <w:szCs w:val="21"/>
          <w:color w:val="auto"/>
        </w:rPr>
        <w:t>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67" w:lineRule="exact"/>
        <w:rPr>
          <w:rFonts w:ascii="Arial" w:cs="Arial" w:eastAsia="Arial" w:hAnsi="Arial"/>
          <w:sz w:val="21"/>
          <w:szCs w:val="21"/>
          <w:color w:val="auto"/>
        </w:rPr>
      </w:pPr>
    </w:p>
    <w:p>
      <w:pPr>
        <w:jc w:val="both"/>
        <w:ind w:firstLine="656"/>
        <w:spacing w:after="0" w:line="295" w:lineRule="auto"/>
        <w:tabs>
          <w:tab w:leader="none" w:pos="1066" w:val="left"/>
        </w:tabs>
        <w:numPr>
          <w:ilvl w:val="0"/>
          <w:numId w:val="663"/>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You will continue to be eligible to participate in the benefit plans and programs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026" w:val="left"/>
        </w:tabs>
        <w:numPr>
          <w:ilvl w:val="0"/>
          <w:numId w:val="663"/>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63"/>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January 12, 2017,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63"/>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jc w:val="both"/>
        <w:ind w:firstLine="656"/>
        <w:spacing w:after="0" w:line="249" w:lineRule="auto"/>
        <w:tabs>
          <w:tab w:leader="none" w:pos="1039" w:val="left"/>
        </w:tabs>
        <w:numPr>
          <w:ilvl w:val="0"/>
          <w:numId w:val="663"/>
        </w:numPr>
        <w:rPr>
          <w:rFonts w:ascii="Arial" w:cs="Arial" w:eastAsia="Arial" w:hAnsi="Arial"/>
          <w:sz w:val="22"/>
          <w:szCs w:val="22"/>
          <w:color w:val="auto"/>
        </w:rPr>
      </w:pPr>
      <w:r>
        <w:rPr>
          <w:rFonts w:ascii="Arial" w:cs="Arial" w:eastAsia="Arial" w:hAnsi="Arial"/>
          <w:sz w:val="22"/>
          <w:szCs w:val="22"/>
          <w:b w:val="1"/>
          <w:bCs w:val="1"/>
          <w:color w:val="auto"/>
        </w:rPr>
        <w:t>Taxes</w:t>
      </w:r>
      <w:r>
        <w:rPr>
          <w:rFonts w:ascii="Arial" w:cs="Arial" w:eastAsia="Arial" w:hAnsi="Arial"/>
          <w:sz w:val="22"/>
          <w:szCs w:val="22"/>
          <w:color w:val="auto"/>
        </w:rPr>
        <w:t>. The Company (or its affiliate, as applicable) will have the right and authority to deduct from any payments or</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under this Agreement all applicable federal, state, and local taxes or other required withholdings and payroll deductions (“</w:t>
      </w:r>
      <w:r>
        <w:rPr>
          <w:rFonts w:ascii="Arial" w:cs="Arial" w:eastAsia="Arial" w:hAnsi="Arial"/>
          <w:sz w:val="22"/>
          <w:szCs w:val="22"/>
          <w:b w:val="1"/>
          <w:bCs w:val="1"/>
          <w:color w:val="auto"/>
        </w:rPr>
        <w:t>Withholdings</w:t>
      </w:r>
      <w:r>
        <w:rPr>
          <w:rFonts w:ascii="Arial" w:cs="Arial" w:eastAsia="Arial" w:hAnsi="Arial"/>
          <w:sz w:val="22"/>
          <w:szCs w:val="22"/>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580" w:hanging="136"/>
        <w:spacing w:after="0"/>
        <w:tabs>
          <w:tab w:leader="none" w:pos="5580" w:val="left"/>
        </w:tabs>
        <w:numPr>
          <w:ilvl w:val="1"/>
          <w:numId w:val="663"/>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28" w:right="339" w:bottom="1440" w:gutter="0" w:footer="0" w:header="0"/>
        </w:sectPr>
      </w:pPr>
    </w:p>
    <w:bookmarkStart w:id="664" w:name="page665"/>
    <w:bookmarkEnd w:id="664"/>
    <w:p>
      <w:pPr>
        <w:jc w:val="both"/>
        <w:spacing w:after="0" w:line="286" w:lineRule="auto"/>
        <w:rPr>
          <w:sz w:val="20"/>
          <w:szCs w:val="20"/>
          <w:color w:val="auto"/>
        </w:rPr>
      </w:pPr>
      <w:r>
        <w:rPr>
          <w:rFonts w:ascii="Arial" w:cs="Arial" w:eastAsia="Arial" w:hAnsi="Arial"/>
          <w:sz w:val="19"/>
          <w:szCs w:val="19"/>
          <w:color w:val="auto"/>
        </w:rPr>
        <w:t>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52" w:lineRule="exact"/>
        <w:rPr>
          <w:sz w:val="20"/>
          <w:szCs w:val="20"/>
          <w:color w:val="auto"/>
        </w:rPr>
      </w:pPr>
    </w:p>
    <w:p>
      <w:pPr>
        <w:jc w:val="both"/>
        <w:ind w:firstLine="656"/>
        <w:spacing w:after="0" w:line="287" w:lineRule="auto"/>
        <w:tabs>
          <w:tab w:leader="none" w:pos="1296" w:val="left"/>
        </w:tabs>
        <w:numPr>
          <w:ilvl w:val="0"/>
          <w:numId w:val="664"/>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53" w:lineRule="exact"/>
        <w:rPr>
          <w:rFonts w:ascii="Arial" w:cs="Arial" w:eastAsia="Arial" w:hAnsi="Arial"/>
          <w:sz w:val="19"/>
          <w:szCs w:val="19"/>
          <w:color w:val="auto"/>
        </w:rPr>
      </w:pPr>
    </w:p>
    <w:p>
      <w:pPr>
        <w:jc w:val="both"/>
        <w:ind w:firstLine="656"/>
        <w:spacing w:after="0" w:line="267" w:lineRule="auto"/>
        <w:tabs>
          <w:tab w:leader="none" w:pos="1450" w:val="left"/>
        </w:tabs>
        <w:numPr>
          <w:ilvl w:val="0"/>
          <w:numId w:val="664"/>
        </w:numPr>
        <w:rPr>
          <w:rFonts w:ascii="Arial" w:cs="Arial" w:eastAsia="Arial" w:hAnsi="Arial"/>
          <w:sz w:val="21"/>
          <w:szCs w:val="21"/>
          <w:color w:val="auto"/>
        </w:rPr>
      </w:pPr>
      <w:r>
        <w:rPr>
          <w:rFonts w:ascii="Arial" w:cs="Arial" w:eastAsia="Arial" w:hAnsi="Arial"/>
          <w:sz w:val="21"/>
          <w:szCs w:val="21"/>
          <w:b w:val="1"/>
          <w:bCs w:val="1"/>
          <w:color w:val="auto"/>
        </w:rPr>
        <w:t>Protected Activity Not Prohibited</w:t>
      </w:r>
      <w:r>
        <w:rPr>
          <w:rFonts w:ascii="Arial" w:cs="Arial" w:eastAsia="Arial" w:hAnsi="Arial"/>
          <w:sz w:val="21"/>
          <w:szCs w:val="21"/>
          <w:color w:val="auto"/>
        </w:rPr>
        <w:t>. Notwithstanding any contrary provision of the Agreement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21"/>
          <w:szCs w:val="21"/>
          <w:b w:val="1"/>
          <w:bCs w:val="1"/>
          <w:color w:val="auto"/>
        </w:rPr>
        <w:t>Protected Activity</w:t>
      </w:r>
      <w:r>
        <w:rPr>
          <w:rFonts w:ascii="Arial" w:cs="Arial" w:eastAsia="Arial" w:hAnsi="Arial"/>
          <w:sz w:val="21"/>
          <w:szCs w:val="21"/>
          <w:color w:val="auto"/>
        </w:rPr>
        <w:t>” will mean communicating, cooperating or filing a complaint with any U.S. federal, state or local governmental or law enforcement branch,</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5580" w:hanging="136"/>
        <w:spacing w:after="0"/>
        <w:tabs>
          <w:tab w:leader="none" w:pos="5580" w:val="left"/>
        </w:tabs>
        <w:numPr>
          <w:ilvl w:val="1"/>
          <w:numId w:val="664"/>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28" w:right="339" w:bottom="1440" w:gutter="0" w:footer="0" w:header="0"/>
        </w:sectPr>
      </w:pPr>
    </w:p>
    <w:bookmarkStart w:id="665" w:name="page666"/>
    <w:bookmarkEnd w:id="665"/>
    <w:p>
      <w:pPr>
        <w:jc w:val="both"/>
        <w:spacing w:after="0" w:line="285" w:lineRule="auto"/>
        <w:rPr>
          <w:sz w:val="20"/>
          <w:szCs w:val="20"/>
          <w:color w:val="auto"/>
        </w:rPr>
      </w:pPr>
      <w:r>
        <w:rPr>
          <w:rFonts w:ascii="Arial" w:cs="Arial" w:eastAsia="Arial" w:hAnsi="Arial"/>
          <w:sz w:val="19"/>
          <w:szCs w:val="19"/>
          <w:color w:val="auto"/>
        </w:rPr>
        <w:t>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 Entity</w:t>
      </w:r>
      <w:r>
        <w:rPr>
          <w:rFonts w:ascii="Arial" w:cs="Arial" w:eastAsia="Arial" w:hAnsi="Arial"/>
          <w:sz w:val="19"/>
          <w:szCs w:val="19"/>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10" w:lineRule="exact"/>
        <w:rPr>
          <w:sz w:val="20"/>
          <w:szCs w:val="20"/>
          <w:color w:val="auto"/>
        </w:rPr>
      </w:pPr>
    </w:p>
    <w:p>
      <w:pPr>
        <w:jc w:val="both"/>
        <w:ind w:firstLine="656"/>
        <w:spacing w:after="0" w:line="261" w:lineRule="auto"/>
        <w:tabs>
          <w:tab w:leader="none" w:pos="1174" w:val="left"/>
        </w:tabs>
        <w:numPr>
          <w:ilvl w:val="0"/>
          <w:numId w:val="665"/>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firstLine="656"/>
        <w:spacing w:after="0" w:line="295" w:lineRule="auto"/>
        <w:tabs>
          <w:tab w:leader="none" w:pos="1134" w:val="left"/>
        </w:tabs>
        <w:numPr>
          <w:ilvl w:val="0"/>
          <w:numId w:val="665"/>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Agreement, together with the Confidentiality Agreement, the Change in Control and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you and the Company dated on or about the date hereof, and the equity awards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Washington but without regard to the conflicts of law provision. This Agreement may be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9" w:lineRule="exact"/>
        <w:rPr>
          <w:rFonts w:ascii="Arial" w:cs="Arial" w:eastAsia="Arial" w:hAnsi="Arial"/>
          <w:sz w:val="19"/>
          <w:szCs w:val="19"/>
          <w:color w:val="auto"/>
        </w:rPr>
      </w:pPr>
    </w:p>
    <w:p>
      <w:pPr>
        <w:ind w:left="5580" w:hanging="136"/>
        <w:spacing w:after="0"/>
        <w:tabs>
          <w:tab w:leader="none" w:pos="5580" w:val="left"/>
        </w:tabs>
        <w:numPr>
          <w:ilvl w:val="1"/>
          <w:numId w:val="665"/>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428" w:right="339" w:bottom="1440" w:gutter="0" w:footer="0" w:header="0"/>
        </w:sectPr>
      </w:pPr>
    </w:p>
    <w:bookmarkStart w:id="666" w:name="page667"/>
    <w:bookmarkEnd w:id="666"/>
    <w:p>
      <w:pPr>
        <w:ind w:left="3420" w:hanging="4539"/>
        <w:spacing w:after="0" w:line="468" w:lineRule="auto"/>
        <w:rPr>
          <w:sz w:val="20"/>
          <w:szCs w:val="20"/>
          <w:color w:val="auto"/>
        </w:rPr>
      </w:pPr>
      <w:r>
        <w:rPr>
          <w:rFonts w:ascii="Arial" w:cs="Arial" w:eastAsia="Arial" w:hAnsi="Arial"/>
          <w:sz w:val="22"/>
          <w:szCs w:val="22"/>
          <w:color w:val="auto"/>
        </w:rPr>
        <w:t xml:space="preserve">modified only by a written agreement signed by a duly authorized officer of the Company (other than yourself) and you. </w:t>
      </w: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9280"/>
          </w:cols>
          <w:pgMar w:left="1440" w:top="1428" w:right="1179" w:bottom="1440" w:gutter="0" w:footer="0" w:header="0"/>
        </w:sectPr>
      </w:pPr>
    </w:p>
    <w:bookmarkStart w:id="667" w:name="page668"/>
    <w:bookmarkEnd w:id="667"/>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6000"/>
        <w:spacing w:after="0"/>
        <w:tabs>
          <w:tab w:leader="none" w:pos="6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24130</wp:posOffset>
            </wp:positionV>
            <wp:extent cx="288861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1"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Matthew Posard</w:t>
      </w:r>
    </w:p>
    <w:p>
      <w:pPr>
        <w:spacing w:after="0" w:line="58"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Chairman of the Board</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Agreed to and accepted:</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33438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Sujal Patel</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24130</wp:posOffset>
            </wp:positionV>
            <wp:extent cx="27432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240"/>
          </w:cols>
          <w:pgMar w:left="320" w:top="1440" w:right="339" w:bottom="1440" w:gutter="0" w:footer="0" w:header="0"/>
          <w:type w:val="continuous"/>
        </w:sectPr>
      </w:pPr>
    </w:p>
    <w:bookmarkStart w:id="668" w:name="page669"/>
    <w:bookmarkEnd w:id="668"/>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April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Anna Mowry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Anna:</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Anna Mowry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25" w:lineRule="exact"/>
        <w:rPr>
          <w:sz w:val="20"/>
          <w:szCs w:val="20"/>
          <w:color w:val="auto"/>
        </w:rPr>
      </w:pPr>
    </w:p>
    <w:p>
      <w:pPr>
        <w:jc w:val="both"/>
        <w:ind w:firstLine="656"/>
        <w:spacing w:after="0" w:line="247" w:lineRule="auto"/>
        <w:tabs>
          <w:tab w:leader="none" w:pos="1161" w:val="left"/>
        </w:tabs>
        <w:numPr>
          <w:ilvl w:val="0"/>
          <w:numId w:val="666"/>
        </w:numPr>
        <w:rPr>
          <w:rFonts w:ascii="Arial" w:cs="Arial" w:eastAsia="Arial" w:hAnsi="Arial"/>
          <w:sz w:val="22"/>
          <w:szCs w:val="22"/>
          <w:color w:val="auto"/>
        </w:rPr>
      </w:pPr>
      <w:r>
        <w:rPr>
          <w:rFonts w:ascii="Arial" w:cs="Arial" w:eastAsia="Arial" w:hAnsi="Arial"/>
          <w:sz w:val="22"/>
          <w:szCs w:val="22"/>
          <w:b w:val="1"/>
          <w:bCs w:val="1"/>
          <w:color w:val="auto"/>
        </w:rPr>
        <w:t>Title; Position; Location</w:t>
      </w:r>
      <w:r>
        <w:rPr>
          <w:rFonts w:ascii="Arial" w:cs="Arial" w:eastAsia="Arial" w:hAnsi="Arial"/>
          <w:sz w:val="22"/>
          <w:szCs w:val="22"/>
          <w:color w:val="auto"/>
        </w:rPr>
        <w:t>. You will continue to serve as the Company’s Chief Financial Officer. You also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report to the Company’s Chief Executive Officer and will perform the duties and responsibilities customary for such position and such other related duties as are reasonably assigned by the Chief Executive Officer.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066" w:val="left"/>
        </w:tabs>
        <w:numPr>
          <w:ilvl w:val="0"/>
          <w:numId w:val="666"/>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As of the Effective Date, your annual base salary will continue to be $200,000, and your annual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will be increased to $340,000 effective as of the Closing Date, provided that you continue employment with the Company through such date. For purposes of this Agreement, “</w:t>
      </w:r>
      <w:r>
        <w:rPr>
          <w:rFonts w:ascii="Arial" w:cs="Arial" w:eastAsia="Arial" w:hAnsi="Arial"/>
          <w:sz w:val="21"/>
          <w:szCs w:val="21"/>
          <w:b w:val="1"/>
          <w:bCs w:val="1"/>
          <w:color w:val="auto"/>
        </w:rPr>
        <w:t>Closing Date</w:t>
      </w:r>
      <w:r>
        <w:rPr>
          <w:rFonts w:ascii="Arial" w:cs="Arial" w:eastAsia="Arial" w:hAnsi="Arial"/>
          <w:sz w:val="21"/>
          <w:szCs w:val="21"/>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 Your base salary will be 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1"/>
          <w:szCs w:val="21"/>
          <w:b w:val="1"/>
          <w:bCs w:val="1"/>
          <w:color w:val="auto"/>
        </w:rPr>
        <w:t>Committee</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as applicable, in its sole discretion.</w:t>
      </w:r>
    </w:p>
    <w:p>
      <w:pPr>
        <w:spacing w:after="0" w:line="175" w:lineRule="exact"/>
        <w:rPr>
          <w:rFonts w:ascii="Arial" w:cs="Arial" w:eastAsia="Arial" w:hAnsi="Arial"/>
          <w:sz w:val="21"/>
          <w:szCs w:val="21"/>
          <w:color w:val="auto"/>
        </w:rPr>
      </w:pPr>
    </w:p>
    <w:p>
      <w:pPr>
        <w:jc w:val="both"/>
        <w:ind w:firstLine="656"/>
        <w:spacing w:after="0" w:line="267" w:lineRule="auto"/>
        <w:tabs>
          <w:tab w:leader="none" w:pos="1066" w:val="left"/>
        </w:tabs>
        <w:numPr>
          <w:ilvl w:val="0"/>
          <w:numId w:val="666"/>
        </w:numPr>
        <w:rPr>
          <w:rFonts w:ascii="Arial" w:cs="Arial" w:eastAsia="Arial" w:hAnsi="Arial"/>
          <w:sz w:val="21"/>
          <w:szCs w:val="21"/>
          <w:color w:val="auto"/>
        </w:rPr>
      </w:pPr>
      <w:r>
        <w:rPr>
          <w:rFonts w:ascii="Arial" w:cs="Arial" w:eastAsia="Arial" w:hAnsi="Arial"/>
          <w:sz w:val="21"/>
          <w:szCs w:val="21"/>
          <w:b w:val="1"/>
          <w:bCs w:val="1"/>
          <w:color w:val="auto"/>
        </w:rPr>
        <w:t>Annual Bonus</w:t>
      </w:r>
      <w:r>
        <w:rPr>
          <w:rFonts w:ascii="Arial" w:cs="Arial" w:eastAsia="Arial" w:hAnsi="Arial"/>
          <w:sz w:val="21"/>
          <w:szCs w:val="21"/>
          <w:color w:val="auto"/>
        </w:rPr>
        <w:t>. For the Company’s 2021 fiscal year, you will be eligible for a target annual cash bonus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w:t>
      </w:r>
    </w:p>
    <w:p>
      <w:pPr>
        <w:sectPr>
          <w:pgSz w:w="11900" w:h="16838" w:orient="portrait"/>
          <w:cols w:equalWidth="0" w:num="1">
            <w:col w:w="11240"/>
          </w:cols>
          <w:pgMar w:left="320" w:top="122" w:right="339" w:bottom="1440" w:gutter="0" w:footer="0" w:header="0"/>
        </w:sectPr>
      </w:pPr>
    </w:p>
    <w:bookmarkStart w:id="669" w:name="page670"/>
    <w:bookmarkEnd w:id="669"/>
    <w:p>
      <w:pPr>
        <w:jc w:val="both"/>
        <w:spacing w:after="0" w:line="271" w:lineRule="auto"/>
        <w:rPr>
          <w:sz w:val="20"/>
          <w:szCs w:val="20"/>
          <w:color w:val="auto"/>
        </w:rPr>
      </w:pPr>
      <w:r>
        <w:rPr>
          <w:rFonts w:ascii="Arial" w:cs="Arial" w:eastAsia="Arial" w:hAnsi="Arial"/>
          <w:sz w:val="21"/>
          <w:szCs w:val="21"/>
          <w:color w:val="auto"/>
        </w:rPr>
        <w:t>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61" w:lineRule="exact"/>
        <w:rPr>
          <w:sz w:val="20"/>
          <w:szCs w:val="20"/>
          <w:color w:val="auto"/>
        </w:rPr>
      </w:pPr>
    </w:p>
    <w:p>
      <w:pPr>
        <w:jc w:val="both"/>
        <w:ind w:firstLine="656"/>
        <w:spacing w:after="0" w:line="267" w:lineRule="auto"/>
        <w:tabs>
          <w:tab w:leader="none" w:pos="1039" w:val="left"/>
        </w:tabs>
        <w:numPr>
          <w:ilvl w:val="0"/>
          <w:numId w:val="667"/>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or other equity awards pursuant to any plans</w:t>
      </w:r>
      <w:r>
        <w:rPr>
          <w:rFonts w:ascii="Arial" w:cs="Arial" w:eastAsia="Arial" w:hAnsi="Arial"/>
          <w:sz w:val="21"/>
          <w:szCs w:val="21"/>
          <w:b w:val="1"/>
          <w:bCs w:val="1"/>
          <w:color w:val="auto"/>
        </w:rPr>
        <w:t xml:space="preserve"> </w:t>
      </w:r>
      <w:r>
        <w:rPr>
          <w:rFonts w:ascii="Arial" w:cs="Arial" w:eastAsia="Arial" w:hAnsi="Arial"/>
          <w:sz w:val="21"/>
          <w:szCs w:val="21"/>
          <w:color w:val="auto"/>
        </w:rPr>
        <w:t>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67" w:lineRule="exact"/>
        <w:rPr>
          <w:rFonts w:ascii="Arial" w:cs="Arial" w:eastAsia="Arial" w:hAnsi="Arial"/>
          <w:sz w:val="21"/>
          <w:szCs w:val="21"/>
          <w:color w:val="auto"/>
        </w:rPr>
      </w:pPr>
    </w:p>
    <w:p>
      <w:pPr>
        <w:jc w:val="both"/>
        <w:ind w:firstLine="656"/>
        <w:spacing w:after="0" w:line="295" w:lineRule="auto"/>
        <w:tabs>
          <w:tab w:leader="none" w:pos="1066" w:val="left"/>
        </w:tabs>
        <w:numPr>
          <w:ilvl w:val="0"/>
          <w:numId w:val="667"/>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You will continue to be eligible to participate in the benefit plans and programs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026" w:val="left"/>
        </w:tabs>
        <w:numPr>
          <w:ilvl w:val="0"/>
          <w:numId w:val="667"/>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67"/>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January 10, 2021,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67"/>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jc w:val="both"/>
        <w:ind w:firstLine="656"/>
        <w:spacing w:after="0" w:line="315" w:lineRule="auto"/>
        <w:tabs>
          <w:tab w:leader="none" w:pos="1039" w:val="left"/>
        </w:tabs>
        <w:numPr>
          <w:ilvl w:val="0"/>
          <w:numId w:val="667"/>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under this Agreement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Prior to the payment of any amounts or provision of any benefits under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70" w:name="page671"/>
    <w:bookmarkEnd w:id="670"/>
    <w:p>
      <w:pPr>
        <w:jc w:val="both"/>
        <w:spacing w:after="0" w:line="285" w:lineRule="auto"/>
        <w:rPr>
          <w:sz w:val="20"/>
          <w:szCs w:val="20"/>
          <w:color w:val="auto"/>
        </w:rPr>
      </w:pPr>
      <w:r>
        <w:rPr>
          <w:rFonts w:ascii="Arial" w:cs="Arial" w:eastAsia="Arial" w:hAnsi="Arial"/>
          <w:sz w:val="19"/>
          <w:szCs w:val="19"/>
          <w:color w:val="auto"/>
        </w:rPr>
        <w:t>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87" w:lineRule="auto"/>
        <w:tabs>
          <w:tab w:leader="none" w:pos="1296" w:val="left"/>
        </w:tabs>
        <w:numPr>
          <w:ilvl w:val="0"/>
          <w:numId w:val="668"/>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450" w:val="left"/>
        </w:tabs>
        <w:numPr>
          <w:ilvl w:val="0"/>
          <w:numId w:val="668"/>
        </w:numPr>
        <w:rPr>
          <w:rFonts w:ascii="Arial" w:cs="Arial" w:eastAsia="Arial" w:hAnsi="Arial"/>
          <w:sz w:val="22"/>
          <w:szCs w:val="22"/>
          <w:color w:val="auto"/>
        </w:rPr>
      </w:pPr>
      <w:r>
        <w:rPr>
          <w:rFonts w:ascii="Arial" w:cs="Arial" w:eastAsia="Arial" w:hAnsi="Arial"/>
          <w:sz w:val="22"/>
          <w:szCs w:val="22"/>
          <w:b w:val="1"/>
          <w:bCs w:val="1"/>
          <w:color w:val="auto"/>
        </w:rPr>
        <w:t>Protected Activity Not Prohibited</w:t>
      </w:r>
      <w:r>
        <w:rPr>
          <w:rFonts w:ascii="Arial" w:cs="Arial" w:eastAsia="Arial" w:hAnsi="Arial"/>
          <w:sz w:val="22"/>
          <w:szCs w:val="22"/>
          <w:color w:val="auto"/>
        </w:rPr>
        <w:t>. Notwithstanding any contrary provision of the Agreement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Agreement, nothing in this Agreement, or the Confidentiality Agreement will prohibit or impede you from engaging in any Protected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71" w:name="page672"/>
    <w:bookmarkEnd w:id="671"/>
    <w:p>
      <w:pPr>
        <w:jc w:val="both"/>
        <w:spacing w:after="0" w:line="285"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 Entity</w:t>
      </w:r>
      <w:r>
        <w:rPr>
          <w:rFonts w:ascii="Arial" w:cs="Arial" w:eastAsia="Arial" w:hAnsi="Arial"/>
          <w:sz w:val="19"/>
          <w:szCs w:val="19"/>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13" w:lineRule="exact"/>
        <w:rPr>
          <w:sz w:val="20"/>
          <w:szCs w:val="20"/>
          <w:color w:val="auto"/>
        </w:rPr>
      </w:pPr>
    </w:p>
    <w:p>
      <w:pPr>
        <w:jc w:val="both"/>
        <w:ind w:firstLine="656"/>
        <w:spacing w:after="0" w:line="261" w:lineRule="auto"/>
        <w:tabs>
          <w:tab w:leader="none" w:pos="1174" w:val="left"/>
        </w:tabs>
        <w:numPr>
          <w:ilvl w:val="0"/>
          <w:numId w:val="669"/>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firstLine="656"/>
        <w:spacing w:after="0" w:line="264" w:lineRule="auto"/>
        <w:tabs>
          <w:tab w:leader="none" w:pos="1134" w:val="left"/>
        </w:tabs>
        <w:numPr>
          <w:ilvl w:val="0"/>
          <w:numId w:val="669"/>
        </w:numPr>
        <w:rPr>
          <w:rFonts w:ascii="Arial" w:cs="Arial" w:eastAsia="Arial" w:hAnsi="Arial"/>
          <w:sz w:val="21"/>
          <w:szCs w:val="2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 This Agreement, together with the Confidentiality Agreement, the Change in Control and Severance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between you and the Company dated on or about the date hereof, and the equity awards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672" w:name="page673"/>
    <w:bookmarkEnd w:id="672"/>
    <w:p>
      <w:pPr>
        <w:jc w:val="both"/>
        <w:spacing w:after="0" w:line="253" w:lineRule="auto"/>
        <w:rPr>
          <w:sz w:val="20"/>
          <w:szCs w:val="20"/>
          <w:color w:val="auto"/>
        </w:rPr>
      </w:pPr>
      <w:r>
        <w:rPr>
          <w:rFonts w:ascii="Arial" w:cs="Arial" w:eastAsia="Arial" w:hAnsi="Arial"/>
          <w:sz w:val="22"/>
          <w:szCs w:val="22"/>
          <w:color w:val="auto"/>
        </w:rPr>
        <w:t>between you and the Company. This Agreement will be governed by the laws of the State of Washington but without regard to the conflicts of law provision. This Agreement may be modified only by a written agreement signed by a duly authorized officer of the Company (other than yourself) and you.</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73" w:name="page674"/>
    <w:bookmarkEnd w:id="673"/>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29"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22"/>
          <w:szCs w:val="22"/>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24130</wp:posOffset>
            </wp:positionV>
            <wp:extent cx="301752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Sujal Patel</w:t>
      </w:r>
    </w:p>
    <w:p>
      <w:pPr>
        <w:spacing w:after="0" w:line="5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Chief Executive Officer</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to and accepted:</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Anna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63144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Anna Mowry</w:t>
      </w:r>
    </w:p>
    <w:p>
      <w:pPr>
        <w:spacing w:after="0" w:line="32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24130</wp:posOffset>
            </wp:positionV>
            <wp:extent cx="2040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28" w:right="339" w:bottom="1440" w:gutter="0" w:footer="0" w:header="0"/>
          <w:type w:val="continuous"/>
        </w:sectPr>
      </w:pPr>
    </w:p>
    <w:bookmarkStart w:id="674" w:name="page675"/>
    <w:bookmarkEnd w:id="674"/>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April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Nick Nelson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Nick:</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Nick Nelson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25" w:lineRule="exact"/>
        <w:rPr>
          <w:sz w:val="20"/>
          <w:szCs w:val="20"/>
          <w:color w:val="auto"/>
        </w:rPr>
      </w:pPr>
    </w:p>
    <w:p>
      <w:pPr>
        <w:jc w:val="both"/>
        <w:ind w:firstLine="656"/>
        <w:spacing w:after="0" w:line="293" w:lineRule="auto"/>
        <w:tabs>
          <w:tab w:leader="none" w:pos="1161" w:val="left"/>
        </w:tabs>
        <w:numPr>
          <w:ilvl w:val="0"/>
          <w:numId w:val="670"/>
        </w:numPr>
        <w:rPr>
          <w:rFonts w:ascii="Arial" w:cs="Arial" w:eastAsia="Arial" w:hAnsi="Arial"/>
          <w:sz w:val="19"/>
          <w:szCs w:val="19"/>
          <w:color w:val="auto"/>
        </w:rPr>
      </w:pPr>
      <w:r>
        <w:rPr>
          <w:rFonts w:ascii="Arial" w:cs="Arial" w:eastAsia="Arial" w:hAnsi="Arial"/>
          <w:sz w:val="19"/>
          <w:szCs w:val="19"/>
          <w:b w:val="1"/>
          <w:bCs w:val="1"/>
          <w:color w:val="auto"/>
        </w:rPr>
        <w:t>Title; Position; Location</w:t>
      </w:r>
      <w:r>
        <w:rPr>
          <w:rFonts w:ascii="Arial" w:cs="Arial" w:eastAsia="Arial" w:hAnsi="Arial"/>
          <w:sz w:val="19"/>
          <w:szCs w:val="19"/>
          <w:color w:val="auto"/>
        </w:rPr>
        <w:t>. You will continue to serve as the Company’s Chief Business Officer. You also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report to the Company’s Chief Executive Officer and will perform the duties and responsibilities customary for such position and such other related duties as are reasonably assigned by the Chief Executive Officer. You will be permitted to perform your duties remotely from your home office in Encinitas, CA, subject to customary travel as reasonably required by the Company and necessary to perform your job duties, including without limitation such travel to the Company’s corporate offices located in Santa Clara, CA with the exception of the period during which any shelter-in-place order, quarantine order, or similar work-from-home requirement affecting your ability to travel to and be in the Company’s corporate offices remains in effect.</w:t>
      </w:r>
    </w:p>
    <w:p>
      <w:pPr>
        <w:spacing w:after="0" w:line="144" w:lineRule="exact"/>
        <w:rPr>
          <w:rFonts w:ascii="Arial" w:cs="Arial" w:eastAsia="Arial" w:hAnsi="Arial"/>
          <w:sz w:val="19"/>
          <w:szCs w:val="19"/>
          <w:color w:val="auto"/>
        </w:rPr>
      </w:pPr>
    </w:p>
    <w:p>
      <w:pPr>
        <w:jc w:val="both"/>
        <w:ind w:firstLine="656"/>
        <w:spacing w:after="0" w:line="260" w:lineRule="auto"/>
        <w:tabs>
          <w:tab w:leader="none" w:pos="1066" w:val="left"/>
        </w:tabs>
        <w:numPr>
          <w:ilvl w:val="0"/>
          <w:numId w:val="670"/>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As of the Effective Date, your annual base salary will continue to be $340,000, and your annual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will continue to be $340,000 effective as of the Closing Date, provided that you continue employment with the Company through such date. For purposes of this Agreement, “</w:t>
      </w:r>
      <w:r>
        <w:rPr>
          <w:rFonts w:ascii="Arial" w:cs="Arial" w:eastAsia="Arial" w:hAnsi="Arial"/>
          <w:sz w:val="21"/>
          <w:szCs w:val="21"/>
          <w:b w:val="1"/>
          <w:bCs w:val="1"/>
          <w:color w:val="auto"/>
        </w:rPr>
        <w:t>Closing Date</w:t>
      </w:r>
      <w:r>
        <w:rPr>
          <w:rFonts w:ascii="Arial" w:cs="Arial" w:eastAsia="Arial" w:hAnsi="Arial"/>
          <w:sz w:val="21"/>
          <w:szCs w:val="21"/>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 Your base salary will be 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1"/>
          <w:szCs w:val="21"/>
          <w:b w:val="1"/>
          <w:bCs w:val="1"/>
          <w:color w:val="auto"/>
        </w:rPr>
        <w:t>Committee</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as applicable, in its sole discretion.</w:t>
      </w:r>
    </w:p>
    <w:p>
      <w:pPr>
        <w:spacing w:after="0" w:line="175" w:lineRule="exact"/>
        <w:rPr>
          <w:rFonts w:ascii="Arial" w:cs="Arial" w:eastAsia="Arial" w:hAnsi="Arial"/>
          <w:sz w:val="21"/>
          <w:szCs w:val="21"/>
          <w:color w:val="auto"/>
        </w:rPr>
      </w:pPr>
    </w:p>
    <w:p>
      <w:pPr>
        <w:jc w:val="both"/>
        <w:ind w:firstLine="656"/>
        <w:spacing w:after="0" w:line="315" w:lineRule="auto"/>
        <w:tabs>
          <w:tab w:leader="none" w:pos="1066" w:val="left"/>
        </w:tabs>
        <w:numPr>
          <w:ilvl w:val="0"/>
          <w:numId w:val="670"/>
        </w:numPr>
        <w:rPr>
          <w:rFonts w:ascii="Arial" w:cs="Arial" w:eastAsia="Arial" w:hAnsi="Arial"/>
          <w:sz w:val="19"/>
          <w:szCs w:val="19"/>
          <w:color w:val="auto"/>
        </w:rPr>
      </w:pPr>
      <w:r>
        <w:rPr>
          <w:rFonts w:ascii="Arial" w:cs="Arial" w:eastAsia="Arial" w:hAnsi="Arial"/>
          <w:sz w:val="19"/>
          <w:szCs w:val="19"/>
          <w:b w:val="1"/>
          <w:bCs w:val="1"/>
          <w:color w:val="auto"/>
        </w:rPr>
        <w:t>Annual Bonus</w:t>
      </w:r>
      <w:r>
        <w:rPr>
          <w:rFonts w:ascii="Arial" w:cs="Arial" w:eastAsia="Arial" w:hAnsi="Arial"/>
          <w:sz w:val="19"/>
          <w:szCs w:val="19"/>
          <w:color w:val="auto"/>
        </w:rPr>
        <w:t>. For the Company’s 2021 fiscal year, you will be eligible for a target annual cash bonus opportunity</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forty percent (40%) of your annual base salary. Any annual bonus will be subject to performance and other criteria established by the Board or the Committee, as applicable, in its sole discretion, and subject to your continued employment</w:t>
      </w:r>
    </w:p>
    <w:p>
      <w:pPr>
        <w:sectPr>
          <w:pgSz w:w="11900" w:h="16838" w:orient="portrait"/>
          <w:cols w:equalWidth="0" w:num="1">
            <w:col w:w="11240"/>
          </w:cols>
          <w:pgMar w:left="320" w:top="122" w:right="339" w:bottom="1440" w:gutter="0" w:footer="0" w:header="0"/>
        </w:sectPr>
      </w:pPr>
    </w:p>
    <w:bookmarkStart w:id="675" w:name="page676"/>
    <w:bookmarkEnd w:id="675"/>
    <w:p>
      <w:pPr>
        <w:jc w:val="both"/>
        <w:spacing w:after="0" w:line="250" w:lineRule="auto"/>
        <w:rPr>
          <w:sz w:val="20"/>
          <w:szCs w:val="20"/>
          <w:color w:val="auto"/>
        </w:rPr>
      </w:pPr>
      <w:r>
        <w:rPr>
          <w:rFonts w:ascii="Arial" w:cs="Arial" w:eastAsia="Arial" w:hAnsi="Arial"/>
          <w:sz w:val="22"/>
          <w:szCs w:val="22"/>
          <w:color w:val="auto"/>
        </w:rPr>
        <w:t>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82" w:lineRule="exact"/>
        <w:rPr>
          <w:sz w:val="20"/>
          <w:szCs w:val="20"/>
          <w:color w:val="auto"/>
        </w:rPr>
      </w:pPr>
    </w:p>
    <w:p>
      <w:pPr>
        <w:jc w:val="both"/>
        <w:ind w:firstLine="656"/>
        <w:spacing w:after="0" w:line="277" w:lineRule="auto"/>
        <w:tabs>
          <w:tab w:leader="none" w:pos="1039" w:val="left"/>
        </w:tabs>
        <w:numPr>
          <w:ilvl w:val="0"/>
          <w:numId w:val="671"/>
        </w:numPr>
        <w:rPr>
          <w:rFonts w:ascii="Arial" w:cs="Arial" w:eastAsia="Arial" w:hAnsi="Arial"/>
          <w:sz w:val="19"/>
          <w:szCs w:val="19"/>
          <w:color w:val="auto"/>
        </w:rPr>
      </w:pPr>
      <w:r>
        <w:rPr>
          <w:rFonts w:ascii="Arial" w:cs="Arial" w:eastAsia="Arial" w:hAnsi="Arial"/>
          <w:sz w:val="19"/>
          <w:szCs w:val="19"/>
          <w:b w:val="1"/>
          <w:bCs w:val="1"/>
          <w:color w:val="auto"/>
        </w:rPr>
        <w:t>Equity Awards</w:t>
      </w:r>
      <w:r>
        <w:rPr>
          <w:rFonts w:ascii="Arial" w:cs="Arial" w:eastAsia="Arial" w:hAnsi="Arial"/>
          <w:sz w:val="19"/>
          <w:szCs w:val="19"/>
          <w:color w:val="auto"/>
        </w:rPr>
        <w:t>. You will be eligible to receive awards of stock options or other equity awards pursuant to any plans</w:t>
      </w:r>
      <w:r>
        <w:rPr>
          <w:rFonts w:ascii="Arial" w:cs="Arial" w:eastAsia="Arial" w:hAnsi="Arial"/>
          <w:sz w:val="19"/>
          <w:szCs w:val="19"/>
          <w:b w:val="1"/>
          <w:bCs w:val="1"/>
          <w:color w:val="auto"/>
        </w:rPr>
        <w:t xml:space="preserve"> </w:t>
      </w:r>
      <w:r>
        <w:rPr>
          <w:rFonts w:ascii="Arial" w:cs="Arial" w:eastAsia="Arial" w:hAnsi="Arial"/>
          <w:sz w:val="19"/>
          <w:szCs w:val="19"/>
          <w:color w:val="auto"/>
        </w:rPr>
        <w:t>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 In addition, provided that your job performance meets or exceeds expectations, as determined by the Company, in its sole discretion, it will be recommended at the first meeting of the Board of Directors (or its Compensation Committee, as applicable) of the Company (or any parent or successor thereto, as applicable) following the eighteen (18) month anniversary of the date you commenced employment with the Company (such commencement date, your “</w:t>
      </w:r>
      <w:r>
        <w:rPr>
          <w:rFonts w:ascii="Arial" w:cs="Arial" w:eastAsia="Arial" w:hAnsi="Arial"/>
          <w:sz w:val="19"/>
          <w:szCs w:val="19"/>
          <w:b w:val="1"/>
          <w:bCs w:val="1"/>
          <w:color w:val="auto"/>
        </w:rPr>
        <w:t>Start Date</w:t>
      </w:r>
      <w:r>
        <w:rPr>
          <w:rFonts w:ascii="Arial" w:cs="Arial" w:eastAsia="Arial" w:hAnsi="Arial"/>
          <w:sz w:val="19"/>
          <w:szCs w:val="19"/>
          <w:color w:val="auto"/>
        </w:rPr>
        <w:t>”) or at the Company's discretion, at any time prior to such eighteen (18) month anniversary, and subject to either (a) the common stock of the Company (or any parent or successor thereto, as applicable) being publicly traded and listed on any established stock exchange or national market system, or (b) if clause (a) does not apply, then the Company obtaining or having obtained a valuation of the Company’s common stock sufficient to satisfy the requirements of U.S. Treasury Regulations Section 1.409A1(b)(5)(iv)(B)(2)(i) that the Company’s Board of Directors determines in good faith reflects the then fair market value of the Company’s common stock, that the Company (or its parent or successor, as applicable) grant you a stock option to purchase shares of common stock of the Company (or any parent or successor thereto, as applicable) (the “</w:t>
      </w:r>
      <w:r>
        <w:rPr>
          <w:rFonts w:ascii="Arial" w:cs="Arial" w:eastAsia="Arial" w:hAnsi="Arial"/>
          <w:sz w:val="19"/>
          <w:szCs w:val="19"/>
          <w:b w:val="1"/>
          <w:bCs w:val="1"/>
          <w:color w:val="auto"/>
        </w:rPr>
        <w:t>Bonus Option</w:t>
      </w:r>
      <w:r>
        <w:rPr>
          <w:rFonts w:ascii="Arial" w:cs="Arial" w:eastAsia="Arial" w:hAnsi="Arial"/>
          <w:sz w:val="19"/>
          <w:szCs w:val="19"/>
          <w:color w:val="auto"/>
        </w:rPr>
        <w:t>”), provided that you continuously remain employed with the Company (or any parent, subsidiary or affiliate of the Company, as applicable, and collectively with the Company, the “</w:t>
      </w:r>
      <w:r>
        <w:rPr>
          <w:rFonts w:ascii="Arial" w:cs="Arial" w:eastAsia="Arial" w:hAnsi="Arial"/>
          <w:sz w:val="19"/>
          <w:szCs w:val="19"/>
          <w:b w:val="1"/>
          <w:bCs w:val="1"/>
          <w:color w:val="auto"/>
        </w:rPr>
        <w:t>Company Group</w:t>
      </w:r>
      <w:r>
        <w:rPr>
          <w:rFonts w:ascii="Arial" w:cs="Arial" w:eastAsia="Arial" w:hAnsi="Arial"/>
          <w:sz w:val="19"/>
          <w:szCs w:val="19"/>
          <w:color w:val="auto"/>
        </w:rPr>
        <w:t>”) through the Bonus Option’s date of grant. The Bonus Option will cover a number of shares equal to either (i) 15,000, if the Company determines that your performance meets expectations, or (ii) 35,000, if the Company determines that your performance exceeds expectations. In the event of a merger, combination, reorganization, or other change in the corporate structure of the Company affecting shares of its common stock occurs, the number of shares set forth in the immediately preceding sentence will be adjusted as appropriate in order to prevent the diminution or enlargement of the benefits or potential benefits intended to be made available under the Bonus Option, as determined by the Company’s Board of Directors (or its Compensation Committee, as applicable), in its sole discretion. The Bonus Option will be scheduled to vest as to one-fourth (1/4</w:t>
      </w:r>
      <w:r>
        <w:rPr>
          <w:rFonts w:ascii="Arial" w:cs="Arial" w:eastAsia="Arial" w:hAnsi="Arial"/>
          <w:sz w:val="25"/>
          <w:szCs w:val="25"/>
          <w:color w:val="auto"/>
          <w:vertAlign w:val="superscript"/>
        </w:rPr>
        <w:t>th</w:t>
      </w:r>
      <w:r>
        <w:rPr>
          <w:rFonts w:ascii="Arial" w:cs="Arial" w:eastAsia="Arial" w:hAnsi="Arial"/>
          <w:sz w:val="19"/>
          <w:szCs w:val="19"/>
          <w:color w:val="auto"/>
        </w:rPr>
        <w:t>) of the underlying shares on the one (1) year anniversary of the date the Bonus Option was granted, and thereafter as to one forty-eighth (1/48</w:t>
      </w:r>
      <w:r>
        <w:rPr>
          <w:rFonts w:ascii="Arial" w:cs="Arial" w:eastAsia="Arial" w:hAnsi="Arial"/>
          <w:sz w:val="25"/>
          <w:szCs w:val="25"/>
          <w:color w:val="auto"/>
          <w:vertAlign w:val="superscript"/>
        </w:rPr>
        <w:t>th</w:t>
      </w:r>
      <w:r>
        <w:rPr>
          <w:rFonts w:ascii="Arial" w:cs="Arial" w:eastAsia="Arial" w:hAnsi="Arial"/>
          <w:sz w:val="19"/>
          <w:szCs w:val="19"/>
          <w:color w:val="auto"/>
        </w:rPr>
        <w:t>) of the underlying shares in equal monthly installments on the same day of the month as your Bonus Option grant date (or the last day of the month, if a particular month does not have a corresponding day), in each case subject to your continued employment with the Company Group through the applicable vesting date. Any Bonus Option will have a per share exercise price equal to the fair market value of a share of the common stock subject to the Bonus Option as of the Bonus Option’s date of grant and will be granted under the Company’s 2017 Equity Incentive Plan, or any successor plan, and stock option agreement thereunder. Your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76" w:name="page677"/>
    <w:bookmarkEnd w:id="676"/>
    <w:p>
      <w:pPr>
        <w:jc w:val="both"/>
        <w:spacing w:after="0" w:line="250" w:lineRule="auto"/>
        <w:rPr>
          <w:sz w:val="20"/>
          <w:szCs w:val="20"/>
          <w:color w:val="auto"/>
        </w:rPr>
      </w:pPr>
      <w:r>
        <w:rPr>
          <w:rFonts w:ascii="Arial" w:cs="Arial" w:eastAsia="Arial" w:hAnsi="Arial"/>
          <w:sz w:val="22"/>
          <w:szCs w:val="22"/>
          <w:color w:val="auto"/>
        </w:rPr>
        <w:t>Option will be eligible for any vesting acceleration as set forth in your Change in Control and Severance Agreement with the Company as then in effect. No right to purchase or acquire any stock is earned or accrued under the Bonus Option until such time as the Bonus Option vests, nor does the grant of any Bonus Option or other equity award confer any right to continue vesting or employment with the Company Group.</w:t>
      </w:r>
    </w:p>
    <w:p>
      <w:pPr>
        <w:spacing w:after="0" w:line="182" w:lineRule="exact"/>
        <w:rPr>
          <w:sz w:val="20"/>
          <w:szCs w:val="20"/>
          <w:color w:val="auto"/>
        </w:rPr>
      </w:pPr>
    </w:p>
    <w:p>
      <w:pPr>
        <w:jc w:val="both"/>
        <w:ind w:firstLine="656"/>
        <w:spacing w:after="0" w:line="295" w:lineRule="auto"/>
        <w:tabs>
          <w:tab w:leader="none" w:pos="1066" w:val="left"/>
        </w:tabs>
        <w:numPr>
          <w:ilvl w:val="0"/>
          <w:numId w:val="672"/>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You will continue to be eligible to participate in the benefit plans and programs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026" w:val="left"/>
        </w:tabs>
        <w:numPr>
          <w:ilvl w:val="0"/>
          <w:numId w:val="672"/>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72"/>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October 7, 2020,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72"/>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jc w:val="both"/>
        <w:ind w:firstLine="656"/>
        <w:spacing w:after="0" w:line="293" w:lineRule="auto"/>
        <w:tabs>
          <w:tab w:leader="none" w:pos="1039" w:val="left"/>
        </w:tabs>
        <w:numPr>
          <w:ilvl w:val="0"/>
          <w:numId w:val="672"/>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under this Agreement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77" w:name="page678"/>
    <w:bookmarkEnd w:id="677"/>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54" w:lineRule="exact"/>
        <w:rPr>
          <w:sz w:val="20"/>
          <w:szCs w:val="20"/>
          <w:color w:val="auto"/>
        </w:rPr>
      </w:pPr>
    </w:p>
    <w:p>
      <w:pPr>
        <w:jc w:val="both"/>
        <w:ind w:firstLine="656"/>
        <w:spacing w:after="0" w:line="287" w:lineRule="auto"/>
        <w:tabs>
          <w:tab w:leader="none" w:pos="1296" w:val="left"/>
        </w:tabs>
        <w:numPr>
          <w:ilvl w:val="0"/>
          <w:numId w:val="673"/>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53" w:lineRule="exact"/>
        <w:rPr>
          <w:rFonts w:ascii="Arial" w:cs="Arial" w:eastAsia="Arial" w:hAnsi="Arial"/>
          <w:sz w:val="19"/>
          <w:szCs w:val="19"/>
          <w:color w:val="auto"/>
        </w:rPr>
      </w:pPr>
    </w:p>
    <w:p>
      <w:pPr>
        <w:jc w:val="both"/>
        <w:ind w:firstLine="656"/>
        <w:spacing w:after="0" w:line="295" w:lineRule="auto"/>
        <w:tabs>
          <w:tab w:leader="none" w:pos="1450" w:val="left"/>
        </w:tabs>
        <w:numPr>
          <w:ilvl w:val="0"/>
          <w:numId w:val="673"/>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678" w:name="page679"/>
    <w:bookmarkEnd w:id="678"/>
    <w:p>
      <w:pPr>
        <w:jc w:val="both"/>
        <w:spacing w:after="0" w:line="286" w:lineRule="auto"/>
        <w:rPr>
          <w:sz w:val="20"/>
          <w:szCs w:val="20"/>
          <w:color w:val="auto"/>
        </w:rPr>
      </w:pP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0" w:lineRule="exact"/>
        <w:rPr>
          <w:sz w:val="20"/>
          <w:szCs w:val="20"/>
          <w:color w:val="auto"/>
        </w:rPr>
      </w:pPr>
    </w:p>
    <w:p>
      <w:pPr>
        <w:jc w:val="both"/>
        <w:ind w:firstLine="656"/>
        <w:spacing w:after="0" w:line="261" w:lineRule="auto"/>
        <w:tabs>
          <w:tab w:leader="none" w:pos="1174" w:val="left"/>
        </w:tabs>
        <w:numPr>
          <w:ilvl w:val="0"/>
          <w:numId w:val="674"/>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firstLine="656"/>
        <w:spacing w:after="0" w:line="295" w:lineRule="auto"/>
        <w:tabs>
          <w:tab w:leader="none" w:pos="1134" w:val="left"/>
        </w:tabs>
        <w:numPr>
          <w:ilvl w:val="0"/>
          <w:numId w:val="674"/>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Agreement, together with the Confidentiality Agreement, the Change in Control and Severance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you and the Company dated on or about the date hereof, and the equity awards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conflicts of law provision. This Agreement may be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679" w:name="page680"/>
    <w:bookmarkEnd w:id="679"/>
    <w:p>
      <w:pPr>
        <w:ind w:left="3420" w:right="559" w:hanging="4539"/>
        <w:spacing w:after="0" w:line="468" w:lineRule="auto"/>
        <w:rPr>
          <w:sz w:val="20"/>
          <w:szCs w:val="20"/>
          <w:color w:val="auto"/>
        </w:rPr>
      </w:pPr>
      <w:r>
        <w:rPr>
          <w:rFonts w:ascii="Arial" w:cs="Arial" w:eastAsia="Arial" w:hAnsi="Arial"/>
          <w:sz w:val="22"/>
          <w:szCs w:val="22"/>
          <w:color w:val="auto"/>
        </w:rPr>
        <w:t xml:space="preserve">only by a written agreement signed by a duly authorized officer of the Company (other than yourself) and you. </w:t>
      </w: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1428" w:right="1440" w:bottom="1440" w:gutter="0" w:footer="0" w:header="0"/>
        </w:sectPr>
      </w:pPr>
    </w:p>
    <w:bookmarkStart w:id="680" w:name="page681"/>
    <w:bookmarkEnd w:id="680"/>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6120"/>
        <w:spacing w:after="0"/>
        <w:tabs>
          <w:tab w:leader="none" w:pos="6720" w:val="left"/>
        </w:tabs>
        <w:rPr>
          <w:sz w:val="20"/>
          <w:szCs w:val="20"/>
          <w:color w:val="auto"/>
        </w:rPr>
      </w:pPr>
      <w:r>
        <w:rPr>
          <w:rFonts w:ascii="Arial" w:cs="Arial" w:eastAsia="Arial" w:hAnsi="Arial"/>
          <w:sz w:val="22"/>
          <w:szCs w:val="22"/>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24130</wp:posOffset>
            </wp:positionV>
            <wp:extent cx="287147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3">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1"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Sujal Patel</w:t>
      </w:r>
    </w:p>
    <w:p>
      <w:pPr>
        <w:spacing w:after="0" w:line="5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Chief Executive Officer</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to and accepted:</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Nick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2011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Nick Nelson</w:t>
      </w:r>
    </w:p>
    <w:p>
      <w:pPr>
        <w:spacing w:after="0" w:line="328"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24130</wp:posOffset>
            </wp:positionV>
            <wp:extent cx="282003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28" w:right="339" w:bottom="1440" w:gutter="0" w:footer="0" w:header="0"/>
          <w:type w:val="continuous"/>
        </w:sectPr>
      </w:pPr>
    </w:p>
    <w:bookmarkStart w:id="681" w:name="page682"/>
    <w:bookmarkEnd w:id="681"/>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April 7,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Subra Sankar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Subra:</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Subra Sankar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25" w:lineRule="exact"/>
        <w:rPr>
          <w:sz w:val="20"/>
          <w:szCs w:val="20"/>
          <w:color w:val="auto"/>
        </w:rPr>
      </w:pPr>
    </w:p>
    <w:p>
      <w:pPr>
        <w:jc w:val="both"/>
        <w:ind w:firstLine="656"/>
        <w:spacing w:after="0" w:line="261" w:lineRule="auto"/>
        <w:tabs>
          <w:tab w:leader="none" w:pos="1255" w:val="left"/>
        </w:tabs>
        <w:numPr>
          <w:ilvl w:val="0"/>
          <w:numId w:val="675"/>
        </w:numPr>
        <w:rPr>
          <w:rFonts w:ascii="Arial" w:cs="Arial" w:eastAsia="Arial" w:hAnsi="Arial"/>
          <w:sz w:val="21"/>
          <w:szCs w:val="21"/>
          <w:color w:val="auto"/>
        </w:rPr>
      </w:pPr>
      <w:r>
        <w:rPr>
          <w:rFonts w:ascii="Arial" w:cs="Arial" w:eastAsia="Arial" w:hAnsi="Arial"/>
          <w:sz w:val="21"/>
          <w:szCs w:val="21"/>
          <w:b w:val="1"/>
          <w:bCs w:val="1"/>
          <w:color w:val="auto"/>
        </w:rPr>
        <w:t>Title; Position; Location</w:t>
      </w:r>
      <w:r>
        <w:rPr>
          <w:rFonts w:ascii="Arial" w:cs="Arial" w:eastAsia="Arial" w:hAnsi="Arial"/>
          <w:sz w:val="21"/>
          <w:szCs w:val="21"/>
          <w:color w:val="auto"/>
        </w:rPr>
        <w:t>. You will continue to serve as the Company’s Senior Vice President of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You also will continue to report to the Company’s Chief Executive Officer and will perform the duties and responsibilities customary for such position and such other related duties as are reasonably assigned by the Chief Executive Officer.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73" w:lineRule="exact"/>
        <w:rPr>
          <w:rFonts w:ascii="Arial" w:cs="Arial" w:eastAsia="Arial" w:hAnsi="Arial"/>
          <w:sz w:val="21"/>
          <w:szCs w:val="21"/>
          <w:color w:val="auto"/>
        </w:rPr>
      </w:pPr>
    </w:p>
    <w:p>
      <w:pPr>
        <w:jc w:val="both"/>
        <w:ind w:firstLine="656"/>
        <w:spacing w:after="0" w:line="260" w:lineRule="auto"/>
        <w:tabs>
          <w:tab w:leader="none" w:pos="1066" w:val="left"/>
        </w:tabs>
        <w:numPr>
          <w:ilvl w:val="0"/>
          <w:numId w:val="675"/>
        </w:numPr>
        <w:rPr>
          <w:rFonts w:ascii="Arial" w:cs="Arial" w:eastAsia="Arial" w:hAnsi="Arial"/>
          <w:sz w:val="21"/>
          <w:szCs w:val="21"/>
          <w:color w:val="auto"/>
        </w:rPr>
      </w:pPr>
      <w:r>
        <w:rPr>
          <w:rFonts w:ascii="Arial" w:cs="Arial" w:eastAsia="Arial" w:hAnsi="Arial"/>
          <w:sz w:val="21"/>
          <w:szCs w:val="21"/>
          <w:b w:val="1"/>
          <w:bCs w:val="1"/>
          <w:color w:val="auto"/>
        </w:rPr>
        <w:t>Base Salary</w:t>
      </w:r>
      <w:r>
        <w:rPr>
          <w:rFonts w:ascii="Arial" w:cs="Arial" w:eastAsia="Arial" w:hAnsi="Arial"/>
          <w:sz w:val="21"/>
          <w:szCs w:val="21"/>
          <w:color w:val="auto"/>
        </w:rPr>
        <w:t>. As of the Effective Date, your annual base salary will continue to be $318,000, and your annual base</w:t>
      </w:r>
      <w:r>
        <w:rPr>
          <w:rFonts w:ascii="Arial" w:cs="Arial" w:eastAsia="Arial" w:hAnsi="Arial"/>
          <w:sz w:val="21"/>
          <w:szCs w:val="21"/>
          <w:b w:val="1"/>
          <w:bCs w:val="1"/>
          <w:color w:val="auto"/>
        </w:rPr>
        <w:t xml:space="preserve"> </w:t>
      </w:r>
      <w:r>
        <w:rPr>
          <w:rFonts w:ascii="Arial" w:cs="Arial" w:eastAsia="Arial" w:hAnsi="Arial"/>
          <w:sz w:val="21"/>
          <w:szCs w:val="21"/>
          <w:color w:val="auto"/>
        </w:rPr>
        <w:t>salary will continue to be $318,000 effective as of the Closing Date, provided that you continue employment with the Company through such date. For purposes of this Agreement, “</w:t>
      </w:r>
      <w:r>
        <w:rPr>
          <w:rFonts w:ascii="Arial" w:cs="Arial" w:eastAsia="Arial" w:hAnsi="Arial"/>
          <w:sz w:val="21"/>
          <w:szCs w:val="21"/>
          <w:b w:val="1"/>
          <w:bCs w:val="1"/>
          <w:color w:val="auto"/>
        </w:rPr>
        <w:t>Closing Date</w:t>
      </w:r>
      <w:r>
        <w:rPr>
          <w:rFonts w:ascii="Arial" w:cs="Arial" w:eastAsia="Arial" w:hAnsi="Arial"/>
          <w:sz w:val="21"/>
          <w:szCs w:val="21"/>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 Your base salary will be 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1"/>
          <w:szCs w:val="21"/>
          <w:b w:val="1"/>
          <w:bCs w:val="1"/>
          <w:color w:val="auto"/>
        </w:rPr>
        <w:t>Committee</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as applicable, in its sole discretion.</w:t>
      </w:r>
    </w:p>
    <w:p>
      <w:pPr>
        <w:spacing w:after="0" w:line="175" w:lineRule="exact"/>
        <w:rPr>
          <w:rFonts w:ascii="Arial" w:cs="Arial" w:eastAsia="Arial" w:hAnsi="Arial"/>
          <w:sz w:val="21"/>
          <w:szCs w:val="21"/>
          <w:color w:val="auto"/>
        </w:rPr>
      </w:pPr>
    </w:p>
    <w:p>
      <w:pPr>
        <w:jc w:val="both"/>
        <w:ind w:firstLine="656"/>
        <w:spacing w:after="0" w:line="249" w:lineRule="auto"/>
        <w:tabs>
          <w:tab w:leader="none" w:pos="1066" w:val="left"/>
        </w:tabs>
        <w:numPr>
          <w:ilvl w:val="0"/>
          <w:numId w:val="675"/>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For the Company’s 2021 fiscal year, you will be eligible for a target annual cash bonus opportunity</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thirty-five percent (35%)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w:t>
      </w:r>
    </w:p>
    <w:p>
      <w:pPr>
        <w:sectPr>
          <w:pgSz w:w="11900" w:h="16838" w:orient="portrait"/>
          <w:cols w:equalWidth="0" w:num="1">
            <w:col w:w="11240"/>
          </w:cols>
          <w:pgMar w:left="320" w:top="122" w:right="339" w:bottom="1440" w:gutter="0" w:footer="0" w:header="0"/>
        </w:sectPr>
      </w:pPr>
    </w:p>
    <w:bookmarkStart w:id="682" w:name="page683"/>
    <w:bookmarkEnd w:id="682"/>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79" w:lineRule="exact"/>
        <w:rPr>
          <w:sz w:val="20"/>
          <w:szCs w:val="20"/>
          <w:color w:val="auto"/>
        </w:rPr>
      </w:pPr>
    </w:p>
    <w:p>
      <w:pPr>
        <w:jc w:val="both"/>
        <w:ind w:firstLine="656"/>
        <w:spacing w:after="0" w:line="267" w:lineRule="auto"/>
        <w:tabs>
          <w:tab w:leader="none" w:pos="1039" w:val="left"/>
        </w:tabs>
        <w:numPr>
          <w:ilvl w:val="0"/>
          <w:numId w:val="676"/>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or other equity awards pursuant to any plans</w:t>
      </w:r>
      <w:r>
        <w:rPr>
          <w:rFonts w:ascii="Arial" w:cs="Arial" w:eastAsia="Arial" w:hAnsi="Arial"/>
          <w:sz w:val="21"/>
          <w:szCs w:val="21"/>
          <w:b w:val="1"/>
          <w:bCs w:val="1"/>
          <w:color w:val="auto"/>
        </w:rPr>
        <w:t xml:space="preserve"> </w:t>
      </w:r>
      <w:r>
        <w:rPr>
          <w:rFonts w:ascii="Arial" w:cs="Arial" w:eastAsia="Arial" w:hAnsi="Arial"/>
          <w:sz w:val="21"/>
          <w:szCs w:val="21"/>
          <w:color w:val="auto"/>
        </w:rPr>
        <w:t>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67" w:lineRule="exact"/>
        <w:rPr>
          <w:rFonts w:ascii="Arial" w:cs="Arial" w:eastAsia="Arial" w:hAnsi="Arial"/>
          <w:sz w:val="21"/>
          <w:szCs w:val="21"/>
          <w:color w:val="auto"/>
        </w:rPr>
      </w:pPr>
    </w:p>
    <w:p>
      <w:pPr>
        <w:jc w:val="both"/>
        <w:ind w:firstLine="656"/>
        <w:spacing w:after="0" w:line="295" w:lineRule="auto"/>
        <w:tabs>
          <w:tab w:leader="none" w:pos="1066" w:val="left"/>
        </w:tabs>
        <w:numPr>
          <w:ilvl w:val="0"/>
          <w:numId w:val="676"/>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You will continue to be eligible to participate in the benefit plans and programs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026" w:val="left"/>
        </w:tabs>
        <w:numPr>
          <w:ilvl w:val="0"/>
          <w:numId w:val="676"/>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76"/>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December 30, 2020,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76"/>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jc w:val="both"/>
        <w:ind w:firstLine="656"/>
        <w:spacing w:after="0" w:line="267" w:lineRule="auto"/>
        <w:tabs>
          <w:tab w:leader="none" w:pos="1039" w:val="left"/>
        </w:tabs>
        <w:numPr>
          <w:ilvl w:val="0"/>
          <w:numId w:val="676"/>
        </w:numPr>
        <w:rPr>
          <w:rFonts w:ascii="Arial" w:cs="Arial" w:eastAsia="Arial" w:hAnsi="Arial"/>
          <w:sz w:val="21"/>
          <w:szCs w:val="21"/>
          <w:color w:val="auto"/>
        </w:rPr>
      </w:pPr>
      <w:r>
        <w:rPr>
          <w:rFonts w:ascii="Arial" w:cs="Arial" w:eastAsia="Arial" w:hAnsi="Arial"/>
          <w:sz w:val="21"/>
          <w:szCs w:val="21"/>
          <w:b w:val="1"/>
          <w:bCs w:val="1"/>
          <w:color w:val="auto"/>
        </w:rPr>
        <w:t>Taxes</w:t>
      </w:r>
      <w:r>
        <w:rPr>
          <w:rFonts w:ascii="Arial" w:cs="Arial" w:eastAsia="Arial" w:hAnsi="Arial"/>
          <w:sz w:val="21"/>
          <w:szCs w:val="21"/>
          <w:color w:val="auto"/>
        </w:rPr>
        <w:t>. The Company (or its affiliate, as applicable) will have the right and authority to deduct from any payments or</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under this Agreement all applicable federal, state, and local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its affiliate, as applicable) is permitted to deduct or withhold, or require you to</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ind w:left="5580" w:hanging="136"/>
        <w:spacing w:after="0"/>
        <w:tabs>
          <w:tab w:leader="none" w:pos="5580" w:val="left"/>
        </w:tabs>
        <w:numPr>
          <w:ilvl w:val="1"/>
          <w:numId w:val="67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40" w:right="339" w:bottom="1440" w:gutter="0" w:footer="0" w:header="0"/>
        </w:sectPr>
      </w:pPr>
    </w:p>
    <w:bookmarkStart w:id="683" w:name="page684"/>
    <w:bookmarkEnd w:id="683"/>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63" w:lineRule="exact"/>
        <w:rPr>
          <w:sz w:val="20"/>
          <w:szCs w:val="20"/>
          <w:color w:val="auto"/>
        </w:rPr>
      </w:pPr>
    </w:p>
    <w:p>
      <w:pPr>
        <w:jc w:val="both"/>
        <w:ind w:firstLine="656"/>
        <w:spacing w:after="0" w:line="287" w:lineRule="auto"/>
        <w:tabs>
          <w:tab w:leader="none" w:pos="1296" w:val="left"/>
        </w:tabs>
        <w:numPr>
          <w:ilvl w:val="0"/>
          <w:numId w:val="677"/>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53" w:lineRule="exact"/>
        <w:rPr>
          <w:rFonts w:ascii="Arial" w:cs="Arial" w:eastAsia="Arial" w:hAnsi="Arial"/>
          <w:sz w:val="19"/>
          <w:szCs w:val="19"/>
          <w:color w:val="auto"/>
        </w:rPr>
      </w:pPr>
    </w:p>
    <w:p>
      <w:pPr>
        <w:jc w:val="both"/>
        <w:ind w:firstLine="656"/>
        <w:spacing w:after="0" w:line="252" w:lineRule="auto"/>
        <w:tabs>
          <w:tab w:leader="none" w:pos="1450" w:val="left"/>
        </w:tabs>
        <w:numPr>
          <w:ilvl w:val="0"/>
          <w:numId w:val="677"/>
        </w:numPr>
        <w:rPr>
          <w:rFonts w:ascii="Arial" w:cs="Arial" w:eastAsia="Arial" w:hAnsi="Arial"/>
          <w:sz w:val="22"/>
          <w:szCs w:val="22"/>
          <w:color w:val="auto"/>
        </w:rPr>
      </w:pPr>
      <w:r>
        <w:rPr>
          <w:rFonts w:ascii="Arial" w:cs="Arial" w:eastAsia="Arial" w:hAnsi="Arial"/>
          <w:sz w:val="22"/>
          <w:szCs w:val="22"/>
          <w:b w:val="1"/>
          <w:bCs w:val="1"/>
          <w:color w:val="auto"/>
        </w:rPr>
        <w:t>Protected Activity Not Prohibited</w:t>
      </w:r>
      <w:r>
        <w:rPr>
          <w:rFonts w:ascii="Arial" w:cs="Arial" w:eastAsia="Arial" w:hAnsi="Arial"/>
          <w:sz w:val="22"/>
          <w:szCs w:val="22"/>
          <w:color w:val="auto"/>
        </w:rPr>
        <w:t>. Notwithstanding any contrary provision of the Agreement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22"/>
          <w:szCs w:val="22"/>
          <w:b w:val="1"/>
          <w:bCs w:val="1"/>
          <w:color w:val="auto"/>
        </w:rPr>
        <w:t>Protected Activity</w:t>
      </w:r>
      <w:r>
        <w:rPr>
          <w:rFonts w:ascii="Arial" w:cs="Arial" w:eastAsia="Arial" w:hAnsi="Arial"/>
          <w:sz w:val="22"/>
          <w:szCs w:val="22"/>
          <w:color w:val="auto"/>
        </w:rPr>
        <w:t>” will mean communicating, cooperating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80" w:hanging="136"/>
        <w:spacing w:after="0"/>
        <w:tabs>
          <w:tab w:leader="none" w:pos="5580" w:val="left"/>
        </w:tabs>
        <w:numPr>
          <w:ilvl w:val="1"/>
          <w:numId w:val="67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40" w:right="339" w:bottom="1440" w:gutter="0" w:footer="0" w:header="0"/>
        </w:sectPr>
      </w:pPr>
    </w:p>
    <w:bookmarkStart w:id="684" w:name="page685"/>
    <w:bookmarkEnd w:id="684"/>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 Entity</w:t>
      </w:r>
      <w:r>
        <w:rPr>
          <w:rFonts w:ascii="Arial" w:cs="Arial" w:eastAsia="Arial" w:hAnsi="Arial"/>
          <w:sz w:val="19"/>
          <w:szCs w:val="19"/>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9" w:lineRule="exact"/>
        <w:rPr>
          <w:sz w:val="20"/>
          <w:szCs w:val="20"/>
          <w:color w:val="auto"/>
        </w:rPr>
      </w:pPr>
    </w:p>
    <w:p>
      <w:pPr>
        <w:jc w:val="both"/>
        <w:ind w:firstLine="656"/>
        <w:spacing w:after="0" w:line="261" w:lineRule="auto"/>
        <w:tabs>
          <w:tab w:leader="none" w:pos="1174" w:val="left"/>
        </w:tabs>
        <w:numPr>
          <w:ilvl w:val="0"/>
          <w:numId w:val="678"/>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firstLine="656"/>
        <w:spacing w:after="0" w:line="248" w:lineRule="auto"/>
        <w:tabs>
          <w:tab w:leader="none" w:pos="1134" w:val="left"/>
        </w:tabs>
        <w:numPr>
          <w:ilvl w:val="0"/>
          <w:numId w:val="678"/>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This Agreement, together with the Confidentiality Agreement, the Change in Control and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you and the Company dated on or about the date hereof, and the equity awards granted to you by the Company under its 2017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80" w:hanging="136"/>
        <w:spacing w:after="0"/>
        <w:tabs>
          <w:tab w:leader="none" w:pos="5580" w:val="left"/>
        </w:tabs>
        <w:numPr>
          <w:ilvl w:val="1"/>
          <w:numId w:val="67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440" w:right="339" w:bottom="1440" w:gutter="0" w:footer="0" w:header="0"/>
        </w:sectPr>
      </w:pPr>
    </w:p>
    <w:bookmarkStart w:id="685" w:name="page686"/>
    <w:bookmarkEnd w:id="685"/>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California but without regard to the conflicts of law provision. This Agreement may be modified only by a written agreement signed by a duly authorized officer of the Company (other than yourself) and you.</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40" w:right="339" w:bottom="1440" w:gutter="0" w:footer="0" w:header="0"/>
        </w:sectPr>
      </w:pPr>
    </w:p>
    <w:bookmarkStart w:id="686" w:name="page687"/>
    <w:bookmarkEnd w:id="686"/>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6000"/>
        <w:spacing w:after="0"/>
        <w:tabs>
          <w:tab w:leader="none" w:pos="6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24130</wp:posOffset>
            </wp:positionV>
            <wp:extent cx="288861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0"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Sujal Patel</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Chief Executive Officer</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Agreed to and accepted:</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Subra Sankar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33438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Subra Sankar</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24130</wp:posOffset>
            </wp:positionV>
            <wp:extent cx="274320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240"/>
          </w:cols>
          <w:pgMar w:left="320" w:top="1440" w:right="339" w:bottom="1440" w:gutter="0" w:footer="0" w:header="0"/>
          <w:type w:val="continuous"/>
        </w:sectPr>
      </w:pPr>
    </w:p>
    <w:bookmarkStart w:id="687" w:name="page688"/>
    <w:bookmarkEnd w:id="687"/>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April 6,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Parag Mallick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Parag:</w:t>
      </w:r>
    </w:p>
    <w:p>
      <w:pPr>
        <w:spacing w:after="0" w:line="21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Parag Mallick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 This Agreement supersedes in its entirety your Consulting Agreement entered into with the Company dated January 12, 2017.</w:t>
      </w:r>
    </w:p>
    <w:p>
      <w:pPr>
        <w:spacing w:after="0" w:line="135" w:lineRule="exact"/>
        <w:rPr>
          <w:sz w:val="20"/>
          <w:szCs w:val="20"/>
          <w:color w:val="auto"/>
        </w:rPr>
      </w:pPr>
    </w:p>
    <w:p>
      <w:pPr>
        <w:jc w:val="both"/>
        <w:ind w:firstLine="656"/>
        <w:spacing w:after="0" w:line="295" w:lineRule="auto"/>
        <w:tabs>
          <w:tab w:leader="none" w:pos="1093" w:val="left"/>
        </w:tabs>
        <w:numPr>
          <w:ilvl w:val="0"/>
          <w:numId w:val="679"/>
        </w:numPr>
        <w:rPr>
          <w:rFonts w:ascii="Arial" w:cs="Arial" w:eastAsia="Arial" w:hAnsi="Arial"/>
          <w:sz w:val="19"/>
          <w:szCs w:val="19"/>
          <w:color w:val="auto"/>
        </w:rPr>
      </w:pPr>
      <w:r>
        <w:rPr>
          <w:rFonts w:ascii="Arial" w:cs="Arial" w:eastAsia="Arial" w:hAnsi="Arial"/>
          <w:sz w:val="19"/>
          <w:szCs w:val="19"/>
          <w:b w:val="1"/>
          <w:bCs w:val="1"/>
          <w:color w:val="auto"/>
        </w:rPr>
        <w:t>Title; Position; Location</w:t>
      </w:r>
      <w:r>
        <w:rPr>
          <w:rFonts w:ascii="Arial" w:cs="Arial" w:eastAsia="Arial" w:hAnsi="Arial"/>
          <w:sz w:val="19"/>
          <w:szCs w:val="19"/>
          <w:color w:val="auto"/>
        </w:rPr>
        <w:t>. You will continue to serve as the Company’s Chief Scientist. You also will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to the Company’s Chief Executive Officer and will perform the duties and responsibilities customary for such position and such other related duties as are reasonably assigned by the Chief Executive Officer.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43" w:lineRule="exact"/>
        <w:rPr>
          <w:rFonts w:ascii="Arial" w:cs="Arial" w:eastAsia="Arial" w:hAnsi="Arial"/>
          <w:sz w:val="19"/>
          <w:szCs w:val="19"/>
          <w:color w:val="auto"/>
        </w:rPr>
      </w:pPr>
    </w:p>
    <w:p>
      <w:pPr>
        <w:jc w:val="both"/>
        <w:ind w:firstLine="656"/>
        <w:spacing w:after="0" w:line="247" w:lineRule="auto"/>
        <w:tabs>
          <w:tab w:leader="none" w:pos="1039" w:val="left"/>
        </w:tabs>
        <w:numPr>
          <w:ilvl w:val="0"/>
          <w:numId w:val="679"/>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As of the Effective Date, your annual base salary will be $350,000, and your annual base salary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increased to $400,000 effective as of the Closing Date, provided that you continue employment with the Company through such date. For purposes of this Agreement, “</w:t>
      </w:r>
      <w:r>
        <w:rPr>
          <w:rFonts w:ascii="Arial" w:cs="Arial" w:eastAsia="Arial" w:hAnsi="Arial"/>
          <w:sz w:val="22"/>
          <w:szCs w:val="22"/>
          <w:b w:val="1"/>
          <w:bCs w:val="1"/>
          <w:color w:val="auto"/>
        </w:rPr>
        <w:t>Closing Date</w:t>
      </w:r>
      <w:r>
        <w:rPr>
          <w:rFonts w:ascii="Arial" w:cs="Arial" w:eastAsia="Arial" w:hAnsi="Arial"/>
          <w:sz w:val="22"/>
          <w:szCs w:val="22"/>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 Your base salary will be 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as applicable, in its sole discretion.</w:t>
      </w:r>
    </w:p>
    <w:p>
      <w:pPr>
        <w:spacing w:after="0" w:line="185" w:lineRule="exact"/>
        <w:rPr>
          <w:rFonts w:ascii="Arial" w:cs="Arial" w:eastAsia="Arial" w:hAnsi="Arial"/>
          <w:sz w:val="22"/>
          <w:szCs w:val="22"/>
          <w:color w:val="auto"/>
        </w:rPr>
      </w:pPr>
    </w:p>
    <w:p>
      <w:pPr>
        <w:jc w:val="both"/>
        <w:ind w:firstLine="656"/>
        <w:spacing w:after="0" w:line="256" w:lineRule="auto"/>
        <w:tabs>
          <w:tab w:leader="none" w:pos="1066" w:val="left"/>
        </w:tabs>
        <w:numPr>
          <w:ilvl w:val="0"/>
          <w:numId w:val="679"/>
        </w:numPr>
        <w:rPr>
          <w:rFonts w:ascii="Arial" w:cs="Arial" w:eastAsia="Arial" w:hAnsi="Arial"/>
          <w:sz w:val="22"/>
          <w:szCs w:val="22"/>
          <w:color w:val="auto"/>
        </w:rPr>
      </w:pPr>
      <w:r>
        <w:rPr>
          <w:rFonts w:ascii="Arial" w:cs="Arial" w:eastAsia="Arial" w:hAnsi="Arial"/>
          <w:sz w:val="22"/>
          <w:szCs w:val="22"/>
          <w:b w:val="1"/>
          <w:bCs w:val="1"/>
          <w:color w:val="auto"/>
        </w:rPr>
        <w:t>Annual Bonus</w:t>
      </w:r>
      <w:r>
        <w:rPr>
          <w:rFonts w:ascii="Arial" w:cs="Arial" w:eastAsia="Arial" w:hAnsi="Arial"/>
          <w:sz w:val="22"/>
          <w:szCs w:val="22"/>
          <w:color w:val="auto"/>
        </w:rPr>
        <w:t>. For the Company’s 2021 fiscal year, you will be eligible for a target annual cash bonus opportunity</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fifty percent (50%) of your annual base salary. Any annual bonus will be subject to performance and other criteria established by the Board or</w:t>
      </w:r>
    </w:p>
    <w:p>
      <w:pPr>
        <w:sectPr>
          <w:pgSz w:w="11900" w:h="16838" w:orient="portrait"/>
          <w:cols w:equalWidth="0" w:num="1">
            <w:col w:w="11240"/>
          </w:cols>
          <w:pgMar w:left="320" w:top="122" w:right="339" w:bottom="1440" w:gutter="0" w:footer="0" w:header="0"/>
        </w:sectPr>
      </w:pPr>
    </w:p>
    <w:bookmarkStart w:id="688" w:name="page689"/>
    <w:bookmarkEnd w:id="688"/>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86" w:lineRule="exact"/>
        <w:rPr>
          <w:sz w:val="20"/>
          <w:szCs w:val="20"/>
          <w:color w:val="auto"/>
        </w:rPr>
      </w:pPr>
    </w:p>
    <w:p>
      <w:pPr>
        <w:jc w:val="both"/>
        <w:ind w:firstLine="656"/>
        <w:spacing w:after="0" w:line="267" w:lineRule="auto"/>
        <w:tabs>
          <w:tab w:leader="none" w:pos="1039" w:val="left"/>
        </w:tabs>
        <w:numPr>
          <w:ilvl w:val="0"/>
          <w:numId w:val="680"/>
        </w:numPr>
        <w:rPr>
          <w:rFonts w:ascii="Arial" w:cs="Arial" w:eastAsia="Arial" w:hAnsi="Arial"/>
          <w:sz w:val="21"/>
          <w:szCs w:val="21"/>
          <w:color w:val="auto"/>
        </w:rPr>
      </w:pPr>
      <w:r>
        <w:rPr>
          <w:rFonts w:ascii="Arial" w:cs="Arial" w:eastAsia="Arial" w:hAnsi="Arial"/>
          <w:sz w:val="21"/>
          <w:szCs w:val="21"/>
          <w:b w:val="1"/>
          <w:bCs w:val="1"/>
          <w:color w:val="auto"/>
        </w:rPr>
        <w:t>Equity Awards</w:t>
      </w:r>
      <w:r>
        <w:rPr>
          <w:rFonts w:ascii="Arial" w:cs="Arial" w:eastAsia="Arial" w:hAnsi="Arial"/>
          <w:sz w:val="21"/>
          <w:szCs w:val="21"/>
          <w:color w:val="auto"/>
        </w:rPr>
        <w:t>. You will be eligible to receive awards of stock options or other equity awards pursuant to any plans</w:t>
      </w:r>
      <w:r>
        <w:rPr>
          <w:rFonts w:ascii="Arial" w:cs="Arial" w:eastAsia="Arial" w:hAnsi="Arial"/>
          <w:sz w:val="21"/>
          <w:szCs w:val="21"/>
          <w:b w:val="1"/>
          <w:bCs w:val="1"/>
          <w:color w:val="auto"/>
        </w:rPr>
        <w:t xml:space="preserve"> </w:t>
      </w:r>
      <w:r>
        <w:rPr>
          <w:rFonts w:ascii="Arial" w:cs="Arial" w:eastAsia="Arial" w:hAnsi="Arial"/>
          <w:sz w:val="21"/>
          <w:szCs w:val="21"/>
          <w:color w:val="auto"/>
        </w:rPr>
        <w:t>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67" w:lineRule="exact"/>
        <w:rPr>
          <w:rFonts w:ascii="Arial" w:cs="Arial" w:eastAsia="Arial" w:hAnsi="Arial"/>
          <w:sz w:val="21"/>
          <w:szCs w:val="21"/>
          <w:color w:val="auto"/>
        </w:rPr>
      </w:pPr>
    </w:p>
    <w:p>
      <w:pPr>
        <w:jc w:val="both"/>
        <w:ind w:firstLine="656"/>
        <w:spacing w:after="0" w:line="295" w:lineRule="auto"/>
        <w:tabs>
          <w:tab w:leader="none" w:pos="1066" w:val="left"/>
        </w:tabs>
        <w:numPr>
          <w:ilvl w:val="0"/>
          <w:numId w:val="680"/>
        </w:numPr>
        <w:rPr>
          <w:rFonts w:ascii="Arial" w:cs="Arial" w:eastAsia="Arial" w:hAnsi="Arial"/>
          <w:sz w:val="19"/>
          <w:szCs w:val="19"/>
          <w:color w:val="auto"/>
        </w:rPr>
      </w:pPr>
      <w:r>
        <w:rPr>
          <w:rFonts w:ascii="Arial" w:cs="Arial" w:eastAsia="Arial" w:hAnsi="Arial"/>
          <w:sz w:val="19"/>
          <w:szCs w:val="19"/>
          <w:b w:val="1"/>
          <w:bCs w:val="1"/>
          <w:color w:val="auto"/>
        </w:rPr>
        <w:t>Employee Benefits</w:t>
      </w:r>
      <w:r>
        <w:rPr>
          <w:rFonts w:ascii="Arial" w:cs="Arial" w:eastAsia="Arial" w:hAnsi="Arial"/>
          <w:sz w:val="19"/>
          <w:szCs w:val="19"/>
          <w:color w:val="auto"/>
        </w:rPr>
        <w:t>. You will continue to be eligible to participate in the benefit plans and programs established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026" w:val="left"/>
        </w:tabs>
        <w:numPr>
          <w:ilvl w:val="0"/>
          <w:numId w:val="680"/>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80"/>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March 25, 2021,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80"/>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ind w:firstLine="656"/>
        <w:spacing w:after="0" w:line="269" w:lineRule="auto"/>
        <w:tabs>
          <w:tab w:leader="none" w:pos="1039" w:val="left"/>
        </w:tabs>
        <w:numPr>
          <w:ilvl w:val="0"/>
          <w:numId w:val="680"/>
        </w:numPr>
        <w:rPr>
          <w:rFonts w:ascii="Arial" w:cs="Arial" w:eastAsia="Arial" w:hAnsi="Arial"/>
          <w:sz w:val="22"/>
          <w:szCs w:val="22"/>
          <w:color w:val="auto"/>
        </w:rPr>
      </w:pPr>
      <w:r>
        <w:rPr>
          <w:rFonts w:ascii="Arial" w:cs="Arial" w:eastAsia="Arial" w:hAnsi="Arial"/>
          <w:sz w:val="22"/>
          <w:szCs w:val="22"/>
          <w:b w:val="1"/>
          <w:bCs w:val="1"/>
          <w:color w:val="auto"/>
        </w:rPr>
        <w:t>Taxes</w:t>
      </w:r>
      <w:r>
        <w:rPr>
          <w:rFonts w:ascii="Arial" w:cs="Arial" w:eastAsia="Arial" w:hAnsi="Arial"/>
          <w:sz w:val="22"/>
          <w:szCs w:val="22"/>
          <w:color w:val="auto"/>
        </w:rPr>
        <w:t>. The Company (or its affiliate, as applicable) will have the right and authority to deduct from any payments or</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under this Agreement all applicable federal,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1" w:lineRule="exact"/>
        <w:rPr>
          <w:rFonts w:ascii="Arial" w:cs="Arial" w:eastAsia="Arial" w:hAnsi="Arial"/>
          <w:sz w:val="22"/>
          <w:szCs w:val="22"/>
          <w:color w:val="auto"/>
        </w:rPr>
      </w:pPr>
    </w:p>
    <w:p>
      <w:pPr>
        <w:ind w:left="5580" w:hanging="136"/>
        <w:spacing w:after="0"/>
        <w:tabs>
          <w:tab w:leader="none" w:pos="5580" w:val="left"/>
        </w:tabs>
        <w:numPr>
          <w:ilvl w:val="1"/>
          <w:numId w:val="680"/>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40" w:right="339" w:bottom="1440" w:gutter="0" w:footer="0" w:header="0"/>
        </w:sectPr>
      </w:pPr>
    </w:p>
    <w:bookmarkStart w:id="689" w:name="page690"/>
    <w:bookmarkEnd w:id="689"/>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63" w:lineRule="exact"/>
        <w:rPr>
          <w:sz w:val="20"/>
          <w:szCs w:val="20"/>
          <w:color w:val="auto"/>
        </w:rPr>
      </w:pPr>
    </w:p>
    <w:p>
      <w:pPr>
        <w:jc w:val="both"/>
        <w:ind w:firstLine="656"/>
        <w:spacing w:after="0" w:line="287" w:lineRule="auto"/>
        <w:tabs>
          <w:tab w:leader="none" w:pos="1296" w:val="left"/>
        </w:tabs>
        <w:numPr>
          <w:ilvl w:val="0"/>
          <w:numId w:val="681"/>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3" w:lineRule="exact"/>
        <w:rPr>
          <w:rFonts w:ascii="Arial" w:cs="Arial" w:eastAsia="Arial" w:hAnsi="Arial"/>
          <w:sz w:val="19"/>
          <w:szCs w:val="19"/>
          <w:color w:val="auto"/>
        </w:rPr>
      </w:pPr>
    </w:p>
    <w:p>
      <w:pPr>
        <w:ind w:left="5580" w:hanging="136"/>
        <w:spacing w:after="0"/>
        <w:tabs>
          <w:tab w:leader="none" w:pos="5580" w:val="left"/>
        </w:tabs>
        <w:numPr>
          <w:ilvl w:val="1"/>
          <w:numId w:val="681"/>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40" w:right="339" w:bottom="1440" w:gutter="0" w:footer="0" w:header="0"/>
        </w:sectPr>
      </w:pPr>
    </w:p>
    <w:bookmarkStart w:id="690" w:name="page691"/>
    <w:bookmarkEnd w:id="690"/>
    <w:p>
      <w:pPr>
        <w:spacing w:after="0" w:line="199" w:lineRule="exact"/>
        <w:rPr>
          <w:sz w:val="20"/>
          <w:szCs w:val="20"/>
          <w:color w:val="auto"/>
        </w:rPr>
      </w:pPr>
    </w:p>
    <w:p>
      <w:pPr>
        <w:jc w:val="both"/>
        <w:ind w:left="-656" w:firstLine="656"/>
        <w:spacing w:after="0" w:line="284" w:lineRule="auto"/>
        <w:tabs>
          <w:tab w:leader="none" w:pos="794" w:val="left"/>
        </w:tabs>
        <w:numPr>
          <w:ilvl w:val="0"/>
          <w:numId w:val="682"/>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656" w:firstLine="656"/>
        <w:spacing w:after="0" w:line="261" w:lineRule="auto"/>
        <w:tabs>
          <w:tab w:leader="none" w:pos="518" w:val="left"/>
        </w:tabs>
        <w:numPr>
          <w:ilvl w:val="0"/>
          <w:numId w:val="682"/>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left="-656" w:firstLine="656"/>
        <w:spacing w:after="0" w:line="256" w:lineRule="auto"/>
        <w:tabs>
          <w:tab w:leader="none" w:pos="478" w:val="left"/>
        </w:tabs>
        <w:numPr>
          <w:ilvl w:val="0"/>
          <w:numId w:val="682"/>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 This Agreement, together with the Confidentiality Agreement, the Change in Control and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you and the Company dated on or about the date hereof, and the equity awards granted to you by the Company under its 2017</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4924" w:hanging="136"/>
        <w:spacing w:after="0"/>
        <w:tabs>
          <w:tab w:leader="none" w:pos="4924" w:val="left"/>
        </w:tabs>
        <w:numPr>
          <w:ilvl w:val="1"/>
          <w:numId w:val="682"/>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0584"/>
          </w:cols>
          <w:pgMar w:left="976" w:top="1440" w:right="339" w:bottom="1440" w:gutter="0" w:footer="0" w:header="0"/>
        </w:sectPr>
      </w:pPr>
    </w:p>
    <w:bookmarkStart w:id="691" w:name="page692"/>
    <w:bookmarkEnd w:id="691"/>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40" w:right="339" w:bottom="1440" w:gutter="0" w:footer="0" w:header="0"/>
        </w:sectPr>
      </w:pPr>
    </w:p>
    <w:bookmarkStart w:id="692" w:name="page693"/>
    <w:bookmarkEnd w:id="692"/>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6000"/>
        <w:spacing w:after="0"/>
        <w:tabs>
          <w:tab w:leader="none" w:pos="6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24130</wp:posOffset>
            </wp:positionV>
            <wp:extent cx="288861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0"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Sujal Patel</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Chief Executive Officer</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Agreed to and accepted:</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33438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Parag Mallick</w:t>
      </w:r>
    </w:p>
    <w:p>
      <w:pPr>
        <w:spacing w:after="0" w:line="31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24130</wp:posOffset>
            </wp:positionV>
            <wp:extent cx="274320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240"/>
          </w:cols>
          <w:pgMar w:left="320" w:top="1440" w:right="339" w:bottom="1440" w:gutter="0" w:footer="0" w:header="0"/>
          <w:type w:val="continuous"/>
        </w:sectPr>
      </w:pPr>
    </w:p>
    <w:bookmarkStart w:id="693" w:name="page694"/>
    <w:bookmarkEnd w:id="693"/>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April 8,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Matt Murphy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Confirmatory Employment Letter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Matt:</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This confirmatory employment letter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between Matt Murphy (“</w:t>
      </w:r>
      <w:r>
        <w:rPr>
          <w:rFonts w:ascii="Arial" w:cs="Arial" w:eastAsia="Arial" w:hAnsi="Arial"/>
          <w:sz w:val="19"/>
          <w:szCs w:val="19"/>
          <w:b w:val="1"/>
          <w:bCs w:val="1"/>
          <w:color w:val="auto"/>
        </w:rPr>
        <w:t>you</w:t>
      </w:r>
      <w:r>
        <w:rPr>
          <w:rFonts w:ascii="Arial" w:cs="Arial" w:eastAsia="Arial" w:hAnsi="Arial"/>
          <w:sz w:val="19"/>
          <w:szCs w:val="19"/>
          <w:color w:val="auto"/>
        </w:rPr>
        <w:t>”) and Nautilus Biotechnology, Inc.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we</w:t>
      </w:r>
      <w:r>
        <w:rPr>
          <w:rFonts w:ascii="Arial" w:cs="Arial" w:eastAsia="Arial" w:hAnsi="Arial"/>
          <w:sz w:val="19"/>
          <w:szCs w:val="19"/>
          <w:color w:val="auto"/>
        </w:rPr>
        <w:t>”), effective as of the date of this Agreement as first set forth above (the “</w:t>
      </w:r>
      <w:r>
        <w:rPr>
          <w:rFonts w:ascii="Arial" w:cs="Arial" w:eastAsia="Arial" w:hAnsi="Arial"/>
          <w:sz w:val="19"/>
          <w:szCs w:val="19"/>
          <w:b w:val="1"/>
          <w:bCs w:val="1"/>
          <w:color w:val="auto"/>
        </w:rPr>
        <w:t>Effective Date</w:t>
      </w:r>
      <w:r>
        <w:rPr>
          <w:rFonts w:ascii="Arial" w:cs="Arial" w:eastAsia="Arial" w:hAnsi="Arial"/>
          <w:sz w:val="19"/>
          <w:szCs w:val="19"/>
          <w:color w:val="auto"/>
        </w:rPr>
        <w:t>”), to confirm the terms and conditions of your employment with the Company as of the Effective Date.</w:t>
      </w:r>
    </w:p>
    <w:p>
      <w:pPr>
        <w:spacing w:after="0" w:line="125" w:lineRule="exact"/>
        <w:rPr>
          <w:sz w:val="20"/>
          <w:szCs w:val="20"/>
          <w:color w:val="auto"/>
        </w:rPr>
      </w:pPr>
    </w:p>
    <w:p>
      <w:pPr>
        <w:jc w:val="both"/>
        <w:ind w:firstLine="656"/>
        <w:spacing w:after="0" w:line="295" w:lineRule="auto"/>
        <w:tabs>
          <w:tab w:leader="none" w:pos="1066" w:val="left"/>
        </w:tabs>
        <w:numPr>
          <w:ilvl w:val="0"/>
          <w:numId w:val="683"/>
        </w:numPr>
        <w:rPr>
          <w:rFonts w:ascii="Arial" w:cs="Arial" w:eastAsia="Arial" w:hAnsi="Arial"/>
          <w:sz w:val="19"/>
          <w:szCs w:val="19"/>
          <w:color w:val="auto"/>
        </w:rPr>
      </w:pPr>
      <w:r>
        <w:rPr>
          <w:rFonts w:ascii="Arial" w:cs="Arial" w:eastAsia="Arial" w:hAnsi="Arial"/>
          <w:sz w:val="19"/>
          <w:szCs w:val="19"/>
          <w:b w:val="1"/>
          <w:bCs w:val="1"/>
          <w:color w:val="auto"/>
        </w:rPr>
        <w:t>Title; Position; Location</w:t>
      </w:r>
      <w:r>
        <w:rPr>
          <w:rFonts w:ascii="Arial" w:cs="Arial" w:eastAsia="Arial" w:hAnsi="Arial"/>
          <w:sz w:val="19"/>
          <w:szCs w:val="19"/>
          <w:color w:val="auto"/>
        </w:rPr>
        <w:t>. You will continue to serve as the Company’s General Counsel. You also will continue to</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to the Company’s Chief Executive Officer and will perform the duties and responsibilities customary for such position and such other related duties as are reasonably assigned by the Chief Executive Officer. You will perform your duties from the Company’s corporate offices located in San Carlos,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43" w:lineRule="exact"/>
        <w:rPr>
          <w:rFonts w:ascii="Arial" w:cs="Arial" w:eastAsia="Arial" w:hAnsi="Arial"/>
          <w:sz w:val="19"/>
          <w:szCs w:val="19"/>
          <w:color w:val="auto"/>
        </w:rPr>
      </w:pPr>
    </w:p>
    <w:p>
      <w:pPr>
        <w:jc w:val="both"/>
        <w:ind w:firstLine="656"/>
        <w:spacing w:after="0" w:line="252" w:lineRule="auto"/>
        <w:tabs>
          <w:tab w:leader="none" w:pos="1026" w:val="left"/>
        </w:tabs>
        <w:numPr>
          <w:ilvl w:val="0"/>
          <w:numId w:val="683"/>
        </w:numPr>
        <w:rPr>
          <w:rFonts w:ascii="Arial" w:cs="Arial" w:eastAsia="Arial" w:hAnsi="Arial"/>
          <w:sz w:val="22"/>
          <w:szCs w:val="22"/>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As of the Effective Date, your annual base salary will continue to be $305,000. Your base salary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less any applicable withholdings, in accordance with the Company’s normal payroll practices. Your base salary will be subject to review and adjustment from time to time by our Board or its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as applicable, in its sole discretion.</w:t>
      </w:r>
    </w:p>
    <w:p>
      <w:pPr>
        <w:spacing w:after="0" w:line="179" w:lineRule="exact"/>
        <w:rPr>
          <w:rFonts w:ascii="Arial" w:cs="Arial" w:eastAsia="Arial" w:hAnsi="Arial"/>
          <w:sz w:val="22"/>
          <w:szCs w:val="22"/>
          <w:color w:val="auto"/>
        </w:rPr>
      </w:pPr>
    </w:p>
    <w:p>
      <w:pPr>
        <w:jc w:val="both"/>
        <w:ind w:firstLine="656"/>
        <w:spacing w:after="0" w:line="261" w:lineRule="auto"/>
        <w:tabs>
          <w:tab w:leader="none" w:pos="1066" w:val="left"/>
        </w:tabs>
        <w:numPr>
          <w:ilvl w:val="0"/>
          <w:numId w:val="683"/>
        </w:numPr>
        <w:rPr>
          <w:rFonts w:ascii="Arial" w:cs="Arial" w:eastAsia="Arial" w:hAnsi="Arial"/>
          <w:sz w:val="21"/>
          <w:szCs w:val="21"/>
          <w:color w:val="auto"/>
        </w:rPr>
      </w:pPr>
      <w:r>
        <w:rPr>
          <w:rFonts w:ascii="Arial" w:cs="Arial" w:eastAsia="Arial" w:hAnsi="Arial"/>
          <w:sz w:val="21"/>
          <w:szCs w:val="21"/>
          <w:b w:val="1"/>
          <w:bCs w:val="1"/>
          <w:color w:val="auto"/>
        </w:rPr>
        <w:t>Annual Bonus</w:t>
      </w:r>
      <w:r>
        <w:rPr>
          <w:rFonts w:ascii="Arial" w:cs="Arial" w:eastAsia="Arial" w:hAnsi="Arial"/>
          <w:sz w:val="21"/>
          <w:szCs w:val="21"/>
          <w:color w:val="auto"/>
        </w:rPr>
        <w:t>. For the Company’s 2021 fiscal year, you will be eligible for a target annual cash bonus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73" w:lineRule="exact"/>
        <w:rPr>
          <w:rFonts w:ascii="Arial" w:cs="Arial" w:eastAsia="Arial" w:hAnsi="Arial"/>
          <w:sz w:val="21"/>
          <w:szCs w:val="21"/>
          <w:color w:val="auto"/>
        </w:rPr>
      </w:pPr>
    </w:p>
    <w:p>
      <w:pPr>
        <w:jc w:val="both"/>
        <w:ind w:firstLine="656"/>
        <w:spacing w:after="0" w:line="256" w:lineRule="auto"/>
        <w:tabs>
          <w:tab w:leader="none" w:pos="1039" w:val="left"/>
        </w:tabs>
        <w:numPr>
          <w:ilvl w:val="0"/>
          <w:numId w:val="683"/>
        </w:numPr>
        <w:rPr>
          <w:rFonts w:ascii="Arial" w:cs="Arial" w:eastAsia="Arial" w:hAnsi="Arial"/>
          <w:sz w:val="22"/>
          <w:szCs w:val="22"/>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 You will be eligible to receive awards of stock options or other equity awards pursuant to any plans</w:t>
      </w:r>
      <w:r>
        <w:rPr>
          <w:rFonts w:ascii="Arial" w:cs="Arial" w:eastAsia="Arial" w:hAnsi="Arial"/>
          <w:sz w:val="22"/>
          <w:szCs w:val="22"/>
          <w:b w:val="1"/>
          <w:bCs w:val="1"/>
          <w:color w:val="auto"/>
        </w:rPr>
        <w:t xml:space="preserve"> </w:t>
      </w:r>
      <w:r>
        <w:rPr>
          <w:rFonts w:ascii="Arial" w:cs="Arial" w:eastAsia="Arial" w:hAnsi="Arial"/>
          <w:sz w:val="22"/>
          <w:szCs w:val="22"/>
          <w:color w:val="auto"/>
        </w:rPr>
        <w:t>or arrangements the Company may have in effect from time to time. The Board or Committee, as applicable, will determine in its sole discretion whether</w:t>
      </w:r>
    </w:p>
    <w:p>
      <w:pPr>
        <w:sectPr>
          <w:pgSz w:w="11900" w:h="16838" w:orient="portrait"/>
          <w:cols w:equalWidth="0" w:num="1">
            <w:col w:w="11240"/>
          </w:cols>
          <w:pgMar w:left="320" w:top="122" w:right="339" w:bottom="1440" w:gutter="0" w:footer="0" w:header="0"/>
        </w:sectPr>
      </w:pPr>
    </w:p>
    <w:bookmarkStart w:id="694" w:name="page695"/>
    <w:bookmarkEnd w:id="694"/>
    <w:p>
      <w:pPr>
        <w:jc w:val="both"/>
        <w:spacing w:after="0" w:line="263" w:lineRule="auto"/>
        <w:rPr>
          <w:sz w:val="20"/>
          <w:szCs w:val="20"/>
          <w:color w:val="auto"/>
        </w:rPr>
      </w:pPr>
      <w:r>
        <w:rPr>
          <w:rFonts w:ascii="Arial" w:cs="Arial" w:eastAsia="Arial" w:hAnsi="Arial"/>
          <w:sz w:val="20"/>
          <w:szCs w:val="20"/>
          <w:color w:val="auto"/>
        </w:rPr>
        <w:t>you will be granted any such equity awards and the terms of any such award in accordance with the terms of any applicable plan or arrangement that may be in effect from time to time. In addition, it will be recommended to the Board (or the Committee, as applicable) that the Company (or any parent or successor thereto, as applicable) grant you a stock option to purchase shares of common stock of the Company (or any parent or successor thereto, as applicable) either before or after the Closing Date (as defined below) (the “</w:t>
      </w:r>
      <w:r>
        <w:rPr>
          <w:rFonts w:ascii="Arial" w:cs="Arial" w:eastAsia="Arial" w:hAnsi="Arial"/>
          <w:sz w:val="20"/>
          <w:szCs w:val="20"/>
          <w:b w:val="1"/>
          <w:bCs w:val="1"/>
          <w:color w:val="auto"/>
        </w:rPr>
        <w:t>Option</w:t>
      </w:r>
      <w:r>
        <w:rPr>
          <w:rFonts w:ascii="Arial" w:cs="Arial" w:eastAsia="Arial" w:hAnsi="Arial"/>
          <w:sz w:val="20"/>
          <w:szCs w:val="20"/>
          <w:color w:val="auto"/>
        </w:rPr>
        <w:t>”). If the Option is granted prior to the Closing Date, it will be recommended to the Board that you be granted a stock option to purchase 90,000 shares of common stock of the Company at a price per share equal to the fair market value per share of common stock on the date of grant, as determined by the Board in its sole discretion, subject to the terms and conditions of the Company’s 2017 Equity Incentive Plan and the applicable form of stock option agreement under such plan, provided that you continuously remain employed with the Company (or any parent, subsidiary or affiliate of the Company, as applicable, and collectively with the Company, the “</w:t>
      </w:r>
      <w:r>
        <w:rPr>
          <w:rFonts w:ascii="Arial" w:cs="Arial" w:eastAsia="Arial" w:hAnsi="Arial"/>
          <w:sz w:val="20"/>
          <w:szCs w:val="20"/>
          <w:b w:val="1"/>
          <w:bCs w:val="1"/>
          <w:color w:val="auto"/>
        </w:rPr>
        <w:t>Company Group</w:t>
      </w:r>
      <w:r>
        <w:rPr>
          <w:rFonts w:ascii="Arial" w:cs="Arial" w:eastAsia="Arial" w:hAnsi="Arial"/>
          <w:sz w:val="20"/>
          <w:szCs w:val="20"/>
          <w:color w:val="auto"/>
        </w:rPr>
        <w:t>”) through the date of grant. If the Option is granted following the Closing Date, it will be recommended to the Board (or the Committee, as applicable) that you be granted a stock option to purchase a substantially equivalent number of shares of the combined company’s common stock with such adjustments to the number of shares subject to the Option to reflect the exchange of the Company’s common stock for securities of the combined company following the Closing Date, as determined in good faith by the Board (or its Compensation Committee, as applicable), and the Option will be granted with an exercise price per share equal to the fair market value of a share of the combined company’s common stock on the Option’s date of grant, subject to the terms and conditions of the combined company’s equity incentive plan in place at the time of grant and applicable award agreement under such plan, provided that you continuously remain employed with the Company Group through the date of grant. It will be recommended further that the Option be scheduled to vest as to one-fourth (1/4</w:t>
      </w:r>
      <w:r>
        <w:rPr>
          <w:rFonts w:ascii="Arial" w:cs="Arial" w:eastAsia="Arial" w:hAnsi="Arial"/>
          <w:sz w:val="26"/>
          <w:szCs w:val="26"/>
          <w:color w:val="auto"/>
          <w:vertAlign w:val="superscript"/>
        </w:rPr>
        <w:t>th</w:t>
      </w:r>
      <w:r>
        <w:rPr>
          <w:rFonts w:ascii="Arial" w:cs="Arial" w:eastAsia="Arial" w:hAnsi="Arial"/>
          <w:sz w:val="20"/>
          <w:szCs w:val="20"/>
          <w:color w:val="auto"/>
        </w:rPr>
        <w:t>) of the underlying shares on the one (1) year anniversary of the date your vesting begins and thereafter as to one thirty-sixth (1/36</w:t>
      </w:r>
      <w:r>
        <w:rPr>
          <w:rFonts w:ascii="Arial" w:cs="Arial" w:eastAsia="Arial" w:hAnsi="Arial"/>
          <w:sz w:val="26"/>
          <w:szCs w:val="26"/>
          <w:color w:val="auto"/>
          <w:vertAlign w:val="superscript"/>
        </w:rPr>
        <w:t>th</w:t>
      </w:r>
      <w:r>
        <w:rPr>
          <w:rFonts w:ascii="Arial" w:cs="Arial" w:eastAsia="Arial" w:hAnsi="Arial"/>
          <w:sz w:val="20"/>
          <w:szCs w:val="20"/>
          <w:color w:val="auto"/>
        </w:rPr>
        <w:t>) of the remaining underlying shares subject to the Option in equal monthly installments on the same day of the month as the date your vesting begins (or the last day of the month, if a particular month does not have a corresponding day), in each case subject to your continued employment with the Company Group through the applicable vesting date. Your Option will be eligible for any vesting acceleration as set forth in your Change in Control and Severance Agreement with the Company as then in effect. No right to purchase or acquire any stock is earned or accrued under the Option until such time as the Option vests, nor does the grant of any stock option or other equity award confer any right to continue vesting or employment with the Company Group. For purposes of this Agreement, “</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the consummation of the transactions contemplated by that certain Business Combination Agreement by and among ARYA Sciences Acquisition Corp III, Mako Merger Sub, Inc., and the Company, dated February 7, 2021, as may be amended from time to time.</w:t>
      </w:r>
    </w:p>
    <w:p>
      <w:pPr>
        <w:spacing w:after="0" w:line="189" w:lineRule="exact"/>
        <w:rPr>
          <w:sz w:val="20"/>
          <w:szCs w:val="20"/>
          <w:color w:val="auto"/>
        </w:rPr>
      </w:pPr>
    </w:p>
    <w:p>
      <w:pPr>
        <w:jc w:val="both"/>
        <w:ind w:firstLine="656"/>
        <w:spacing w:after="0" w:line="249" w:lineRule="auto"/>
        <w:tabs>
          <w:tab w:leader="none" w:pos="1066" w:val="left"/>
        </w:tabs>
        <w:numPr>
          <w:ilvl w:val="0"/>
          <w:numId w:val="684"/>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You will continue to be eligible to participate in the benefit plans and programs established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95" w:name="page696"/>
    <w:bookmarkEnd w:id="695"/>
    <w:p>
      <w:pPr>
        <w:spacing w:after="0" w:line="263" w:lineRule="auto"/>
        <w:rPr>
          <w:sz w:val="20"/>
          <w:szCs w:val="20"/>
          <w:color w:val="auto"/>
        </w:rPr>
      </w:pPr>
      <w:r>
        <w:rPr>
          <w:rFonts w:ascii="Arial" w:cs="Arial" w:eastAsia="Arial" w:hAnsi="Arial"/>
          <w:sz w:val="22"/>
          <w:szCs w:val="22"/>
          <w:color w:val="auto"/>
        </w:rPr>
        <w:t>time to time. The Company reserves the right to modify, amend, suspend or terminate the benefit plans, programs, and arrangements it offers to its employees at any time.</w:t>
      </w:r>
    </w:p>
    <w:p>
      <w:pPr>
        <w:spacing w:after="0" w:line="169" w:lineRule="exact"/>
        <w:rPr>
          <w:sz w:val="20"/>
          <w:szCs w:val="20"/>
          <w:color w:val="auto"/>
        </w:rPr>
      </w:pPr>
    </w:p>
    <w:p>
      <w:pPr>
        <w:jc w:val="both"/>
        <w:ind w:firstLine="656"/>
        <w:spacing w:after="0" w:line="256" w:lineRule="auto"/>
        <w:tabs>
          <w:tab w:leader="none" w:pos="1026" w:val="left"/>
        </w:tabs>
        <w:numPr>
          <w:ilvl w:val="0"/>
          <w:numId w:val="685"/>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eligible to participate in the Company’s severance benefit plan, program or policy established</w:t>
      </w:r>
      <w:r>
        <w:rPr>
          <w:rFonts w:ascii="Arial" w:cs="Arial" w:eastAsia="Arial" w:hAnsi="Arial"/>
          <w:sz w:val="22"/>
          <w:szCs w:val="22"/>
          <w:b w:val="1"/>
          <w:bCs w:val="1"/>
          <w:color w:val="auto"/>
        </w:rPr>
        <w:t xml:space="preserve"> </w:t>
      </w:r>
      <w:r>
        <w:rPr>
          <w:rFonts w:ascii="Arial" w:cs="Arial" w:eastAsia="Arial" w:hAnsi="Arial"/>
          <w:sz w:val="22"/>
          <w:szCs w:val="22"/>
          <w:color w:val="auto"/>
        </w:rPr>
        <w:t>or to be established, and as may be in effect from time to time, for senior-level employees that is applicable to you consistent with your position within the Company.</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242" w:val="left"/>
        </w:tabs>
        <w:numPr>
          <w:ilvl w:val="0"/>
          <w:numId w:val="685"/>
        </w:numPr>
        <w:rPr>
          <w:rFonts w:ascii="Arial" w:cs="Arial" w:eastAsia="Arial" w:hAnsi="Arial"/>
          <w:sz w:val="22"/>
          <w:szCs w:val="22"/>
          <w:color w:val="auto"/>
        </w:rPr>
      </w:pPr>
      <w:r>
        <w:rPr>
          <w:rFonts w:ascii="Arial" w:cs="Arial" w:eastAsia="Arial" w:hAnsi="Arial"/>
          <w:sz w:val="22"/>
          <w:szCs w:val="22"/>
          <w:b w:val="1"/>
          <w:bCs w:val="1"/>
          <w:color w:val="auto"/>
        </w:rPr>
        <w:t>Confidentiality Agreement</w:t>
      </w:r>
      <w:r>
        <w:rPr>
          <w:rFonts w:ascii="Arial" w:cs="Arial" w:eastAsia="Arial" w:hAnsi="Arial"/>
          <w:sz w:val="22"/>
          <w:szCs w:val="22"/>
          <w:color w:val="auto"/>
        </w:rPr>
        <w:t>. As an employee of the Company, you will continue to have access to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March 1, 2021, as may be amended or amended and restated from time to time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still apply.</w:t>
      </w:r>
    </w:p>
    <w:p>
      <w:pPr>
        <w:spacing w:after="0" w:line="186" w:lineRule="exact"/>
        <w:rPr>
          <w:rFonts w:ascii="Arial" w:cs="Arial" w:eastAsia="Arial" w:hAnsi="Arial"/>
          <w:sz w:val="22"/>
          <w:szCs w:val="22"/>
          <w:color w:val="auto"/>
        </w:rPr>
      </w:pPr>
    </w:p>
    <w:p>
      <w:pPr>
        <w:jc w:val="both"/>
        <w:ind w:firstLine="656"/>
        <w:spacing w:after="0" w:line="298" w:lineRule="auto"/>
        <w:tabs>
          <w:tab w:leader="none" w:pos="1053" w:val="left"/>
        </w:tabs>
        <w:numPr>
          <w:ilvl w:val="0"/>
          <w:numId w:val="685"/>
        </w:numPr>
        <w:rPr>
          <w:rFonts w:ascii="Arial" w:cs="Arial" w:eastAsia="Arial" w:hAnsi="Arial"/>
          <w:sz w:val="19"/>
          <w:szCs w:val="19"/>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This Agreement does not imply any right to your continued employment for any period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42" w:lineRule="exact"/>
        <w:rPr>
          <w:rFonts w:ascii="Arial" w:cs="Arial" w:eastAsia="Arial" w:hAnsi="Arial"/>
          <w:sz w:val="19"/>
          <w:szCs w:val="19"/>
          <w:color w:val="auto"/>
        </w:rPr>
      </w:pPr>
    </w:p>
    <w:p>
      <w:pPr>
        <w:jc w:val="both"/>
        <w:ind w:firstLine="656"/>
        <w:spacing w:after="0" w:line="286" w:lineRule="auto"/>
        <w:tabs>
          <w:tab w:leader="none" w:pos="1039" w:val="left"/>
        </w:tabs>
        <w:numPr>
          <w:ilvl w:val="0"/>
          <w:numId w:val="685"/>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Company (or its affiliate, as applicable) will have the right and authority to deduct from any payments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under this Agreement all applicable federal, state, and local taxes or other required withholdings and payroll deductions (“</w:t>
      </w:r>
      <w:r>
        <w:rPr>
          <w:rFonts w:ascii="Arial" w:cs="Arial" w:eastAsia="Arial" w:hAnsi="Arial"/>
          <w:sz w:val="19"/>
          <w:szCs w:val="19"/>
          <w:b w:val="1"/>
          <w:bCs w:val="1"/>
          <w:color w:val="auto"/>
        </w:rPr>
        <w:t>Withholdings</w:t>
      </w:r>
      <w:r>
        <w:rPr>
          <w:rFonts w:ascii="Arial" w:cs="Arial" w:eastAsia="Arial" w:hAnsi="Arial"/>
          <w:sz w:val="19"/>
          <w:szCs w:val="19"/>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96" w:name="page697"/>
    <w:bookmarkEnd w:id="696"/>
    <w:p>
      <w:pPr>
        <w:jc w:val="both"/>
        <w:spacing w:after="0" w:line="265" w:lineRule="auto"/>
        <w:rPr>
          <w:sz w:val="20"/>
          <w:szCs w:val="20"/>
          <w:color w:val="auto"/>
        </w:rPr>
      </w:pPr>
      <w:r>
        <w:rPr>
          <w:rFonts w:ascii="Arial" w:cs="Arial" w:eastAsia="Arial" w:hAnsi="Arial"/>
          <w:sz w:val="21"/>
          <w:szCs w:val="21"/>
          <w:color w:val="auto"/>
        </w:rPr>
        <w:t>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69" w:lineRule="exact"/>
        <w:rPr>
          <w:sz w:val="20"/>
          <w:szCs w:val="20"/>
          <w:color w:val="auto"/>
        </w:rPr>
      </w:pPr>
    </w:p>
    <w:p>
      <w:pPr>
        <w:jc w:val="both"/>
        <w:ind w:firstLine="656"/>
        <w:spacing w:after="0" w:line="287" w:lineRule="auto"/>
        <w:tabs>
          <w:tab w:leader="none" w:pos="1296" w:val="left"/>
        </w:tabs>
        <w:numPr>
          <w:ilvl w:val="0"/>
          <w:numId w:val="686"/>
        </w:numPr>
        <w:rPr>
          <w:rFonts w:ascii="Arial" w:cs="Arial" w:eastAsia="Arial" w:hAnsi="Arial"/>
          <w:sz w:val="19"/>
          <w:szCs w:val="19"/>
          <w:color w:val="auto"/>
        </w:rPr>
      </w:pPr>
      <w:r>
        <w:rPr>
          <w:rFonts w:ascii="Arial" w:cs="Arial" w:eastAsia="Arial" w:hAnsi="Arial"/>
          <w:sz w:val="19"/>
          <w:szCs w:val="19"/>
          <w:b w:val="1"/>
          <w:bCs w:val="1"/>
          <w:color w:val="auto"/>
        </w:rPr>
        <w:t>Additional Employment Provisions</w:t>
      </w:r>
      <w:r>
        <w:rPr>
          <w:rFonts w:ascii="Arial" w:cs="Arial" w:eastAsia="Arial" w:hAnsi="Arial"/>
          <w:sz w:val="19"/>
          <w:szCs w:val="19"/>
          <w:color w:val="auto"/>
        </w:rPr>
        <w:t>. During the term of your employment with the Company, you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Confidentiality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53" w:lineRule="exact"/>
        <w:rPr>
          <w:rFonts w:ascii="Arial" w:cs="Arial" w:eastAsia="Arial" w:hAnsi="Arial"/>
          <w:sz w:val="19"/>
          <w:szCs w:val="19"/>
          <w:color w:val="auto"/>
        </w:rPr>
      </w:pPr>
    </w:p>
    <w:p>
      <w:pPr>
        <w:jc w:val="both"/>
        <w:ind w:firstLine="656"/>
        <w:spacing w:after="0" w:line="286" w:lineRule="auto"/>
        <w:tabs>
          <w:tab w:leader="none" w:pos="1450" w:val="left"/>
        </w:tabs>
        <w:numPr>
          <w:ilvl w:val="0"/>
          <w:numId w:val="686"/>
        </w:numPr>
        <w:rPr>
          <w:rFonts w:ascii="Arial" w:cs="Arial" w:eastAsia="Arial" w:hAnsi="Arial"/>
          <w:sz w:val="19"/>
          <w:szCs w:val="19"/>
          <w:color w:val="auto"/>
        </w:rPr>
      </w:pPr>
      <w:r>
        <w:rPr>
          <w:rFonts w:ascii="Arial" w:cs="Arial" w:eastAsia="Arial" w:hAnsi="Arial"/>
          <w:sz w:val="19"/>
          <w:szCs w:val="19"/>
          <w:b w:val="1"/>
          <w:bCs w:val="1"/>
          <w:color w:val="auto"/>
        </w:rPr>
        <w:t>Protected Activity Not Prohibited</w:t>
      </w:r>
      <w:r>
        <w:rPr>
          <w:rFonts w:ascii="Arial" w:cs="Arial" w:eastAsia="Arial" w:hAnsi="Arial"/>
          <w:sz w:val="19"/>
          <w:szCs w:val="19"/>
          <w:color w:val="auto"/>
        </w:rPr>
        <w:t>. Notwithstanding any contrary provision of the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Agreement, nothing in this Agreement, or the Confidentiality Agreement will prohibit or impede you from engaging in any Protected Activity. For purposes of this Agreement, “</w:t>
      </w:r>
      <w:r>
        <w:rPr>
          <w:rFonts w:ascii="Arial" w:cs="Arial" w:eastAsia="Arial" w:hAnsi="Arial"/>
          <w:sz w:val="19"/>
          <w:szCs w:val="19"/>
          <w:b w:val="1"/>
          <w:bCs w:val="1"/>
          <w:color w:val="auto"/>
        </w:rPr>
        <w:t>Protected Activity</w:t>
      </w:r>
      <w:r>
        <w:rPr>
          <w:rFonts w:ascii="Arial" w:cs="Arial" w:eastAsia="Arial" w:hAnsi="Arial"/>
          <w:sz w:val="19"/>
          <w:szCs w:val="19"/>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 that</w:t>
      </w:r>
      <w:r>
        <w:rPr>
          <w:rFonts w:ascii="Arial" w:cs="Arial" w:eastAsia="Arial" w:hAnsi="Arial"/>
          <w:sz w:val="19"/>
          <w:szCs w:val="19"/>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Arial" w:cs="Arial" w:eastAsia="Arial" w:hAnsi="Arial"/>
          <w:sz w:val="19"/>
          <w:szCs w:val="19"/>
          <w:b w:val="1"/>
          <w:bCs w:val="1"/>
          <w:color w:val="auto"/>
        </w:rPr>
        <w:t>Confidential Information Agreement</w:t>
      </w:r>
      <w:r>
        <w:rPr>
          <w:rFonts w:ascii="Arial" w:cs="Arial" w:eastAsia="Arial" w:hAnsi="Arial"/>
          <w:sz w:val="19"/>
          <w:szCs w:val="19"/>
          <w:color w:val="auto"/>
        </w:rPr>
        <w:t>”) to any parties other than the Governmental Entities. You further understand that Protected Activity does not include disclosure of any Company attorney-client privileged communications or attorney work product. Any language in the Confidentiality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97" w:name="page698"/>
    <w:bookmarkEnd w:id="697"/>
    <w:p>
      <w:pPr>
        <w:jc w:val="both"/>
        <w:spacing w:after="0" w:line="245" w:lineRule="auto"/>
        <w:rPr>
          <w:sz w:val="20"/>
          <w:szCs w:val="20"/>
          <w:color w:val="auto"/>
        </w:rPr>
      </w:pPr>
      <w:r>
        <w:rPr>
          <w:rFonts w:ascii="Arial" w:cs="Arial" w:eastAsia="Arial" w:hAnsi="Arial"/>
          <w:sz w:val="22"/>
          <w:szCs w:val="22"/>
          <w:color w:val="auto"/>
        </w:rPr>
        <w:t>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4" w:lineRule="exact"/>
        <w:rPr>
          <w:sz w:val="20"/>
          <w:szCs w:val="20"/>
          <w:color w:val="auto"/>
        </w:rPr>
      </w:pPr>
    </w:p>
    <w:p>
      <w:pPr>
        <w:jc w:val="both"/>
        <w:ind w:firstLine="656"/>
        <w:spacing w:after="0" w:line="261" w:lineRule="auto"/>
        <w:tabs>
          <w:tab w:leader="none" w:pos="1174" w:val="left"/>
        </w:tabs>
        <w:numPr>
          <w:ilvl w:val="0"/>
          <w:numId w:val="687"/>
        </w:numPr>
        <w:rPr>
          <w:rFonts w:ascii="Arial" w:cs="Arial" w:eastAsia="Arial" w:hAnsi="Arial"/>
          <w:sz w:val="21"/>
          <w:szCs w:val="21"/>
          <w:color w:val="auto"/>
        </w:rPr>
      </w:pPr>
      <w:r>
        <w:rPr>
          <w:rFonts w:ascii="Arial" w:cs="Arial" w:eastAsia="Arial" w:hAnsi="Arial"/>
          <w:sz w:val="21"/>
          <w:szCs w:val="21"/>
          <w:b w:val="1"/>
          <w:bCs w:val="1"/>
          <w:color w:val="auto"/>
        </w:rPr>
        <w:t>Representation by Counsel</w:t>
      </w:r>
      <w:r>
        <w:rPr>
          <w:rFonts w:ascii="Arial" w:cs="Arial" w:eastAsia="Arial" w:hAnsi="Arial"/>
          <w:sz w:val="21"/>
          <w:szCs w:val="21"/>
          <w:color w:val="auto"/>
        </w:rPr>
        <w:t>. You acknowledge that Wilson Sonsini Goodrich &amp; Rosati, Professional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is representing only the Company in the negotiation of this Agreement. You acknowledge that you have had the opportunity to review this Agreement and the transactions contemplated by this Agreement with your own legal counsel, tax advisors and other advisors. You are relying solely on your own counsel and advisors and not on any statements or representations of the Company or its agents for legal or other advice with respect to the transactions contemplated by this Agreement. If an ambiguity exists with respect to any provision of this Agreement, such provision shall not be construed against any party because such party or such party’s representatives drafted such provision.</w:t>
      </w:r>
    </w:p>
    <w:p>
      <w:pPr>
        <w:spacing w:after="0" w:line="173" w:lineRule="exact"/>
        <w:rPr>
          <w:rFonts w:ascii="Arial" w:cs="Arial" w:eastAsia="Arial" w:hAnsi="Arial"/>
          <w:sz w:val="21"/>
          <w:szCs w:val="21"/>
          <w:color w:val="auto"/>
        </w:rPr>
      </w:pPr>
    </w:p>
    <w:p>
      <w:pPr>
        <w:jc w:val="both"/>
        <w:ind w:firstLine="656"/>
        <w:spacing w:after="0" w:line="295" w:lineRule="auto"/>
        <w:tabs>
          <w:tab w:leader="none" w:pos="1269" w:val="left"/>
        </w:tabs>
        <w:numPr>
          <w:ilvl w:val="0"/>
          <w:numId w:val="687"/>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This Agreement, together with the Confidentiality Agreement, and the Change in Control and</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Agreement between you and the Company dated on or about the date hereof,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conflicts of law provision. This Agreement may be modified only by a written agreement signed by a duly authorized officer of the Company (other than yourself) and you.</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98" w:name="page699"/>
    <w:bookmarkEnd w:id="698"/>
    <w:p>
      <w:pPr>
        <w:ind w:firstLine="648"/>
        <w:spacing w:after="0" w:line="263" w:lineRule="auto"/>
        <w:rPr>
          <w:sz w:val="20"/>
          <w:szCs w:val="20"/>
          <w:color w:val="auto"/>
        </w:rPr>
      </w:pPr>
      <w:r>
        <w:rPr>
          <w:rFonts w:ascii="Arial" w:cs="Arial" w:eastAsia="Arial" w:hAnsi="Arial"/>
          <w:sz w:val="22"/>
          <w:szCs w:val="22"/>
          <w:color w:val="auto"/>
        </w:rPr>
        <w:t>To confirm the terms and conditions of your employment with the Company, please sign and date in the spaces indicated and return this Agreement to me.</w:t>
      </w:r>
    </w:p>
    <w:p>
      <w:pPr>
        <w:spacing w:after="0" w:line="200" w:lineRule="exact"/>
        <w:rPr>
          <w:sz w:val="20"/>
          <w:szCs w:val="20"/>
          <w:color w:val="auto"/>
        </w:rPr>
      </w:pPr>
    </w:p>
    <w:p>
      <w:pPr>
        <w:spacing w:after="0" w:line="245"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NAUTILUS BIOTECHNOLOGY, INC.</w:t>
      </w:r>
    </w:p>
    <w:p>
      <w:pPr>
        <w:spacing w:after="0" w:line="200" w:lineRule="exact"/>
        <w:rPr>
          <w:sz w:val="20"/>
          <w:szCs w:val="20"/>
          <w:color w:val="auto"/>
        </w:rPr>
      </w:pPr>
    </w:p>
    <w:p>
      <w:pPr>
        <w:spacing w:after="0" w:line="398" w:lineRule="exact"/>
        <w:rPr>
          <w:sz w:val="20"/>
          <w:szCs w:val="20"/>
          <w:color w:val="auto"/>
        </w:rPr>
      </w:pPr>
    </w:p>
    <w:p>
      <w:pPr>
        <w:ind w:left="6120"/>
        <w:spacing w:after="0"/>
        <w:tabs>
          <w:tab w:leader="none" w:pos="6720" w:val="left"/>
        </w:tabs>
        <w:rPr>
          <w:sz w:val="20"/>
          <w:szCs w:val="20"/>
          <w:color w:val="auto"/>
        </w:rPr>
      </w:pPr>
      <w:r>
        <w:rPr>
          <w:rFonts w:ascii="Arial" w:cs="Arial" w:eastAsia="Arial" w:hAnsi="Arial"/>
          <w:sz w:val="22"/>
          <w:szCs w:val="22"/>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24130</wp:posOffset>
            </wp:positionV>
            <wp:extent cx="287147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1"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Sujal Patel</w:t>
      </w:r>
    </w:p>
    <w:p>
      <w:pPr>
        <w:spacing w:after="0" w:line="5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Chief Executive Officer</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to and accepted:</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Matt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2011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Matt Murphy</w:t>
      </w:r>
    </w:p>
    <w:p>
      <w:pPr>
        <w:spacing w:after="0" w:line="328"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April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24130</wp:posOffset>
            </wp:positionV>
            <wp:extent cx="282003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Confirmatory Employment Letter]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28" w:right="339" w:bottom="1440" w:gutter="0" w:footer="0" w:header="0"/>
          <w:type w:val="continuous"/>
        </w:sectPr>
      </w:pPr>
    </w:p>
    <w:bookmarkStart w:id="699" w:name="page700"/>
    <w:bookmarkEnd w:id="699"/>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Sujal Patel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14" w:lineRule="exact"/>
        <w:rPr>
          <w:sz w:val="20"/>
          <w:szCs w:val="20"/>
          <w:color w:val="auto"/>
        </w:rPr>
      </w:pPr>
    </w:p>
    <w:p>
      <w:pPr>
        <w:jc w:val="both"/>
        <w:ind w:firstLine="656"/>
        <w:spacing w:after="0" w:line="291" w:lineRule="auto"/>
        <w:tabs>
          <w:tab w:leader="none" w:pos="1053" w:val="left"/>
        </w:tabs>
        <w:numPr>
          <w:ilvl w:val="0"/>
          <w:numId w:val="688"/>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688"/>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688"/>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w:t>
      </w:r>
    </w:p>
    <w:p>
      <w:pPr>
        <w:sectPr>
          <w:pgSz w:w="11900" w:h="16838" w:orient="portrait"/>
          <w:cols w:equalWidth="0" w:num="1">
            <w:col w:w="11240"/>
          </w:cols>
          <w:pgMar w:left="320" w:top="122" w:right="339" w:bottom="1440" w:gutter="0" w:footer="0" w:header="0"/>
        </w:sectPr>
      </w:pPr>
    </w:p>
    <w:bookmarkStart w:id="700" w:name="page701"/>
    <w:bookmarkEnd w:id="700"/>
    <w:p>
      <w:pPr>
        <w:jc w:val="both"/>
        <w:spacing w:after="0" w:line="262" w:lineRule="auto"/>
        <w:rPr>
          <w:sz w:val="20"/>
          <w:szCs w:val="20"/>
          <w:color w:val="auto"/>
        </w:rPr>
      </w:pPr>
      <w:r>
        <w:rPr>
          <w:rFonts w:ascii="Arial" w:cs="Arial" w:eastAsia="Arial" w:hAnsi="Arial"/>
          <w:sz w:val="21"/>
          <w:szCs w:val="21"/>
          <w:color w:val="auto"/>
        </w:rPr>
        <w:t>amended (“</w:t>
      </w:r>
      <w:r>
        <w:rPr>
          <w:rFonts w:ascii="Arial" w:cs="Arial" w:eastAsia="Arial" w:hAnsi="Arial"/>
          <w:sz w:val="21"/>
          <w:szCs w:val="21"/>
          <w:b w:val="1"/>
          <w:bCs w:val="1"/>
          <w:color w:val="auto"/>
        </w:rPr>
        <w:t>COBRA</w:t>
      </w:r>
      <w:r>
        <w:rPr>
          <w:rFonts w:ascii="Arial" w:cs="Arial" w:eastAsia="Arial" w:hAnsi="Arial"/>
          <w:sz w:val="21"/>
          <w:szCs w:val="21"/>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fifty percent (150%)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of Executive’s Salary.</w:t>
      </w:r>
    </w:p>
    <w:p>
      <w:pPr>
        <w:spacing w:after="0" w:line="196"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b w:val="1"/>
          <w:bCs w:val="1"/>
          <w:color w:val="auto"/>
        </w:rPr>
        <w:t>Target Bonus Severance</w:t>
      </w:r>
      <w:r>
        <w:rPr>
          <w:rFonts w:ascii="Arial" w:cs="Arial" w:eastAsia="Arial" w:hAnsi="Arial"/>
          <w:sz w:val="19"/>
          <w:szCs w:val="19"/>
          <w:color w:val="auto"/>
        </w:rPr>
        <w:t>. A single, lump sum, cash payment equal to one hundred fifty percent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(150%) of Executive’s Target Bonus.</w:t>
      </w:r>
    </w:p>
    <w:p>
      <w:pPr>
        <w:spacing w:after="0" w:line="196"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eighteen (18)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701" w:name="page702"/>
    <w:bookmarkEnd w:id="701"/>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689"/>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689"/>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Payment Timing</w:t>
      </w:r>
      <w:r>
        <w:rPr>
          <w:rFonts w:ascii="Arial" w:cs="Arial" w:eastAsia="Arial" w:hAnsi="Arial"/>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22"/>
          <w:szCs w:val="22"/>
          <w:b w:val="1"/>
          <w:bCs w:val="1"/>
          <w:color w:val="auto"/>
        </w:rPr>
        <w:t>Full Value Awards</w:t>
      </w:r>
      <w:r>
        <w:rPr>
          <w:rFonts w:ascii="Arial" w:cs="Arial" w:eastAsia="Arial" w:hAnsi="Arial"/>
          <w:sz w:val="22"/>
          <w:szCs w:val="22"/>
          <w:color w:val="auto"/>
        </w:rPr>
        <w:t>”) that accelerate vesting under Section 3.2.4 will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02" w:name="page703"/>
    <w:bookmarkEnd w:id="702"/>
    <w:p>
      <w:pPr>
        <w:jc w:val="both"/>
        <w:spacing w:after="0" w:line="297" w:lineRule="auto"/>
        <w:rPr>
          <w:sz w:val="20"/>
          <w:szCs w:val="20"/>
          <w:color w:val="auto"/>
        </w:rPr>
      </w:pPr>
      <w:r>
        <w:rPr>
          <w:rFonts w:ascii="Arial" w:cs="Arial" w:eastAsia="Arial" w:hAnsi="Arial"/>
          <w:sz w:val="19"/>
          <w:szCs w:val="19"/>
          <w:color w:val="auto"/>
        </w:rPr>
        <w:t>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4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03" w:name="page704"/>
    <w:bookmarkEnd w:id="703"/>
    <w:p>
      <w:pPr>
        <w:jc w:val="both"/>
        <w:spacing w:after="0" w:line="252" w:lineRule="auto"/>
        <w:rPr>
          <w:sz w:val="20"/>
          <w:szCs w:val="20"/>
          <w:color w:val="auto"/>
        </w:rPr>
      </w:pPr>
      <w:r>
        <w:rPr>
          <w:rFonts w:ascii="Arial" w:cs="Arial" w:eastAsia="Arial" w:hAnsi="Arial"/>
          <w:sz w:val="22"/>
          <w:szCs w:val="22"/>
          <w:color w:val="auto"/>
        </w:rPr>
        <w:t>Section 409A (together, the “</w:t>
      </w:r>
      <w:r>
        <w:rPr>
          <w:rFonts w:ascii="Arial" w:cs="Arial" w:eastAsia="Arial" w:hAnsi="Arial"/>
          <w:sz w:val="22"/>
          <w:szCs w:val="22"/>
          <w:b w:val="1"/>
          <w:bCs w:val="1"/>
          <w:color w:val="auto"/>
        </w:rPr>
        <w:t>Deferred Payments</w:t>
      </w:r>
      <w:r>
        <w:rPr>
          <w:rFonts w:ascii="Arial" w:cs="Arial" w:eastAsia="Arial" w:hAnsi="Arial"/>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6"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75"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690"/>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ind w:left="300" w:hanging="292"/>
        <w:spacing w:after="0"/>
        <w:tabs>
          <w:tab w:leader="none" w:pos="300" w:val="left"/>
        </w:tabs>
        <w:numPr>
          <w:ilvl w:val="0"/>
          <w:numId w:val="691"/>
        </w:numPr>
        <w:rPr>
          <w:rFonts w:ascii="Arial" w:cs="Arial" w:eastAsia="Arial" w:hAnsi="Arial"/>
          <w:sz w:val="21"/>
          <w:szCs w:val="21"/>
          <w:color w:val="auto"/>
        </w:rPr>
      </w:pPr>
      <w:r>
        <w:rPr>
          <w:rFonts w:ascii="Arial" w:cs="Arial" w:eastAsia="Arial" w:hAnsi="Arial"/>
          <w:sz w:val="21"/>
          <w:szCs w:val="21"/>
          <w:color w:val="auto"/>
        </w:rPr>
        <w:t>constitute a “parachute payment” within the meaning of Section 280G of the Code and (b) but for this sentence,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704" w:name="page705"/>
    <w:bookmarkEnd w:id="704"/>
    <w:p>
      <w:pPr>
        <w:jc w:val="both"/>
        <w:spacing w:after="0" w:line="285" w:lineRule="auto"/>
        <w:rPr>
          <w:sz w:val="20"/>
          <w:szCs w:val="20"/>
          <w:color w:val="auto"/>
        </w:rPr>
      </w:pPr>
      <w:r>
        <w:rPr>
          <w:rFonts w:ascii="Arial" w:cs="Arial" w:eastAsia="Arial" w:hAnsi="Arial"/>
          <w:sz w:val="19"/>
          <w:szCs w:val="19"/>
          <w:color w:val="auto"/>
        </w:rPr>
        <w:t>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692"/>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705" w:name="page706"/>
    <w:bookmarkEnd w:id="705"/>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Board; (b) Executive’s failure or refusal to comply with the policies, standards and regulations established by the Company from time to time, which failure is not cured to the sole and reasonable satisfaction of the Board; (c) any act of personal dishonesty, moral turpitude, fraud, embezzlement, misrepresentation, or other unlawful act committed by Executive that results in harm to the Company or its affiliates, including financial or reputational, which harm will be determined in the Board’s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Board, in its sole and reasonable discretion. With respect to clauses (a) and (b) above only, Executive will have ten (10) days to cure following written notice of Executive’s failure or refusal to perform or comply, provided that whether the failure is curable will be within the Board’s sole and reasonable discretion.</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7.4.2. </w:t>
      </w:r>
      <w:r>
        <w:rPr>
          <w:rFonts w:ascii="Arial" w:cs="Arial" w:eastAsia="Arial" w:hAnsi="Arial"/>
          <w:sz w:val="22"/>
          <w:szCs w:val="22"/>
          <w:b w:val="1"/>
          <w:bCs w:val="1"/>
          <w:color w:val="auto"/>
        </w:rPr>
        <w:t>Change in Effective Control of the Company</w:t>
      </w:r>
      <w:r>
        <w:rPr>
          <w:rFonts w:ascii="Arial" w:cs="Arial" w:eastAsia="Arial" w:hAnsi="Arial"/>
          <w:sz w:val="22"/>
          <w:szCs w:val="22"/>
          <w:color w:val="auto"/>
        </w:rPr>
        <w:t>. If the Company has a class of securities registered pursuant to Section 12 of the U.S.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706" w:name="page707"/>
    <w:bookmarkEnd w:id="706"/>
    <w:p>
      <w:pPr>
        <w:jc w:val="both"/>
        <w:spacing w:after="0" w:line="248" w:lineRule="auto"/>
        <w:rPr>
          <w:sz w:val="20"/>
          <w:szCs w:val="20"/>
          <w:color w:val="auto"/>
        </w:rPr>
      </w:pPr>
      <w:r>
        <w:rPr>
          <w:rFonts w:ascii="Arial" w:cs="Arial" w:eastAsia="Arial" w:hAnsi="Arial"/>
          <w:sz w:val="22"/>
          <w:szCs w:val="22"/>
          <w:color w:val="auto"/>
        </w:rPr>
        <w:t>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86"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07" w:name="page708"/>
    <w:bookmarkEnd w:id="707"/>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January 12, 2017.</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18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08" w:name="page709"/>
    <w:bookmarkEnd w:id="708"/>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656"/>
        <w:spacing w:after="0" w:line="258" w:lineRule="auto"/>
        <w:tabs>
          <w:tab w:leader="none" w:pos="1134" w:val="left"/>
        </w:tabs>
        <w:numPr>
          <w:ilvl w:val="0"/>
          <w:numId w:val="693"/>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709" w:name="page710"/>
    <w:bookmarkEnd w:id="709"/>
    <w:p>
      <w:pPr>
        <w:ind w:left="1040" w:hanging="384"/>
        <w:spacing w:after="0"/>
        <w:tabs>
          <w:tab w:leader="none" w:pos="1040" w:val="left"/>
        </w:tabs>
        <w:numPr>
          <w:ilvl w:val="0"/>
          <w:numId w:val="694"/>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Board Chair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695"/>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0"/>
          <w:numId w:val="695"/>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10" w:name="page711"/>
    <w:bookmarkEnd w:id="710"/>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Confidentiality Agreement, Executive’s confirmatory employment letter with the Company dated on our about the date hereof, and the Company’s 2017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7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11" w:name="page712"/>
    <w:bookmarkEnd w:id="711"/>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58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321"/>
        </w:trPr>
        <w:tc>
          <w:tcPr>
            <w:tcW w:w="54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Matthew Posard</w:t>
            </w:r>
          </w:p>
        </w:tc>
      </w:tr>
      <w:tr>
        <w:trPr>
          <w:trHeight w:val="293"/>
        </w:trPr>
        <w:tc>
          <w:tcPr>
            <w:tcW w:w="5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Matthew Posard</w:t>
            </w:r>
          </w:p>
        </w:tc>
      </w:tr>
      <w:tr>
        <w:trPr>
          <w:trHeight w:val="591"/>
        </w:trPr>
        <w:tc>
          <w:tcPr>
            <w:tcW w:w="54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Chairman of the Board</w:t>
            </w:r>
          </w:p>
        </w:tc>
      </w:tr>
      <w:tr>
        <w:trPr>
          <w:trHeight w:val="304"/>
        </w:trPr>
        <w:tc>
          <w:tcPr>
            <w:tcW w:w="54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Date: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6, 2021</w:t>
            </w:r>
          </w:p>
        </w:tc>
      </w:tr>
      <w:tr>
        <w:trPr>
          <w:trHeight w:val="561"/>
        </w:trPr>
        <w:tc>
          <w:tcPr>
            <w:tcW w:w="54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58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Sujal Patel</w:t>
            </w:r>
          </w:p>
        </w:tc>
      </w:tr>
      <w:tr>
        <w:trPr>
          <w:trHeight w:val="293"/>
        </w:trPr>
        <w:tc>
          <w:tcPr>
            <w:tcW w:w="540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Arial" w:cs="Arial" w:eastAsia="Arial" w:hAnsi="Arial"/>
                <w:sz w:val="22"/>
                <w:szCs w:val="22"/>
                <w:color w:val="auto"/>
              </w:rPr>
              <w:t>Sujal Patel</w:t>
            </w:r>
          </w:p>
        </w:tc>
      </w:tr>
      <w:tr>
        <w:trPr>
          <w:trHeight w:val="591"/>
        </w:trPr>
        <w:tc>
          <w:tcPr>
            <w:tcW w:w="54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Date: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12" w:name="page713"/>
    <w:bookmarkEnd w:id="712"/>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Anna Mowry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14" w:lineRule="exact"/>
        <w:rPr>
          <w:sz w:val="20"/>
          <w:szCs w:val="20"/>
          <w:color w:val="auto"/>
        </w:rPr>
      </w:pPr>
    </w:p>
    <w:p>
      <w:pPr>
        <w:jc w:val="both"/>
        <w:ind w:firstLine="656"/>
        <w:spacing w:after="0" w:line="291" w:lineRule="auto"/>
        <w:tabs>
          <w:tab w:leader="none" w:pos="1053" w:val="left"/>
        </w:tabs>
        <w:numPr>
          <w:ilvl w:val="0"/>
          <w:numId w:val="696"/>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696"/>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696"/>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96"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 amended (“</w:t>
      </w:r>
      <w:r>
        <w:rPr>
          <w:rFonts w:ascii="Arial" w:cs="Arial" w:eastAsia="Arial" w:hAnsi="Arial"/>
          <w:sz w:val="22"/>
          <w:szCs w:val="22"/>
          <w:b w:val="1"/>
          <w:bCs w:val="1"/>
          <w:color w:val="auto"/>
        </w:rPr>
        <w:t>COBRA</w:t>
      </w:r>
      <w:r>
        <w:rPr>
          <w:rFonts w:ascii="Arial" w:cs="Arial" w:eastAsia="Arial" w:hAnsi="Arial"/>
          <w:sz w:val="22"/>
          <w:szCs w:val="22"/>
          <w:color w:val="auto"/>
        </w:rPr>
        <w:t>”) and further subject to Section 5.3, the Company will pay the employer portion of the premiums required</w:t>
      </w:r>
    </w:p>
    <w:p>
      <w:pPr>
        <w:sectPr>
          <w:pgSz w:w="11900" w:h="16838" w:orient="portrait"/>
          <w:cols w:equalWidth="0" w:num="1">
            <w:col w:w="11240"/>
          </w:cols>
          <w:pgMar w:left="320" w:top="122" w:right="339" w:bottom="1440" w:gutter="0" w:footer="0" w:header="0"/>
        </w:sectPr>
      </w:pPr>
    </w:p>
    <w:bookmarkStart w:id="713" w:name="page714"/>
    <w:bookmarkEnd w:id="713"/>
    <w:p>
      <w:pPr>
        <w:jc w:val="both"/>
        <w:spacing w:after="0" w:line="263" w:lineRule="auto"/>
        <w:rPr>
          <w:sz w:val="20"/>
          <w:szCs w:val="20"/>
          <w:color w:val="auto"/>
        </w:rPr>
      </w:pPr>
      <w:r>
        <w:rPr>
          <w:rFonts w:ascii="Arial" w:cs="Arial" w:eastAsia="Arial" w:hAnsi="Arial"/>
          <w:sz w:val="21"/>
          <w:szCs w:val="21"/>
          <w:color w:val="auto"/>
        </w:rPr>
        <w:t>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62"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5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14" w:name="page715"/>
    <w:bookmarkEnd w:id="714"/>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697"/>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697"/>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Payment Timing</w:t>
      </w:r>
      <w:r>
        <w:rPr>
          <w:rFonts w:ascii="Arial" w:cs="Arial" w:eastAsia="Arial" w:hAnsi="Arial"/>
          <w:sz w:val="19"/>
          <w:szCs w:val="19"/>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19"/>
          <w:szCs w:val="19"/>
          <w:b w:val="1"/>
          <w:bCs w:val="1"/>
          <w:color w:val="auto"/>
        </w:rPr>
        <w:t>Full Value Awards</w:t>
      </w:r>
      <w:r>
        <w:rPr>
          <w:rFonts w:ascii="Arial" w:cs="Arial" w:eastAsia="Arial" w:hAnsi="Arial"/>
          <w:sz w:val="19"/>
          <w:szCs w:val="19"/>
          <w:color w:val="auto"/>
        </w:rPr>
        <w:t>”) that accelerate vesting under Section 3.2.4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15" w:name="page716"/>
    <w:bookmarkEnd w:id="715"/>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54"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716" w:name="page717"/>
    <w:bookmarkEnd w:id="716"/>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698"/>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jc w:val="both"/>
        <w:ind w:firstLine="8"/>
        <w:spacing w:after="0" w:line="285" w:lineRule="auto"/>
        <w:tabs>
          <w:tab w:leader="none" w:pos="300" w:val="left"/>
        </w:tabs>
        <w:numPr>
          <w:ilvl w:val="0"/>
          <w:numId w:val="699"/>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17" w:name="page718"/>
    <w:bookmarkEnd w:id="717"/>
    <w:p>
      <w:pPr>
        <w:jc w:val="both"/>
        <w:spacing w:after="0" w:line="290" w:lineRule="auto"/>
        <w:rPr>
          <w:sz w:val="20"/>
          <w:szCs w:val="20"/>
          <w:color w:val="auto"/>
        </w:rPr>
      </w:pPr>
      <w:r>
        <w:rPr>
          <w:rFonts w:ascii="Arial" w:cs="Arial" w:eastAsia="Arial" w:hAnsi="Arial"/>
          <w:sz w:val="19"/>
          <w:szCs w:val="19"/>
          <w:color w:val="auto"/>
        </w:rPr>
        <w:t>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5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700"/>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18" w:name="page719"/>
    <w:bookmarkEnd w:id="718"/>
    <w:p>
      <w:pPr>
        <w:jc w:val="both"/>
        <w:spacing w:after="0" w:line="263" w:lineRule="auto"/>
        <w:rPr>
          <w:sz w:val="20"/>
          <w:szCs w:val="20"/>
          <w:color w:val="auto"/>
        </w:rPr>
      </w:pPr>
      <w:r>
        <w:rPr>
          <w:rFonts w:ascii="Arial" w:cs="Arial" w:eastAsia="Arial" w:hAnsi="Arial"/>
          <w:sz w:val="22"/>
          <w:szCs w:val="22"/>
          <w:color w:val="auto"/>
        </w:rPr>
        <w:t>following written notice of Executive’s failure or refusal to perform or comply, provided that whether the failure is curable will be within the Company’s sole and reasonable discretion.</w:t>
      </w:r>
    </w:p>
    <w:p>
      <w:pPr>
        <w:spacing w:after="0" w:line="16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95" w:lineRule="auto"/>
        <w:rPr>
          <w:sz w:val="20"/>
          <w:szCs w:val="20"/>
          <w:color w:val="auto"/>
        </w:rPr>
      </w:pPr>
      <w:r>
        <w:rPr>
          <w:rFonts w:ascii="Arial" w:cs="Arial" w:eastAsia="Arial" w:hAnsi="Arial"/>
          <w:sz w:val="19"/>
          <w:szCs w:val="19"/>
          <w:color w:val="auto"/>
        </w:rPr>
        <w:t xml:space="preserve">7.4.2. </w:t>
      </w:r>
      <w:r>
        <w:rPr>
          <w:rFonts w:ascii="Arial" w:cs="Arial" w:eastAsia="Arial" w:hAnsi="Arial"/>
          <w:sz w:val="19"/>
          <w:szCs w:val="19"/>
          <w:b w:val="1"/>
          <w:bCs w:val="1"/>
          <w:color w:val="auto"/>
        </w:rPr>
        <w:t>Change in Effective Control of the Company</w:t>
      </w:r>
      <w:r>
        <w:rPr>
          <w:rFonts w:ascii="Arial" w:cs="Arial" w:eastAsia="Arial" w:hAnsi="Arial"/>
          <w:sz w:val="19"/>
          <w:szCs w:val="19"/>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44"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19" w:name="page720"/>
    <w:bookmarkEnd w:id="719"/>
    <w:p>
      <w:pPr>
        <w:jc w:val="both"/>
        <w:spacing w:after="0" w:line="297" w:lineRule="auto"/>
        <w:rPr>
          <w:sz w:val="20"/>
          <w:szCs w:val="20"/>
          <w:color w:val="auto"/>
        </w:rPr>
      </w:pPr>
      <w:r>
        <w:rPr>
          <w:rFonts w:ascii="Arial" w:cs="Arial" w:eastAsia="Arial" w:hAnsi="Arial"/>
          <w:sz w:val="19"/>
          <w:szCs w:val="19"/>
          <w:color w:val="auto"/>
        </w:rPr>
        <w:t>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14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13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January 10, 2021.</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20" w:name="page721"/>
    <w:bookmarkEnd w:id="720"/>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21" w:name="page722"/>
    <w:bookmarkEnd w:id="721"/>
    <w:p>
      <w:pPr>
        <w:spacing w:after="0" w:line="263" w:lineRule="auto"/>
        <w:rPr>
          <w:sz w:val="20"/>
          <w:szCs w:val="20"/>
          <w:color w:val="auto"/>
        </w:rPr>
      </w:pPr>
      <w:r>
        <w:rPr>
          <w:rFonts w:ascii="Arial" w:cs="Arial" w:eastAsia="Arial" w:hAnsi="Arial"/>
          <w:sz w:val="22"/>
          <w:szCs w:val="22"/>
          <w:color w:val="auto"/>
        </w:rPr>
        <w:t>Executive and subject to continued service-based vesting criteria, but not subject to the achievement of any performance-based or other similar vesting criteria.</w:t>
      </w:r>
    </w:p>
    <w:p>
      <w:pPr>
        <w:spacing w:after="0" w:line="169" w:lineRule="exact"/>
        <w:rPr>
          <w:sz w:val="20"/>
          <w:szCs w:val="20"/>
          <w:color w:val="auto"/>
        </w:rPr>
      </w:pPr>
    </w:p>
    <w:p>
      <w:pPr>
        <w:jc w:val="both"/>
        <w:ind w:firstLine="656"/>
        <w:spacing w:after="0" w:line="258" w:lineRule="auto"/>
        <w:tabs>
          <w:tab w:leader="none" w:pos="1134" w:val="left"/>
        </w:tabs>
        <w:numPr>
          <w:ilvl w:val="0"/>
          <w:numId w:val="701"/>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rFonts w:ascii="Arial" w:cs="Arial" w:eastAsia="Arial" w:hAnsi="Arial"/>
          <w:sz w:val="21"/>
          <w:szCs w:val="21"/>
          <w:color w:val="auto"/>
        </w:rPr>
      </w:pPr>
    </w:p>
    <w:p>
      <w:pPr>
        <w:ind w:left="1040" w:hanging="384"/>
        <w:spacing w:after="0"/>
        <w:tabs>
          <w:tab w:leader="none" w:pos="1040" w:val="left"/>
        </w:tabs>
        <w:numPr>
          <w:ilvl w:val="0"/>
          <w:numId w:val="701"/>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702"/>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22" w:name="page723"/>
    <w:bookmarkEnd w:id="722"/>
    <w:p>
      <w:pPr>
        <w:ind w:left="1140" w:hanging="484"/>
        <w:spacing w:after="0"/>
        <w:tabs>
          <w:tab w:leader="none" w:pos="1140" w:val="left"/>
        </w:tabs>
        <w:numPr>
          <w:ilvl w:val="0"/>
          <w:numId w:val="703"/>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Confidentiality Agreement, Executive’s confirmatory employment letter with the Company dated on or about the date hereof, and the Company’s 2017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offer letter entered into with the Company dated October 21, 2020.</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23" w:name="page724"/>
    <w:bookmarkEnd w:id="723"/>
    <w:p>
      <w:pPr>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58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Sujal Patel</w:t>
            </w:r>
          </w:p>
        </w:tc>
      </w:tr>
      <w:tr>
        <w:trPr>
          <w:trHeight w:val="294"/>
        </w:trPr>
        <w:tc>
          <w:tcPr>
            <w:tcW w:w="5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22"/>
                <w:szCs w:val="22"/>
                <w:color w:val="auto"/>
              </w:rPr>
              <w:t>Sujal Patel</w:t>
            </w:r>
          </w:p>
        </w:tc>
      </w:tr>
      <w:tr>
        <w:trPr>
          <w:trHeight w:val="32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304"/>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6, 2021</w:t>
            </w:r>
          </w:p>
        </w:tc>
      </w:tr>
      <w:tr>
        <w:trPr>
          <w:trHeight w:val="831"/>
        </w:trPr>
        <w:tc>
          <w:tcPr>
            <w:tcW w:w="54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58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Anna Mowry</w:t>
            </w:r>
          </w:p>
        </w:tc>
      </w:tr>
      <w:tr>
        <w:trPr>
          <w:trHeight w:val="293"/>
        </w:trPr>
        <w:tc>
          <w:tcPr>
            <w:tcW w:w="540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Arial" w:cs="Arial" w:eastAsia="Arial" w:hAnsi="Arial"/>
                <w:sz w:val="22"/>
                <w:szCs w:val="22"/>
                <w:color w:val="auto"/>
              </w:rPr>
              <w:t>Anna Mowry</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24" w:name="page725"/>
    <w:bookmarkEnd w:id="724"/>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Nick Nelson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14" w:lineRule="exact"/>
        <w:rPr>
          <w:sz w:val="20"/>
          <w:szCs w:val="20"/>
          <w:color w:val="auto"/>
        </w:rPr>
      </w:pPr>
    </w:p>
    <w:p>
      <w:pPr>
        <w:jc w:val="both"/>
        <w:ind w:firstLine="656"/>
        <w:spacing w:after="0" w:line="291" w:lineRule="auto"/>
        <w:tabs>
          <w:tab w:leader="none" w:pos="1053" w:val="left"/>
        </w:tabs>
        <w:numPr>
          <w:ilvl w:val="0"/>
          <w:numId w:val="704"/>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704"/>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704"/>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96"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 amended (“</w:t>
      </w:r>
      <w:r>
        <w:rPr>
          <w:rFonts w:ascii="Arial" w:cs="Arial" w:eastAsia="Arial" w:hAnsi="Arial"/>
          <w:sz w:val="22"/>
          <w:szCs w:val="22"/>
          <w:b w:val="1"/>
          <w:bCs w:val="1"/>
          <w:color w:val="auto"/>
        </w:rPr>
        <w:t>COBRA</w:t>
      </w:r>
      <w:r>
        <w:rPr>
          <w:rFonts w:ascii="Arial" w:cs="Arial" w:eastAsia="Arial" w:hAnsi="Arial"/>
          <w:sz w:val="22"/>
          <w:szCs w:val="22"/>
          <w:color w:val="auto"/>
        </w:rPr>
        <w:t>”) and further subject to Section 5.3, the Company will pay the employer portion of the premiums required</w:t>
      </w:r>
    </w:p>
    <w:p>
      <w:pPr>
        <w:sectPr>
          <w:pgSz w:w="11900" w:h="16838" w:orient="portrait"/>
          <w:cols w:equalWidth="0" w:num="1">
            <w:col w:w="11240"/>
          </w:cols>
          <w:pgMar w:left="320" w:top="122" w:right="339" w:bottom="1440" w:gutter="0" w:footer="0" w:header="0"/>
        </w:sectPr>
      </w:pPr>
    </w:p>
    <w:bookmarkStart w:id="725" w:name="page726"/>
    <w:bookmarkEnd w:id="725"/>
    <w:p>
      <w:pPr>
        <w:jc w:val="both"/>
        <w:spacing w:after="0" w:line="263" w:lineRule="auto"/>
        <w:rPr>
          <w:sz w:val="20"/>
          <w:szCs w:val="20"/>
          <w:color w:val="auto"/>
        </w:rPr>
      </w:pPr>
      <w:r>
        <w:rPr>
          <w:rFonts w:ascii="Arial" w:cs="Arial" w:eastAsia="Arial" w:hAnsi="Arial"/>
          <w:sz w:val="21"/>
          <w:szCs w:val="21"/>
          <w:color w:val="auto"/>
        </w:rPr>
        <w:t>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6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62"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5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26" w:name="page727"/>
    <w:bookmarkEnd w:id="726"/>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705"/>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705"/>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Payment Timing</w:t>
      </w:r>
      <w:r>
        <w:rPr>
          <w:rFonts w:ascii="Arial" w:cs="Arial" w:eastAsia="Arial" w:hAnsi="Arial"/>
          <w:sz w:val="19"/>
          <w:szCs w:val="19"/>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19"/>
          <w:szCs w:val="19"/>
          <w:b w:val="1"/>
          <w:bCs w:val="1"/>
          <w:color w:val="auto"/>
        </w:rPr>
        <w:t>Full Value Awards</w:t>
      </w:r>
      <w:r>
        <w:rPr>
          <w:rFonts w:ascii="Arial" w:cs="Arial" w:eastAsia="Arial" w:hAnsi="Arial"/>
          <w:sz w:val="19"/>
          <w:szCs w:val="19"/>
          <w:color w:val="auto"/>
        </w:rPr>
        <w:t>”) that accelerate vesting under Section 3.2.4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27" w:name="page728"/>
    <w:bookmarkEnd w:id="727"/>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54"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728" w:name="page729"/>
    <w:bookmarkEnd w:id="728"/>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706"/>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jc w:val="both"/>
        <w:ind w:firstLine="8"/>
        <w:spacing w:after="0" w:line="285" w:lineRule="auto"/>
        <w:tabs>
          <w:tab w:leader="none" w:pos="300" w:val="left"/>
        </w:tabs>
        <w:numPr>
          <w:ilvl w:val="0"/>
          <w:numId w:val="707"/>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29" w:name="page730"/>
    <w:bookmarkEnd w:id="729"/>
    <w:p>
      <w:pPr>
        <w:jc w:val="both"/>
        <w:spacing w:after="0" w:line="290" w:lineRule="auto"/>
        <w:rPr>
          <w:sz w:val="20"/>
          <w:szCs w:val="20"/>
          <w:color w:val="auto"/>
        </w:rPr>
      </w:pPr>
      <w:r>
        <w:rPr>
          <w:rFonts w:ascii="Arial" w:cs="Arial" w:eastAsia="Arial" w:hAnsi="Arial"/>
          <w:sz w:val="19"/>
          <w:szCs w:val="19"/>
          <w:color w:val="auto"/>
        </w:rPr>
        <w:t>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5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708"/>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30" w:name="page731"/>
    <w:bookmarkEnd w:id="730"/>
    <w:p>
      <w:pPr>
        <w:jc w:val="both"/>
        <w:spacing w:after="0" w:line="263" w:lineRule="auto"/>
        <w:rPr>
          <w:sz w:val="20"/>
          <w:szCs w:val="20"/>
          <w:color w:val="auto"/>
        </w:rPr>
      </w:pPr>
      <w:r>
        <w:rPr>
          <w:rFonts w:ascii="Arial" w:cs="Arial" w:eastAsia="Arial" w:hAnsi="Arial"/>
          <w:sz w:val="22"/>
          <w:szCs w:val="22"/>
          <w:color w:val="auto"/>
        </w:rPr>
        <w:t>following written notice of Executive’s failure or refusal to perform or comply, provided that whether the failure is curable will be within the Company’s sole and reasonable discretion.</w:t>
      </w:r>
    </w:p>
    <w:p>
      <w:pPr>
        <w:spacing w:after="0" w:line="169"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95" w:lineRule="auto"/>
        <w:rPr>
          <w:sz w:val="20"/>
          <w:szCs w:val="20"/>
          <w:color w:val="auto"/>
        </w:rPr>
      </w:pPr>
      <w:r>
        <w:rPr>
          <w:rFonts w:ascii="Arial" w:cs="Arial" w:eastAsia="Arial" w:hAnsi="Arial"/>
          <w:sz w:val="19"/>
          <w:szCs w:val="19"/>
          <w:color w:val="auto"/>
        </w:rPr>
        <w:t xml:space="preserve">7.4.2. </w:t>
      </w:r>
      <w:r>
        <w:rPr>
          <w:rFonts w:ascii="Arial" w:cs="Arial" w:eastAsia="Arial" w:hAnsi="Arial"/>
          <w:sz w:val="19"/>
          <w:szCs w:val="19"/>
          <w:b w:val="1"/>
          <w:bCs w:val="1"/>
          <w:color w:val="auto"/>
        </w:rPr>
        <w:t>Change in Effective Control of the Company</w:t>
      </w:r>
      <w:r>
        <w:rPr>
          <w:rFonts w:ascii="Arial" w:cs="Arial" w:eastAsia="Arial" w:hAnsi="Arial"/>
          <w:sz w:val="19"/>
          <w:szCs w:val="19"/>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44"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31" w:name="page732"/>
    <w:bookmarkEnd w:id="731"/>
    <w:p>
      <w:pPr>
        <w:jc w:val="both"/>
        <w:spacing w:after="0" w:line="297" w:lineRule="auto"/>
        <w:rPr>
          <w:sz w:val="20"/>
          <w:szCs w:val="20"/>
          <w:color w:val="auto"/>
        </w:rPr>
      </w:pPr>
      <w:r>
        <w:rPr>
          <w:rFonts w:ascii="Arial" w:cs="Arial" w:eastAsia="Arial" w:hAnsi="Arial"/>
          <w:sz w:val="19"/>
          <w:szCs w:val="19"/>
          <w:color w:val="auto"/>
        </w:rPr>
        <w:t>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14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13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October 7, 2020.</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32" w:name="page733"/>
    <w:bookmarkEnd w:id="732"/>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33" w:name="page734"/>
    <w:bookmarkEnd w:id="733"/>
    <w:p>
      <w:pPr>
        <w:spacing w:after="0" w:line="263" w:lineRule="auto"/>
        <w:rPr>
          <w:sz w:val="20"/>
          <w:szCs w:val="20"/>
          <w:color w:val="auto"/>
        </w:rPr>
      </w:pPr>
      <w:r>
        <w:rPr>
          <w:rFonts w:ascii="Arial" w:cs="Arial" w:eastAsia="Arial" w:hAnsi="Arial"/>
          <w:sz w:val="22"/>
          <w:szCs w:val="22"/>
          <w:color w:val="auto"/>
        </w:rPr>
        <w:t>Executive and subject to continued service-based vesting criteria, but not subject to the achievement of any performance-based or other similar vesting criteria.</w:t>
      </w:r>
    </w:p>
    <w:p>
      <w:pPr>
        <w:spacing w:after="0" w:line="169" w:lineRule="exact"/>
        <w:rPr>
          <w:sz w:val="20"/>
          <w:szCs w:val="20"/>
          <w:color w:val="auto"/>
        </w:rPr>
      </w:pPr>
    </w:p>
    <w:p>
      <w:pPr>
        <w:jc w:val="both"/>
        <w:ind w:firstLine="656"/>
        <w:spacing w:after="0" w:line="258" w:lineRule="auto"/>
        <w:tabs>
          <w:tab w:leader="none" w:pos="1134" w:val="left"/>
        </w:tabs>
        <w:numPr>
          <w:ilvl w:val="0"/>
          <w:numId w:val="709"/>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8" w:lineRule="exact"/>
        <w:rPr>
          <w:rFonts w:ascii="Arial" w:cs="Arial" w:eastAsia="Arial" w:hAnsi="Arial"/>
          <w:sz w:val="21"/>
          <w:szCs w:val="21"/>
          <w:color w:val="auto"/>
        </w:rPr>
      </w:pPr>
    </w:p>
    <w:p>
      <w:pPr>
        <w:ind w:left="1040" w:hanging="384"/>
        <w:spacing w:after="0"/>
        <w:tabs>
          <w:tab w:leader="none" w:pos="1040" w:val="left"/>
        </w:tabs>
        <w:numPr>
          <w:ilvl w:val="0"/>
          <w:numId w:val="709"/>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710"/>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34" w:name="page735"/>
    <w:bookmarkEnd w:id="734"/>
    <w:p>
      <w:pPr>
        <w:ind w:left="1140" w:hanging="484"/>
        <w:spacing w:after="0"/>
        <w:tabs>
          <w:tab w:leader="none" w:pos="1140" w:val="left"/>
        </w:tabs>
        <w:numPr>
          <w:ilvl w:val="0"/>
          <w:numId w:val="711"/>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together with the Confidentiality Agreement, Executive’s confirmatory employment letter with the Company dated on or about the date hereof, and the Company’s 2017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offer letter entered into with the Company dated August 11, 2020 and severance appendix to the offer letter dated August 13, 2020.</w:t>
      </w:r>
    </w:p>
    <w:p>
      <w:pPr>
        <w:spacing w:after="0" w:line="18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35" w:name="page736"/>
    <w:bookmarkEnd w:id="735"/>
    <w:p>
      <w:pPr>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58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Sujal Patel</w:t>
            </w:r>
          </w:p>
        </w:tc>
      </w:tr>
      <w:tr>
        <w:trPr>
          <w:trHeight w:val="293"/>
        </w:trPr>
        <w:tc>
          <w:tcPr>
            <w:tcW w:w="5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22"/>
                <w:szCs w:val="22"/>
                <w:color w:val="auto"/>
              </w:rPr>
              <w:t>Sujal Patel</w:t>
            </w:r>
          </w:p>
        </w:tc>
      </w:tr>
      <w:tr>
        <w:trPr>
          <w:trHeight w:val="32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304"/>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9, 2021</w:t>
            </w:r>
          </w:p>
        </w:tc>
      </w:tr>
      <w:tr>
        <w:trPr>
          <w:trHeight w:val="830"/>
        </w:trPr>
        <w:tc>
          <w:tcPr>
            <w:tcW w:w="54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58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Nick Nelson</w:t>
            </w:r>
          </w:p>
        </w:tc>
      </w:tr>
      <w:tr>
        <w:trPr>
          <w:trHeight w:val="294"/>
        </w:trPr>
        <w:tc>
          <w:tcPr>
            <w:tcW w:w="540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Arial" w:cs="Arial" w:eastAsia="Arial" w:hAnsi="Arial"/>
                <w:sz w:val="22"/>
                <w:szCs w:val="22"/>
                <w:color w:val="auto"/>
              </w:rPr>
              <w:t>Nick Nelson</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9,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36" w:name="page737"/>
    <w:bookmarkEnd w:id="736"/>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Subra Sankar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2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41" w:lineRule="exact"/>
        <w:rPr>
          <w:sz w:val="20"/>
          <w:szCs w:val="20"/>
          <w:color w:val="auto"/>
        </w:rPr>
      </w:pPr>
    </w:p>
    <w:p>
      <w:pPr>
        <w:jc w:val="both"/>
        <w:ind w:firstLine="656"/>
        <w:spacing w:after="0" w:line="291" w:lineRule="auto"/>
        <w:tabs>
          <w:tab w:leader="none" w:pos="1053" w:val="left"/>
        </w:tabs>
        <w:numPr>
          <w:ilvl w:val="0"/>
          <w:numId w:val="712"/>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712"/>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712"/>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w:t>
      </w:r>
    </w:p>
    <w:p>
      <w:pPr>
        <w:sectPr>
          <w:pgSz w:w="11900" w:h="16838" w:orient="portrait"/>
          <w:cols w:equalWidth="0" w:num="1">
            <w:col w:w="11240"/>
          </w:cols>
          <w:pgMar w:left="320" w:top="122" w:right="339" w:bottom="1440" w:gutter="0" w:footer="0" w:header="0"/>
        </w:sectPr>
      </w:pPr>
    </w:p>
    <w:bookmarkStart w:id="737" w:name="page738"/>
    <w:bookmarkEnd w:id="737"/>
    <w:p>
      <w:pPr>
        <w:jc w:val="both"/>
        <w:spacing w:after="0" w:line="262" w:lineRule="auto"/>
        <w:rPr>
          <w:sz w:val="20"/>
          <w:szCs w:val="20"/>
          <w:color w:val="auto"/>
        </w:rPr>
      </w:pPr>
      <w:r>
        <w:rPr>
          <w:rFonts w:ascii="Arial" w:cs="Arial" w:eastAsia="Arial" w:hAnsi="Arial"/>
          <w:sz w:val="21"/>
          <w:szCs w:val="21"/>
          <w:color w:val="auto"/>
        </w:rPr>
        <w:t>amended (“</w:t>
      </w:r>
      <w:r>
        <w:rPr>
          <w:rFonts w:ascii="Arial" w:cs="Arial" w:eastAsia="Arial" w:hAnsi="Arial"/>
          <w:sz w:val="21"/>
          <w:szCs w:val="21"/>
          <w:b w:val="1"/>
          <w:bCs w:val="1"/>
          <w:color w:val="auto"/>
        </w:rPr>
        <w:t>COBRA</w:t>
      </w:r>
      <w:r>
        <w:rPr>
          <w:rFonts w:ascii="Arial" w:cs="Arial" w:eastAsia="Arial" w:hAnsi="Arial"/>
          <w:sz w:val="21"/>
          <w:szCs w:val="21"/>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62"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738" w:name="page739"/>
    <w:bookmarkEnd w:id="738"/>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713"/>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713"/>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Payment Timing</w:t>
      </w:r>
      <w:r>
        <w:rPr>
          <w:rFonts w:ascii="Arial" w:cs="Arial" w:eastAsia="Arial" w:hAnsi="Arial"/>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22"/>
          <w:szCs w:val="22"/>
          <w:b w:val="1"/>
          <w:bCs w:val="1"/>
          <w:color w:val="auto"/>
        </w:rPr>
        <w:t>Full Value Awards</w:t>
      </w:r>
      <w:r>
        <w:rPr>
          <w:rFonts w:ascii="Arial" w:cs="Arial" w:eastAsia="Arial" w:hAnsi="Arial"/>
          <w:sz w:val="22"/>
          <w:szCs w:val="22"/>
          <w:color w:val="auto"/>
        </w:rPr>
        <w:t>”) that accelerate vesting under Section 3.2.4 will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39" w:name="page740"/>
    <w:bookmarkEnd w:id="739"/>
    <w:p>
      <w:pPr>
        <w:jc w:val="both"/>
        <w:spacing w:after="0" w:line="297" w:lineRule="auto"/>
        <w:rPr>
          <w:sz w:val="20"/>
          <w:szCs w:val="20"/>
          <w:color w:val="auto"/>
        </w:rPr>
      </w:pPr>
      <w:r>
        <w:rPr>
          <w:rFonts w:ascii="Arial" w:cs="Arial" w:eastAsia="Arial" w:hAnsi="Arial"/>
          <w:sz w:val="19"/>
          <w:szCs w:val="19"/>
          <w:color w:val="auto"/>
        </w:rPr>
        <w:t>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4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40" w:name="page741"/>
    <w:bookmarkEnd w:id="740"/>
    <w:p>
      <w:pPr>
        <w:jc w:val="both"/>
        <w:spacing w:after="0" w:line="252" w:lineRule="auto"/>
        <w:rPr>
          <w:sz w:val="20"/>
          <w:szCs w:val="20"/>
          <w:color w:val="auto"/>
        </w:rPr>
      </w:pPr>
      <w:r>
        <w:rPr>
          <w:rFonts w:ascii="Arial" w:cs="Arial" w:eastAsia="Arial" w:hAnsi="Arial"/>
          <w:sz w:val="22"/>
          <w:szCs w:val="22"/>
          <w:color w:val="auto"/>
        </w:rPr>
        <w:t>Section 409A (together, the “</w:t>
      </w:r>
      <w:r>
        <w:rPr>
          <w:rFonts w:ascii="Arial" w:cs="Arial" w:eastAsia="Arial" w:hAnsi="Arial"/>
          <w:sz w:val="22"/>
          <w:szCs w:val="22"/>
          <w:b w:val="1"/>
          <w:bCs w:val="1"/>
          <w:color w:val="auto"/>
        </w:rPr>
        <w:t>Deferred Payments</w:t>
      </w:r>
      <w:r>
        <w:rPr>
          <w:rFonts w:ascii="Arial" w:cs="Arial" w:eastAsia="Arial" w:hAnsi="Arial"/>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6"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75"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714"/>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ind w:left="300" w:hanging="292"/>
        <w:spacing w:after="0"/>
        <w:tabs>
          <w:tab w:leader="none" w:pos="300" w:val="left"/>
        </w:tabs>
        <w:numPr>
          <w:ilvl w:val="0"/>
          <w:numId w:val="715"/>
        </w:numPr>
        <w:rPr>
          <w:rFonts w:ascii="Arial" w:cs="Arial" w:eastAsia="Arial" w:hAnsi="Arial"/>
          <w:sz w:val="21"/>
          <w:szCs w:val="21"/>
          <w:color w:val="auto"/>
        </w:rPr>
      </w:pPr>
      <w:r>
        <w:rPr>
          <w:rFonts w:ascii="Arial" w:cs="Arial" w:eastAsia="Arial" w:hAnsi="Arial"/>
          <w:sz w:val="21"/>
          <w:szCs w:val="21"/>
          <w:color w:val="auto"/>
        </w:rPr>
        <w:t>constitute a “parachute payment” within the meaning of Section 280G of the Code and (b) but for this sentence,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741" w:name="page742"/>
    <w:bookmarkEnd w:id="741"/>
    <w:p>
      <w:pPr>
        <w:jc w:val="both"/>
        <w:spacing w:after="0" w:line="285" w:lineRule="auto"/>
        <w:rPr>
          <w:sz w:val="20"/>
          <w:szCs w:val="20"/>
          <w:color w:val="auto"/>
        </w:rPr>
      </w:pPr>
      <w:r>
        <w:rPr>
          <w:rFonts w:ascii="Arial" w:cs="Arial" w:eastAsia="Arial" w:hAnsi="Arial"/>
          <w:sz w:val="19"/>
          <w:szCs w:val="19"/>
          <w:color w:val="auto"/>
        </w:rPr>
        <w:t>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716"/>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742" w:name="page743"/>
    <w:bookmarkEnd w:id="742"/>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7.4.2. </w:t>
      </w:r>
      <w:r>
        <w:rPr>
          <w:rFonts w:ascii="Arial" w:cs="Arial" w:eastAsia="Arial" w:hAnsi="Arial"/>
          <w:sz w:val="22"/>
          <w:szCs w:val="22"/>
          <w:b w:val="1"/>
          <w:bCs w:val="1"/>
          <w:color w:val="auto"/>
        </w:rPr>
        <w:t>Change in Effective Control of the Company</w:t>
      </w:r>
      <w:r>
        <w:rPr>
          <w:rFonts w:ascii="Arial" w:cs="Arial" w:eastAsia="Arial" w:hAnsi="Arial"/>
          <w:sz w:val="22"/>
          <w:szCs w:val="22"/>
          <w:color w:val="auto"/>
        </w:rPr>
        <w:t>. If the Company has a class of securities registered pursuant to Section 12 of the U.S.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743" w:name="page744"/>
    <w:bookmarkEnd w:id="743"/>
    <w:p>
      <w:pPr>
        <w:jc w:val="both"/>
        <w:spacing w:after="0" w:line="248" w:lineRule="auto"/>
        <w:rPr>
          <w:sz w:val="20"/>
          <w:szCs w:val="20"/>
          <w:color w:val="auto"/>
        </w:rPr>
      </w:pPr>
      <w:r>
        <w:rPr>
          <w:rFonts w:ascii="Arial" w:cs="Arial" w:eastAsia="Arial" w:hAnsi="Arial"/>
          <w:sz w:val="22"/>
          <w:szCs w:val="22"/>
          <w:color w:val="auto"/>
        </w:rPr>
        <w:t>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86"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44" w:name="page745"/>
    <w:bookmarkEnd w:id="744"/>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December 30, 2020.</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18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45" w:name="page746"/>
    <w:bookmarkEnd w:id="745"/>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656"/>
        <w:spacing w:after="0" w:line="258" w:lineRule="auto"/>
        <w:tabs>
          <w:tab w:leader="none" w:pos="1134" w:val="left"/>
        </w:tabs>
        <w:numPr>
          <w:ilvl w:val="0"/>
          <w:numId w:val="717"/>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746" w:name="page747"/>
    <w:bookmarkEnd w:id="746"/>
    <w:p>
      <w:pPr>
        <w:ind w:left="1040" w:hanging="384"/>
        <w:spacing w:after="0"/>
        <w:tabs>
          <w:tab w:leader="none" w:pos="1040" w:val="left"/>
        </w:tabs>
        <w:numPr>
          <w:ilvl w:val="0"/>
          <w:numId w:val="718"/>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719"/>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0"/>
          <w:numId w:val="719"/>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47" w:name="page748"/>
    <w:bookmarkEnd w:id="747"/>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Confidentiality Agreement, Executive’s confirmatory employment letter with the Company dated on or about the date hereof, and the Company’s 2017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offer letter entered into with the Company dated October 2, 2020.</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48" w:name="page749"/>
    <w:bookmarkEnd w:id="748"/>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8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64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321"/>
        </w:trPr>
        <w:tc>
          <w:tcPr>
            <w:tcW w:w="48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By:</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Sujal Patel</w:t>
            </w:r>
          </w:p>
        </w:tc>
      </w:tr>
      <w:tr>
        <w:trPr>
          <w:trHeight w:val="294"/>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rPr>
              <w:t>Sujal Patel</w:t>
            </w:r>
          </w:p>
        </w:tc>
      </w:tr>
      <w:tr>
        <w:trPr>
          <w:trHeight w:val="321"/>
        </w:trPr>
        <w:tc>
          <w:tcPr>
            <w:tcW w:w="48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Title:</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Chief Executive Officer</w:t>
            </w:r>
          </w:p>
        </w:tc>
      </w:tr>
      <w:tr>
        <w:trPr>
          <w:trHeight w:val="304"/>
        </w:trPr>
        <w:tc>
          <w:tcPr>
            <w:tcW w:w="48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Date:</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6, 2021</w:t>
            </w:r>
          </w:p>
        </w:tc>
      </w:tr>
      <w:tr>
        <w:trPr>
          <w:trHeight w:val="561"/>
        </w:trPr>
        <w:tc>
          <w:tcPr>
            <w:tcW w:w="48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64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Subra Sankar</w:t>
            </w:r>
          </w:p>
        </w:tc>
      </w:tr>
      <w:tr>
        <w:trPr>
          <w:trHeight w:val="293"/>
        </w:trPr>
        <w:tc>
          <w:tcPr>
            <w:tcW w:w="4800" w:type="dxa"/>
            <w:vAlign w:val="bottom"/>
          </w:tcPr>
          <w:p>
            <w:pPr>
              <w:spacing w:after="0"/>
              <w:rPr>
                <w:sz w:val="24"/>
                <w:szCs w:val="24"/>
                <w:color w:val="auto"/>
              </w:rPr>
            </w:pPr>
          </w:p>
        </w:tc>
        <w:tc>
          <w:tcPr>
            <w:tcW w:w="6420" w:type="dxa"/>
            <w:vAlign w:val="bottom"/>
            <w:gridSpan w:val="2"/>
          </w:tcPr>
          <w:p>
            <w:pPr>
              <w:ind w:left="20"/>
              <w:spacing w:after="0"/>
              <w:rPr>
                <w:sz w:val="20"/>
                <w:szCs w:val="20"/>
                <w:color w:val="auto"/>
              </w:rPr>
            </w:pPr>
            <w:r>
              <w:rPr>
                <w:rFonts w:ascii="Arial" w:cs="Arial" w:eastAsia="Arial" w:hAnsi="Arial"/>
                <w:sz w:val="22"/>
                <w:szCs w:val="22"/>
                <w:color w:val="auto"/>
              </w:rPr>
              <w:t>Subra Sankar</w:t>
            </w:r>
          </w:p>
        </w:tc>
      </w:tr>
      <w:tr>
        <w:trPr>
          <w:trHeight w:val="591"/>
        </w:trPr>
        <w:tc>
          <w:tcPr>
            <w:tcW w:w="48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22"/>
                <w:szCs w:val="22"/>
                <w:color w:val="auto"/>
              </w:rPr>
              <w:t>Date:</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April 7,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49" w:name="page750"/>
    <w:bookmarkEnd w:id="749"/>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Parag Mallick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14" w:lineRule="exact"/>
        <w:rPr>
          <w:sz w:val="20"/>
          <w:szCs w:val="20"/>
          <w:color w:val="auto"/>
        </w:rPr>
      </w:pPr>
    </w:p>
    <w:p>
      <w:pPr>
        <w:jc w:val="both"/>
        <w:ind w:firstLine="656"/>
        <w:spacing w:after="0" w:line="291" w:lineRule="auto"/>
        <w:tabs>
          <w:tab w:leader="none" w:pos="1053" w:val="left"/>
        </w:tabs>
        <w:numPr>
          <w:ilvl w:val="0"/>
          <w:numId w:val="720"/>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720"/>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720"/>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w:t>
      </w:r>
    </w:p>
    <w:p>
      <w:pPr>
        <w:sectPr>
          <w:pgSz w:w="11900" w:h="16838" w:orient="portrait"/>
          <w:cols w:equalWidth="0" w:num="1">
            <w:col w:w="11240"/>
          </w:cols>
          <w:pgMar w:left="320" w:top="122" w:right="339" w:bottom="1440" w:gutter="0" w:footer="0" w:header="0"/>
        </w:sectPr>
      </w:pPr>
    </w:p>
    <w:bookmarkStart w:id="750" w:name="page751"/>
    <w:bookmarkEnd w:id="750"/>
    <w:p>
      <w:pPr>
        <w:jc w:val="both"/>
        <w:spacing w:after="0" w:line="262" w:lineRule="auto"/>
        <w:rPr>
          <w:sz w:val="20"/>
          <w:szCs w:val="20"/>
          <w:color w:val="auto"/>
        </w:rPr>
      </w:pPr>
      <w:r>
        <w:rPr>
          <w:rFonts w:ascii="Arial" w:cs="Arial" w:eastAsia="Arial" w:hAnsi="Arial"/>
          <w:sz w:val="21"/>
          <w:szCs w:val="21"/>
          <w:color w:val="auto"/>
        </w:rPr>
        <w:t>amended (“</w:t>
      </w:r>
      <w:r>
        <w:rPr>
          <w:rFonts w:ascii="Arial" w:cs="Arial" w:eastAsia="Arial" w:hAnsi="Arial"/>
          <w:sz w:val="21"/>
          <w:szCs w:val="21"/>
          <w:b w:val="1"/>
          <w:bCs w:val="1"/>
          <w:color w:val="auto"/>
        </w:rPr>
        <w:t>COBRA</w:t>
      </w:r>
      <w:r>
        <w:rPr>
          <w:rFonts w:ascii="Arial" w:cs="Arial" w:eastAsia="Arial" w:hAnsi="Arial"/>
          <w:sz w:val="21"/>
          <w:szCs w:val="21"/>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62"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751" w:name="page752"/>
    <w:bookmarkEnd w:id="751"/>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721"/>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721"/>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Payment Timing</w:t>
      </w:r>
      <w:r>
        <w:rPr>
          <w:rFonts w:ascii="Arial" w:cs="Arial" w:eastAsia="Arial" w:hAnsi="Arial"/>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22"/>
          <w:szCs w:val="22"/>
          <w:b w:val="1"/>
          <w:bCs w:val="1"/>
          <w:color w:val="auto"/>
        </w:rPr>
        <w:t>Full Value Awards</w:t>
      </w:r>
      <w:r>
        <w:rPr>
          <w:rFonts w:ascii="Arial" w:cs="Arial" w:eastAsia="Arial" w:hAnsi="Arial"/>
          <w:sz w:val="22"/>
          <w:szCs w:val="22"/>
          <w:color w:val="auto"/>
        </w:rPr>
        <w:t>”) that accelerate vesting under Section 3.2.4 will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52" w:name="page753"/>
    <w:bookmarkEnd w:id="752"/>
    <w:p>
      <w:pPr>
        <w:jc w:val="both"/>
        <w:spacing w:after="0" w:line="297" w:lineRule="auto"/>
        <w:rPr>
          <w:sz w:val="20"/>
          <w:szCs w:val="20"/>
          <w:color w:val="auto"/>
        </w:rPr>
      </w:pPr>
      <w:r>
        <w:rPr>
          <w:rFonts w:ascii="Arial" w:cs="Arial" w:eastAsia="Arial" w:hAnsi="Arial"/>
          <w:sz w:val="19"/>
          <w:szCs w:val="19"/>
          <w:color w:val="auto"/>
        </w:rPr>
        <w:t>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4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53" w:name="page754"/>
    <w:bookmarkEnd w:id="753"/>
    <w:p>
      <w:pPr>
        <w:jc w:val="both"/>
        <w:spacing w:after="0" w:line="252" w:lineRule="auto"/>
        <w:rPr>
          <w:sz w:val="20"/>
          <w:szCs w:val="20"/>
          <w:color w:val="auto"/>
        </w:rPr>
      </w:pPr>
      <w:r>
        <w:rPr>
          <w:rFonts w:ascii="Arial" w:cs="Arial" w:eastAsia="Arial" w:hAnsi="Arial"/>
          <w:sz w:val="22"/>
          <w:szCs w:val="22"/>
          <w:color w:val="auto"/>
        </w:rPr>
        <w:t>Section 409A (together, the “</w:t>
      </w:r>
      <w:r>
        <w:rPr>
          <w:rFonts w:ascii="Arial" w:cs="Arial" w:eastAsia="Arial" w:hAnsi="Arial"/>
          <w:sz w:val="22"/>
          <w:szCs w:val="22"/>
          <w:b w:val="1"/>
          <w:bCs w:val="1"/>
          <w:color w:val="auto"/>
        </w:rPr>
        <w:t>Deferred Payments</w:t>
      </w:r>
      <w:r>
        <w:rPr>
          <w:rFonts w:ascii="Arial" w:cs="Arial" w:eastAsia="Arial" w:hAnsi="Arial"/>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6"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75"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722"/>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ind w:left="300" w:hanging="292"/>
        <w:spacing w:after="0"/>
        <w:tabs>
          <w:tab w:leader="none" w:pos="300" w:val="left"/>
        </w:tabs>
        <w:numPr>
          <w:ilvl w:val="0"/>
          <w:numId w:val="723"/>
        </w:numPr>
        <w:rPr>
          <w:rFonts w:ascii="Arial" w:cs="Arial" w:eastAsia="Arial" w:hAnsi="Arial"/>
          <w:sz w:val="21"/>
          <w:szCs w:val="21"/>
          <w:color w:val="auto"/>
        </w:rPr>
      </w:pPr>
      <w:r>
        <w:rPr>
          <w:rFonts w:ascii="Arial" w:cs="Arial" w:eastAsia="Arial" w:hAnsi="Arial"/>
          <w:sz w:val="21"/>
          <w:szCs w:val="21"/>
          <w:color w:val="auto"/>
        </w:rPr>
        <w:t>constitute a “parachute payment” within the meaning of Section 280G of the Code and (b) but for this sentence,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754" w:name="page755"/>
    <w:bookmarkEnd w:id="754"/>
    <w:p>
      <w:pPr>
        <w:jc w:val="both"/>
        <w:spacing w:after="0" w:line="285" w:lineRule="auto"/>
        <w:rPr>
          <w:sz w:val="20"/>
          <w:szCs w:val="20"/>
          <w:color w:val="auto"/>
        </w:rPr>
      </w:pPr>
      <w:r>
        <w:rPr>
          <w:rFonts w:ascii="Arial" w:cs="Arial" w:eastAsia="Arial" w:hAnsi="Arial"/>
          <w:sz w:val="19"/>
          <w:szCs w:val="19"/>
          <w:color w:val="auto"/>
        </w:rPr>
        <w:t>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724"/>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755" w:name="page756"/>
    <w:bookmarkEnd w:id="755"/>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7.4.2. </w:t>
      </w:r>
      <w:r>
        <w:rPr>
          <w:rFonts w:ascii="Arial" w:cs="Arial" w:eastAsia="Arial" w:hAnsi="Arial"/>
          <w:sz w:val="22"/>
          <w:szCs w:val="22"/>
          <w:b w:val="1"/>
          <w:bCs w:val="1"/>
          <w:color w:val="auto"/>
        </w:rPr>
        <w:t>Change in Effective Control of the Company</w:t>
      </w:r>
      <w:r>
        <w:rPr>
          <w:rFonts w:ascii="Arial" w:cs="Arial" w:eastAsia="Arial" w:hAnsi="Arial"/>
          <w:sz w:val="22"/>
          <w:szCs w:val="22"/>
          <w:color w:val="auto"/>
        </w:rPr>
        <w:t>. If the Company has a class of securities registered pursuant to Section 12 of the U.S.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756" w:name="page757"/>
    <w:bookmarkEnd w:id="756"/>
    <w:p>
      <w:pPr>
        <w:jc w:val="both"/>
        <w:spacing w:after="0" w:line="248" w:lineRule="auto"/>
        <w:rPr>
          <w:sz w:val="20"/>
          <w:szCs w:val="20"/>
          <w:color w:val="auto"/>
        </w:rPr>
      </w:pPr>
      <w:r>
        <w:rPr>
          <w:rFonts w:ascii="Arial" w:cs="Arial" w:eastAsia="Arial" w:hAnsi="Arial"/>
          <w:sz w:val="22"/>
          <w:szCs w:val="22"/>
          <w:color w:val="auto"/>
        </w:rPr>
        <w:t>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86"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57" w:name="page758"/>
    <w:bookmarkEnd w:id="757"/>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March 25, 2021.</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18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58" w:name="page759"/>
    <w:bookmarkEnd w:id="758"/>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656"/>
        <w:spacing w:after="0" w:line="258" w:lineRule="auto"/>
        <w:tabs>
          <w:tab w:leader="none" w:pos="1134" w:val="left"/>
        </w:tabs>
        <w:numPr>
          <w:ilvl w:val="0"/>
          <w:numId w:val="725"/>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759" w:name="page760"/>
    <w:bookmarkEnd w:id="759"/>
    <w:p>
      <w:pPr>
        <w:ind w:left="1040" w:hanging="384"/>
        <w:spacing w:after="0"/>
        <w:tabs>
          <w:tab w:leader="none" w:pos="1040" w:val="left"/>
        </w:tabs>
        <w:numPr>
          <w:ilvl w:val="0"/>
          <w:numId w:val="726"/>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727"/>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0"/>
          <w:numId w:val="727"/>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60" w:name="page761"/>
    <w:bookmarkEnd w:id="760"/>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Confidentiality Agreement, Executive’s confirmatory employment letter with the Company dated on or about the date hereof, and the Company’s 2017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Consulting Agreement entered into with the Company dated January 12, 2017.</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61" w:name="page762"/>
    <w:bookmarkEnd w:id="761"/>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518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60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591"/>
        </w:trPr>
        <w:tc>
          <w:tcPr>
            <w:tcW w:w="51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Sujal Patel</w:t>
            </w:r>
          </w:p>
        </w:tc>
      </w:tr>
      <w:tr>
        <w:trPr>
          <w:trHeight w:val="293"/>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80" w:type="dxa"/>
            <w:vAlign w:val="bottom"/>
          </w:tcPr>
          <w:p>
            <w:pPr>
              <w:ind w:left="40"/>
              <w:spacing w:after="0"/>
              <w:rPr>
                <w:sz w:val="20"/>
                <w:szCs w:val="20"/>
                <w:color w:val="auto"/>
              </w:rPr>
            </w:pPr>
            <w:r>
              <w:rPr>
                <w:rFonts w:ascii="Arial" w:cs="Arial" w:eastAsia="Arial" w:hAnsi="Arial"/>
                <w:sz w:val="22"/>
                <w:szCs w:val="22"/>
                <w:color w:val="auto"/>
              </w:rPr>
              <w:t>Sujal Patel</w:t>
            </w:r>
          </w:p>
        </w:tc>
      </w:tr>
      <w:tr>
        <w:trPr>
          <w:trHeight w:val="321"/>
        </w:trPr>
        <w:tc>
          <w:tcPr>
            <w:tcW w:w="51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r>
      <w:tr>
        <w:trPr>
          <w:trHeight w:val="561"/>
        </w:trPr>
        <w:tc>
          <w:tcPr>
            <w:tcW w:w="51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Date:</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April 6, 2021</w:t>
            </w:r>
          </w:p>
        </w:tc>
      </w:tr>
      <w:tr>
        <w:trPr>
          <w:trHeight w:val="560"/>
        </w:trPr>
        <w:tc>
          <w:tcPr>
            <w:tcW w:w="518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60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Parag Mallick</w:t>
            </w:r>
          </w:p>
        </w:tc>
      </w:tr>
      <w:tr>
        <w:trPr>
          <w:trHeight w:val="294"/>
        </w:trPr>
        <w:tc>
          <w:tcPr>
            <w:tcW w:w="518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22"/>
                <w:szCs w:val="22"/>
                <w:color w:val="auto"/>
              </w:rPr>
              <w:t>Parag Mallick</w:t>
            </w:r>
          </w:p>
        </w:tc>
      </w:tr>
      <w:tr>
        <w:trPr>
          <w:trHeight w:val="321"/>
        </w:trPr>
        <w:tc>
          <w:tcPr>
            <w:tcW w:w="51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Date:</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April 6,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62" w:name="page763"/>
    <w:bookmarkEnd w:id="76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by and between Nautilus Biotechnology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Matt Murphy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the Effective Date, as defined in Section 7 below.</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Executive agree as follows:</w:t>
      </w:r>
    </w:p>
    <w:p>
      <w:pPr>
        <w:spacing w:after="0" w:line="214" w:lineRule="exact"/>
        <w:rPr>
          <w:sz w:val="20"/>
          <w:szCs w:val="20"/>
          <w:color w:val="auto"/>
        </w:rPr>
      </w:pPr>
    </w:p>
    <w:p>
      <w:pPr>
        <w:jc w:val="both"/>
        <w:ind w:firstLine="656"/>
        <w:spacing w:after="0" w:line="291" w:lineRule="auto"/>
        <w:tabs>
          <w:tab w:leader="none" w:pos="1053" w:val="left"/>
        </w:tabs>
        <w:numPr>
          <w:ilvl w:val="0"/>
          <w:numId w:val="728"/>
        </w:numPr>
        <w:rPr>
          <w:rFonts w:ascii="Arial" w:cs="Arial" w:eastAsia="Arial" w:hAnsi="Arial"/>
          <w:sz w:val="19"/>
          <w:szCs w:val="19"/>
          <w:color w:val="auto"/>
        </w:rPr>
      </w:pPr>
      <w:r>
        <w:rPr>
          <w:rFonts w:ascii="Arial" w:cs="Arial" w:eastAsia="Arial" w:hAnsi="Arial"/>
          <w:sz w:val="19"/>
          <w:szCs w:val="19"/>
          <w:b w:val="1"/>
          <w:bCs w:val="1"/>
          <w:color w:val="auto"/>
        </w:rPr>
        <w:t>Term of Agreement</w:t>
      </w:r>
      <w:r>
        <w:rPr>
          <w:rFonts w:ascii="Arial" w:cs="Arial" w:eastAsia="Arial" w:hAnsi="Arial"/>
          <w:sz w:val="19"/>
          <w:szCs w:val="19"/>
          <w:color w:val="auto"/>
        </w:rPr>
        <w:t>. This Agreement will have an initial term of three (3) years commencing on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Initial Term</w:t>
      </w:r>
      <w:r>
        <w:rPr>
          <w:rFonts w:ascii="Arial" w:cs="Arial" w:eastAsia="Arial" w:hAnsi="Arial"/>
          <w:sz w:val="19"/>
          <w:szCs w:val="19"/>
          <w:color w:val="auto"/>
        </w:rPr>
        <w:t>”). On the three (3) year anniversary of the Effective Date, this Agreement will renew automatically for additional, one (1) 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8"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728"/>
        </w:numPr>
        <w:rPr>
          <w:rFonts w:ascii="Arial" w:cs="Arial" w:eastAsia="Arial" w:hAnsi="Arial"/>
          <w:sz w:val="22"/>
          <w:szCs w:val="22"/>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Executive acknowledge that Executive’s employment is and will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22"/>
          <w:szCs w:val="22"/>
          <w:color w:val="auto"/>
        </w:rPr>
      </w:pPr>
    </w:p>
    <w:p>
      <w:pPr>
        <w:ind w:left="1040" w:hanging="384"/>
        <w:spacing w:after="0"/>
        <w:tabs>
          <w:tab w:leader="none" w:pos="1040" w:val="left"/>
        </w:tabs>
        <w:numPr>
          <w:ilvl w:val="0"/>
          <w:numId w:val="728"/>
        </w:numPr>
        <w:rPr>
          <w:rFonts w:ascii="Arial" w:cs="Arial" w:eastAsia="Arial" w:hAnsi="Arial"/>
          <w:sz w:val="22"/>
          <w:szCs w:val="22"/>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Qualifying Termination Outside of the Change in Control Period</w:t>
      </w:r>
      <w:r>
        <w:rPr>
          <w:rFonts w:ascii="Arial" w:cs="Arial" w:eastAsia="Arial" w:hAnsi="Arial"/>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fifty percent (50%) of Executive’s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the Consolidated Omnibus Budget Reconciliation Act of 1985, as</w:t>
      </w:r>
    </w:p>
    <w:p>
      <w:pPr>
        <w:sectPr>
          <w:pgSz w:w="11900" w:h="16838" w:orient="portrait"/>
          <w:cols w:equalWidth="0" w:num="1">
            <w:col w:w="11240"/>
          </w:cols>
          <w:pgMar w:left="320" w:top="122" w:right="339" w:bottom="1440" w:gutter="0" w:footer="0" w:header="0"/>
        </w:sectPr>
      </w:pPr>
    </w:p>
    <w:bookmarkStart w:id="763" w:name="page764"/>
    <w:bookmarkEnd w:id="763"/>
    <w:p>
      <w:pPr>
        <w:jc w:val="both"/>
        <w:spacing w:after="0" w:line="262" w:lineRule="auto"/>
        <w:rPr>
          <w:sz w:val="20"/>
          <w:szCs w:val="20"/>
          <w:color w:val="auto"/>
        </w:rPr>
      </w:pPr>
      <w:r>
        <w:rPr>
          <w:rFonts w:ascii="Arial" w:cs="Arial" w:eastAsia="Arial" w:hAnsi="Arial"/>
          <w:sz w:val="21"/>
          <w:szCs w:val="21"/>
          <w:color w:val="auto"/>
        </w:rPr>
        <w:t>amended (“</w:t>
      </w:r>
      <w:r>
        <w:rPr>
          <w:rFonts w:ascii="Arial" w:cs="Arial" w:eastAsia="Arial" w:hAnsi="Arial"/>
          <w:sz w:val="21"/>
          <w:szCs w:val="21"/>
          <w:b w:val="1"/>
          <w:bCs w:val="1"/>
          <w:color w:val="auto"/>
        </w:rPr>
        <w:t>COBRA</w:t>
      </w:r>
      <w:r>
        <w:rPr>
          <w:rFonts w:ascii="Arial" w:cs="Arial" w:eastAsia="Arial" w:hAnsi="Arial"/>
          <w:sz w:val="21"/>
          <w:szCs w:val="21"/>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Qualifying Termination During the Change in Control Period</w:t>
      </w:r>
      <w:r>
        <w:rPr>
          <w:rFonts w:ascii="Arial" w:cs="Arial" w:eastAsia="Arial" w:hAnsi="Arial"/>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76"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b w:val="1"/>
          <w:bCs w:val="1"/>
          <w:color w:val="auto"/>
        </w:rPr>
        <w:t>Salary Severance</w:t>
      </w:r>
      <w:r>
        <w:rPr>
          <w:rFonts w:ascii="Arial" w:cs="Arial" w:eastAsia="Arial" w:hAnsi="Arial"/>
          <w:sz w:val="19"/>
          <w:szCs w:val="19"/>
          <w:color w:val="auto"/>
        </w:rPr>
        <w:t>. A single, lump sum, cash payment equal to one hundred percent (100%)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Executive’s Salary.</w:t>
      </w:r>
    </w:p>
    <w:p>
      <w:pPr>
        <w:spacing w:after="0" w:line="196"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b w:val="1"/>
          <w:bCs w:val="1"/>
          <w:color w:val="auto"/>
        </w:rPr>
        <w:t>Target Bonus Severance</w:t>
      </w:r>
      <w:r>
        <w:rPr>
          <w:rFonts w:ascii="Arial" w:cs="Arial" w:eastAsia="Arial" w:hAnsi="Arial"/>
          <w:sz w:val="22"/>
          <w:szCs w:val="22"/>
          <w:color w:val="auto"/>
        </w:rPr>
        <w:t>. A single, lump sum, cash payment equal to one hundred percent (100%) of Executive’s Target Bonus.</w:t>
      </w:r>
    </w:p>
    <w:p>
      <w:pPr>
        <w:spacing w:after="0" w:line="162"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b w:val="1"/>
          <w:bCs w:val="1"/>
          <w:color w:val="auto"/>
        </w:rPr>
        <w:t>COBRA Severance</w:t>
      </w:r>
      <w:r>
        <w:rPr>
          <w:rFonts w:ascii="Arial" w:cs="Arial" w:eastAsia="Arial" w:hAnsi="Arial"/>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 xml:space="preserve">3.2.4. </w:t>
      </w:r>
      <w:r>
        <w:rPr>
          <w:rFonts w:ascii="Arial" w:cs="Arial" w:eastAsia="Arial" w:hAnsi="Arial"/>
          <w:sz w:val="19"/>
          <w:szCs w:val="19"/>
          <w:b w:val="1"/>
          <w:bCs w:val="1"/>
          <w:color w:val="auto"/>
        </w:rPr>
        <w:t>Vesting Acceleration of Time-Based Awards</w:t>
      </w:r>
      <w:r>
        <w:rPr>
          <w:rFonts w:ascii="Arial" w:cs="Arial" w:eastAsia="Arial" w:hAnsi="Arial"/>
          <w:sz w:val="19"/>
          <w:szCs w:val="19"/>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764" w:name="page765"/>
    <w:bookmarkEnd w:id="764"/>
    <w:p>
      <w:pPr>
        <w:jc w:val="both"/>
        <w:ind w:firstLine="1296"/>
        <w:spacing w:after="0" w:line="25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Termination Other Than a Qualifying Termination</w:t>
      </w:r>
      <w:r>
        <w:rPr>
          <w:rFonts w:ascii="Arial" w:cs="Arial" w:eastAsia="Arial" w:hAnsi="Arial"/>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Non-duplication of Payment or Benefits</w:t>
      </w:r>
      <w:r>
        <w:rPr>
          <w:rFonts w:ascii="Arial" w:cs="Arial" w:eastAsia="Arial" w:hAnsi="Arial"/>
          <w:sz w:val="19"/>
          <w:szCs w:val="19"/>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Arial" w:cs="Arial" w:eastAsia="Arial" w:hAnsi="Arial"/>
          <w:sz w:val="19"/>
          <w:szCs w:val="19"/>
          <w:b w:val="1"/>
          <w:b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b w:val="1"/>
          <w:bCs w:val="1"/>
          <w:color w:val="auto"/>
        </w:rPr>
        <w:t>Death of Executive</w:t>
      </w:r>
      <w:r>
        <w:rPr>
          <w:rFonts w:ascii="Arial" w:cs="Arial" w:eastAsia="Arial" w:hAnsi="Arial"/>
          <w:sz w:val="19"/>
          <w:szCs w:val="19"/>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25" w:lineRule="exact"/>
        <w:rPr>
          <w:sz w:val="20"/>
          <w:szCs w:val="20"/>
          <w:color w:val="auto"/>
        </w:rPr>
      </w:pPr>
    </w:p>
    <w:p>
      <w:pPr>
        <w:jc w:val="both"/>
        <w:ind w:firstLine="656"/>
        <w:spacing w:after="0" w:line="256" w:lineRule="auto"/>
        <w:tabs>
          <w:tab w:leader="none" w:pos="1147" w:val="left"/>
        </w:tabs>
        <w:numPr>
          <w:ilvl w:val="0"/>
          <w:numId w:val="729"/>
        </w:numPr>
        <w:rPr>
          <w:rFonts w:ascii="Arial" w:cs="Arial" w:eastAsia="Arial" w:hAnsi="Arial"/>
          <w:sz w:val="22"/>
          <w:szCs w:val="22"/>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Executive’s employment with the Company, Executive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all accrued but unpaid vacation, expense reimbursements, wages, and other benefits due to Executive under any Company-provided plans, policies, and arrangements.</w:t>
      </w:r>
    </w:p>
    <w:p>
      <w:pPr>
        <w:spacing w:after="0" w:line="176" w:lineRule="exact"/>
        <w:rPr>
          <w:rFonts w:ascii="Arial" w:cs="Arial" w:eastAsia="Arial" w:hAnsi="Arial"/>
          <w:sz w:val="22"/>
          <w:szCs w:val="22"/>
          <w:color w:val="auto"/>
        </w:rPr>
      </w:pPr>
    </w:p>
    <w:p>
      <w:pPr>
        <w:ind w:left="1040" w:hanging="384"/>
        <w:spacing w:after="0"/>
        <w:tabs>
          <w:tab w:leader="none" w:pos="1040" w:val="left"/>
        </w:tabs>
        <w:numPr>
          <w:ilvl w:val="0"/>
          <w:numId w:val="729"/>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Separation Agreement and Release of Claims</w:t>
      </w:r>
      <w:r>
        <w:rPr>
          <w:rFonts w:ascii="Arial" w:cs="Arial" w:eastAsia="Arial" w:hAnsi="Arial"/>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Arial" w:cs="Arial" w:eastAsia="Arial" w:hAnsi="Arial"/>
          <w:sz w:val="22"/>
          <w:szCs w:val="22"/>
          <w:b w:val="1"/>
          <w:bCs w:val="1"/>
          <w:color w:val="auto"/>
        </w:rPr>
        <w:t>Release</w:t>
      </w:r>
      <w:r>
        <w:rPr>
          <w:rFonts w:ascii="Arial" w:cs="Arial" w:eastAsia="Arial" w:hAnsi="Arial"/>
          <w:sz w:val="22"/>
          <w:szCs w:val="22"/>
          <w:color w:val="auto"/>
        </w:rPr>
        <w:t>”), which must become effective and irrevocable no later than the sixtieth (60th) day following the date of the Qualifying Termination (the “</w:t>
      </w:r>
      <w:r>
        <w:rPr>
          <w:rFonts w:ascii="Arial" w:cs="Arial" w:eastAsia="Arial" w:hAnsi="Arial"/>
          <w:sz w:val="22"/>
          <w:szCs w:val="22"/>
          <w:b w:val="1"/>
          <w:bCs w:val="1"/>
          <w:color w:val="auto"/>
        </w:rPr>
        <w:t>Release Deadline Date</w:t>
      </w:r>
      <w:r>
        <w:rPr>
          <w:rFonts w:ascii="Arial" w:cs="Arial" w:eastAsia="Arial" w:hAnsi="Arial"/>
          <w:sz w:val="22"/>
          <w:szCs w:val="22"/>
          <w:color w:val="auto"/>
        </w:rPr>
        <w:t>”). If the Release does not become effective and irrevocable by the Release Deadline Date, Executive will forfeit any right to the severance payments or benefits under Section 3.</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Payment Timing</w:t>
      </w:r>
      <w:r>
        <w:rPr>
          <w:rFonts w:ascii="Arial" w:cs="Arial" w:eastAsia="Arial" w:hAnsi="Arial"/>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Arial" w:cs="Arial" w:eastAsia="Arial" w:hAnsi="Arial"/>
          <w:sz w:val="22"/>
          <w:szCs w:val="22"/>
          <w:b w:val="1"/>
          <w:bCs w:val="1"/>
          <w:color w:val="auto"/>
        </w:rPr>
        <w:t>Full Value Awards</w:t>
      </w:r>
      <w:r>
        <w:rPr>
          <w:rFonts w:ascii="Arial" w:cs="Arial" w:eastAsia="Arial" w:hAnsi="Arial"/>
          <w:sz w:val="22"/>
          <w:szCs w:val="22"/>
          <w:color w:val="auto"/>
        </w:rPr>
        <w:t>”) that accelerate vesting under Section 3.2.4 will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765" w:name="page766"/>
    <w:bookmarkEnd w:id="765"/>
    <w:p>
      <w:pPr>
        <w:jc w:val="both"/>
        <w:spacing w:after="0" w:line="297" w:lineRule="auto"/>
        <w:rPr>
          <w:sz w:val="20"/>
          <w:szCs w:val="20"/>
          <w:color w:val="auto"/>
        </w:rPr>
      </w:pPr>
      <w:r>
        <w:rPr>
          <w:rFonts w:ascii="Arial" w:cs="Arial" w:eastAsia="Arial" w:hAnsi="Arial"/>
          <w:sz w:val="19"/>
          <w:szCs w:val="19"/>
          <w:color w:val="auto"/>
        </w:rPr>
        <w:t>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4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COBRA Severance Limitations</w:t>
      </w:r>
      <w:r>
        <w:rPr>
          <w:rFonts w:ascii="Arial" w:cs="Arial" w:eastAsia="Arial" w:hAnsi="Arial"/>
          <w:sz w:val="19"/>
          <w:szCs w:val="19"/>
          <w:color w:val="auto"/>
        </w:rPr>
        <w:t>. If the Company determines in its sole discretion that it cannot provide the COBRA-related benefits set forth in Section 3.1.2 or 3.2.3, as applicable (the “</w:t>
      </w:r>
      <w:r>
        <w:rPr>
          <w:rFonts w:ascii="Arial" w:cs="Arial" w:eastAsia="Arial" w:hAnsi="Arial"/>
          <w:sz w:val="19"/>
          <w:szCs w:val="19"/>
          <w:b w:val="1"/>
          <w:bCs w:val="1"/>
          <w:color w:val="auto"/>
        </w:rPr>
        <w:t>COBRA Severance</w:t>
      </w:r>
      <w:r>
        <w:rPr>
          <w:rFonts w:ascii="Arial" w:cs="Arial" w:eastAsia="Arial" w:hAnsi="Arial"/>
          <w:sz w:val="19"/>
          <w:szCs w:val="19"/>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Arial" w:cs="Arial" w:eastAsia="Arial" w:hAnsi="Arial"/>
          <w:sz w:val="19"/>
          <w:szCs w:val="19"/>
          <w:b w:val="1"/>
          <w:bCs w:val="1"/>
          <w:color w:val="auto"/>
        </w:rPr>
        <w:t>COBRA Replacement Payment</w:t>
      </w:r>
      <w:r>
        <w:rPr>
          <w:rFonts w:ascii="Arial" w:cs="Arial" w:eastAsia="Arial" w:hAnsi="Arial"/>
          <w:sz w:val="19"/>
          <w:szCs w:val="19"/>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5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66" w:name="page767"/>
    <w:bookmarkEnd w:id="766"/>
    <w:p>
      <w:pPr>
        <w:jc w:val="both"/>
        <w:spacing w:after="0" w:line="252" w:lineRule="auto"/>
        <w:rPr>
          <w:sz w:val="20"/>
          <w:szCs w:val="20"/>
          <w:color w:val="auto"/>
        </w:rPr>
      </w:pPr>
      <w:r>
        <w:rPr>
          <w:rFonts w:ascii="Arial" w:cs="Arial" w:eastAsia="Arial" w:hAnsi="Arial"/>
          <w:sz w:val="22"/>
          <w:szCs w:val="22"/>
          <w:color w:val="auto"/>
        </w:rPr>
        <w:t>Section 409A (together, the “</w:t>
      </w:r>
      <w:r>
        <w:rPr>
          <w:rFonts w:ascii="Arial" w:cs="Arial" w:eastAsia="Arial" w:hAnsi="Arial"/>
          <w:sz w:val="22"/>
          <w:szCs w:val="22"/>
          <w:b w:val="1"/>
          <w:bCs w:val="1"/>
          <w:color w:val="auto"/>
        </w:rPr>
        <w:t>Deferred Payments</w:t>
      </w:r>
      <w:r>
        <w:rPr>
          <w:rFonts w:ascii="Arial" w:cs="Arial" w:eastAsia="Arial" w:hAnsi="Arial"/>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6" w:lineRule="exact"/>
        <w:rPr>
          <w:sz w:val="20"/>
          <w:szCs w:val="20"/>
          <w:color w:val="auto"/>
        </w:rPr>
      </w:pPr>
    </w:p>
    <w:p>
      <w:pPr>
        <w:jc w:val="both"/>
        <w:ind w:firstLine="1944"/>
        <w:spacing w:after="0" w:line="265" w:lineRule="auto"/>
        <w:rPr>
          <w:sz w:val="20"/>
          <w:szCs w:val="20"/>
          <w:color w:val="auto"/>
        </w:rPr>
      </w:pPr>
      <w:r>
        <w:rPr>
          <w:rFonts w:ascii="Arial" w:cs="Arial" w:eastAsia="Arial" w:hAnsi="Arial"/>
          <w:sz w:val="21"/>
          <w:szCs w:val="21"/>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75"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9"/>
          <w:szCs w:val="19"/>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9"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9"/>
          <w:szCs w:val="19"/>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1" w:lineRule="exact"/>
        <w:rPr>
          <w:sz w:val="20"/>
          <w:szCs w:val="20"/>
          <w:color w:val="auto"/>
        </w:rPr>
      </w:pPr>
    </w:p>
    <w:p>
      <w:pPr>
        <w:ind w:left="1040" w:hanging="384"/>
        <w:spacing w:after="0"/>
        <w:tabs>
          <w:tab w:leader="none" w:pos="1040" w:val="left"/>
        </w:tabs>
        <w:numPr>
          <w:ilvl w:val="0"/>
          <w:numId w:val="730"/>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220"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Reduction of Severance Benefits</w:t>
      </w:r>
      <w:r>
        <w:rPr>
          <w:rFonts w:ascii="Arial" w:cs="Arial" w:eastAsia="Arial" w:hAnsi="Arial"/>
          <w:sz w:val="19"/>
          <w:szCs w:val="19"/>
          <w:color w:val="auto"/>
        </w:rPr>
        <w:t>. If any payment or benefit that Executive would receive from the Company or any other party whether in connection with the provisions in this Agreement or otherwise (the “Payments”) would</w:t>
      </w:r>
    </w:p>
    <w:p>
      <w:pPr>
        <w:spacing w:after="0" w:line="2" w:lineRule="exact"/>
        <w:rPr>
          <w:sz w:val="20"/>
          <w:szCs w:val="20"/>
          <w:color w:val="auto"/>
        </w:rPr>
      </w:pPr>
    </w:p>
    <w:p>
      <w:pPr>
        <w:ind w:left="300" w:hanging="292"/>
        <w:spacing w:after="0"/>
        <w:tabs>
          <w:tab w:leader="none" w:pos="300" w:val="left"/>
        </w:tabs>
        <w:numPr>
          <w:ilvl w:val="0"/>
          <w:numId w:val="731"/>
        </w:numPr>
        <w:rPr>
          <w:rFonts w:ascii="Arial" w:cs="Arial" w:eastAsia="Arial" w:hAnsi="Arial"/>
          <w:sz w:val="21"/>
          <w:szCs w:val="21"/>
          <w:color w:val="auto"/>
        </w:rPr>
      </w:pPr>
      <w:r>
        <w:rPr>
          <w:rFonts w:ascii="Arial" w:cs="Arial" w:eastAsia="Arial" w:hAnsi="Arial"/>
          <w:sz w:val="21"/>
          <w:szCs w:val="21"/>
          <w:color w:val="auto"/>
        </w:rPr>
        <w:t>constitute a “parachute payment” within the meaning of Section 280G of the Code and (b) but for this sentence,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767" w:name="page768"/>
    <w:bookmarkEnd w:id="767"/>
    <w:p>
      <w:pPr>
        <w:jc w:val="both"/>
        <w:spacing w:after="0" w:line="285" w:lineRule="auto"/>
        <w:rPr>
          <w:sz w:val="20"/>
          <w:szCs w:val="20"/>
          <w:color w:val="auto"/>
        </w:rPr>
      </w:pPr>
      <w:r>
        <w:rPr>
          <w:rFonts w:ascii="Arial" w:cs="Arial" w:eastAsia="Arial" w:hAnsi="Arial"/>
          <w:sz w:val="19"/>
          <w:szCs w:val="19"/>
          <w:color w:val="auto"/>
        </w:rPr>
        <w:t>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Determination of Excise Tax Liability</w:t>
      </w:r>
      <w:r>
        <w:rPr>
          <w:rFonts w:ascii="Arial" w:cs="Arial" w:eastAsia="Arial" w:hAnsi="Arial"/>
          <w:sz w:val="19"/>
          <w:szCs w:val="19"/>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9"/>
          <w:szCs w:val="19"/>
          <w:b w:val="1"/>
          <w:bCs w:val="1"/>
          <w:color w:val="auto"/>
        </w:rPr>
        <w:t>Firm</w:t>
      </w:r>
      <w:r>
        <w:rPr>
          <w:rFonts w:ascii="Arial" w:cs="Arial" w:eastAsia="Arial" w:hAnsi="Arial"/>
          <w:sz w:val="19"/>
          <w:szCs w:val="19"/>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48" w:lineRule="exact"/>
        <w:rPr>
          <w:sz w:val="20"/>
          <w:szCs w:val="20"/>
          <w:color w:val="auto"/>
        </w:rPr>
      </w:pPr>
    </w:p>
    <w:p>
      <w:pPr>
        <w:ind w:left="1040" w:hanging="384"/>
        <w:spacing w:after="0"/>
        <w:tabs>
          <w:tab w:leader="none" w:pos="1040" w:val="left"/>
        </w:tabs>
        <w:numPr>
          <w:ilvl w:val="0"/>
          <w:numId w:val="732"/>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means stock options and other equity awards covering shares of Company common stock granted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768" w:name="page769"/>
    <w:bookmarkEnd w:id="768"/>
    <w:p>
      <w:pPr>
        <w:jc w:val="both"/>
        <w:ind w:firstLine="1296"/>
        <w:spacing w:after="0" w:line="287" w:lineRule="auto"/>
        <w:rPr>
          <w:sz w:val="20"/>
          <w:szCs w:val="20"/>
          <w:color w:val="auto"/>
        </w:rPr>
      </w:pPr>
      <w:r>
        <w:rPr>
          <w:rFonts w:ascii="Arial" w:cs="Arial" w:eastAsia="Arial" w:hAnsi="Arial"/>
          <w:sz w:val="19"/>
          <w:szCs w:val="19"/>
          <w:color w:val="auto"/>
        </w:rPr>
        <w:t>7.3.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 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first occurrence of any of the following events on or after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9"/>
          <w:szCs w:val="19"/>
          <w:color w:val="auto"/>
        </w:rPr>
        <w:t xml:space="preserve">7.4.1. </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sz w:val="20"/>
          <w:szCs w:val="20"/>
          <w:color w:val="auto"/>
        </w:rPr>
      </w:pPr>
    </w:p>
    <w:p>
      <w:pPr>
        <w:jc w:val="both"/>
        <w:ind w:firstLine="1944"/>
        <w:spacing w:after="0" w:line="269" w:lineRule="auto"/>
        <w:rPr>
          <w:sz w:val="20"/>
          <w:szCs w:val="20"/>
          <w:color w:val="auto"/>
        </w:rPr>
      </w:pPr>
      <w:r>
        <w:rPr>
          <w:rFonts w:ascii="Arial" w:cs="Arial" w:eastAsia="Arial" w:hAnsi="Arial"/>
          <w:sz w:val="22"/>
          <w:szCs w:val="22"/>
          <w:color w:val="auto"/>
        </w:rPr>
        <w:t xml:space="preserve">7.4.2. </w:t>
      </w:r>
      <w:r>
        <w:rPr>
          <w:rFonts w:ascii="Arial" w:cs="Arial" w:eastAsia="Arial" w:hAnsi="Arial"/>
          <w:sz w:val="22"/>
          <w:szCs w:val="22"/>
          <w:b w:val="1"/>
          <w:bCs w:val="1"/>
          <w:color w:val="auto"/>
        </w:rPr>
        <w:t>Change in Effective Control of the Company</w:t>
      </w:r>
      <w:r>
        <w:rPr>
          <w:rFonts w:ascii="Arial" w:cs="Arial" w:eastAsia="Arial" w:hAnsi="Arial"/>
          <w:sz w:val="22"/>
          <w:szCs w:val="22"/>
          <w:color w:val="auto"/>
        </w:rPr>
        <w:t>. If the Company has a class of securities registered pursuant to Section 12 of the U.S.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769" w:name="page770"/>
    <w:bookmarkEnd w:id="769"/>
    <w:p>
      <w:pPr>
        <w:jc w:val="both"/>
        <w:spacing w:after="0" w:line="248" w:lineRule="auto"/>
        <w:rPr>
          <w:sz w:val="20"/>
          <w:szCs w:val="20"/>
          <w:color w:val="auto"/>
        </w:rPr>
      </w:pPr>
      <w:r>
        <w:rPr>
          <w:rFonts w:ascii="Arial" w:cs="Arial" w:eastAsia="Arial" w:hAnsi="Arial"/>
          <w:sz w:val="22"/>
          <w:szCs w:val="22"/>
          <w:color w:val="auto"/>
        </w:rPr>
        <w:t>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86"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Further, for the avoidance of doubt, the Merger (as defined in Section 7.10 below) will not constitute a Change in Control for purposes of this Agreement.</w:t>
      </w:r>
    </w:p>
    <w:p>
      <w:pPr>
        <w:spacing w:after="0" w:line="16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7.5. “</w:t>
      </w:r>
      <w:r>
        <w:rPr>
          <w:rFonts w:ascii="Arial" w:cs="Arial" w:eastAsia="Arial" w:hAnsi="Arial"/>
          <w:sz w:val="21"/>
          <w:szCs w:val="21"/>
          <w:b w:val="1"/>
          <w:bCs w:val="1"/>
          <w:color w:val="auto"/>
        </w:rPr>
        <w:t>Change in Control Period</w:t>
      </w:r>
      <w:r>
        <w:rPr>
          <w:rFonts w:ascii="Arial" w:cs="Arial" w:eastAsia="Arial" w:hAnsi="Arial"/>
          <w:sz w:val="21"/>
          <w:szCs w:val="21"/>
          <w:color w:val="auto"/>
        </w:rPr>
        <w:t>” means the period beginning on the date three (3) months prior to a Change in Control and ending on (and inclusive of) the date that is the one (1) year anniversary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70" w:name="page771"/>
    <w:bookmarkEnd w:id="770"/>
    <w:p>
      <w:pPr>
        <w:jc w:val="both"/>
        <w:ind w:firstLine="1296"/>
        <w:spacing w:after="0" w:line="315" w:lineRule="auto"/>
        <w:rPr>
          <w:sz w:val="20"/>
          <w:szCs w:val="20"/>
          <w:color w:val="auto"/>
        </w:rPr>
      </w:pPr>
      <w:r>
        <w:rPr>
          <w:rFonts w:ascii="Arial" w:cs="Arial" w:eastAsia="Arial" w:hAnsi="Arial"/>
          <w:sz w:val="19"/>
          <w:szCs w:val="19"/>
          <w:color w:val="auto"/>
        </w:rPr>
        <w:t>7.6. “</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7.7.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Executive’s At-Will Employment, Confidential Information, Invention Assignment, and Arbitration Agreement entered into with the Company dated March 1, 2021.</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Code Section 22(e)(3).</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7.10. “</w:t>
      </w:r>
      <w:r>
        <w:rPr>
          <w:rFonts w:ascii="Arial" w:cs="Arial" w:eastAsia="Arial" w:hAnsi="Arial"/>
          <w:sz w:val="22"/>
          <w:szCs w:val="22"/>
          <w:b w:val="1"/>
          <w:bCs w:val="1"/>
          <w:color w:val="auto"/>
        </w:rPr>
        <w:t>Effective Date</w:t>
      </w:r>
      <w:r>
        <w:rPr>
          <w:rFonts w:ascii="Arial" w:cs="Arial" w:eastAsia="Arial" w:hAnsi="Arial"/>
          <w:sz w:val="22"/>
          <w:szCs w:val="22"/>
          <w:color w:val="auto"/>
        </w:rPr>
        <w:t>” means the business day immediately prior to the date on which the transactions contemplated under the Business Combination Agreement by and among ARYA Sciences Acquisition Corp III, Mako Merger Sub, Inc., and the Company, dated as of February 7, 2021, as may be amended from time to time (the “</w:t>
      </w:r>
      <w:r>
        <w:rPr>
          <w:rFonts w:ascii="Arial" w:cs="Arial" w:eastAsia="Arial" w:hAnsi="Arial"/>
          <w:sz w:val="22"/>
          <w:szCs w:val="22"/>
          <w:b w:val="1"/>
          <w:bCs w:val="1"/>
          <w:color w:val="auto"/>
        </w:rPr>
        <w:t>Merger</w:t>
      </w:r>
      <w:r>
        <w:rPr>
          <w:rFonts w:ascii="Arial" w:cs="Arial" w:eastAsia="Arial" w:hAnsi="Arial"/>
          <w:sz w:val="22"/>
          <w:szCs w:val="22"/>
          <w:color w:val="auto"/>
        </w:rPr>
        <w:t>”), are completed and provided the Merger is completed no later than December 31, 2021.</w:t>
      </w:r>
    </w:p>
    <w:p>
      <w:pPr>
        <w:spacing w:after="0" w:line="18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7.11.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the extent Executive’s principal work location is not the Company’s corporate offices or facilities due to a shelter-in-place order, 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771" w:name="page772"/>
    <w:bookmarkEnd w:id="771"/>
    <w:p>
      <w:pPr>
        <w:jc w:val="both"/>
        <w:ind w:firstLine="1296"/>
        <w:spacing w:after="0" w:line="349" w:lineRule="auto"/>
        <w:rPr>
          <w:sz w:val="20"/>
          <w:szCs w:val="20"/>
          <w:color w:val="auto"/>
        </w:rPr>
      </w:pPr>
      <w:r>
        <w:rPr>
          <w:rFonts w:ascii="Arial" w:cs="Arial" w:eastAsia="Arial" w:hAnsi="Arial"/>
          <w:sz w:val="19"/>
          <w:szCs w:val="19"/>
          <w:color w:val="auto"/>
        </w:rPr>
        <w:t>7.12. “</w:t>
      </w:r>
      <w:r>
        <w:rPr>
          <w:rFonts w:ascii="Arial" w:cs="Arial" w:eastAsia="Arial" w:hAnsi="Arial"/>
          <w:sz w:val="19"/>
          <w:szCs w:val="19"/>
          <w:b w:val="1"/>
          <w:bCs w:val="1"/>
          <w:color w:val="auto"/>
        </w:rPr>
        <w:t>Qualifying Termination</w:t>
      </w:r>
      <w:r>
        <w:rPr>
          <w:rFonts w:ascii="Arial" w:cs="Arial" w:eastAsia="Arial" w:hAnsi="Arial"/>
          <w:sz w:val="19"/>
          <w:szCs w:val="19"/>
          <w:color w:val="auto"/>
        </w:rPr>
        <w:t>” means a termination of Executive’s employment with the Company either (a) by the Company without Cause and other than due to Executive’s death or Disability, or (b) by Executive for Good Reason.</w:t>
      </w:r>
    </w:p>
    <w:p>
      <w:pPr>
        <w:spacing w:after="0" w:line="9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7.13. “</w:t>
      </w:r>
      <w:r>
        <w:rPr>
          <w:rFonts w:ascii="Arial" w:cs="Arial" w:eastAsia="Arial" w:hAnsi="Arial"/>
          <w:sz w:val="22"/>
          <w:szCs w:val="22"/>
          <w:b w:val="1"/>
          <w:bCs w:val="1"/>
          <w:color w:val="auto"/>
        </w:rPr>
        <w:t>Salary</w:t>
      </w:r>
      <w:r>
        <w:rPr>
          <w:rFonts w:ascii="Arial" w:cs="Arial" w:eastAsia="Arial" w:hAnsi="Arial"/>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color w:val="auto"/>
        </w:rPr>
        <w:t>7.14. “</w:t>
      </w:r>
      <w:r>
        <w:rPr>
          <w:rFonts w:ascii="Arial" w:cs="Arial" w:eastAsia="Arial" w:hAnsi="Arial"/>
          <w:sz w:val="21"/>
          <w:szCs w:val="21"/>
          <w:b w:val="1"/>
          <w:bCs w:val="1"/>
          <w:color w:val="auto"/>
        </w:rPr>
        <w:t>Section 409A</w:t>
      </w:r>
      <w:r>
        <w:rPr>
          <w:rFonts w:ascii="Arial" w:cs="Arial" w:eastAsia="Arial" w:hAnsi="Arial"/>
          <w:sz w:val="21"/>
          <w:szCs w:val="21"/>
          <w:color w:val="auto"/>
        </w:rPr>
        <w:t>” means Code Section 409A and the Treasury Regulations and guidance thereunder, and any applicable state law equivalent, as each may be promulgated, amended or modified from time to time.</w:t>
      </w:r>
    </w:p>
    <w:p>
      <w:pPr>
        <w:spacing w:after="0" w:line="13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7.15. “</w:t>
      </w:r>
      <w:r>
        <w:rPr>
          <w:rFonts w:ascii="Arial" w:cs="Arial" w:eastAsia="Arial" w:hAnsi="Arial"/>
          <w:sz w:val="22"/>
          <w:szCs w:val="22"/>
          <w:b w:val="1"/>
          <w:bCs w:val="1"/>
          <w:color w:val="auto"/>
        </w:rPr>
        <w:t>Target Bonus</w:t>
      </w:r>
      <w:r>
        <w:rPr>
          <w:rFonts w:ascii="Arial" w:cs="Arial" w:eastAsia="Arial" w:hAnsi="Arial"/>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7.16. “</w:t>
      </w:r>
      <w:r>
        <w:rPr>
          <w:rFonts w:ascii="Arial" w:cs="Arial" w:eastAsia="Arial" w:hAnsi="Arial"/>
          <w:sz w:val="22"/>
          <w:szCs w:val="22"/>
          <w:b w:val="1"/>
          <w:bCs w:val="1"/>
          <w:color w:val="auto"/>
        </w:rPr>
        <w:t>Time-Based Awards</w:t>
      </w:r>
      <w:r>
        <w:rPr>
          <w:rFonts w:ascii="Arial" w:cs="Arial" w:eastAsia="Arial" w:hAnsi="Arial"/>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656"/>
        <w:spacing w:after="0" w:line="258" w:lineRule="auto"/>
        <w:tabs>
          <w:tab w:leader="none" w:pos="1134" w:val="left"/>
        </w:tabs>
        <w:numPr>
          <w:ilvl w:val="0"/>
          <w:numId w:val="733"/>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will be binding upon and inure to the benefit of (a) the heirs, executors, and legal</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For purposes of clarity, as of the completion of the transactions contemplated under that certain Business Combination Agreement by and among ARYA Sciences Acquisition Corp III, a Cayman Islands exempted company (“</w:t>
      </w:r>
      <w:r>
        <w:rPr>
          <w:rFonts w:ascii="Arial" w:cs="Arial" w:eastAsia="Arial" w:hAnsi="Arial"/>
          <w:sz w:val="21"/>
          <w:szCs w:val="21"/>
          <w:b w:val="1"/>
          <w:bCs w:val="1"/>
          <w:color w:val="auto"/>
        </w:rPr>
        <w:t>ARYA</w:t>
      </w:r>
      <w:r>
        <w:rPr>
          <w:rFonts w:ascii="Arial" w:cs="Arial" w:eastAsia="Arial" w:hAnsi="Arial"/>
          <w:sz w:val="21"/>
          <w:szCs w:val="21"/>
          <w:color w:val="auto"/>
        </w:rPr>
        <w:t>”), Mako Merger Sub, Inc., and the Company, dated February 7, 2021, as may be amended from time to time (the “</w:t>
      </w:r>
      <w:r>
        <w:rPr>
          <w:rFonts w:ascii="Arial" w:cs="Arial" w:eastAsia="Arial" w:hAnsi="Arial"/>
          <w:sz w:val="21"/>
          <w:szCs w:val="21"/>
          <w:b w:val="1"/>
          <w:bCs w:val="1"/>
          <w:color w:val="auto"/>
        </w:rPr>
        <w:t>Merger</w:t>
      </w:r>
      <w:r>
        <w:rPr>
          <w:rFonts w:ascii="Arial" w:cs="Arial" w:eastAsia="Arial" w:hAnsi="Arial"/>
          <w:sz w:val="21"/>
          <w:szCs w:val="21"/>
          <w:color w:val="auto"/>
        </w:rPr>
        <w:t>”), ARYA will constitute the Company’s “successor” for purposes of this Agreement.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772" w:name="page773"/>
    <w:bookmarkEnd w:id="772"/>
    <w:p>
      <w:pPr>
        <w:ind w:left="1040" w:hanging="384"/>
        <w:spacing w:after="0"/>
        <w:tabs>
          <w:tab w:leader="none" w:pos="1040" w:val="left"/>
        </w:tabs>
        <w:numPr>
          <w:ilvl w:val="0"/>
          <w:numId w:val="734"/>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General</w:t>
      </w:r>
      <w:r>
        <w:rPr>
          <w:rFonts w:ascii="Arial" w:cs="Arial" w:eastAsia="Arial" w:hAnsi="Arial"/>
          <w:sz w:val="21"/>
          <w:szCs w:val="21"/>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Nautilus Biotechnology,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425 Pontius Ave. N., Ste. 202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Seattle, WA 98109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b w:val="1"/>
          <w:bCs w:val="1"/>
          <w:color w:val="auto"/>
        </w:rPr>
        <w:t>Notice of Termination</w:t>
      </w:r>
      <w:r>
        <w:rPr>
          <w:rFonts w:ascii="Arial" w:cs="Arial" w:eastAsia="Arial" w:hAnsi="Arial"/>
          <w:sz w:val="21"/>
          <w:szCs w:val="21"/>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7.11).</w:t>
      </w:r>
    </w:p>
    <w:p>
      <w:pPr>
        <w:spacing w:after="0" w:line="173" w:lineRule="exact"/>
        <w:rPr>
          <w:sz w:val="20"/>
          <w:szCs w:val="20"/>
          <w:color w:val="auto"/>
        </w:rPr>
      </w:pPr>
    </w:p>
    <w:p>
      <w:pPr>
        <w:jc w:val="both"/>
        <w:ind w:firstLine="656"/>
        <w:spacing w:after="0" w:line="252" w:lineRule="auto"/>
        <w:tabs>
          <w:tab w:leader="none" w:pos="1201" w:val="left"/>
        </w:tabs>
        <w:numPr>
          <w:ilvl w:val="0"/>
          <w:numId w:val="735"/>
        </w:numPr>
        <w:rPr>
          <w:rFonts w:ascii="Arial" w:cs="Arial" w:eastAsia="Arial" w:hAnsi="Arial"/>
          <w:sz w:val="22"/>
          <w:szCs w:val="22"/>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Executive’s employment for any reason also will constitute, without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0"/>
          <w:numId w:val="735"/>
        </w:numPr>
        <w:rPr>
          <w:rFonts w:ascii="Arial" w:cs="Arial" w:eastAsia="Arial" w:hAnsi="Arial"/>
          <w:sz w:val="22"/>
          <w:szCs w:val="22"/>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No Duty to Mitigate</w:t>
      </w:r>
      <w:r>
        <w:rPr>
          <w:rFonts w:ascii="Arial" w:cs="Arial" w:eastAsia="Arial" w:hAnsi="Arial"/>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773" w:name="page774"/>
    <w:bookmarkEnd w:id="773"/>
    <w:p>
      <w:pPr>
        <w:jc w:val="both"/>
        <w:ind w:firstLine="1296"/>
        <w:spacing w:after="0" w:line="26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or construction of this Agreement.</w:t>
      </w:r>
    </w:p>
    <w:p>
      <w:pPr>
        <w:spacing w:after="0" w:line="16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together with the Confidentiality Agreement, and Executive’s confirmatory employment letter with the Company dated on or about the date hereof,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offer letter entered into with the Company dated March 1, 2021.</w:t>
      </w:r>
    </w:p>
    <w:p>
      <w:pPr>
        <w:spacing w:after="0" w:line="17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Governing</w:t>
      </w:r>
      <w:r>
        <w:rPr>
          <w:rFonts w:ascii="Arial" w:cs="Arial" w:eastAsia="Arial" w:hAnsi="Arial"/>
          <w:sz w:val="21"/>
          <w:szCs w:val="21"/>
          <w:color w:val="auto"/>
        </w:rPr>
        <w:t xml:space="preserve"> Law.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67"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Severability</w:t>
      </w:r>
      <w:r>
        <w:rPr>
          <w:rFonts w:ascii="Arial" w:cs="Arial" w:eastAsia="Arial" w:hAnsi="Arial"/>
          <w:sz w:val="19"/>
          <w:szCs w:val="19"/>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2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Withholding</w:t>
      </w:r>
      <w:r>
        <w:rPr>
          <w:rFonts w:ascii="Arial" w:cs="Arial" w:eastAsia="Arial" w:hAnsi="Arial"/>
          <w:sz w:val="21"/>
          <w:szCs w:val="21"/>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Arial" w:cs="Arial" w:eastAsia="Arial" w:hAnsi="Arial"/>
          <w:sz w:val="21"/>
          <w:szCs w:val="21"/>
          <w:b w:val="1"/>
          <w:bCs w:val="1"/>
          <w:color w:val="auto"/>
        </w:rPr>
        <w:t>Withholdings</w:t>
      </w:r>
      <w:r>
        <w:rPr>
          <w:rFonts w:ascii="Arial" w:cs="Arial" w:eastAsia="Arial" w:hAnsi="Arial"/>
          <w:sz w:val="21"/>
          <w:szCs w:val="21"/>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774" w:name="page775"/>
    <w:bookmarkEnd w:id="774"/>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54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5820" w:type="dxa"/>
            <w:vAlign w:val="bottom"/>
            <w:gridSpan w:val="2"/>
          </w:tcPr>
          <w:p>
            <w:pPr>
              <w:ind w:left="20"/>
              <w:spacing w:after="0"/>
              <w:rPr>
                <w:sz w:val="20"/>
                <w:szCs w:val="20"/>
                <w:color w:val="auto"/>
              </w:rPr>
            </w:pPr>
            <w:r>
              <w:rPr>
                <w:rFonts w:ascii="Arial" w:cs="Arial" w:eastAsia="Arial" w:hAnsi="Arial"/>
                <w:sz w:val="22"/>
                <w:szCs w:val="22"/>
                <w:b w:val="1"/>
                <w:bCs w:val="1"/>
                <w:color w:val="auto"/>
              </w:rPr>
              <w:t>NAUTILUS BIOTECHNOLOGY, INC.</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Sujal Patel</w:t>
            </w:r>
          </w:p>
        </w:tc>
      </w:tr>
      <w:tr>
        <w:trPr>
          <w:trHeight w:val="293"/>
        </w:trPr>
        <w:tc>
          <w:tcPr>
            <w:tcW w:w="5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22"/>
                <w:szCs w:val="22"/>
                <w:color w:val="auto"/>
              </w:rPr>
              <w:t>Sujal Patel</w:t>
            </w:r>
          </w:p>
        </w:tc>
      </w:tr>
      <w:tr>
        <w:trPr>
          <w:trHeight w:val="32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304"/>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8, 2021</w:t>
            </w:r>
          </w:p>
        </w:tc>
      </w:tr>
      <w:tr>
        <w:trPr>
          <w:trHeight w:val="831"/>
        </w:trPr>
        <w:tc>
          <w:tcPr>
            <w:tcW w:w="54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58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Matt Murphy</w:t>
            </w:r>
          </w:p>
        </w:tc>
      </w:tr>
      <w:tr>
        <w:trPr>
          <w:trHeight w:val="293"/>
        </w:trPr>
        <w:tc>
          <w:tcPr>
            <w:tcW w:w="5400" w:type="dxa"/>
            <w:vAlign w:val="bottom"/>
          </w:tcPr>
          <w:p>
            <w:pPr>
              <w:spacing w:after="0"/>
              <w:rPr>
                <w:sz w:val="24"/>
                <w:szCs w:val="24"/>
                <w:color w:val="auto"/>
              </w:rPr>
            </w:pPr>
          </w:p>
        </w:tc>
        <w:tc>
          <w:tcPr>
            <w:tcW w:w="5820" w:type="dxa"/>
            <w:vAlign w:val="bottom"/>
            <w:gridSpan w:val="2"/>
          </w:tcPr>
          <w:p>
            <w:pPr>
              <w:ind w:left="20"/>
              <w:spacing w:after="0"/>
              <w:rPr>
                <w:sz w:val="20"/>
                <w:szCs w:val="20"/>
                <w:color w:val="auto"/>
              </w:rPr>
            </w:pPr>
            <w:r>
              <w:rPr>
                <w:rFonts w:ascii="Arial" w:cs="Arial" w:eastAsia="Arial" w:hAnsi="Arial"/>
                <w:sz w:val="22"/>
                <w:szCs w:val="22"/>
                <w:color w:val="auto"/>
              </w:rPr>
              <w:t>Matt Murphy</w:t>
            </w:r>
          </w:p>
        </w:tc>
      </w:tr>
      <w:tr>
        <w:trPr>
          <w:trHeight w:val="591"/>
        </w:trPr>
        <w:tc>
          <w:tcPr>
            <w:tcW w:w="540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8,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75" w:name="page776"/>
    <w:bookmarkEnd w:id="775"/>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NAUTILUS BIOTECHNOLOGY,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dated as of _________, and is between Nautilus Biotechnology, Inc., 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Delaware corporation (f/k/a ARYA Sciences Acquisition Corp. III)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____________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1040" w:hanging="384"/>
        <w:spacing w:after="0"/>
        <w:tabs>
          <w:tab w:leader="none" w:pos="1040" w:val="left"/>
        </w:tabs>
        <w:numPr>
          <w:ilvl w:val="0"/>
          <w:numId w:val="736"/>
        </w:numPr>
        <w:rPr>
          <w:rFonts w:ascii="Arial" w:cs="Arial" w:eastAsia="Arial" w:hAnsi="Arial"/>
          <w:sz w:val="20"/>
          <w:szCs w:val="20"/>
          <w:color w:val="auto"/>
        </w:rPr>
      </w:pPr>
      <w:r>
        <w:rPr>
          <w:rFonts w:ascii="Arial" w:cs="Arial" w:eastAsia="Arial" w:hAnsi="Arial"/>
          <w:sz w:val="20"/>
          <w:szCs w:val="20"/>
          <w:color w:val="auto"/>
        </w:rPr>
        <w:t>Indemnitee’s service to the Company substantially benefits the Company.</w:t>
      </w:r>
    </w:p>
    <w:p>
      <w:pPr>
        <w:spacing w:after="0" w:line="215" w:lineRule="exact"/>
        <w:rPr>
          <w:rFonts w:ascii="Arial" w:cs="Arial" w:eastAsia="Arial" w:hAnsi="Arial"/>
          <w:sz w:val="20"/>
          <w:szCs w:val="20"/>
          <w:color w:val="auto"/>
        </w:rPr>
      </w:pPr>
    </w:p>
    <w:p>
      <w:pPr>
        <w:jc w:val="both"/>
        <w:ind w:firstLine="656"/>
        <w:spacing w:after="0" w:line="385" w:lineRule="auto"/>
        <w:tabs>
          <w:tab w:leader="none" w:pos="1072" w:val="left"/>
        </w:tabs>
        <w:numPr>
          <w:ilvl w:val="0"/>
          <w:numId w:val="736"/>
        </w:numPr>
        <w:rPr>
          <w:rFonts w:ascii="Arial" w:cs="Arial" w:eastAsia="Arial" w:hAnsi="Arial"/>
          <w:sz w:val="16"/>
          <w:szCs w:val="16"/>
          <w:color w:val="auto"/>
        </w:rPr>
      </w:pPr>
      <w:r>
        <w:rPr>
          <w:rFonts w:ascii="Arial" w:cs="Arial" w:eastAsia="Arial" w:hAnsi="Arial"/>
          <w:sz w:val="16"/>
          <w:szCs w:val="16"/>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84" w:lineRule="exact"/>
        <w:rPr>
          <w:rFonts w:ascii="Arial" w:cs="Arial" w:eastAsia="Arial" w:hAnsi="Arial"/>
          <w:sz w:val="16"/>
          <w:szCs w:val="16"/>
          <w:color w:val="auto"/>
        </w:rPr>
      </w:pPr>
    </w:p>
    <w:p>
      <w:pPr>
        <w:jc w:val="both"/>
        <w:ind w:firstLine="656"/>
        <w:spacing w:after="0" w:line="250" w:lineRule="auto"/>
        <w:tabs>
          <w:tab w:leader="none" w:pos="1073" w:val="left"/>
        </w:tabs>
        <w:numPr>
          <w:ilvl w:val="0"/>
          <w:numId w:val="736"/>
        </w:numPr>
        <w:rPr>
          <w:rFonts w:ascii="Arial" w:cs="Arial" w:eastAsia="Arial" w:hAnsi="Arial"/>
          <w:sz w:val="20"/>
          <w:szCs w:val="20"/>
          <w:color w:val="auto"/>
        </w:rPr>
      </w:pPr>
      <w:r>
        <w:rPr>
          <w:rFonts w:ascii="Arial" w:cs="Arial" w:eastAsia="Arial" w:hAnsi="Arial"/>
          <w:sz w:val="20"/>
          <w:szCs w:val="20"/>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85" w:lineRule="exact"/>
        <w:rPr>
          <w:rFonts w:ascii="Arial" w:cs="Arial" w:eastAsia="Arial" w:hAnsi="Arial"/>
          <w:sz w:val="20"/>
          <w:szCs w:val="20"/>
          <w:color w:val="auto"/>
        </w:rPr>
      </w:pPr>
    </w:p>
    <w:p>
      <w:pPr>
        <w:ind w:right="20" w:firstLine="656"/>
        <w:spacing w:after="0" w:line="316" w:lineRule="auto"/>
        <w:tabs>
          <w:tab w:leader="none" w:pos="1094" w:val="left"/>
        </w:tabs>
        <w:numPr>
          <w:ilvl w:val="0"/>
          <w:numId w:val="736"/>
        </w:numPr>
        <w:rPr>
          <w:rFonts w:ascii="Arial" w:cs="Arial" w:eastAsia="Arial" w:hAnsi="Arial"/>
          <w:sz w:val="18"/>
          <w:szCs w:val="18"/>
          <w:color w:val="auto"/>
        </w:rPr>
      </w:pPr>
      <w:r>
        <w:rPr>
          <w:rFonts w:ascii="Arial" w:cs="Arial" w:eastAsia="Arial" w:hAnsi="Arial"/>
          <w:sz w:val="18"/>
          <w:szCs w:val="18"/>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30" w:lineRule="exact"/>
        <w:rPr>
          <w:sz w:val="20"/>
          <w:szCs w:val="20"/>
          <w:color w:val="auto"/>
        </w:rPr>
      </w:pPr>
    </w:p>
    <w:p>
      <w:pPr>
        <w:ind w:firstLine="656"/>
        <w:spacing w:after="0" w:line="260" w:lineRule="auto"/>
        <w:tabs>
          <w:tab w:leader="none" w:pos="1002" w:val="left"/>
        </w:tabs>
        <w:numPr>
          <w:ilvl w:val="0"/>
          <w:numId w:val="737"/>
        </w:numPr>
        <w:rPr>
          <w:rFonts w:ascii="Arial" w:cs="Arial" w:eastAsia="Arial" w:hAnsi="Arial"/>
          <w:sz w:val="20"/>
          <w:szCs w:val="20"/>
          <w:color w:val="auto"/>
        </w:rPr>
      </w:pPr>
      <w:r>
        <w:rPr>
          <w:rFonts w:ascii="Arial" w:cs="Arial" w:eastAsia="Arial" w:hAnsi="Arial"/>
          <w:sz w:val="20"/>
          <w:szCs w:val="20"/>
          <w:color w:val="auto"/>
        </w:rPr>
        <w:t>This Agreement shall supersede any prior indemnification agreement between the Company (or any subsidiary of the Company) and the Indemnitee, which is hereby terminated.</w:t>
      </w:r>
    </w:p>
    <w:p>
      <w:pPr>
        <w:spacing w:after="0" w:line="177" w:lineRule="exact"/>
        <w:rPr>
          <w:sz w:val="20"/>
          <w:szCs w:val="20"/>
          <w:color w:val="auto"/>
        </w:rPr>
      </w:pPr>
    </w:p>
    <w:p>
      <w:pPr>
        <w:jc w:val="both"/>
        <w:ind w:firstLine="656"/>
        <w:spacing w:after="0" w:line="250" w:lineRule="auto"/>
        <w:tabs>
          <w:tab w:leader="none" w:pos="1185" w:val="left"/>
        </w:tabs>
        <w:numPr>
          <w:ilvl w:val="0"/>
          <w:numId w:val="738"/>
        </w:numPr>
        <w:rPr>
          <w:rFonts w:ascii="Arial" w:cs="Arial" w:eastAsia="Arial" w:hAnsi="Arial"/>
          <w:sz w:val="20"/>
          <w:szCs w:val="20"/>
          <w:color w:val="auto"/>
        </w:rPr>
      </w:pPr>
      <w:r>
        <w:rPr>
          <w:rFonts w:ascii="Arial" w:cs="Arial" w:eastAsia="Arial" w:hAnsi="Arial"/>
          <w:sz w:val="20"/>
          <w:szCs w:val="20"/>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therefore agree as follows:</w:t>
      </w:r>
    </w:p>
    <w:p>
      <w:pPr>
        <w:spacing w:after="0" w:line="210" w:lineRule="exact"/>
        <w:rPr>
          <w:sz w:val="20"/>
          <w:szCs w:val="20"/>
          <w:color w:val="auto"/>
        </w:rPr>
      </w:pPr>
    </w:p>
    <w:p>
      <w:pPr>
        <w:ind w:left="1000" w:hanging="344"/>
        <w:spacing w:after="0"/>
        <w:tabs>
          <w:tab w:leader="none" w:pos="1000" w:val="left"/>
        </w:tabs>
        <w:numPr>
          <w:ilvl w:val="0"/>
          <w:numId w:val="739"/>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1740" w:hanging="436"/>
        <w:spacing w:after="0"/>
        <w:tabs>
          <w:tab w:leader="none" w:pos="174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occur upon the earliest to occur after the date of this Agreement of any of</w:t>
      </w:r>
    </w:p>
    <w:p>
      <w:pPr>
        <w:spacing w:after="0" w:line="38" w:lineRule="exact"/>
        <w:rPr>
          <w:sz w:val="20"/>
          <w:szCs w:val="20"/>
          <w:color w:val="auto"/>
        </w:rPr>
      </w:pPr>
    </w:p>
    <w:p>
      <w:pPr>
        <w:spacing w:after="0"/>
        <w:tabs>
          <w:tab w:leader="none" w:pos="11140" w:val="left"/>
        </w:tabs>
        <w:rPr>
          <w:sz w:val="20"/>
          <w:szCs w:val="20"/>
          <w:color w:val="auto"/>
        </w:rPr>
      </w:pPr>
      <w:r>
        <w:rPr>
          <w:rFonts w:ascii="Arial" w:cs="Arial" w:eastAsia="Arial" w:hAnsi="Arial"/>
          <w:sz w:val="19"/>
          <w:szCs w:val="19"/>
          <w:color w:val="auto"/>
        </w:rPr>
        <w:t>the following events (provided that, the business combination contemplated by the registration statement on Form S-4 (File No. 333-</w:t>
      </w:r>
      <w:r>
        <w:rPr>
          <w:sz w:val="20"/>
          <w:szCs w:val="20"/>
          <w:color w:val="auto"/>
        </w:rPr>
        <w:tab/>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shall in no event be deemed a Change in Control):</w:t>
      </w:r>
    </w:p>
    <w:p>
      <w:pPr>
        <w:spacing w:after="0" w:line="200" w:lineRule="exact"/>
        <w:rPr>
          <w:sz w:val="20"/>
          <w:szCs w:val="20"/>
          <w:color w:val="auto"/>
        </w:rPr>
      </w:pPr>
    </w:p>
    <w:p>
      <w:pPr>
        <w:jc w:val="both"/>
        <w:ind w:firstLine="2276"/>
        <w:spacing w:after="0" w:line="250" w:lineRule="auto"/>
        <w:tabs>
          <w:tab w:leader="none" w:pos="2747" w:val="left"/>
        </w:tabs>
        <w:numPr>
          <w:ilvl w:val="0"/>
          <w:numId w:val="741"/>
        </w:numPr>
        <w:rPr>
          <w:rFonts w:ascii="Arial" w:cs="Arial" w:eastAsia="Arial" w:hAnsi="Arial"/>
          <w:sz w:val="20"/>
          <w:szCs w:val="20"/>
          <w:color w:val="auto"/>
        </w:rPr>
      </w:pPr>
      <w:r>
        <w:rPr>
          <w:rFonts w:ascii="Arial" w:cs="Arial" w:eastAsia="Arial" w:hAnsi="Arial"/>
          <w:sz w:val="20"/>
          <w:szCs w:val="20"/>
          <w:i w:val="1"/>
          <w:iCs w:val="1"/>
          <w:color w:val="auto"/>
        </w:rPr>
        <w:t xml:space="preserve">Acquisition of Stock by Third Party. </w:t>
      </w:r>
      <w:r>
        <w:rPr>
          <w:rFonts w:ascii="Arial" w:cs="Arial" w:eastAsia="Arial" w:hAnsi="Arial"/>
          <w:sz w:val="20"/>
          <w:szCs w:val="20"/>
          <w:color w:val="auto"/>
        </w:rPr>
        <w:t>Any Person (as defined below) becomes the Beneficial Owner (as</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below), directly or indirectly, of securities of the Company representing fifteen percent (15%) or more of the combined voting power of the Company’s then outstanding securities;</w:t>
      </w:r>
    </w:p>
    <w:p>
      <w:pPr>
        <w:spacing w:after="0" w:line="185" w:lineRule="exact"/>
        <w:rPr>
          <w:rFonts w:ascii="Arial" w:cs="Arial" w:eastAsia="Arial" w:hAnsi="Arial"/>
          <w:sz w:val="20"/>
          <w:szCs w:val="20"/>
          <w:color w:val="auto"/>
        </w:rPr>
      </w:pPr>
    </w:p>
    <w:p>
      <w:pPr>
        <w:jc w:val="both"/>
        <w:ind w:firstLine="2276"/>
        <w:spacing w:after="0" w:line="269" w:lineRule="auto"/>
        <w:tabs>
          <w:tab w:leader="none" w:pos="2707" w:val="left"/>
        </w:tabs>
        <w:numPr>
          <w:ilvl w:val="0"/>
          <w:numId w:val="741"/>
        </w:numPr>
        <w:rPr>
          <w:rFonts w:ascii="Arial" w:cs="Arial" w:eastAsia="Arial" w:hAnsi="Arial"/>
          <w:sz w:val="19"/>
          <w:szCs w:val="19"/>
          <w:color w:val="auto"/>
        </w:rPr>
      </w:pPr>
      <w:r>
        <w:rPr>
          <w:rFonts w:ascii="Arial" w:cs="Arial" w:eastAsia="Arial" w:hAnsi="Arial"/>
          <w:sz w:val="19"/>
          <w:szCs w:val="19"/>
          <w:i w:val="1"/>
          <w:iCs w:val="1"/>
          <w:color w:val="auto"/>
        </w:rPr>
        <w:t xml:space="preserve">Change in Board Composition. </w:t>
      </w:r>
      <w:r>
        <w:rPr>
          <w:rFonts w:ascii="Arial" w:cs="Arial" w:eastAsia="Arial" w:hAnsi="Arial"/>
          <w:sz w:val="19"/>
          <w:szCs w:val="19"/>
          <w:color w:val="auto"/>
        </w:rPr>
        <w:t>During any period of two consecutive years (not including any period prior</w:t>
      </w:r>
      <w:r>
        <w:rPr>
          <w:rFonts w:ascii="Arial" w:cs="Arial" w:eastAsia="Arial" w:hAnsi="Arial"/>
          <w:sz w:val="19"/>
          <w:szCs w:val="19"/>
          <w:i w:val="1"/>
          <w:iCs w:val="1"/>
          <w:color w:val="auto"/>
        </w:rPr>
        <w:t xml:space="preserve"> </w:t>
      </w:r>
      <w:r>
        <w:rPr>
          <w:rFonts w:ascii="Arial" w:cs="Arial" w:eastAsia="Arial" w:hAnsi="Arial"/>
          <w:sz w:val="19"/>
          <w:szCs w:val="19"/>
          <w:color w:val="auto"/>
        </w:rPr>
        <w:t>to the execution of this Agreement), individuals who at the beginning of such period constitute the Company’s board of directors, and any new directors (other than a director designated by a person who has entered into an agreement with the Company to effect a</w:t>
      </w:r>
    </w:p>
    <w:p>
      <w:pPr>
        <w:sectPr>
          <w:pgSz w:w="11900" w:h="16838" w:orient="portrait"/>
          <w:cols w:equalWidth="0" w:num="1">
            <w:col w:w="11240"/>
          </w:cols>
          <w:pgMar w:left="320" w:top="122" w:right="339" w:bottom="1440" w:gutter="0" w:footer="0" w:header="0"/>
        </w:sectPr>
      </w:pPr>
    </w:p>
    <w:bookmarkStart w:id="776" w:name="page777"/>
    <w:bookmarkEnd w:id="776"/>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91" w:lineRule="exact"/>
        <w:rPr>
          <w:sz w:val="20"/>
          <w:szCs w:val="20"/>
          <w:color w:val="auto"/>
        </w:rPr>
      </w:pPr>
    </w:p>
    <w:p>
      <w:pPr>
        <w:jc w:val="both"/>
        <w:ind w:firstLine="2276"/>
        <w:spacing w:after="0" w:line="243" w:lineRule="auto"/>
        <w:tabs>
          <w:tab w:leader="none" w:pos="2803" w:val="left"/>
        </w:tabs>
        <w:numPr>
          <w:ilvl w:val="0"/>
          <w:numId w:val="742"/>
        </w:numPr>
        <w:rPr>
          <w:rFonts w:ascii="Arial" w:cs="Arial" w:eastAsia="Arial" w:hAnsi="Arial"/>
          <w:sz w:val="20"/>
          <w:szCs w:val="20"/>
          <w:color w:val="auto"/>
        </w:rPr>
      </w:pPr>
      <w:r>
        <w:rPr>
          <w:rFonts w:ascii="Arial" w:cs="Arial" w:eastAsia="Arial" w:hAnsi="Arial"/>
          <w:sz w:val="20"/>
          <w:szCs w:val="20"/>
          <w:i w:val="1"/>
          <w:iCs w:val="1"/>
          <w:color w:val="auto"/>
        </w:rPr>
        <w:t xml:space="preserve">Corporate Transactions. </w:t>
      </w:r>
      <w:r>
        <w:rPr>
          <w:rFonts w:ascii="Arial" w:cs="Arial" w:eastAsia="Arial" w:hAnsi="Arial"/>
          <w:sz w:val="20"/>
          <w:szCs w:val="20"/>
          <w:color w:val="auto"/>
        </w:rPr>
        <w:t>The effective date of a merger or consolidation of the Company with any other</w:t>
      </w:r>
      <w:r>
        <w:rPr>
          <w:rFonts w:ascii="Arial" w:cs="Arial" w:eastAsia="Arial" w:hAnsi="Arial"/>
          <w:sz w:val="20"/>
          <w:szCs w:val="20"/>
          <w:i w:val="1"/>
          <w:iCs w:val="1"/>
          <w:color w:val="auto"/>
        </w:rPr>
        <w:t xml:space="preserve"> </w:t>
      </w:r>
      <w:r>
        <w:rPr>
          <w:rFonts w:ascii="Arial" w:cs="Arial" w:eastAsia="Arial" w:hAnsi="Arial"/>
          <w:sz w:val="20"/>
          <w:szCs w:val="20"/>
          <w:color w:val="auto"/>
        </w:rPr>
        <w:t>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95" w:lineRule="exact"/>
        <w:rPr>
          <w:rFonts w:ascii="Arial" w:cs="Arial" w:eastAsia="Arial" w:hAnsi="Arial"/>
          <w:sz w:val="20"/>
          <w:szCs w:val="20"/>
          <w:color w:val="auto"/>
        </w:rPr>
      </w:pPr>
    </w:p>
    <w:p>
      <w:pPr>
        <w:ind w:firstLine="2276"/>
        <w:spacing w:after="0" w:line="260" w:lineRule="auto"/>
        <w:tabs>
          <w:tab w:leader="none" w:pos="2778" w:val="left"/>
        </w:tabs>
        <w:numPr>
          <w:ilvl w:val="0"/>
          <w:numId w:val="742"/>
        </w:numPr>
        <w:rPr>
          <w:rFonts w:ascii="Arial" w:cs="Arial" w:eastAsia="Arial" w:hAnsi="Arial"/>
          <w:sz w:val="20"/>
          <w:szCs w:val="20"/>
          <w:color w:val="auto"/>
        </w:rPr>
      </w:pPr>
      <w:r>
        <w:rPr>
          <w:rFonts w:ascii="Arial" w:cs="Arial" w:eastAsia="Arial" w:hAnsi="Arial"/>
          <w:sz w:val="20"/>
          <w:szCs w:val="20"/>
          <w:i w:val="1"/>
          <w:iCs w:val="1"/>
          <w:color w:val="auto"/>
        </w:rPr>
        <w:t xml:space="preserve">Liquidation. </w:t>
      </w:r>
      <w:r>
        <w:rPr>
          <w:rFonts w:ascii="Arial" w:cs="Arial" w:eastAsia="Arial" w:hAnsi="Arial"/>
          <w:sz w:val="20"/>
          <w:szCs w:val="20"/>
          <w:color w:val="auto"/>
        </w:rPr>
        <w:t>The approval by the stockholders of the Company of a complete liquidation of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or an agreement for the sale or disposition by the Company of all or substantially all of the Company’s assets; and</w:t>
      </w:r>
    </w:p>
    <w:p>
      <w:pPr>
        <w:spacing w:after="0" w:line="176" w:lineRule="exact"/>
        <w:rPr>
          <w:rFonts w:ascii="Arial" w:cs="Arial" w:eastAsia="Arial" w:hAnsi="Arial"/>
          <w:sz w:val="20"/>
          <w:szCs w:val="20"/>
          <w:color w:val="auto"/>
        </w:rPr>
      </w:pPr>
    </w:p>
    <w:p>
      <w:pPr>
        <w:jc w:val="both"/>
        <w:ind w:firstLine="2276"/>
        <w:spacing w:after="0" w:line="269" w:lineRule="auto"/>
        <w:tabs>
          <w:tab w:leader="none" w:pos="2710" w:val="left"/>
        </w:tabs>
        <w:numPr>
          <w:ilvl w:val="0"/>
          <w:numId w:val="742"/>
        </w:numPr>
        <w:rPr>
          <w:rFonts w:ascii="Arial" w:cs="Arial" w:eastAsia="Arial" w:hAnsi="Arial"/>
          <w:sz w:val="19"/>
          <w:szCs w:val="19"/>
          <w:color w:val="auto"/>
        </w:rPr>
      </w:pPr>
      <w:r>
        <w:rPr>
          <w:rFonts w:ascii="Arial" w:cs="Arial" w:eastAsia="Arial" w:hAnsi="Arial"/>
          <w:sz w:val="19"/>
          <w:szCs w:val="19"/>
          <w:i w:val="1"/>
          <w:iCs w:val="1"/>
          <w:color w:val="auto"/>
        </w:rPr>
        <w:t xml:space="preserve">Other Events. </w:t>
      </w:r>
      <w:r>
        <w:rPr>
          <w:rFonts w:ascii="Arial" w:cs="Arial" w:eastAsia="Arial" w:hAnsi="Arial"/>
          <w:sz w:val="19"/>
          <w:szCs w:val="19"/>
          <w:color w:val="auto"/>
        </w:rPr>
        <w:t>Any other event of a nature that would be required to be reported in response to Item 6(e) of</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14A of Regulation 14A (or in response to any similar item on any similar schedule or form) promulgated under the Securities Exchange Act of 1934, as amended, whether or not the Company is then subject to such reporting requirement.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Section 1(a), the following terms shall have the following meanings:</w:t>
      </w:r>
    </w:p>
    <w:p>
      <w:pPr>
        <w:spacing w:after="0" w:line="216" w:lineRule="exact"/>
        <w:rPr>
          <w:sz w:val="20"/>
          <w:szCs w:val="20"/>
          <w:color w:val="auto"/>
        </w:rPr>
      </w:pPr>
    </w:p>
    <w:p>
      <w:pPr>
        <w:jc w:val="both"/>
        <w:ind w:firstLine="2600"/>
        <w:spacing w:after="0" w:line="263" w:lineRule="auto"/>
        <w:tabs>
          <w:tab w:leader="none" w:pos="3075" w:val="left"/>
        </w:tabs>
        <w:numPr>
          <w:ilvl w:val="1"/>
          <w:numId w:val="7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shall have the meaning as set forth in Sections 13(d) and 14(d) of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76" w:lineRule="exact"/>
        <w:rPr>
          <w:rFonts w:ascii="Arial" w:cs="Arial" w:eastAsia="Arial" w:hAnsi="Arial"/>
          <w:sz w:val="19"/>
          <w:szCs w:val="19"/>
          <w:color w:val="auto"/>
        </w:rPr>
      </w:pPr>
    </w:p>
    <w:p>
      <w:pPr>
        <w:jc w:val="both"/>
        <w:ind w:firstLine="2600"/>
        <w:spacing w:after="0" w:line="246" w:lineRule="auto"/>
        <w:tabs>
          <w:tab w:leader="none" w:pos="3115" w:val="left"/>
        </w:tabs>
        <w:numPr>
          <w:ilvl w:val="1"/>
          <w:numId w:val="7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xml:space="preserve">” shall have the meaning given to such term in Rule 13d-3 under the Securities Exchange Act of 1934, as amended;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w:t>
      </w:r>
      <w:r>
        <w:rPr>
          <w:rFonts w:ascii="Arial" w:cs="Arial" w:eastAsia="Arial" w:hAnsi="Arial"/>
          <w:sz w:val="20"/>
          <w:szCs w:val="20"/>
          <w:b w:val="1"/>
          <w:bCs w:val="1"/>
          <w:i w:val="1"/>
          <w:iCs w:val="1"/>
          <w:color w:val="auto"/>
        </w:rPr>
        <w:t>Beneficial Owner</w:t>
      </w:r>
      <w:r>
        <w:rPr>
          <w:rFonts w:ascii="Arial" w:cs="Arial" w:eastAsia="Arial" w:hAnsi="Arial"/>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91" w:lineRule="exact"/>
        <w:rPr>
          <w:rFonts w:ascii="Arial" w:cs="Arial" w:eastAsia="Arial" w:hAnsi="Arial"/>
          <w:sz w:val="20"/>
          <w:szCs w:val="20"/>
          <w:color w:val="auto"/>
        </w:rPr>
      </w:pPr>
    </w:p>
    <w:p>
      <w:pPr>
        <w:ind w:firstLine="1304"/>
        <w:spacing w:after="0" w:line="260" w:lineRule="auto"/>
        <w:tabs>
          <w:tab w:leader="none" w:pos="1860" w:val="left"/>
        </w:tabs>
        <w:numPr>
          <w:ilvl w:val="0"/>
          <w:numId w:val="7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Status</w:t>
      </w:r>
      <w:r>
        <w:rPr>
          <w:rFonts w:ascii="Arial" w:cs="Arial" w:eastAsia="Arial" w:hAnsi="Arial"/>
          <w:sz w:val="20"/>
          <w:szCs w:val="20"/>
          <w:color w:val="auto"/>
        </w:rPr>
        <w:t>” describes the status of a person who is or was a director, trustee, general partner, managing member, officer, employee, agent or fiduciary of the Company or any other Enterprise.</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7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DGCL</w:t>
      </w:r>
      <w:r>
        <w:rPr>
          <w:rFonts w:ascii="Arial" w:cs="Arial" w:eastAsia="Arial" w:hAnsi="Arial"/>
          <w:sz w:val="20"/>
          <w:szCs w:val="20"/>
          <w:color w:val="auto"/>
        </w:rPr>
        <w:t>” means the General Corporation Law of the State of Delaware.</w:t>
      </w:r>
    </w:p>
    <w:p>
      <w:pPr>
        <w:spacing w:after="0" w:line="215" w:lineRule="exact"/>
        <w:rPr>
          <w:rFonts w:ascii="Arial" w:cs="Arial" w:eastAsia="Arial" w:hAnsi="Arial"/>
          <w:sz w:val="20"/>
          <w:szCs w:val="20"/>
          <w:color w:val="auto"/>
        </w:rPr>
      </w:pPr>
    </w:p>
    <w:p>
      <w:pPr>
        <w:ind w:firstLine="1304"/>
        <w:spacing w:after="0" w:line="260" w:lineRule="auto"/>
        <w:tabs>
          <w:tab w:leader="none" w:pos="1738" w:val="left"/>
        </w:tabs>
        <w:numPr>
          <w:ilvl w:val="0"/>
          <w:numId w:val="7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713" w:val="left"/>
        </w:tabs>
        <w:numPr>
          <w:ilvl w:val="0"/>
          <w:numId w:val="7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Enterprise</w:t>
      </w:r>
      <w:r>
        <w:rPr>
          <w:rFonts w:ascii="Arial" w:cs="Arial" w:eastAsia="Arial" w:hAnsi="Arial"/>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77" w:name="page778"/>
    <w:bookmarkEnd w:id="777"/>
    <w:p>
      <w:pPr>
        <w:spacing w:after="0" w:line="196" w:lineRule="exact"/>
        <w:rPr>
          <w:sz w:val="20"/>
          <w:szCs w:val="20"/>
          <w:color w:val="auto"/>
        </w:rPr>
      </w:pPr>
    </w:p>
    <w:p>
      <w:pPr>
        <w:jc w:val="both"/>
        <w:ind w:left="-20" w:firstLine="1304"/>
        <w:spacing w:after="0" w:line="272" w:lineRule="auto"/>
        <w:tabs>
          <w:tab w:leader="none" w:pos="1685" w:val="left"/>
        </w:tabs>
        <w:numPr>
          <w:ilvl w:val="1"/>
          <w:numId w:val="7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70" w:lineRule="exact"/>
        <w:rPr>
          <w:rFonts w:ascii="Arial" w:cs="Arial" w:eastAsia="Arial" w:hAnsi="Arial"/>
          <w:sz w:val="18"/>
          <w:szCs w:val="18"/>
          <w:color w:val="auto"/>
        </w:rPr>
      </w:pPr>
    </w:p>
    <w:p>
      <w:pPr>
        <w:jc w:val="both"/>
        <w:ind w:left="-20" w:firstLine="1304"/>
        <w:spacing w:after="0" w:line="257" w:lineRule="auto"/>
        <w:tabs>
          <w:tab w:leader="none" w:pos="1786" w:val="left"/>
        </w:tabs>
        <w:numPr>
          <w:ilvl w:val="1"/>
          <w:numId w:val="7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4" w:lineRule="exact"/>
        <w:rPr>
          <w:rFonts w:ascii="Arial" w:cs="Arial" w:eastAsia="Arial" w:hAnsi="Arial"/>
          <w:sz w:val="19"/>
          <w:szCs w:val="19"/>
          <w:color w:val="auto"/>
        </w:rPr>
      </w:pPr>
    </w:p>
    <w:p>
      <w:pPr>
        <w:jc w:val="both"/>
        <w:ind w:left="-20" w:firstLine="1304"/>
        <w:spacing w:after="0" w:line="272" w:lineRule="auto"/>
        <w:tabs>
          <w:tab w:leader="none" w:pos="1867" w:val="left"/>
        </w:tabs>
        <w:numPr>
          <w:ilvl w:val="1"/>
          <w:numId w:val="7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0" w:lineRule="exact"/>
        <w:rPr>
          <w:rFonts w:ascii="Arial" w:cs="Arial" w:eastAsia="Arial" w:hAnsi="Arial"/>
          <w:sz w:val="18"/>
          <w:szCs w:val="18"/>
          <w:color w:val="auto"/>
        </w:rPr>
      </w:pPr>
    </w:p>
    <w:p>
      <w:pPr>
        <w:jc w:val="both"/>
        <w:ind w:left="-20" w:firstLine="1304"/>
        <w:spacing w:after="0" w:line="276" w:lineRule="auto"/>
        <w:tabs>
          <w:tab w:leader="none" w:pos="1724" w:val="left"/>
        </w:tabs>
        <w:numPr>
          <w:ilvl w:val="1"/>
          <w:numId w:val="745"/>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158" w:lineRule="exact"/>
        <w:rPr>
          <w:rFonts w:ascii="Arial" w:cs="Arial" w:eastAsia="Arial" w:hAnsi="Arial"/>
          <w:sz w:val="18"/>
          <w:szCs w:val="18"/>
          <w:color w:val="auto"/>
        </w:rPr>
      </w:pPr>
    </w:p>
    <w:p>
      <w:pPr>
        <w:jc w:val="both"/>
        <w:ind w:left="-20" w:firstLine="656"/>
        <w:spacing w:after="0" w:line="294" w:lineRule="auto"/>
        <w:tabs>
          <w:tab w:leader="none" w:pos="1028" w:val="left"/>
        </w:tabs>
        <w:numPr>
          <w:ilvl w:val="0"/>
          <w:numId w:val="746"/>
        </w:numPr>
        <w:rPr>
          <w:rFonts w:ascii="Arial" w:cs="Arial" w:eastAsia="Arial" w:hAnsi="Arial"/>
          <w:sz w:val="18"/>
          <w:szCs w:val="18"/>
          <w:color w:val="auto"/>
        </w:rPr>
      </w:pPr>
      <w:r>
        <w:rPr>
          <w:rFonts w:ascii="Arial" w:cs="Arial" w:eastAsia="Arial" w:hAnsi="Arial"/>
          <w:sz w:val="18"/>
          <w:szCs w:val="18"/>
          <w:b w:val="1"/>
          <w:bCs w:val="1"/>
          <w:color w:val="auto"/>
        </w:rPr>
        <w:t xml:space="preserve">Indemnity in Third-Party Proceedings. </w:t>
      </w:r>
      <w:r>
        <w:rPr>
          <w:rFonts w:ascii="Arial" w:cs="Arial" w:eastAsia="Arial" w:hAnsi="Arial"/>
          <w:sz w:val="18"/>
          <w:szCs w:val="18"/>
          <w:color w:val="auto"/>
        </w:rPr>
        <w:t>The Company shall indemnify Indemnitee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 if Indemnitee is, or is threatened to be made, a party to or a participant in any Proceeding, other than a Proceeding by or in the right of the Company to procure a judgment in its favor. Pursuant to this Section 2, Indemnitee shall be indemnified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1440" w:right="339" w:bottom="1440" w:gutter="0" w:footer="0" w:header="0"/>
        </w:sectPr>
      </w:pPr>
    </w:p>
    <w:bookmarkStart w:id="778" w:name="page779"/>
    <w:bookmarkEnd w:id="778"/>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70" w:lineRule="exact"/>
        <w:rPr>
          <w:sz w:val="20"/>
          <w:szCs w:val="20"/>
          <w:color w:val="auto"/>
        </w:rPr>
      </w:pPr>
    </w:p>
    <w:p>
      <w:pPr>
        <w:jc w:val="both"/>
        <w:ind w:firstLine="656"/>
        <w:spacing w:after="0" w:line="272" w:lineRule="auto"/>
        <w:tabs>
          <w:tab w:leader="none" w:pos="1008" w:val="left"/>
        </w:tabs>
        <w:numPr>
          <w:ilvl w:val="0"/>
          <w:numId w:val="747"/>
        </w:numPr>
        <w:rPr>
          <w:rFonts w:ascii="Arial" w:cs="Arial" w:eastAsia="Arial" w:hAnsi="Arial"/>
          <w:sz w:val="18"/>
          <w:szCs w:val="18"/>
          <w:color w:val="auto"/>
        </w:rPr>
      </w:pPr>
      <w:r>
        <w:rPr>
          <w:rFonts w:ascii="Arial" w:cs="Arial" w:eastAsia="Arial" w:hAnsi="Arial"/>
          <w:sz w:val="18"/>
          <w:szCs w:val="18"/>
          <w:b w:val="1"/>
          <w:bCs w:val="1"/>
          <w:color w:val="auto"/>
        </w:rPr>
        <w:t xml:space="preserve">Indemnity in Proceedings by or in the Right of the Company. </w:t>
      </w:r>
      <w:r>
        <w:rPr>
          <w:rFonts w:ascii="Arial" w:cs="Arial" w:eastAsia="Arial" w:hAnsi="Arial"/>
          <w:sz w:val="18"/>
          <w:szCs w:val="18"/>
          <w:color w:val="auto"/>
        </w:rPr>
        <w:t>The Company shall indemnify Indemnitee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5" w:lineRule="exact"/>
        <w:rPr>
          <w:rFonts w:ascii="Arial" w:cs="Arial" w:eastAsia="Arial" w:hAnsi="Arial"/>
          <w:sz w:val="18"/>
          <w:szCs w:val="18"/>
          <w:color w:val="auto"/>
        </w:rPr>
      </w:pPr>
    </w:p>
    <w:p>
      <w:pPr>
        <w:jc w:val="both"/>
        <w:ind w:firstLine="656"/>
        <w:spacing w:after="0" w:line="257" w:lineRule="auto"/>
        <w:tabs>
          <w:tab w:leader="none" w:pos="1008" w:val="left"/>
        </w:tabs>
        <w:numPr>
          <w:ilvl w:val="0"/>
          <w:numId w:val="747"/>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for Expenses of a Party Who is Wholly or Partly Successful. </w:t>
      </w:r>
      <w:r>
        <w:rPr>
          <w:rFonts w:ascii="Arial" w:cs="Arial" w:eastAsia="Arial" w:hAnsi="Arial"/>
          <w:sz w:val="19"/>
          <w:szCs w:val="19"/>
          <w:color w:val="auto"/>
        </w:rPr>
        <w:t>To the extent that Indemnitee is a party to or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75" w:lineRule="exact"/>
        <w:rPr>
          <w:rFonts w:ascii="Arial" w:cs="Arial" w:eastAsia="Arial" w:hAnsi="Arial"/>
          <w:sz w:val="19"/>
          <w:szCs w:val="19"/>
          <w:color w:val="auto"/>
        </w:rPr>
      </w:pPr>
    </w:p>
    <w:p>
      <w:pPr>
        <w:jc w:val="both"/>
        <w:ind w:firstLine="656"/>
        <w:spacing w:after="0" w:line="272" w:lineRule="auto"/>
        <w:tabs>
          <w:tab w:leader="none" w:pos="994" w:val="left"/>
        </w:tabs>
        <w:numPr>
          <w:ilvl w:val="0"/>
          <w:numId w:val="747"/>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for Expenses of a Witness. </w:t>
      </w:r>
      <w:r>
        <w:rPr>
          <w:rFonts w:ascii="Arial" w:cs="Arial" w:eastAsia="Arial" w:hAnsi="Arial"/>
          <w:sz w:val="19"/>
          <w:szCs w:val="19"/>
          <w:color w:val="auto"/>
        </w:rPr>
        <w:t>To the extent that Indemnitee is, by reason of his or her Corporate Status, a witness</w:t>
      </w:r>
      <w:r>
        <w:rPr>
          <w:rFonts w:ascii="Arial" w:cs="Arial" w:eastAsia="Arial" w:hAnsi="Arial"/>
          <w:sz w:val="19"/>
          <w:szCs w:val="19"/>
          <w:b w:val="1"/>
          <w:bCs w:val="1"/>
          <w:color w:val="auto"/>
        </w:rPr>
        <w:t xml:space="preserve"> </w:t>
      </w:r>
      <w:r>
        <w:rPr>
          <w:rFonts w:ascii="Arial" w:cs="Arial" w:eastAsia="Arial" w:hAnsi="Arial"/>
          <w:sz w:val="19"/>
          <w:szCs w:val="19"/>
          <w:color w:val="auto"/>
        </w:rPr>
        <w:t>in 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61" w:lineRule="exact"/>
        <w:rPr>
          <w:rFonts w:ascii="Arial" w:cs="Arial" w:eastAsia="Arial" w:hAnsi="Arial"/>
          <w:sz w:val="19"/>
          <w:szCs w:val="19"/>
          <w:color w:val="auto"/>
        </w:rPr>
      </w:pPr>
    </w:p>
    <w:p>
      <w:pPr>
        <w:ind w:left="1000" w:hanging="344"/>
        <w:spacing w:after="0"/>
        <w:tabs>
          <w:tab w:leader="none" w:pos="1000" w:val="left"/>
        </w:tabs>
        <w:numPr>
          <w:ilvl w:val="0"/>
          <w:numId w:val="747"/>
        </w:numPr>
        <w:rPr>
          <w:rFonts w:ascii="Arial" w:cs="Arial" w:eastAsia="Arial" w:hAnsi="Arial"/>
          <w:sz w:val="20"/>
          <w:szCs w:val="20"/>
          <w:color w:val="auto"/>
        </w:rPr>
      </w:pPr>
      <w:r>
        <w:rPr>
          <w:rFonts w:ascii="Arial" w:cs="Arial" w:eastAsia="Arial" w:hAnsi="Arial"/>
          <w:sz w:val="20"/>
          <w:szCs w:val="20"/>
          <w:b w:val="1"/>
          <w:bCs w:val="1"/>
          <w:color w:val="auto"/>
        </w:rPr>
        <w:t>Additional Indemnification.</w:t>
      </w:r>
    </w:p>
    <w:p>
      <w:pPr>
        <w:spacing w:after="0" w:line="221" w:lineRule="exact"/>
        <w:rPr>
          <w:rFonts w:ascii="Arial" w:cs="Arial" w:eastAsia="Arial" w:hAnsi="Arial"/>
          <w:sz w:val="20"/>
          <w:szCs w:val="20"/>
          <w:color w:val="auto"/>
        </w:rPr>
      </w:pPr>
    </w:p>
    <w:p>
      <w:pPr>
        <w:jc w:val="both"/>
        <w:ind w:firstLine="1304"/>
        <w:spacing w:after="0" w:line="244" w:lineRule="auto"/>
        <w:tabs>
          <w:tab w:leader="none" w:pos="1798" w:val="left"/>
        </w:tabs>
        <w:numPr>
          <w:ilvl w:val="1"/>
          <w:numId w:val="747"/>
        </w:numPr>
        <w:rPr>
          <w:rFonts w:ascii="Arial" w:cs="Arial" w:eastAsia="Arial" w:hAnsi="Arial"/>
          <w:sz w:val="20"/>
          <w:szCs w:val="20"/>
          <w:color w:val="auto"/>
        </w:rPr>
      </w:pPr>
      <w:r>
        <w:rPr>
          <w:rFonts w:ascii="Arial" w:cs="Arial" w:eastAsia="Arial" w:hAnsi="Arial"/>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79" w:name="page780"/>
    <w:bookmarkEnd w:id="779"/>
    <w:p>
      <w:pPr>
        <w:spacing w:after="0" w:line="196" w:lineRule="exact"/>
        <w:rPr>
          <w:sz w:val="20"/>
          <w:szCs w:val="20"/>
          <w:color w:val="auto"/>
        </w:rPr>
      </w:pPr>
    </w:p>
    <w:p>
      <w:pPr>
        <w:ind w:left="-20" w:right="20" w:firstLine="1304"/>
        <w:spacing w:after="0" w:line="260" w:lineRule="auto"/>
        <w:tabs>
          <w:tab w:leader="none" w:pos="1816" w:val="left"/>
        </w:tabs>
        <w:numPr>
          <w:ilvl w:val="1"/>
          <w:numId w:val="748"/>
        </w:numPr>
        <w:rPr>
          <w:rFonts w:ascii="Arial" w:cs="Arial" w:eastAsia="Arial" w:hAnsi="Arial"/>
          <w:sz w:val="20"/>
          <w:szCs w:val="20"/>
          <w:color w:val="auto"/>
        </w:rPr>
      </w:pPr>
      <w:r>
        <w:rPr>
          <w:rFonts w:ascii="Arial" w:cs="Arial" w:eastAsia="Arial" w:hAnsi="Arial"/>
          <w:sz w:val="20"/>
          <w:szCs w:val="20"/>
          <w:color w:val="auto"/>
        </w:rPr>
        <w:t>For purposes of Section 6(a), the meaning of the phrase “</w:t>
      </w:r>
      <w:r>
        <w:rPr>
          <w:rFonts w:ascii="Arial" w:cs="Arial" w:eastAsia="Arial" w:hAnsi="Arial"/>
          <w:sz w:val="20"/>
          <w:szCs w:val="20"/>
          <w:b w:val="1"/>
          <w:bCs w:val="1"/>
          <w:i w:val="1"/>
          <w:iCs w:val="1"/>
          <w:color w:val="auto"/>
        </w:rPr>
        <w:t>to the fullest extent permitted by applicable law</w:t>
      </w:r>
      <w:r>
        <w:rPr>
          <w:rFonts w:ascii="Arial" w:cs="Arial" w:eastAsia="Arial" w:hAnsi="Arial"/>
          <w:sz w:val="20"/>
          <w:szCs w:val="20"/>
          <w:color w:val="auto"/>
        </w:rPr>
        <w:t>” shall include, but not be limited to:</w:t>
      </w:r>
    </w:p>
    <w:p>
      <w:pPr>
        <w:spacing w:after="0" w:line="176" w:lineRule="exact"/>
        <w:rPr>
          <w:rFonts w:ascii="Arial" w:cs="Arial" w:eastAsia="Arial" w:hAnsi="Arial"/>
          <w:sz w:val="20"/>
          <w:szCs w:val="20"/>
          <w:color w:val="auto"/>
        </w:rPr>
      </w:pPr>
    </w:p>
    <w:p>
      <w:pPr>
        <w:ind w:left="-20" w:firstLine="2276"/>
        <w:spacing w:after="0" w:line="287" w:lineRule="auto"/>
        <w:tabs>
          <w:tab w:leader="none" w:pos="2780" w:val="left"/>
        </w:tabs>
        <w:numPr>
          <w:ilvl w:val="2"/>
          <w:numId w:val="748"/>
        </w:numPr>
        <w:rPr>
          <w:rFonts w:ascii="Arial" w:cs="Arial" w:eastAsia="Arial" w:hAnsi="Arial"/>
          <w:sz w:val="19"/>
          <w:szCs w:val="19"/>
          <w:color w:val="auto"/>
        </w:rPr>
      </w:pPr>
      <w:r>
        <w:rPr>
          <w:rFonts w:ascii="Arial" w:cs="Arial" w:eastAsia="Arial" w:hAnsi="Arial"/>
          <w:sz w:val="19"/>
          <w:szCs w:val="19"/>
          <w:color w:val="auto"/>
        </w:rPr>
        <w:t>the fullest extent permitted by the provision of the DGCL that authorizes or contemplates additional indemnification by agreement, or the corresponding provision of any amendment to or replacement of the DGCL; and</w:t>
      </w:r>
    </w:p>
    <w:p>
      <w:pPr>
        <w:spacing w:after="0" w:line="152" w:lineRule="exact"/>
        <w:rPr>
          <w:rFonts w:ascii="Arial" w:cs="Arial" w:eastAsia="Arial" w:hAnsi="Arial"/>
          <w:sz w:val="19"/>
          <w:szCs w:val="19"/>
          <w:color w:val="auto"/>
        </w:rPr>
      </w:pPr>
    </w:p>
    <w:p>
      <w:pPr>
        <w:ind w:left="-20" w:firstLine="2276"/>
        <w:spacing w:after="0" w:line="287" w:lineRule="auto"/>
        <w:tabs>
          <w:tab w:leader="none" w:pos="2767" w:val="left"/>
        </w:tabs>
        <w:numPr>
          <w:ilvl w:val="2"/>
          <w:numId w:val="748"/>
        </w:numPr>
        <w:rPr>
          <w:rFonts w:ascii="Arial" w:cs="Arial" w:eastAsia="Arial" w:hAnsi="Arial"/>
          <w:sz w:val="19"/>
          <w:szCs w:val="19"/>
          <w:color w:val="auto"/>
        </w:rPr>
      </w:pPr>
      <w:r>
        <w:rPr>
          <w:rFonts w:ascii="Arial" w:cs="Arial" w:eastAsia="Arial" w:hAnsi="Arial"/>
          <w:sz w:val="19"/>
          <w:szCs w:val="19"/>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46" w:lineRule="exact"/>
        <w:rPr>
          <w:rFonts w:ascii="Arial" w:cs="Arial" w:eastAsia="Arial" w:hAnsi="Arial"/>
          <w:sz w:val="19"/>
          <w:szCs w:val="19"/>
          <w:color w:val="auto"/>
        </w:rPr>
      </w:pPr>
    </w:p>
    <w:p>
      <w:pPr>
        <w:ind w:left="-20" w:right="20" w:firstLine="656"/>
        <w:spacing w:after="0" w:line="267" w:lineRule="auto"/>
        <w:tabs>
          <w:tab w:leader="none" w:pos="1055" w:val="left"/>
        </w:tabs>
        <w:numPr>
          <w:ilvl w:val="0"/>
          <w:numId w:val="749"/>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Notwithstanding any provision in this Agreement, the Company shall not be obligated under this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make any indemnity in connection with any Proceeding (or any part of any Proceeding):</w:t>
      </w:r>
    </w:p>
    <w:p>
      <w:pPr>
        <w:spacing w:after="0" w:line="169" w:lineRule="exact"/>
        <w:rPr>
          <w:rFonts w:ascii="Arial" w:cs="Arial" w:eastAsia="Arial" w:hAnsi="Arial"/>
          <w:sz w:val="20"/>
          <w:szCs w:val="20"/>
          <w:color w:val="auto"/>
        </w:rPr>
      </w:pPr>
    </w:p>
    <w:p>
      <w:pPr>
        <w:ind w:left="-20" w:firstLine="1304"/>
        <w:spacing w:after="0" w:line="316" w:lineRule="auto"/>
        <w:tabs>
          <w:tab w:leader="none" w:pos="1708" w:val="left"/>
        </w:tabs>
        <w:numPr>
          <w:ilvl w:val="1"/>
          <w:numId w:val="749"/>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statute, insurance policy, indemnity provision, vote or otherwise, except with respect to any excess beyond the amount paid[, and except as provided for in Section 15];</w:t>
      </w:r>
    </w:p>
    <w:p>
      <w:pPr>
        <w:spacing w:after="0" w:line="129" w:lineRule="exact"/>
        <w:rPr>
          <w:rFonts w:ascii="Arial" w:cs="Arial" w:eastAsia="Arial" w:hAnsi="Arial"/>
          <w:sz w:val="18"/>
          <w:szCs w:val="18"/>
          <w:color w:val="auto"/>
        </w:rPr>
      </w:pPr>
    </w:p>
    <w:p>
      <w:pPr>
        <w:jc w:val="both"/>
        <w:ind w:left="-20" w:firstLine="1304"/>
        <w:spacing w:after="0" w:line="250" w:lineRule="auto"/>
        <w:tabs>
          <w:tab w:leader="none" w:pos="1800" w:val="left"/>
        </w:tabs>
        <w:numPr>
          <w:ilvl w:val="1"/>
          <w:numId w:val="749"/>
        </w:numPr>
        <w:rPr>
          <w:rFonts w:ascii="Arial" w:cs="Arial" w:eastAsia="Arial" w:hAnsi="Arial"/>
          <w:sz w:val="20"/>
          <w:szCs w:val="20"/>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85" w:lineRule="exact"/>
        <w:rPr>
          <w:rFonts w:ascii="Arial" w:cs="Arial" w:eastAsia="Arial" w:hAnsi="Arial"/>
          <w:sz w:val="20"/>
          <w:szCs w:val="20"/>
          <w:color w:val="auto"/>
        </w:rPr>
      </w:pPr>
    </w:p>
    <w:p>
      <w:pPr>
        <w:jc w:val="both"/>
        <w:ind w:left="-20" w:firstLine="1304"/>
        <w:spacing w:after="0" w:line="259" w:lineRule="auto"/>
        <w:tabs>
          <w:tab w:leader="none" w:pos="1881" w:val="left"/>
        </w:tabs>
        <w:numPr>
          <w:ilvl w:val="1"/>
          <w:numId w:val="749"/>
        </w:numPr>
        <w:rPr>
          <w:rFonts w:ascii="Arial" w:cs="Arial" w:eastAsia="Arial" w:hAnsi="Arial"/>
          <w:sz w:val="19"/>
          <w:szCs w:val="19"/>
          <w:color w:val="auto"/>
        </w:rPr>
      </w:pPr>
      <w:r>
        <w:rPr>
          <w:rFonts w:ascii="Arial" w:cs="Arial" w:eastAsia="Arial" w:hAnsi="Arial"/>
          <w:sz w:val="19"/>
          <w:szCs w:val="19"/>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78" w:lineRule="exact"/>
        <w:rPr>
          <w:rFonts w:ascii="Arial" w:cs="Arial" w:eastAsia="Arial" w:hAnsi="Arial"/>
          <w:sz w:val="19"/>
          <w:szCs w:val="19"/>
          <w:color w:val="auto"/>
        </w:rPr>
      </w:pPr>
    </w:p>
    <w:p>
      <w:pPr>
        <w:jc w:val="both"/>
        <w:ind w:left="-20" w:firstLine="1304"/>
        <w:spacing w:after="0" w:line="244" w:lineRule="auto"/>
        <w:tabs>
          <w:tab w:leader="none" w:pos="1750" w:val="left"/>
        </w:tabs>
        <w:numPr>
          <w:ilvl w:val="1"/>
          <w:numId w:val="749"/>
        </w:numPr>
        <w:rPr>
          <w:rFonts w:ascii="Arial" w:cs="Arial" w:eastAsia="Arial" w:hAnsi="Arial"/>
          <w:sz w:val="20"/>
          <w:szCs w:val="20"/>
          <w:color w:val="auto"/>
        </w:rPr>
      </w:pPr>
      <w:r>
        <w:rPr>
          <w:rFonts w:ascii="Arial" w:cs="Arial" w:eastAsia="Arial" w:hAnsi="Arial"/>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94" w:lineRule="exact"/>
        <w:rPr>
          <w:rFonts w:ascii="Arial" w:cs="Arial" w:eastAsia="Arial" w:hAnsi="Arial"/>
          <w:sz w:val="20"/>
          <w:szCs w:val="20"/>
          <w:color w:val="auto"/>
        </w:rPr>
      </w:pPr>
    </w:p>
    <w:p>
      <w:pPr>
        <w:ind w:left="1700" w:hanging="416"/>
        <w:spacing w:after="0"/>
        <w:tabs>
          <w:tab w:leader="none" w:pos="1700" w:val="left"/>
        </w:tabs>
        <w:numPr>
          <w:ilvl w:val="1"/>
          <w:numId w:val="749"/>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209" w:lineRule="exact"/>
        <w:rPr>
          <w:rFonts w:ascii="Arial" w:cs="Arial" w:eastAsia="Arial" w:hAnsi="Arial"/>
          <w:sz w:val="20"/>
          <w:szCs w:val="20"/>
          <w:color w:val="auto"/>
        </w:rPr>
      </w:pPr>
    </w:p>
    <w:p>
      <w:pPr>
        <w:jc w:val="both"/>
        <w:ind w:left="-20" w:firstLine="656"/>
        <w:spacing w:after="0" w:line="259" w:lineRule="auto"/>
        <w:tabs>
          <w:tab w:leader="none" w:pos="1015" w:val="left"/>
        </w:tabs>
        <w:numPr>
          <w:ilvl w:val="0"/>
          <w:numId w:val="749"/>
        </w:numPr>
        <w:rPr>
          <w:rFonts w:ascii="Arial" w:cs="Arial" w:eastAsia="Arial" w:hAnsi="Arial"/>
          <w:sz w:val="19"/>
          <w:szCs w:val="19"/>
          <w:color w:val="auto"/>
        </w:rPr>
      </w:pPr>
      <w:r>
        <w:rPr>
          <w:rFonts w:ascii="Arial" w:cs="Arial" w:eastAsia="Arial" w:hAnsi="Arial"/>
          <w:sz w:val="19"/>
          <w:szCs w:val="19"/>
          <w:b w:val="1"/>
          <w:bCs w:val="1"/>
          <w:color w:val="auto"/>
        </w:rPr>
        <w:t xml:space="preserve">Advances of Expenses. </w:t>
      </w:r>
      <w:r>
        <w:rPr>
          <w:rFonts w:ascii="Arial" w:cs="Arial" w:eastAsia="Arial" w:hAnsi="Arial"/>
          <w:sz w:val="19"/>
          <w:szCs w:val="19"/>
          <w:color w:val="auto"/>
        </w:rPr>
        <w:t>The Company shall advance the Expenses incurred by Indemnitee in connection with any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its final disposition,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40" w:top="1440" w:right="339" w:bottom="1440" w:gutter="0" w:footer="0" w:header="0"/>
        </w:sectPr>
      </w:pPr>
    </w:p>
    <w:bookmarkStart w:id="780" w:name="page781"/>
    <w:bookmarkEnd w:id="780"/>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spacing w:after="0" w:line="185" w:lineRule="exact"/>
        <w:rPr>
          <w:sz w:val="20"/>
          <w:szCs w:val="20"/>
          <w:color w:val="auto"/>
        </w:rPr>
      </w:pPr>
    </w:p>
    <w:p>
      <w:pPr>
        <w:ind w:left="1000" w:hanging="344"/>
        <w:spacing w:after="0"/>
        <w:tabs>
          <w:tab w:leader="none" w:pos="1000" w:val="left"/>
        </w:tabs>
        <w:numPr>
          <w:ilvl w:val="0"/>
          <w:numId w:val="750"/>
        </w:numPr>
        <w:rPr>
          <w:rFonts w:ascii="Arial" w:cs="Arial" w:eastAsia="Arial" w:hAnsi="Arial"/>
          <w:sz w:val="20"/>
          <w:szCs w:val="20"/>
          <w:color w:val="auto"/>
        </w:rPr>
      </w:pPr>
      <w:r>
        <w:rPr>
          <w:rFonts w:ascii="Arial" w:cs="Arial" w:eastAsia="Arial" w:hAnsi="Arial"/>
          <w:sz w:val="20"/>
          <w:szCs w:val="20"/>
          <w:b w:val="1"/>
          <w:bCs w:val="1"/>
          <w:color w:val="auto"/>
        </w:rPr>
        <w:t>Procedures for Notification and Defense of Claim.</w:t>
      </w:r>
    </w:p>
    <w:p>
      <w:pPr>
        <w:spacing w:after="0" w:line="221" w:lineRule="exact"/>
        <w:rPr>
          <w:rFonts w:ascii="Arial" w:cs="Arial" w:eastAsia="Arial" w:hAnsi="Arial"/>
          <w:sz w:val="20"/>
          <w:szCs w:val="20"/>
          <w:color w:val="auto"/>
        </w:rPr>
      </w:pPr>
    </w:p>
    <w:p>
      <w:pPr>
        <w:jc w:val="both"/>
        <w:ind w:firstLine="1304"/>
        <w:spacing w:after="0" w:line="259" w:lineRule="auto"/>
        <w:tabs>
          <w:tab w:leader="none" w:pos="1852" w:val="left"/>
        </w:tabs>
        <w:numPr>
          <w:ilvl w:val="1"/>
          <w:numId w:val="750"/>
        </w:numPr>
        <w:rPr>
          <w:rFonts w:ascii="Arial" w:cs="Arial" w:eastAsia="Arial" w:hAnsi="Arial"/>
          <w:sz w:val="19"/>
          <w:szCs w:val="19"/>
          <w:color w:val="auto"/>
        </w:rPr>
      </w:pPr>
      <w:r>
        <w:rPr>
          <w:rFonts w:ascii="Arial" w:cs="Arial" w:eastAsia="Arial" w:hAnsi="Arial"/>
          <w:sz w:val="19"/>
          <w:szCs w:val="19"/>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78" w:lineRule="exact"/>
        <w:rPr>
          <w:rFonts w:ascii="Arial" w:cs="Arial" w:eastAsia="Arial" w:hAnsi="Arial"/>
          <w:sz w:val="19"/>
          <w:szCs w:val="19"/>
          <w:color w:val="auto"/>
        </w:rPr>
      </w:pPr>
    </w:p>
    <w:p>
      <w:pPr>
        <w:jc w:val="both"/>
        <w:ind w:firstLine="1304"/>
        <w:spacing w:after="0" w:line="244" w:lineRule="auto"/>
        <w:tabs>
          <w:tab w:leader="none" w:pos="1768" w:val="left"/>
        </w:tabs>
        <w:numPr>
          <w:ilvl w:val="1"/>
          <w:numId w:val="750"/>
        </w:numPr>
        <w:rPr>
          <w:rFonts w:ascii="Arial" w:cs="Arial" w:eastAsia="Arial" w:hAnsi="Arial"/>
          <w:sz w:val="20"/>
          <w:szCs w:val="20"/>
          <w:color w:val="auto"/>
        </w:rPr>
      </w:pPr>
      <w:r>
        <w:rPr>
          <w:rFonts w:ascii="Arial" w:cs="Arial" w:eastAsia="Arial" w:hAnsi="Arial"/>
          <w:sz w:val="20"/>
          <w:szCs w:val="20"/>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94" w:lineRule="exact"/>
        <w:rPr>
          <w:rFonts w:ascii="Arial" w:cs="Arial" w:eastAsia="Arial" w:hAnsi="Arial"/>
          <w:sz w:val="20"/>
          <w:szCs w:val="20"/>
          <w:color w:val="auto"/>
        </w:rPr>
      </w:pPr>
    </w:p>
    <w:p>
      <w:pPr>
        <w:jc w:val="both"/>
        <w:ind w:firstLine="1304"/>
        <w:spacing w:after="0" w:line="270" w:lineRule="auto"/>
        <w:tabs>
          <w:tab w:leader="none" w:pos="1713" w:val="left"/>
        </w:tabs>
        <w:numPr>
          <w:ilvl w:val="1"/>
          <w:numId w:val="750"/>
        </w:numPr>
        <w:rPr>
          <w:rFonts w:ascii="Arial" w:cs="Arial" w:eastAsia="Arial" w:hAnsi="Arial"/>
          <w:sz w:val="18"/>
          <w:szCs w:val="18"/>
          <w:color w:val="auto"/>
        </w:rPr>
      </w:pPr>
      <w:r>
        <w:rPr>
          <w:rFonts w:ascii="Arial" w:cs="Arial" w:eastAsia="Arial" w:hAnsi="Arial"/>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72" w:lineRule="exact"/>
        <w:rPr>
          <w:rFonts w:ascii="Arial" w:cs="Arial" w:eastAsia="Arial" w:hAnsi="Arial"/>
          <w:sz w:val="18"/>
          <w:szCs w:val="18"/>
          <w:color w:val="auto"/>
        </w:rPr>
      </w:pPr>
    </w:p>
    <w:p>
      <w:pPr>
        <w:ind w:firstLine="1304"/>
        <w:spacing w:after="0" w:line="260" w:lineRule="auto"/>
        <w:tabs>
          <w:tab w:leader="none" w:pos="1800" w:val="left"/>
        </w:tabs>
        <w:numPr>
          <w:ilvl w:val="1"/>
          <w:numId w:val="750"/>
        </w:numPr>
        <w:rPr>
          <w:rFonts w:ascii="Arial" w:cs="Arial" w:eastAsia="Arial" w:hAnsi="Arial"/>
          <w:sz w:val="20"/>
          <w:szCs w:val="20"/>
          <w:color w:val="auto"/>
        </w:rPr>
      </w:pPr>
      <w:r>
        <w:rPr>
          <w:rFonts w:ascii="Arial" w:cs="Arial" w:eastAsia="Arial" w:hAnsi="Arial"/>
          <w:sz w:val="20"/>
          <w:szCs w:val="20"/>
          <w:color w:val="auto"/>
        </w:rPr>
        <w:t>Indemnitee shall give the Company such information and cooperation in connection with the Proceeding as may be reasonably appropriate.</w:t>
      </w:r>
    </w:p>
    <w:p>
      <w:pPr>
        <w:spacing w:after="0" w:line="176" w:lineRule="exact"/>
        <w:rPr>
          <w:rFonts w:ascii="Arial" w:cs="Arial" w:eastAsia="Arial" w:hAnsi="Arial"/>
          <w:sz w:val="20"/>
          <w:szCs w:val="20"/>
          <w:color w:val="auto"/>
        </w:rPr>
      </w:pPr>
    </w:p>
    <w:p>
      <w:pPr>
        <w:ind w:firstLine="1304"/>
        <w:spacing w:after="0" w:line="260" w:lineRule="auto"/>
        <w:tabs>
          <w:tab w:leader="none" w:pos="1769" w:val="left"/>
        </w:tabs>
        <w:numPr>
          <w:ilvl w:val="1"/>
          <w:numId w:val="750"/>
        </w:numPr>
        <w:rPr>
          <w:rFonts w:ascii="Arial" w:cs="Arial" w:eastAsia="Arial" w:hAnsi="Arial"/>
          <w:sz w:val="20"/>
          <w:szCs w:val="20"/>
          <w:color w:val="auto"/>
        </w:rPr>
      </w:pPr>
      <w:r>
        <w:rPr>
          <w:rFonts w:ascii="Arial" w:cs="Arial" w:eastAsia="Arial" w:hAnsi="Arial"/>
          <w:sz w:val="20"/>
          <w:szCs w:val="20"/>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781" w:name="page782"/>
    <w:bookmarkEnd w:id="781"/>
    <w:p>
      <w:pPr>
        <w:spacing w:after="0" w:line="196" w:lineRule="exact"/>
        <w:rPr>
          <w:sz w:val="20"/>
          <w:szCs w:val="20"/>
          <w:color w:val="auto"/>
        </w:rPr>
      </w:pPr>
    </w:p>
    <w:p>
      <w:pPr>
        <w:ind w:left="-20" w:firstLine="1304"/>
        <w:spacing w:after="0" w:line="316" w:lineRule="auto"/>
        <w:tabs>
          <w:tab w:leader="none" w:pos="1724" w:val="left"/>
        </w:tabs>
        <w:numPr>
          <w:ilvl w:val="1"/>
          <w:numId w:val="751"/>
        </w:numPr>
        <w:rPr>
          <w:rFonts w:ascii="Arial" w:cs="Arial" w:eastAsia="Arial" w:hAnsi="Arial"/>
          <w:sz w:val="18"/>
          <w:szCs w:val="18"/>
          <w:color w:val="auto"/>
        </w:rPr>
      </w:pPr>
      <w:r>
        <w:rPr>
          <w:rFonts w:ascii="Arial" w:cs="Arial" w:eastAsia="Arial" w:hAnsi="Arial"/>
          <w:sz w:val="18"/>
          <w:szCs w:val="18"/>
          <w:color w:val="auto"/>
        </w:rPr>
        <w:t>The Company shall not settle any Proceeding (or any part thereof) in a manner that imposes any Expense, penalty or liability on Indemnitee without Indemnitee’s prior written consent, which shall not be unreasonably withheld, conditioned or delayed.</w:t>
      </w:r>
    </w:p>
    <w:p>
      <w:pPr>
        <w:spacing w:after="0" w:line="123" w:lineRule="exact"/>
        <w:rPr>
          <w:rFonts w:ascii="Arial" w:cs="Arial" w:eastAsia="Arial" w:hAnsi="Arial"/>
          <w:sz w:val="18"/>
          <w:szCs w:val="18"/>
          <w:color w:val="auto"/>
        </w:rPr>
      </w:pPr>
    </w:p>
    <w:p>
      <w:pPr>
        <w:ind w:left="1080" w:hanging="444"/>
        <w:spacing w:after="0"/>
        <w:tabs>
          <w:tab w:leader="none" w:pos="1080" w:val="left"/>
        </w:tabs>
        <w:numPr>
          <w:ilvl w:val="0"/>
          <w:numId w:val="752"/>
        </w:numPr>
        <w:rPr>
          <w:rFonts w:ascii="Arial" w:cs="Arial" w:eastAsia="Arial" w:hAnsi="Arial"/>
          <w:sz w:val="20"/>
          <w:szCs w:val="20"/>
          <w:color w:val="auto"/>
        </w:rPr>
      </w:pPr>
      <w:r>
        <w:rPr>
          <w:rFonts w:ascii="Arial" w:cs="Arial" w:eastAsia="Arial" w:hAnsi="Arial"/>
          <w:sz w:val="20"/>
          <w:szCs w:val="20"/>
          <w:b w:val="1"/>
          <w:bCs w:val="1"/>
          <w:color w:val="auto"/>
        </w:rPr>
        <w:t>Procedures upon Application for Indemnification.</w:t>
      </w:r>
    </w:p>
    <w:p>
      <w:pPr>
        <w:spacing w:after="0" w:line="221" w:lineRule="exact"/>
        <w:rPr>
          <w:rFonts w:ascii="Arial" w:cs="Arial" w:eastAsia="Arial" w:hAnsi="Arial"/>
          <w:sz w:val="20"/>
          <w:szCs w:val="20"/>
          <w:color w:val="auto"/>
        </w:rPr>
      </w:pPr>
    </w:p>
    <w:p>
      <w:pPr>
        <w:jc w:val="both"/>
        <w:ind w:left="-20" w:firstLine="1304"/>
        <w:spacing w:after="0" w:line="282" w:lineRule="auto"/>
        <w:tabs>
          <w:tab w:leader="none" w:pos="1758" w:val="left"/>
        </w:tabs>
        <w:numPr>
          <w:ilvl w:val="1"/>
          <w:numId w:val="752"/>
        </w:numPr>
        <w:rPr>
          <w:rFonts w:ascii="Arial" w:cs="Arial" w:eastAsia="Arial" w:hAnsi="Arial"/>
          <w:sz w:val="18"/>
          <w:szCs w:val="18"/>
          <w:color w:val="auto"/>
        </w:rPr>
      </w:pPr>
      <w:r>
        <w:rPr>
          <w:rFonts w:ascii="Arial" w:cs="Arial" w:eastAsia="Arial" w:hAnsi="Arial"/>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161" w:lineRule="exact"/>
        <w:rPr>
          <w:rFonts w:ascii="Arial" w:cs="Arial" w:eastAsia="Arial" w:hAnsi="Arial"/>
          <w:sz w:val="18"/>
          <w:szCs w:val="18"/>
          <w:color w:val="auto"/>
        </w:rPr>
      </w:pPr>
    </w:p>
    <w:p>
      <w:pPr>
        <w:jc w:val="both"/>
        <w:ind w:left="-20" w:firstLine="1304"/>
        <w:spacing w:after="0" w:line="269" w:lineRule="auto"/>
        <w:tabs>
          <w:tab w:leader="none" w:pos="1804" w:val="left"/>
        </w:tabs>
        <w:numPr>
          <w:ilvl w:val="1"/>
          <w:numId w:val="752"/>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81" w:lineRule="exact"/>
        <w:rPr>
          <w:rFonts w:ascii="Arial" w:cs="Arial" w:eastAsia="Arial" w:hAnsi="Arial"/>
          <w:sz w:val="18"/>
          <w:szCs w:val="18"/>
          <w:color w:val="auto"/>
        </w:rPr>
      </w:pPr>
    </w:p>
    <w:p>
      <w:pPr>
        <w:jc w:val="both"/>
        <w:ind w:left="-20" w:firstLine="1304"/>
        <w:spacing w:after="0" w:line="307" w:lineRule="auto"/>
        <w:tabs>
          <w:tab w:leader="none" w:pos="1783" w:val="left"/>
        </w:tabs>
        <w:numPr>
          <w:ilvl w:val="1"/>
          <w:numId w:val="752"/>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objection may be asserted only on the ground that the Independent Counsel so selected does not meet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40" w:top="1440" w:right="339" w:bottom="1440" w:gutter="0" w:footer="0" w:header="0"/>
        </w:sectPr>
      </w:pPr>
    </w:p>
    <w:bookmarkStart w:id="782" w:name="page783"/>
    <w:bookmarkEnd w:id="782"/>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84" w:lineRule="exact"/>
        <w:rPr>
          <w:sz w:val="20"/>
          <w:szCs w:val="20"/>
          <w:color w:val="auto"/>
        </w:rPr>
      </w:pPr>
    </w:p>
    <w:p>
      <w:pPr>
        <w:ind w:left="1720" w:hanging="416"/>
        <w:spacing w:after="0"/>
        <w:tabs>
          <w:tab w:leader="none" w:pos="1720" w:val="left"/>
        </w:tabs>
        <w:numPr>
          <w:ilvl w:val="1"/>
          <w:numId w:val="753"/>
        </w:numPr>
        <w:rPr>
          <w:rFonts w:ascii="Arial" w:cs="Arial" w:eastAsia="Arial" w:hAnsi="Arial"/>
          <w:sz w:val="20"/>
          <w:szCs w:val="20"/>
          <w:color w:val="auto"/>
        </w:rPr>
      </w:pPr>
      <w:r>
        <w:rPr>
          <w:rFonts w:ascii="Arial" w:cs="Arial" w:eastAsia="Arial" w:hAnsi="Arial"/>
          <w:sz w:val="20"/>
          <w:szCs w:val="20"/>
          <w:color w:val="auto"/>
        </w:rPr>
        <w:t>The Company agrees to pay the reasonable fees and expenses of any Independent Counsel.</w:t>
      </w:r>
    </w:p>
    <w:p>
      <w:pPr>
        <w:spacing w:after="0" w:line="209" w:lineRule="exact"/>
        <w:rPr>
          <w:rFonts w:ascii="Arial" w:cs="Arial" w:eastAsia="Arial" w:hAnsi="Arial"/>
          <w:sz w:val="20"/>
          <w:szCs w:val="20"/>
          <w:color w:val="auto"/>
        </w:rPr>
      </w:pPr>
    </w:p>
    <w:p>
      <w:pPr>
        <w:ind w:left="1100" w:hanging="444"/>
        <w:spacing w:after="0"/>
        <w:tabs>
          <w:tab w:leader="none" w:pos="1100" w:val="left"/>
        </w:tabs>
        <w:numPr>
          <w:ilvl w:val="0"/>
          <w:numId w:val="754"/>
        </w:numPr>
        <w:rPr>
          <w:rFonts w:ascii="Arial" w:cs="Arial" w:eastAsia="Arial" w:hAnsi="Arial"/>
          <w:sz w:val="20"/>
          <w:szCs w:val="20"/>
          <w:color w:val="auto"/>
        </w:rPr>
      </w:pPr>
      <w:r>
        <w:rPr>
          <w:rFonts w:ascii="Arial" w:cs="Arial" w:eastAsia="Arial" w:hAnsi="Arial"/>
          <w:sz w:val="20"/>
          <w:szCs w:val="20"/>
          <w:b w:val="1"/>
          <w:bCs w:val="1"/>
          <w:color w:val="auto"/>
        </w:rPr>
        <w:t>Presumptions and Effect of Certain Proceedings.</w:t>
      </w:r>
    </w:p>
    <w:p>
      <w:pPr>
        <w:spacing w:after="0" w:line="221" w:lineRule="exact"/>
        <w:rPr>
          <w:rFonts w:ascii="Arial" w:cs="Arial" w:eastAsia="Arial" w:hAnsi="Arial"/>
          <w:sz w:val="20"/>
          <w:szCs w:val="20"/>
          <w:color w:val="auto"/>
        </w:rPr>
      </w:pPr>
    </w:p>
    <w:p>
      <w:pPr>
        <w:jc w:val="both"/>
        <w:ind w:firstLine="1304"/>
        <w:spacing w:after="0" w:line="291" w:lineRule="auto"/>
        <w:tabs>
          <w:tab w:leader="none" w:pos="1839" w:val="left"/>
        </w:tabs>
        <w:numPr>
          <w:ilvl w:val="1"/>
          <w:numId w:val="754"/>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51" w:lineRule="exact"/>
        <w:rPr>
          <w:rFonts w:ascii="Arial" w:cs="Arial" w:eastAsia="Arial" w:hAnsi="Arial"/>
          <w:sz w:val="18"/>
          <w:szCs w:val="18"/>
          <w:color w:val="auto"/>
        </w:rPr>
      </w:pPr>
    </w:p>
    <w:p>
      <w:pPr>
        <w:jc w:val="both"/>
        <w:ind w:firstLine="1304"/>
        <w:spacing w:after="0" w:line="244" w:lineRule="auto"/>
        <w:tabs>
          <w:tab w:leader="none" w:pos="1893" w:val="left"/>
        </w:tabs>
        <w:numPr>
          <w:ilvl w:val="1"/>
          <w:numId w:val="754"/>
        </w:numPr>
        <w:rPr>
          <w:rFonts w:ascii="Arial" w:cs="Arial" w:eastAsia="Arial" w:hAnsi="Arial"/>
          <w:sz w:val="20"/>
          <w:szCs w:val="20"/>
          <w:color w:val="auto"/>
        </w:rPr>
      </w:pPr>
      <w:r>
        <w:rPr>
          <w:rFonts w:ascii="Arial" w:cs="Arial" w:eastAsia="Arial" w:hAnsi="Arial"/>
          <w:sz w:val="20"/>
          <w:szCs w:val="20"/>
          <w:color w:val="auto"/>
        </w:rPr>
        <w:t xml:space="preserve">The termination of any Proceeding or of any claim, issue or matter therein, by judgment, order, settlement or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94" w:lineRule="exact"/>
        <w:rPr>
          <w:rFonts w:ascii="Arial" w:cs="Arial" w:eastAsia="Arial" w:hAnsi="Arial"/>
          <w:sz w:val="20"/>
          <w:szCs w:val="20"/>
          <w:color w:val="auto"/>
        </w:rPr>
      </w:pPr>
    </w:p>
    <w:p>
      <w:pPr>
        <w:jc w:val="both"/>
        <w:ind w:firstLine="1304"/>
        <w:spacing w:after="0" w:line="242" w:lineRule="auto"/>
        <w:tabs>
          <w:tab w:leader="none" w:pos="1749" w:val="left"/>
        </w:tabs>
        <w:numPr>
          <w:ilvl w:val="1"/>
          <w:numId w:val="754"/>
        </w:numPr>
        <w:rPr>
          <w:rFonts w:ascii="Arial" w:cs="Arial" w:eastAsia="Arial" w:hAnsi="Arial"/>
          <w:sz w:val="20"/>
          <w:szCs w:val="20"/>
          <w:color w:val="auto"/>
        </w:rPr>
      </w:pPr>
      <w:r>
        <w:rPr>
          <w:rFonts w:ascii="Arial" w:cs="Arial" w:eastAsia="Arial" w:hAnsi="Arial"/>
          <w:sz w:val="20"/>
          <w:szCs w:val="20"/>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96" w:lineRule="exact"/>
        <w:rPr>
          <w:rFonts w:ascii="Arial" w:cs="Arial" w:eastAsia="Arial" w:hAnsi="Arial"/>
          <w:sz w:val="20"/>
          <w:szCs w:val="20"/>
          <w:color w:val="auto"/>
        </w:rPr>
      </w:pPr>
    </w:p>
    <w:p>
      <w:pPr>
        <w:ind w:firstLine="1304"/>
        <w:spacing w:after="0" w:line="260" w:lineRule="auto"/>
        <w:tabs>
          <w:tab w:leader="none" w:pos="1734" w:val="left"/>
        </w:tabs>
        <w:numPr>
          <w:ilvl w:val="1"/>
          <w:numId w:val="754"/>
        </w:numPr>
        <w:rPr>
          <w:rFonts w:ascii="Arial" w:cs="Arial" w:eastAsia="Arial" w:hAnsi="Arial"/>
          <w:sz w:val="20"/>
          <w:szCs w:val="20"/>
          <w:color w:val="auto"/>
        </w:rPr>
      </w:pPr>
      <w:r>
        <w:rPr>
          <w:rFonts w:ascii="Arial" w:cs="Arial" w:eastAsia="Arial" w:hAnsi="Arial"/>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70" w:lineRule="exact"/>
        <w:rPr>
          <w:rFonts w:ascii="Arial" w:cs="Arial" w:eastAsia="Arial" w:hAnsi="Arial"/>
          <w:sz w:val="20"/>
          <w:szCs w:val="20"/>
          <w:color w:val="auto"/>
        </w:rPr>
      </w:pPr>
    </w:p>
    <w:p>
      <w:pPr>
        <w:ind w:left="1100" w:hanging="444"/>
        <w:spacing w:after="0"/>
        <w:tabs>
          <w:tab w:leader="none" w:pos="1100" w:val="left"/>
        </w:tabs>
        <w:numPr>
          <w:ilvl w:val="0"/>
          <w:numId w:val="754"/>
        </w:numPr>
        <w:rPr>
          <w:rFonts w:ascii="Arial" w:cs="Arial" w:eastAsia="Arial" w:hAnsi="Arial"/>
          <w:sz w:val="20"/>
          <w:szCs w:val="20"/>
          <w:color w:val="auto"/>
        </w:rPr>
      </w:pPr>
      <w:r>
        <w:rPr>
          <w:rFonts w:ascii="Arial" w:cs="Arial" w:eastAsia="Arial" w:hAnsi="Arial"/>
          <w:sz w:val="20"/>
          <w:szCs w:val="20"/>
          <w:b w:val="1"/>
          <w:bCs w:val="1"/>
          <w:color w:val="auto"/>
        </w:rPr>
        <w:t>Remedies of Indemnitee.</w:t>
      </w:r>
    </w:p>
    <w:p>
      <w:pPr>
        <w:spacing w:after="0" w:line="221" w:lineRule="exact"/>
        <w:rPr>
          <w:rFonts w:ascii="Arial" w:cs="Arial" w:eastAsia="Arial" w:hAnsi="Arial"/>
          <w:sz w:val="20"/>
          <w:szCs w:val="20"/>
          <w:color w:val="auto"/>
        </w:rPr>
      </w:pPr>
    </w:p>
    <w:p>
      <w:pPr>
        <w:ind w:firstLine="1304"/>
        <w:spacing w:after="0" w:line="260" w:lineRule="auto"/>
        <w:tabs>
          <w:tab w:leader="none" w:pos="1781" w:val="left"/>
        </w:tabs>
        <w:numPr>
          <w:ilvl w:val="1"/>
          <w:numId w:val="754"/>
        </w:numPr>
        <w:rPr>
          <w:rFonts w:ascii="Arial" w:cs="Arial" w:eastAsia="Arial" w:hAnsi="Arial"/>
          <w:sz w:val="20"/>
          <w:szCs w:val="20"/>
          <w:color w:val="auto"/>
        </w:rPr>
      </w:pPr>
      <w:r>
        <w:rPr>
          <w:rFonts w:ascii="Arial" w:cs="Arial" w:eastAsia="Arial" w:hAnsi="Arial"/>
          <w:sz w:val="20"/>
          <w:szCs w:val="20"/>
          <w:color w:val="auto"/>
        </w:rPr>
        <w:t>Subject to Section 12(e), in the event that (i) a determination is made pursuant to Section 10 of this Agreement that Indemnitee is not entitled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783" w:name="page784"/>
    <w:bookmarkEnd w:id="783"/>
    <w:p>
      <w:pPr>
        <w:spacing w:after="0" w:line="196" w:lineRule="exact"/>
        <w:rPr>
          <w:sz w:val="20"/>
          <w:szCs w:val="20"/>
          <w:color w:val="auto"/>
        </w:rPr>
      </w:pPr>
    </w:p>
    <w:p>
      <w:pPr>
        <w:jc w:val="both"/>
        <w:ind w:left="-8" w:firstLine="8"/>
        <w:spacing w:after="0" w:line="269" w:lineRule="auto"/>
        <w:tabs>
          <w:tab w:leader="none" w:pos="298" w:val="left"/>
        </w:tabs>
        <w:numPr>
          <w:ilvl w:val="0"/>
          <w:numId w:val="755"/>
        </w:numPr>
        <w:rPr>
          <w:rFonts w:ascii="Arial" w:cs="Arial" w:eastAsia="Arial" w:hAnsi="Arial"/>
          <w:sz w:val="18"/>
          <w:szCs w:val="18"/>
          <w:color w:val="auto"/>
        </w:rPr>
      </w:pPr>
      <w:r>
        <w:rPr>
          <w:rFonts w:ascii="Arial" w:cs="Arial" w:eastAsia="Arial" w:hAnsi="Arial"/>
          <w:sz w:val="18"/>
          <w:szCs w:val="18"/>
          <w:color w:val="auto"/>
        </w:rPr>
        <w:t xml:space="preserve">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90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78" w:lineRule="exact"/>
        <w:rPr>
          <w:rFonts w:ascii="Arial" w:cs="Arial" w:eastAsia="Arial" w:hAnsi="Arial"/>
          <w:sz w:val="18"/>
          <w:szCs w:val="18"/>
          <w:color w:val="auto"/>
        </w:rPr>
      </w:pPr>
    </w:p>
    <w:p>
      <w:pPr>
        <w:jc w:val="both"/>
        <w:ind w:left="-8" w:firstLine="1304"/>
        <w:spacing w:after="0" w:line="271" w:lineRule="auto"/>
        <w:tabs>
          <w:tab w:leader="none" w:pos="1801" w:val="left"/>
        </w:tabs>
        <w:numPr>
          <w:ilvl w:val="1"/>
          <w:numId w:val="755"/>
        </w:numPr>
        <w:rPr>
          <w:rFonts w:ascii="Arial" w:cs="Arial" w:eastAsia="Arial" w:hAnsi="Arial"/>
          <w:sz w:val="18"/>
          <w:szCs w:val="18"/>
          <w:color w:val="auto"/>
        </w:rPr>
      </w:pPr>
      <w:r>
        <w:rPr>
          <w:rFonts w:ascii="Arial" w:cs="Arial" w:eastAsia="Arial" w:hAnsi="Arial"/>
          <w:sz w:val="18"/>
          <w:szCs w:val="18"/>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173" w:lineRule="exact"/>
        <w:rPr>
          <w:rFonts w:ascii="Arial" w:cs="Arial" w:eastAsia="Arial" w:hAnsi="Arial"/>
          <w:sz w:val="18"/>
          <w:szCs w:val="18"/>
          <w:color w:val="auto"/>
        </w:rPr>
      </w:pPr>
    </w:p>
    <w:p>
      <w:pPr>
        <w:jc w:val="both"/>
        <w:ind w:left="-8" w:firstLine="1304"/>
        <w:spacing w:after="0" w:line="269" w:lineRule="auto"/>
        <w:tabs>
          <w:tab w:leader="none" w:pos="1711" w:val="left"/>
        </w:tabs>
        <w:numPr>
          <w:ilvl w:val="1"/>
          <w:numId w:val="755"/>
        </w:numPr>
        <w:rPr>
          <w:rFonts w:ascii="Arial" w:cs="Arial" w:eastAsia="Arial" w:hAnsi="Arial"/>
          <w:sz w:val="18"/>
          <w:szCs w:val="18"/>
          <w:color w:val="auto"/>
        </w:rPr>
      </w:pPr>
      <w:r>
        <w:rPr>
          <w:rFonts w:ascii="Arial" w:cs="Arial" w:eastAsia="Arial" w:hAnsi="Arial"/>
          <w:sz w:val="18"/>
          <w:szCs w:val="18"/>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w:t>
      </w:r>
    </w:p>
    <w:p>
      <w:pPr>
        <w:spacing w:after="0" w:line="3" w:lineRule="exact"/>
        <w:rPr>
          <w:rFonts w:ascii="Arial" w:cs="Arial" w:eastAsia="Arial" w:hAnsi="Arial"/>
          <w:sz w:val="18"/>
          <w:szCs w:val="18"/>
          <w:color w:val="auto"/>
        </w:rPr>
      </w:pPr>
    </w:p>
    <w:p>
      <w:pPr>
        <w:ind w:left="-8" w:firstLine="8"/>
        <w:spacing w:after="0" w:line="297" w:lineRule="auto"/>
        <w:tabs>
          <w:tab w:leader="none" w:pos="267" w:val="left"/>
        </w:tabs>
        <w:numPr>
          <w:ilvl w:val="0"/>
          <w:numId w:val="756"/>
        </w:numPr>
        <w:rPr>
          <w:rFonts w:ascii="Arial" w:cs="Arial" w:eastAsia="Arial" w:hAnsi="Arial"/>
          <w:sz w:val="18"/>
          <w:szCs w:val="18"/>
          <w:color w:val="auto"/>
        </w:rPr>
      </w:pPr>
      <w:r>
        <w:rPr>
          <w:rFonts w:ascii="Arial" w:cs="Arial" w:eastAsia="Arial" w:hAnsi="Arial"/>
          <w:sz w:val="18"/>
          <w:szCs w:val="18"/>
          <w:color w:val="auto"/>
        </w:rPr>
        <w:t>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46" w:lineRule="exact"/>
        <w:rPr>
          <w:rFonts w:ascii="Arial" w:cs="Arial" w:eastAsia="Arial" w:hAnsi="Arial"/>
          <w:sz w:val="18"/>
          <w:szCs w:val="18"/>
          <w:color w:val="auto"/>
        </w:rPr>
      </w:pPr>
    </w:p>
    <w:p>
      <w:pPr>
        <w:jc w:val="both"/>
        <w:ind w:left="-8" w:firstLine="1304"/>
        <w:spacing w:after="0" w:line="250" w:lineRule="auto"/>
        <w:tabs>
          <w:tab w:leader="none" w:pos="1733" w:val="left"/>
        </w:tabs>
        <w:numPr>
          <w:ilvl w:val="1"/>
          <w:numId w:val="756"/>
        </w:numPr>
        <w:rPr>
          <w:rFonts w:ascii="Arial" w:cs="Arial" w:eastAsia="Arial" w:hAnsi="Arial"/>
          <w:sz w:val="20"/>
          <w:szCs w:val="20"/>
          <w:color w:val="auto"/>
        </w:rPr>
      </w:pPr>
      <w:r>
        <w:rPr>
          <w:rFonts w:ascii="Arial" w:cs="Arial" w:eastAsia="Arial" w:hAnsi="Arial"/>
          <w:sz w:val="20"/>
          <w:szCs w:val="20"/>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32"/>
          </w:cols>
          <w:pgMar w:left="328" w:top="1440" w:right="339" w:bottom="1440" w:gutter="0" w:footer="0" w:header="0"/>
        </w:sectPr>
      </w:pPr>
    </w:p>
    <w:bookmarkStart w:id="784" w:name="page785"/>
    <w:bookmarkEnd w:id="784"/>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8.</w:t>
      </w:r>
    </w:p>
    <w:p>
      <w:pPr>
        <w:spacing w:after="0" w:line="186" w:lineRule="exact"/>
        <w:rPr>
          <w:sz w:val="20"/>
          <w:szCs w:val="20"/>
          <w:color w:val="auto"/>
        </w:rPr>
      </w:pPr>
    </w:p>
    <w:p>
      <w:pPr>
        <w:ind w:firstLine="1304"/>
        <w:spacing w:after="0" w:line="260" w:lineRule="auto"/>
        <w:tabs>
          <w:tab w:leader="none" w:pos="1728" w:val="left"/>
        </w:tabs>
        <w:numPr>
          <w:ilvl w:val="1"/>
          <w:numId w:val="757"/>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shall be required to be made prior to the final disposition of the Proceeding.</w:t>
      </w:r>
    </w:p>
    <w:p>
      <w:pPr>
        <w:spacing w:after="0" w:line="170" w:lineRule="exact"/>
        <w:rPr>
          <w:rFonts w:ascii="Arial" w:cs="Arial" w:eastAsia="Arial" w:hAnsi="Arial"/>
          <w:sz w:val="20"/>
          <w:szCs w:val="20"/>
          <w:color w:val="auto"/>
        </w:rPr>
      </w:pPr>
    </w:p>
    <w:p>
      <w:pPr>
        <w:jc w:val="both"/>
        <w:ind w:firstLine="656"/>
        <w:spacing w:after="0" w:line="244" w:lineRule="auto"/>
        <w:tabs>
          <w:tab w:leader="none" w:pos="1134" w:val="left"/>
        </w:tabs>
        <w:numPr>
          <w:ilvl w:val="0"/>
          <w:numId w:val="758"/>
        </w:numPr>
        <w:rPr>
          <w:rFonts w:ascii="Arial" w:cs="Arial" w:eastAsia="Arial" w:hAnsi="Arial"/>
          <w:sz w:val="20"/>
          <w:szCs w:val="20"/>
          <w:color w:val="auto"/>
        </w:rPr>
      </w:pPr>
      <w:r>
        <w:rPr>
          <w:rFonts w:ascii="Arial" w:cs="Arial" w:eastAsia="Arial" w:hAnsi="Arial"/>
          <w:sz w:val="20"/>
          <w:szCs w:val="20"/>
          <w:b w:val="1"/>
          <w:bCs w:val="1"/>
          <w:color w:val="auto"/>
        </w:rPr>
        <w:t xml:space="preserve">Contribution. </w:t>
      </w:r>
      <w:r>
        <w:rPr>
          <w:rFonts w:ascii="Arial" w:cs="Arial" w:eastAsia="Arial" w:hAnsi="Arial"/>
          <w:sz w:val="20"/>
          <w:szCs w:val="20"/>
          <w:color w:val="auto"/>
        </w:rPr>
        <w:t>To the fullest extent permissible under applicable law, if the indemnification provided for in this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134" w:val="left"/>
        </w:tabs>
        <w:numPr>
          <w:ilvl w:val="0"/>
          <w:numId w:val="758"/>
        </w:numPr>
        <w:rPr>
          <w:rFonts w:ascii="Arial" w:cs="Arial" w:eastAsia="Arial" w:hAnsi="Arial"/>
          <w:sz w:val="18"/>
          <w:szCs w:val="18"/>
          <w:color w:val="auto"/>
        </w:rPr>
      </w:pPr>
      <w:r>
        <w:rPr>
          <w:rFonts w:ascii="Arial" w:cs="Arial" w:eastAsia="Arial" w:hAnsi="Arial"/>
          <w:sz w:val="18"/>
          <w:szCs w:val="18"/>
          <w:b w:val="1"/>
          <w:bCs w:val="1"/>
          <w:color w:val="auto"/>
        </w:rPr>
        <w:t xml:space="preserve">Non-exclusivity. </w:t>
      </w:r>
      <w:r>
        <w:rPr>
          <w:rFonts w:ascii="Arial" w:cs="Arial" w:eastAsia="Arial" w:hAnsi="Arial"/>
          <w:sz w:val="18"/>
          <w:szCs w:val="18"/>
          <w:color w:val="auto"/>
        </w:rPr>
        <w:t>The rights of indemnification and to receive advancement of Expenses as provided by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65" w:lineRule="exact"/>
        <w:rPr>
          <w:rFonts w:ascii="Arial" w:cs="Arial" w:eastAsia="Arial" w:hAnsi="Arial"/>
          <w:sz w:val="18"/>
          <w:szCs w:val="18"/>
          <w:color w:val="auto"/>
        </w:rPr>
      </w:pPr>
    </w:p>
    <w:p>
      <w:pPr>
        <w:jc w:val="both"/>
        <w:ind w:firstLine="656"/>
        <w:spacing w:after="0" w:line="255" w:lineRule="auto"/>
        <w:tabs>
          <w:tab w:leader="none" w:pos="1107" w:val="left"/>
        </w:tabs>
        <w:numPr>
          <w:ilvl w:val="0"/>
          <w:numId w:val="7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Primary Responsibility.</w:t>
      </w:r>
      <w:r>
        <w:rPr>
          <w:rFonts w:ascii="Arial" w:cs="Arial" w:eastAsia="Arial" w:hAnsi="Arial"/>
          <w:sz w:val="19"/>
          <w:szCs w:val="19"/>
          <w:color w:val="auto"/>
        </w:rPr>
        <w:t xml:space="preserve"> The Company acknowledges that Indemnitee has certain rights to indemnification and advancement of expenses provided by_</w:t>
      </w:r>
      <w:r>
        <w:rPr>
          <w:rFonts w:ascii="Arial" w:cs="Arial" w:eastAsia="Arial" w:hAnsi="Arial"/>
          <w:sz w:val="19"/>
          <w:szCs w:val="19"/>
          <w:u w:val="single" w:color="auto"/>
          <w:color w:val="auto"/>
        </w:rPr>
        <w:t>__________</w:t>
      </w:r>
      <w:r>
        <w:rPr>
          <w:rFonts w:ascii="Arial" w:cs="Arial" w:eastAsia="Arial" w:hAnsi="Arial"/>
          <w:sz w:val="19"/>
          <w:szCs w:val="19"/>
          <w:color w:val="auto"/>
        </w:rPr>
        <w:t xml:space="preserve"> and certain affiliates thereof (collectively, the “</w:t>
      </w:r>
      <w:r>
        <w:rPr>
          <w:rFonts w:ascii="Arial" w:cs="Arial" w:eastAsia="Arial" w:hAnsi="Arial"/>
          <w:sz w:val="19"/>
          <w:szCs w:val="19"/>
          <w:b w:val="1"/>
          <w:bCs w:val="1"/>
          <w:i w:val="1"/>
          <w:iCs w:val="1"/>
          <w:color w:val="auto"/>
        </w:rPr>
        <w:t>Secondary Indemnitors</w:t>
      </w:r>
      <w:r>
        <w:rPr>
          <w:rFonts w:ascii="Arial" w:cs="Arial" w:eastAsia="Arial" w:hAnsi="Arial"/>
          <w:sz w:val="19"/>
          <w:szCs w:val="19"/>
          <w:color w:val="auto"/>
        </w:rPr>
        <w:t>”).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785" w:name="page786"/>
    <w:bookmarkEnd w:id="785"/>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of incorporation or bylaws or this Agreement or, to the extent such subrogation is unavailable and contribution is found to be the applicable remedy, shall have a right of contribution with respect to the amounts paid;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foregoing sentence will be deemed void if and to the extent that it would violate any applicable insurance policy. The Secondary Indemnitors are express third-party beneficiaries of the terms of this Section 15.]</w:t>
      </w:r>
    </w:p>
    <w:p>
      <w:pPr>
        <w:spacing w:after="0" w:line="185" w:lineRule="exact"/>
        <w:rPr>
          <w:sz w:val="20"/>
          <w:szCs w:val="20"/>
          <w:color w:val="auto"/>
        </w:rPr>
      </w:pPr>
    </w:p>
    <w:p>
      <w:pPr>
        <w:jc w:val="both"/>
        <w:ind w:firstLine="656"/>
        <w:spacing w:after="0" w:line="248" w:lineRule="auto"/>
        <w:tabs>
          <w:tab w:leader="none" w:pos="1201" w:val="left"/>
        </w:tabs>
        <w:numPr>
          <w:ilvl w:val="0"/>
          <w:numId w:val="759"/>
        </w:numPr>
        <w:rPr>
          <w:rFonts w:ascii="Arial" w:cs="Arial" w:eastAsia="Arial" w:hAnsi="Arial"/>
          <w:sz w:val="20"/>
          <w:szCs w:val="20"/>
          <w:color w:val="auto"/>
        </w:rPr>
      </w:pPr>
      <w:r>
        <w:rPr>
          <w:rFonts w:ascii="Arial" w:cs="Arial" w:eastAsia="Arial" w:hAnsi="Arial"/>
          <w:sz w:val="20"/>
          <w:szCs w:val="20"/>
          <w:b w:val="1"/>
          <w:bCs w:val="1"/>
          <w:color w:val="auto"/>
        </w:rPr>
        <w:t xml:space="preserve">No Duplication of Payments. </w:t>
      </w:r>
      <w:r>
        <w:rPr>
          <w:rFonts w:ascii="Arial" w:cs="Arial" w:eastAsia="Arial" w:hAnsi="Arial"/>
          <w:sz w:val="20"/>
          <w:szCs w:val="20"/>
          <w:color w:val="auto"/>
        </w:rPr>
        <w:t>The Company shall not be liable under this Agreement to make any payment of amounts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indemnifiable hereunder (or for which advancement is provided hereunder) if and to the extent that Indemnitee has otherwise actually received payment for such amounts under any insurance policy, contract, agreement or otherwise[, except as provided for in Section 15].</w:t>
      </w:r>
    </w:p>
    <w:p>
      <w:pPr>
        <w:spacing w:after="0" w:line="183" w:lineRule="exact"/>
        <w:rPr>
          <w:rFonts w:ascii="Arial" w:cs="Arial" w:eastAsia="Arial" w:hAnsi="Arial"/>
          <w:sz w:val="20"/>
          <w:szCs w:val="20"/>
          <w:color w:val="auto"/>
        </w:rPr>
      </w:pPr>
    </w:p>
    <w:p>
      <w:pPr>
        <w:jc w:val="both"/>
        <w:ind w:firstLine="656"/>
        <w:spacing w:after="0" w:line="248" w:lineRule="auto"/>
        <w:tabs>
          <w:tab w:leader="none" w:pos="1093" w:val="left"/>
        </w:tabs>
        <w:numPr>
          <w:ilvl w:val="0"/>
          <w:numId w:val="759"/>
        </w:numPr>
        <w:rPr>
          <w:rFonts w:ascii="Arial" w:cs="Arial" w:eastAsia="Arial" w:hAnsi="Arial"/>
          <w:sz w:val="20"/>
          <w:szCs w:val="20"/>
          <w:color w:val="auto"/>
        </w:rPr>
      </w:pPr>
      <w:r>
        <w:rPr>
          <w:rFonts w:ascii="Arial" w:cs="Arial" w:eastAsia="Arial" w:hAnsi="Arial"/>
          <w:sz w:val="20"/>
          <w:szCs w:val="20"/>
          <w:b w:val="1"/>
          <w:bCs w:val="1"/>
          <w:color w:val="auto"/>
        </w:rPr>
        <w:t xml:space="preserve">Insurance. </w:t>
      </w:r>
      <w:r>
        <w:rPr>
          <w:rFonts w:ascii="Arial" w:cs="Arial" w:eastAsia="Arial" w:hAnsi="Arial"/>
          <w:sz w:val="20"/>
          <w:szCs w:val="20"/>
          <w:color w:val="auto"/>
        </w:rPr>
        <w:t>To the extent that the Company maintains an insurance policy or policies providing liability insurance for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83" w:lineRule="exact"/>
        <w:rPr>
          <w:rFonts w:ascii="Arial" w:cs="Arial" w:eastAsia="Arial" w:hAnsi="Arial"/>
          <w:sz w:val="20"/>
          <w:szCs w:val="20"/>
          <w:color w:val="auto"/>
        </w:rPr>
      </w:pPr>
    </w:p>
    <w:p>
      <w:pPr>
        <w:jc w:val="both"/>
        <w:ind w:firstLine="656"/>
        <w:spacing w:after="0" w:line="294" w:lineRule="auto"/>
        <w:tabs>
          <w:tab w:leader="none" w:pos="1201" w:val="left"/>
        </w:tabs>
        <w:numPr>
          <w:ilvl w:val="0"/>
          <w:numId w:val="759"/>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3" w:lineRule="exact"/>
        <w:rPr>
          <w:rFonts w:ascii="Arial" w:cs="Arial" w:eastAsia="Arial" w:hAnsi="Arial"/>
          <w:sz w:val="18"/>
          <w:szCs w:val="18"/>
          <w:color w:val="auto"/>
        </w:rPr>
      </w:pPr>
    </w:p>
    <w:p>
      <w:pPr>
        <w:jc w:val="both"/>
        <w:ind w:firstLine="656"/>
        <w:spacing w:after="0" w:line="255" w:lineRule="auto"/>
        <w:tabs>
          <w:tab w:leader="none" w:pos="1228" w:val="left"/>
        </w:tabs>
        <w:numPr>
          <w:ilvl w:val="0"/>
          <w:numId w:val="759"/>
        </w:numPr>
        <w:rPr>
          <w:rFonts w:ascii="Arial" w:cs="Arial" w:eastAsia="Arial" w:hAnsi="Arial"/>
          <w:sz w:val="19"/>
          <w:szCs w:val="19"/>
          <w:color w:val="auto"/>
        </w:rPr>
      </w:pPr>
      <w:r>
        <w:rPr>
          <w:rFonts w:ascii="Arial" w:cs="Arial" w:eastAsia="Arial" w:hAnsi="Arial"/>
          <w:sz w:val="19"/>
          <w:szCs w:val="19"/>
          <w:b w:val="1"/>
          <w:bCs w:val="1"/>
          <w:color w:val="auto"/>
        </w:rPr>
        <w:t xml:space="preserve">Services to the Company. </w:t>
      </w:r>
      <w:r>
        <w:rPr>
          <w:rFonts w:ascii="Arial" w:cs="Arial" w:eastAsia="Arial" w:hAnsi="Arial"/>
          <w:sz w:val="19"/>
          <w:szCs w:val="19"/>
          <w:color w:val="auto"/>
        </w:rPr>
        <w:t>Indemnitee agrees to serve as a director or officer of the Company or, at the request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84" w:lineRule="exact"/>
        <w:rPr>
          <w:rFonts w:ascii="Arial" w:cs="Arial" w:eastAsia="Arial" w:hAnsi="Arial"/>
          <w:sz w:val="19"/>
          <w:szCs w:val="19"/>
          <w:color w:val="auto"/>
        </w:rPr>
      </w:pPr>
    </w:p>
    <w:p>
      <w:pPr>
        <w:jc w:val="both"/>
        <w:ind w:firstLine="656"/>
        <w:spacing w:after="0" w:line="262" w:lineRule="auto"/>
        <w:tabs>
          <w:tab w:leader="none" w:pos="1107" w:val="left"/>
        </w:tabs>
        <w:numPr>
          <w:ilvl w:val="0"/>
          <w:numId w:val="759"/>
        </w:numPr>
        <w:rPr>
          <w:rFonts w:ascii="Arial" w:cs="Arial" w:eastAsia="Arial" w:hAnsi="Arial"/>
          <w:sz w:val="19"/>
          <w:szCs w:val="19"/>
          <w:color w:val="auto"/>
        </w:rPr>
      </w:pPr>
      <w:r>
        <w:rPr>
          <w:rFonts w:ascii="Arial" w:cs="Arial" w:eastAsia="Arial" w:hAnsi="Arial"/>
          <w:sz w:val="19"/>
          <w:szCs w:val="19"/>
          <w:b w:val="1"/>
          <w:bCs w:val="1"/>
          <w:color w:val="auto"/>
        </w:rPr>
        <w:t xml:space="preserve">Duration. </w:t>
      </w:r>
      <w:r>
        <w:rPr>
          <w:rFonts w:ascii="Arial" w:cs="Arial" w:eastAsia="Arial" w:hAnsi="Arial"/>
          <w:sz w:val="19"/>
          <w:szCs w:val="19"/>
          <w:color w:val="auto"/>
        </w:rPr>
        <w:t>This Agreement shall continue until and terminate upon the later of (a) ten years after the date that Indemnitee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70" w:lineRule="exact"/>
        <w:rPr>
          <w:rFonts w:ascii="Arial" w:cs="Arial" w:eastAsia="Arial" w:hAnsi="Arial"/>
          <w:sz w:val="19"/>
          <w:szCs w:val="19"/>
          <w:color w:val="auto"/>
        </w:rPr>
      </w:pPr>
    </w:p>
    <w:p>
      <w:pPr>
        <w:jc w:val="both"/>
        <w:ind w:firstLine="656"/>
        <w:spacing w:after="0" w:line="253" w:lineRule="auto"/>
        <w:tabs>
          <w:tab w:leader="none" w:pos="1093" w:val="left"/>
        </w:tabs>
        <w:numPr>
          <w:ilvl w:val="0"/>
          <w:numId w:val="759"/>
        </w:numPr>
        <w:rPr>
          <w:rFonts w:ascii="Arial" w:cs="Arial" w:eastAsia="Arial" w:hAnsi="Arial"/>
          <w:sz w:val="20"/>
          <w:szCs w:val="20"/>
          <w:color w:val="auto"/>
        </w:rPr>
      </w:pP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This Agreement shall be binding upon the Company and its successors and assigns, including any direct or indirect</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 by purchase, merger, consolidation or otherwise, to all or substantially all of the business or assets of the Company, and shall inure to the benefit of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786" w:name="page787"/>
    <w:bookmarkEnd w:id="786"/>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85" w:lineRule="exact"/>
        <w:rPr>
          <w:sz w:val="20"/>
          <w:szCs w:val="20"/>
          <w:color w:val="auto"/>
        </w:rPr>
      </w:pPr>
    </w:p>
    <w:p>
      <w:pPr>
        <w:jc w:val="both"/>
        <w:ind w:firstLine="656"/>
        <w:spacing w:after="0" w:line="256" w:lineRule="auto"/>
        <w:tabs>
          <w:tab w:leader="none" w:pos="1120" w:val="left"/>
        </w:tabs>
        <w:numPr>
          <w:ilvl w:val="0"/>
          <w:numId w:val="760"/>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Nothing in this Agreement is intended to require or shall be construed as requiring the Company to do or fail to</w:t>
      </w:r>
      <w:r>
        <w:rPr>
          <w:rFonts w:ascii="Arial" w:cs="Arial" w:eastAsia="Arial" w:hAnsi="Arial"/>
          <w:sz w:val="19"/>
          <w:szCs w:val="19"/>
          <w:b w:val="1"/>
          <w:bCs w:val="1"/>
          <w:color w:val="auto"/>
        </w:rPr>
        <w:t xml:space="preserve"> </w:t>
      </w:r>
      <w:r>
        <w:rPr>
          <w:rFonts w:ascii="Arial" w:cs="Arial" w:eastAsia="Arial" w:hAnsi="Arial"/>
          <w:sz w:val="19"/>
          <w:szCs w:val="19"/>
          <w:color w:val="auto"/>
        </w:rPr>
        <w:t>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9"/>
          <w:szCs w:val="19"/>
          <w:color w:val="auto"/>
        </w:rPr>
      </w:pPr>
    </w:p>
    <w:p>
      <w:pPr>
        <w:jc w:val="both"/>
        <w:ind w:firstLine="656"/>
        <w:spacing w:after="0" w:line="253" w:lineRule="auto"/>
        <w:tabs>
          <w:tab w:leader="none" w:pos="1093" w:val="left"/>
        </w:tabs>
        <w:numPr>
          <w:ilvl w:val="0"/>
          <w:numId w:val="760"/>
        </w:numPr>
        <w:rPr>
          <w:rFonts w:ascii="Arial" w:cs="Arial" w:eastAsia="Arial" w:hAnsi="Arial"/>
          <w:sz w:val="20"/>
          <w:szCs w:val="20"/>
          <w:color w:val="auto"/>
        </w:rPr>
      </w:pPr>
      <w:r>
        <w:rPr>
          <w:rFonts w:ascii="Arial" w:cs="Arial" w:eastAsia="Arial" w:hAnsi="Arial"/>
          <w:sz w:val="20"/>
          <w:szCs w:val="20"/>
          <w:b w:val="1"/>
          <w:bCs w:val="1"/>
          <w:color w:val="auto"/>
        </w:rPr>
        <w:t xml:space="preserve">Enforcement. </w:t>
      </w:r>
      <w:r>
        <w:rPr>
          <w:rFonts w:ascii="Arial" w:cs="Arial" w:eastAsia="Arial" w:hAnsi="Arial"/>
          <w:sz w:val="20"/>
          <w:szCs w:val="20"/>
          <w:color w:val="auto"/>
        </w:rPr>
        <w:t>The Company expressly confirms and agrees that it has entered into this Agreement and assumed the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on it hereby in order to induce Indemnitee to serve as a director or officer of the Company, and the Company acknowledges that Indemnitee is relying upon this Agreement in serving as a director or officer of the Company.</w:t>
      </w:r>
    </w:p>
    <w:p>
      <w:pPr>
        <w:spacing w:after="0" w:line="177" w:lineRule="exact"/>
        <w:rPr>
          <w:rFonts w:ascii="Arial" w:cs="Arial" w:eastAsia="Arial" w:hAnsi="Arial"/>
          <w:sz w:val="20"/>
          <w:szCs w:val="20"/>
          <w:color w:val="auto"/>
        </w:rPr>
      </w:pPr>
    </w:p>
    <w:p>
      <w:pPr>
        <w:jc w:val="both"/>
        <w:ind w:firstLine="656"/>
        <w:spacing w:after="0" w:line="246" w:lineRule="auto"/>
        <w:tabs>
          <w:tab w:leader="none" w:pos="1174" w:val="left"/>
        </w:tabs>
        <w:numPr>
          <w:ilvl w:val="0"/>
          <w:numId w:val="760"/>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constitutes the entire agreement between the parties hereto with respect to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matter hereof and supersedes all prior agreements and understandings, oral, written and implied, between the parties hereto with respect to the subject matter hereof, including any prior indemnification agreement(s) entered into between the Company (or any subsidiary of the Company) and the Indemnitee;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Agreement is a supplement to and in furtherance of the Company’s certificate of incorporation and bylaws and applicable law.</w:t>
      </w:r>
    </w:p>
    <w:p>
      <w:pPr>
        <w:spacing w:after="0" w:line="184" w:lineRule="exact"/>
        <w:rPr>
          <w:rFonts w:ascii="Arial" w:cs="Arial" w:eastAsia="Arial" w:hAnsi="Arial"/>
          <w:sz w:val="20"/>
          <w:szCs w:val="20"/>
          <w:color w:val="auto"/>
        </w:rPr>
      </w:pPr>
    </w:p>
    <w:p>
      <w:pPr>
        <w:jc w:val="both"/>
        <w:ind w:firstLine="656"/>
        <w:spacing w:after="0" w:line="246" w:lineRule="auto"/>
        <w:tabs>
          <w:tab w:leader="none" w:pos="1120" w:val="left"/>
        </w:tabs>
        <w:numPr>
          <w:ilvl w:val="0"/>
          <w:numId w:val="760"/>
        </w:numPr>
        <w:rPr>
          <w:rFonts w:ascii="Arial" w:cs="Arial" w:eastAsia="Arial" w:hAnsi="Arial"/>
          <w:sz w:val="20"/>
          <w:szCs w:val="20"/>
          <w:color w:val="auto"/>
        </w:rPr>
      </w:pPr>
      <w:r>
        <w:rPr>
          <w:rFonts w:ascii="Arial" w:cs="Arial" w:eastAsia="Arial" w:hAnsi="Arial"/>
          <w:sz w:val="20"/>
          <w:szCs w:val="20"/>
          <w:b w:val="1"/>
          <w:bCs w:val="1"/>
          <w:color w:val="auto"/>
        </w:rPr>
        <w:t xml:space="preserve">Modification and Waiver. </w:t>
      </w:r>
      <w:r>
        <w:rPr>
          <w:rFonts w:ascii="Arial" w:cs="Arial" w:eastAsia="Arial" w:hAnsi="Arial"/>
          <w:sz w:val="20"/>
          <w:szCs w:val="20"/>
          <w:color w:val="auto"/>
        </w:rPr>
        <w:t>No supplement, modification or amendment to this Agreement shall be binding unless executed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84" w:lineRule="exact"/>
        <w:rPr>
          <w:rFonts w:ascii="Arial" w:cs="Arial" w:eastAsia="Arial" w:hAnsi="Arial"/>
          <w:sz w:val="20"/>
          <w:szCs w:val="20"/>
          <w:color w:val="auto"/>
        </w:rPr>
      </w:pPr>
    </w:p>
    <w:p>
      <w:pPr>
        <w:jc w:val="both"/>
        <w:ind w:firstLine="656"/>
        <w:spacing w:after="0" w:line="253" w:lineRule="auto"/>
        <w:tabs>
          <w:tab w:leader="none" w:pos="1188" w:val="left"/>
        </w:tabs>
        <w:numPr>
          <w:ilvl w:val="0"/>
          <w:numId w:val="760"/>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and other communications required or permitted hereunder shall be in writing and shall be mailed by</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or certified mail, postage prepaid, sent by facsimile or electronic mail or otherwise delivered by hand, messenger or courier service addressed:</w:t>
      </w:r>
    </w:p>
    <w:p>
      <w:pPr>
        <w:spacing w:after="0" w:line="183" w:lineRule="exact"/>
        <w:rPr>
          <w:rFonts w:ascii="Arial" w:cs="Arial" w:eastAsia="Arial" w:hAnsi="Arial"/>
          <w:sz w:val="20"/>
          <w:szCs w:val="20"/>
          <w:color w:val="auto"/>
        </w:rPr>
      </w:pPr>
    </w:p>
    <w:p>
      <w:pPr>
        <w:ind w:firstLine="1304"/>
        <w:spacing w:after="0" w:line="260" w:lineRule="auto"/>
        <w:tabs>
          <w:tab w:leader="none" w:pos="1752" w:val="left"/>
        </w:tabs>
        <w:numPr>
          <w:ilvl w:val="1"/>
          <w:numId w:val="760"/>
        </w:numPr>
        <w:rPr>
          <w:rFonts w:ascii="Arial" w:cs="Arial" w:eastAsia="Arial" w:hAnsi="Arial"/>
          <w:sz w:val="20"/>
          <w:szCs w:val="20"/>
          <w:color w:val="auto"/>
        </w:rPr>
      </w:pPr>
      <w:r>
        <w:rPr>
          <w:rFonts w:ascii="Arial" w:cs="Arial" w:eastAsia="Arial" w:hAnsi="Arial"/>
          <w:sz w:val="20"/>
          <w:szCs w:val="20"/>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787" w:name="page788"/>
    <w:bookmarkEnd w:id="787"/>
    <w:p>
      <w:pPr>
        <w:spacing w:after="0" w:line="196" w:lineRule="exact"/>
        <w:rPr>
          <w:sz w:val="20"/>
          <w:szCs w:val="20"/>
          <w:color w:val="auto"/>
        </w:rPr>
      </w:pPr>
    </w:p>
    <w:p>
      <w:pPr>
        <w:jc w:val="both"/>
        <w:ind w:firstLine="1304"/>
        <w:spacing w:after="0" w:line="291" w:lineRule="auto"/>
        <w:tabs>
          <w:tab w:leader="none" w:pos="1731" w:val="left"/>
        </w:tabs>
        <w:numPr>
          <w:ilvl w:val="0"/>
          <w:numId w:val="761"/>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or Chief Financial Officer of the Company at PO Box 22027, Seattle, WA 98102, or at such other current address as the Company shall have furnished to Indemnitee, with a copy (which shall not constitute notice) to Robert F. Kornegay, Wilson Sonsini Goodrich &amp; Rosati, P.C., 650 Page Mill Road, Palo Alto, CA 94304.</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a nationally-recognized overnight courier service, freight prepaid, specifying next-business-day delivery, one business day after deposit with the courier), (ii)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facsimile, upon confirmation of facsimile transfer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79" w:lineRule="exact"/>
        <w:rPr>
          <w:sz w:val="20"/>
          <w:szCs w:val="20"/>
          <w:color w:val="auto"/>
        </w:rPr>
      </w:pPr>
    </w:p>
    <w:p>
      <w:pPr>
        <w:jc w:val="both"/>
        <w:ind w:firstLine="656"/>
        <w:spacing w:after="0" w:line="255" w:lineRule="auto"/>
        <w:tabs>
          <w:tab w:leader="none" w:pos="1093" w:val="left"/>
        </w:tabs>
        <w:numPr>
          <w:ilvl w:val="0"/>
          <w:numId w:val="762"/>
        </w:numPr>
        <w:rPr>
          <w:rFonts w:ascii="Arial" w:cs="Arial" w:eastAsia="Arial" w:hAnsi="Arial"/>
          <w:sz w:val="19"/>
          <w:szCs w:val="19"/>
          <w:color w:val="auto"/>
        </w:rPr>
      </w:pPr>
      <w:r>
        <w:rPr>
          <w:rFonts w:ascii="Arial" w:cs="Arial" w:eastAsia="Arial" w:hAnsi="Arial"/>
          <w:sz w:val="19"/>
          <w:szCs w:val="19"/>
          <w:b w:val="1"/>
          <w:bCs w:val="1"/>
          <w:color w:val="auto"/>
        </w:rPr>
        <w:t xml:space="preserve">Applicable Law and Consent to Jurisdiction. </w:t>
      </w:r>
      <w:r>
        <w:rPr>
          <w:rFonts w:ascii="Arial" w:cs="Arial" w:eastAsia="Arial" w:hAnsi="Arial"/>
          <w:sz w:val="19"/>
          <w:szCs w:val="19"/>
          <w:color w:val="auto"/>
        </w:rPr>
        <w:t>This Agreement and the legal relations among the parties shall be governed by,</w:t>
      </w:r>
      <w:r>
        <w:rPr>
          <w:rFonts w:ascii="Arial" w:cs="Arial" w:eastAsia="Arial" w:hAnsi="Arial"/>
          <w:sz w:val="19"/>
          <w:szCs w:val="19"/>
          <w:b w:val="1"/>
          <w:bCs w:val="1"/>
          <w:color w:val="auto"/>
        </w:rPr>
        <w:t xml:space="preserve"> </w:t>
      </w:r>
      <w:r>
        <w:rPr>
          <w:rFonts w:ascii="Arial" w:cs="Arial" w:eastAsia="Arial" w:hAnsi="Arial"/>
          <w:sz w:val="19"/>
          <w:szCs w:val="19"/>
          <w:color w:val="auto"/>
        </w:rPr>
        <w:t>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1209 Orange Street, in the City of Wilmington, County of New Castle,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81" w:lineRule="exact"/>
        <w:rPr>
          <w:rFonts w:ascii="Arial" w:cs="Arial" w:eastAsia="Arial" w:hAnsi="Arial"/>
          <w:sz w:val="19"/>
          <w:szCs w:val="19"/>
          <w:color w:val="auto"/>
        </w:rPr>
      </w:pPr>
    </w:p>
    <w:p>
      <w:pPr>
        <w:jc w:val="both"/>
        <w:ind w:firstLine="656"/>
        <w:spacing w:after="0" w:line="246" w:lineRule="auto"/>
        <w:tabs>
          <w:tab w:leader="none" w:pos="1120" w:val="left"/>
        </w:tabs>
        <w:numPr>
          <w:ilvl w:val="0"/>
          <w:numId w:val="762"/>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one or more counterparts, each of which shall for all purposes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rFonts w:ascii="Arial" w:cs="Arial" w:eastAsia="Arial" w:hAnsi="Arial"/>
          <w:sz w:val="20"/>
          <w:szCs w:val="20"/>
          <w:color w:val="auto"/>
        </w:rPr>
      </w:pPr>
    </w:p>
    <w:p>
      <w:pPr>
        <w:ind w:firstLine="656"/>
        <w:spacing w:after="0" w:line="267" w:lineRule="auto"/>
        <w:tabs>
          <w:tab w:leader="none" w:pos="1174" w:val="left"/>
        </w:tabs>
        <w:numPr>
          <w:ilvl w:val="0"/>
          <w:numId w:val="762"/>
        </w:numPr>
        <w:rPr>
          <w:rFonts w:ascii="Arial" w:cs="Arial" w:eastAsia="Arial" w:hAnsi="Arial"/>
          <w:sz w:val="20"/>
          <w:szCs w:val="20"/>
          <w:color w:val="auto"/>
        </w:rPr>
      </w:pPr>
      <w:r>
        <w:rPr>
          <w:rFonts w:ascii="Arial" w:cs="Arial" w:eastAsia="Arial" w:hAnsi="Arial"/>
          <w:sz w:val="20"/>
          <w:szCs w:val="20"/>
          <w:b w:val="1"/>
          <w:bCs w:val="1"/>
          <w:color w:val="auto"/>
        </w:rPr>
        <w:t xml:space="preserve">Captions. </w:t>
      </w:r>
      <w:r>
        <w:rPr>
          <w:rFonts w:ascii="Arial" w:cs="Arial" w:eastAsia="Arial" w:hAnsi="Arial"/>
          <w:sz w:val="20"/>
          <w:szCs w:val="20"/>
          <w:color w:val="auto"/>
        </w:rPr>
        <w:t>The headings of the paragraphs of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part of this Agreement or to affect the construction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788" w:name="page789"/>
    <w:bookmarkEnd w:id="788"/>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parties are signing this Indemnification Agreement as of the date stated in the introductory sentence.</w:t>
      </w:r>
    </w:p>
    <w:p>
      <w:pPr>
        <w:spacing w:after="0" w:line="200" w:lineRule="exact"/>
        <w:rPr>
          <w:sz w:val="20"/>
          <w:szCs w:val="20"/>
          <w:color w:val="auto"/>
        </w:rPr>
      </w:pPr>
    </w:p>
    <w:p>
      <w:pPr>
        <w:spacing w:after="0" w:line="32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545465</wp:posOffset>
            </wp:positionV>
            <wp:extent cx="379730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20"/>
        <w:spacing w:after="0"/>
        <w:rPr>
          <w:sz w:val="20"/>
          <w:szCs w:val="20"/>
          <w:color w:val="auto"/>
        </w:rPr>
      </w:pPr>
      <w:r>
        <w:rPr>
          <w:rFonts w:ascii="Arial" w:cs="Arial" w:eastAsia="Arial" w:hAnsi="Arial"/>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180"/>
        <w:spacing w:after="0"/>
        <w:rPr>
          <w:sz w:val="20"/>
          <w:szCs w:val="20"/>
          <w:color w:val="auto"/>
        </w:rPr>
      </w:pPr>
      <w:r>
        <w:rPr>
          <w:rFonts w:ascii="Arial" w:cs="Arial" w:eastAsia="Arial" w:hAnsi="Arial"/>
          <w:sz w:val="16"/>
          <w:szCs w:val="16"/>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20"/>
        <w:spacing w:after="0"/>
        <w:rPr>
          <w:sz w:val="20"/>
          <w:szCs w:val="20"/>
          <w:color w:val="auto"/>
        </w:rPr>
      </w:pPr>
      <w:r>
        <w:rPr>
          <w:rFonts w:ascii="Arial" w:cs="Arial" w:eastAsia="Arial" w:hAnsi="Arial"/>
          <w:sz w:val="16"/>
          <w:szCs w:val="16"/>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9">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180"/>
        <w:spacing w:after="0"/>
        <w:rPr>
          <w:sz w:val="20"/>
          <w:szCs w:val="20"/>
          <w:color w:val="auto"/>
        </w:rPr>
      </w:pPr>
      <w:r>
        <w:rPr>
          <w:rFonts w:ascii="Arial" w:cs="Arial" w:eastAsia="Arial" w:hAnsi="Arial"/>
          <w:sz w:val="16"/>
          <w:szCs w:val="16"/>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80"/>
        <w:spacing w:after="0"/>
        <w:rPr>
          <w:sz w:val="20"/>
          <w:szCs w:val="20"/>
          <w:color w:val="auto"/>
        </w:rPr>
      </w:pPr>
      <w:r>
        <w:rPr>
          <w:rFonts w:ascii="Arial" w:cs="Arial" w:eastAsia="Arial" w:hAnsi="Arial"/>
          <w:sz w:val="16"/>
          <w:szCs w:val="16"/>
          <w:i w:val="1"/>
          <w:iCs w:val="1"/>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541020</wp:posOffset>
            </wp:positionV>
            <wp:extent cx="379730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920"/>
        <w:spacing w:after="0"/>
        <w:rPr>
          <w:sz w:val="20"/>
          <w:szCs w:val="20"/>
          <w:color w:val="auto"/>
        </w:rPr>
      </w:pPr>
      <w:r>
        <w:rPr>
          <w:rFonts w:ascii="Arial" w:cs="Arial" w:eastAsia="Arial" w:hAnsi="Arial"/>
          <w:sz w:val="15"/>
          <w:szCs w:val="15"/>
          <w:i w:val="1"/>
          <w:iCs w:val="1"/>
          <w:color w:val="auto"/>
        </w:rPr>
        <w:t>(City, State and 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Arial" w:cs="Arial" w:eastAsia="Arial" w:hAnsi="Arial"/>
          <w:sz w:val="20"/>
          <w:szCs w:val="20"/>
          <w:i w:val="1"/>
          <w:iCs w:val="1"/>
          <w:color w:val="auto"/>
        </w:rPr>
        <w:t>(Signature page to Indemnification Agreement)</w:t>
      </w:r>
    </w:p>
    <w:p>
      <w:pPr>
        <w:sectPr>
          <w:pgSz w:w="11900" w:h="16838" w:orient="portrait"/>
          <w:cols w:equalWidth="0" w:num="1">
            <w:col w:w="9479"/>
          </w:cols>
          <w:pgMar w:left="980" w:top="1440" w:right="1440" w:bottom="1440" w:gutter="0" w:footer="0" w:header="0"/>
        </w:sectPr>
      </w:pPr>
    </w:p>
    <w:bookmarkStart w:id="789" w:name="page790"/>
    <w:bookmarkEnd w:id="789"/>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INCENTIVE COMPENSATION PLAN</w:t>
      </w:r>
    </w:p>
    <w:p>
      <w:pPr>
        <w:spacing w:after="0" w:line="220" w:lineRule="exact"/>
        <w:rPr>
          <w:sz w:val="20"/>
          <w:szCs w:val="20"/>
          <w:color w:val="auto"/>
        </w:rPr>
      </w:pPr>
    </w:p>
    <w:p>
      <w:pPr>
        <w:ind w:firstLine="656"/>
        <w:spacing w:after="0" w:line="293" w:lineRule="auto"/>
        <w:tabs>
          <w:tab w:leader="none" w:pos="1129" w:val="left"/>
        </w:tabs>
        <w:numPr>
          <w:ilvl w:val="0"/>
          <w:numId w:val="763"/>
        </w:numPr>
        <w:rPr>
          <w:rFonts w:ascii="Arial" w:cs="Arial" w:eastAsia="Arial" w:hAnsi="Arial"/>
          <w:sz w:val="19"/>
          <w:szCs w:val="19"/>
          <w:color w:val="auto"/>
        </w:rPr>
      </w:pPr>
      <w:r>
        <w:rPr>
          <w:rFonts w:ascii="Arial" w:cs="Arial" w:eastAsia="Arial" w:hAnsi="Arial"/>
          <w:sz w:val="21"/>
          <w:szCs w:val="21"/>
          <w:b w:val="1"/>
          <w:bCs w:val="1"/>
          <w:color w:val="auto"/>
        </w:rPr>
        <w:t>Purposes of the Plan</w:t>
      </w:r>
      <w:r>
        <w:rPr>
          <w:rFonts w:ascii="Arial" w:cs="Arial" w:eastAsia="Arial" w:hAnsi="Arial"/>
          <w:sz w:val="21"/>
          <w:szCs w:val="21"/>
          <w:color w:val="auto"/>
        </w:rPr>
        <w:t>. The Plan is intended to increase stockholder value and the success of the Company by</w:t>
      </w:r>
      <w:r>
        <w:rPr>
          <w:rFonts w:ascii="Arial" w:cs="Arial" w:eastAsia="Arial" w:hAnsi="Arial"/>
          <w:sz w:val="21"/>
          <w:szCs w:val="21"/>
          <w:b w:val="1"/>
          <w:bCs w:val="1"/>
          <w:color w:val="auto"/>
        </w:rPr>
        <w:t xml:space="preserve"> </w:t>
      </w:r>
      <w:r>
        <w:rPr>
          <w:rFonts w:ascii="Arial" w:cs="Arial" w:eastAsia="Arial" w:hAnsi="Arial"/>
          <w:sz w:val="21"/>
          <w:szCs w:val="21"/>
          <w:color w:val="auto"/>
        </w:rPr>
        <w:t>motivating Employees to (a) perform to the best of their abilities and (b) achieve the Company’s objectives.</w:t>
      </w:r>
    </w:p>
    <w:p>
      <w:pPr>
        <w:spacing w:after="0" w:line="139" w:lineRule="exact"/>
        <w:rPr>
          <w:rFonts w:ascii="Arial" w:cs="Arial" w:eastAsia="Arial" w:hAnsi="Arial"/>
          <w:sz w:val="19"/>
          <w:szCs w:val="19"/>
          <w:color w:val="auto"/>
        </w:rPr>
      </w:pPr>
    </w:p>
    <w:p>
      <w:pPr>
        <w:ind w:left="1000" w:hanging="344"/>
        <w:spacing w:after="0"/>
        <w:tabs>
          <w:tab w:leader="none" w:pos="1000" w:val="left"/>
        </w:tabs>
        <w:numPr>
          <w:ilvl w:val="0"/>
          <w:numId w:val="763"/>
        </w:numPr>
        <w:rPr>
          <w:rFonts w:ascii="Arial" w:cs="Arial" w:eastAsia="Arial" w:hAnsi="Arial"/>
          <w:sz w:val="20"/>
          <w:szCs w:val="20"/>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32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20"/>
          <w:szCs w:val="20"/>
          <w:color w:val="auto"/>
        </w:rPr>
        <w:t>“</w:t>
      </w:r>
      <w:r>
        <w:rPr>
          <w:rFonts w:ascii="Arial" w:cs="Arial" w:eastAsia="Arial" w:hAnsi="Arial"/>
          <w:sz w:val="20"/>
          <w:szCs w:val="20"/>
          <w:b w:val="1"/>
          <w:bCs w:val="1"/>
          <w:color w:val="auto"/>
        </w:rPr>
        <w:t>Actual Award</w:t>
      </w:r>
      <w:r>
        <w:rPr>
          <w:rFonts w:ascii="Arial" w:cs="Arial" w:eastAsia="Arial" w:hAnsi="Arial"/>
          <w:sz w:val="20"/>
          <w:szCs w:val="20"/>
          <w:color w:val="auto"/>
        </w:rPr>
        <w:t>” means as to any Performance Period, the actual award (if any) payable to a Participant for</w:t>
      </w:r>
      <w:r>
        <w:rPr>
          <w:rFonts w:ascii="Arial" w:cs="Arial" w:eastAsia="Arial" w:hAnsi="Arial"/>
          <w:sz w:val="19"/>
          <w:szCs w:val="19"/>
          <w:color w:val="auto"/>
        </w:rPr>
        <w:t xml:space="preserve"> </w:t>
      </w:r>
      <w:r>
        <w:rPr>
          <w:rFonts w:ascii="Arial" w:cs="Arial" w:eastAsia="Arial" w:hAnsi="Arial"/>
          <w:sz w:val="20"/>
          <w:szCs w:val="20"/>
          <w:color w:val="auto"/>
        </w:rPr>
        <w:t>the Performance Period, subject to the authority of the Administrator (as defined in Section 3) under Section 4.4.</w:t>
      </w:r>
    </w:p>
    <w:p>
      <w:pPr>
        <w:spacing w:after="0" w:line="11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any corporation or other entity (including, but not limited to, partnerships and joint</w:t>
      </w:r>
      <w:r>
        <w:rPr>
          <w:rFonts w:ascii="Arial" w:cs="Arial" w:eastAsia="Arial" w:hAnsi="Arial"/>
          <w:sz w:val="20"/>
          <w:szCs w:val="20"/>
          <w:color w:val="auto"/>
        </w:rPr>
        <w:t xml:space="preserve"> </w:t>
      </w:r>
      <w:r>
        <w:rPr>
          <w:rFonts w:ascii="Arial" w:cs="Arial" w:eastAsia="Arial" w:hAnsi="Arial"/>
          <w:sz w:val="21"/>
          <w:szCs w:val="21"/>
          <w:color w:val="auto"/>
        </w:rPr>
        <w:t>ventures) that, from time to time and at the time of any determination, directly or indirectly, is in control of or is controlled by the Company.</w:t>
      </w:r>
    </w:p>
    <w:p>
      <w:pPr>
        <w:spacing w:after="0" w:line="158"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the Company.</w:t>
      </w:r>
    </w:p>
    <w:p>
      <w:pPr>
        <w:spacing w:after="0" w:line="24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1"/>
          <w:szCs w:val="21"/>
          <w:color w:val="auto"/>
        </w:rPr>
        <w:t>“</w:t>
      </w:r>
      <w:r>
        <w:rPr>
          <w:rFonts w:ascii="Arial" w:cs="Arial" w:eastAsia="Arial" w:hAnsi="Arial"/>
          <w:sz w:val="21"/>
          <w:szCs w:val="21"/>
          <w:b w:val="1"/>
          <w:bCs w:val="1"/>
          <w:color w:val="auto"/>
        </w:rPr>
        <w:t>Bonus Pool</w:t>
      </w:r>
      <w:r>
        <w:rPr>
          <w:rFonts w:ascii="Arial" w:cs="Arial" w:eastAsia="Arial" w:hAnsi="Arial"/>
          <w:sz w:val="21"/>
          <w:szCs w:val="21"/>
          <w:color w:val="auto"/>
        </w:rPr>
        <w:t>” means the pool of funds available for distribution to Participants. Subject to the terms of the</w:t>
      </w:r>
      <w:r>
        <w:rPr>
          <w:rFonts w:ascii="Arial" w:cs="Arial" w:eastAsia="Arial" w:hAnsi="Arial"/>
          <w:sz w:val="20"/>
          <w:szCs w:val="20"/>
          <w:color w:val="auto"/>
        </w:rPr>
        <w:t xml:space="preserve"> </w:t>
      </w:r>
      <w:r>
        <w:rPr>
          <w:rFonts w:ascii="Arial" w:cs="Arial" w:eastAsia="Arial" w:hAnsi="Arial"/>
          <w:sz w:val="21"/>
          <w:szCs w:val="21"/>
          <w:color w:val="auto"/>
        </w:rPr>
        <w:t>Plan, the Administrator establishes the Bonus Pool for each Performance Period.</w:t>
      </w:r>
    </w:p>
    <w:p>
      <w:pPr>
        <w:spacing w:after="0" w:line="13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 as amended. Reference to a specific section of the</w:t>
      </w:r>
      <w:r>
        <w:rPr>
          <w:rFonts w:ascii="Arial" w:cs="Arial" w:eastAsia="Arial" w:hAnsi="Arial"/>
          <w:sz w:val="20"/>
          <w:szCs w:val="20"/>
          <w:color w:val="auto"/>
        </w:rPr>
        <w:t xml:space="preserve"> </w:t>
      </w:r>
      <w:r>
        <w:rPr>
          <w:rFonts w:ascii="Arial" w:cs="Arial" w:eastAsia="Arial" w:hAnsi="Arial"/>
          <w:sz w:val="21"/>
          <w:szCs w:val="21"/>
          <w:color w:val="auto"/>
        </w:rPr>
        <w:t>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6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a committee appointed by the Board (pursuant to Section 3) to administer the Plan.</w:t>
      </w:r>
    </w:p>
    <w:p>
      <w:pPr>
        <w:spacing w:after="0" w:line="24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Nautilus Biotechnology, Inc., a Delaware corporation, or any successor thereto.</w:t>
      </w:r>
    </w:p>
    <w:p>
      <w:pPr>
        <w:spacing w:after="0" w:line="24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Group</w:t>
      </w:r>
      <w:r>
        <w:rPr>
          <w:rFonts w:ascii="Arial" w:cs="Arial" w:eastAsia="Arial" w:hAnsi="Arial"/>
          <w:sz w:val="19"/>
          <w:szCs w:val="19"/>
          <w:color w:val="auto"/>
        </w:rPr>
        <w:t>” means the Company and any Parents, Subsidiaries, and Affiliates.</w:t>
      </w:r>
    </w:p>
    <w:p>
      <w:pPr>
        <w:spacing w:after="0" w:line="24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a permanent and total disability determined in accordance with uniform and</w:t>
      </w:r>
      <w:r>
        <w:rPr>
          <w:rFonts w:ascii="Arial" w:cs="Arial" w:eastAsia="Arial" w:hAnsi="Arial"/>
          <w:sz w:val="20"/>
          <w:szCs w:val="20"/>
          <w:color w:val="auto"/>
        </w:rPr>
        <w:t xml:space="preserve"> </w:t>
      </w:r>
      <w:r>
        <w:rPr>
          <w:rFonts w:ascii="Arial" w:cs="Arial" w:eastAsia="Arial" w:hAnsi="Arial"/>
          <w:sz w:val="21"/>
          <w:szCs w:val="21"/>
          <w:color w:val="auto"/>
        </w:rPr>
        <w:t>nondiscriminatory standards adopted by the Administrator from time to time.</w:t>
      </w:r>
    </w:p>
    <w:p>
      <w:pPr>
        <w:spacing w:after="0" w:line="139" w:lineRule="exact"/>
        <w:rPr>
          <w:sz w:val="20"/>
          <w:szCs w:val="20"/>
          <w:color w:val="auto"/>
        </w:rPr>
      </w:pPr>
    </w:p>
    <w:p>
      <w:pPr>
        <w:jc w:val="both"/>
        <w:ind w:right="20" w:firstLine="1296"/>
        <w:spacing w:after="0" w:line="32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20"/>
          <w:szCs w:val="20"/>
          <w:color w:val="auto"/>
        </w:rPr>
        <w:t>“</w:t>
      </w:r>
      <w:r>
        <w:rPr>
          <w:rFonts w:ascii="Arial" w:cs="Arial" w:eastAsia="Arial" w:hAnsi="Arial"/>
          <w:sz w:val="20"/>
          <w:szCs w:val="20"/>
          <w:b w:val="1"/>
          <w:bCs w:val="1"/>
          <w:color w:val="auto"/>
        </w:rPr>
        <w:t>Employee</w:t>
      </w:r>
      <w:r>
        <w:rPr>
          <w:rFonts w:ascii="Arial" w:cs="Arial" w:eastAsia="Arial" w:hAnsi="Arial"/>
          <w:sz w:val="20"/>
          <w:szCs w:val="20"/>
          <w:color w:val="auto"/>
        </w:rPr>
        <w:t>” means any executive, officer, or other employee of the Company Group, whether such</w:t>
      </w:r>
      <w:r>
        <w:rPr>
          <w:rFonts w:ascii="Arial" w:cs="Arial" w:eastAsia="Arial" w:hAnsi="Arial"/>
          <w:sz w:val="19"/>
          <w:szCs w:val="19"/>
          <w:color w:val="auto"/>
        </w:rPr>
        <w:t xml:space="preserve"> </w:t>
      </w:r>
      <w:r>
        <w:rPr>
          <w:rFonts w:ascii="Arial" w:cs="Arial" w:eastAsia="Arial" w:hAnsi="Arial"/>
          <w:sz w:val="20"/>
          <w:szCs w:val="20"/>
          <w:color w:val="auto"/>
        </w:rPr>
        <w:t>individual is so employed at the time the Plan is adopted or becomes so employed subsequent to the adoption of the Plan.</w:t>
      </w:r>
    </w:p>
    <w:p>
      <w:pPr>
        <w:sectPr>
          <w:pgSz w:w="11900" w:h="16838" w:orient="portrait"/>
          <w:cols w:equalWidth="0" w:num="1">
            <w:col w:w="11240"/>
          </w:cols>
          <w:pgMar w:left="320" w:top="122" w:right="339" w:bottom="1440" w:gutter="0" w:footer="0" w:header="0"/>
        </w:sectPr>
      </w:pPr>
    </w:p>
    <w:bookmarkStart w:id="790" w:name="page791"/>
    <w:bookmarkEnd w:id="790"/>
    <w:p>
      <w:pPr>
        <w:spacing w:after="0" w:line="19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Fiscal Year</w:t>
      </w:r>
      <w:r>
        <w:rPr>
          <w:rFonts w:ascii="Arial" w:cs="Arial" w:eastAsia="Arial" w:hAnsi="Arial"/>
          <w:sz w:val="19"/>
          <w:szCs w:val="19"/>
          <w:color w:val="auto"/>
        </w:rPr>
        <w:t>” means the fiscal year of the Company.</w:t>
      </w:r>
    </w:p>
    <w:p>
      <w:pPr>
        <w:spacing w:after="0" w:line="24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1"/>
          <w:szCs w:val="21"/>
          <w:color w:val="auto"/>
        </w:rPr>
        <w:t>“</w:t>
      </w:r>
      <w:r>
        <w:rPr>
          <w:rFonts w:ascii="Arial" w:cs="Arial" w:eastAsia="Arial" w:hAnsi="Arial"/>
          <w:sz w:val="21"/>
          <w:szCs w:val="21"/>
          <w:b w:val="1"/>
          <w:bCs w:val="1"/>
          <w:color w:val="auto"/>
        </w:rPr>
        <w:t>Parent</w:t>
      </w:r>
      <w:r>
        <w:rPr>
          <w:rFonts w:ascii="Arial" w:cs="Arial" w:eastAsia="Arial" w:hAnsi="Arial"/>
          <w:sz w:val="21"/>
          <w:szCs w:val="21"/>
          <w:color w:val="auto"/>
        </w:rPr>
        <w:t>” means a “parent corporation,” whether now or hereafter existing, as defined in Code</w:t>
      </w:r>
      <w:r>
        <w:rPr>
          <w:rFonts w:ascii="Arial" w:cs="Arial" w:eastAsia="Arial" w:hAnsi="Arial"/>
          <w:sz w:val="20"/>
          <w:szCs w:val="20"/>
          <w:color w:val="auto"/>
        </w:rPr>
        <w:t xml:space="preserve"> </w:t>
      </w:r>
      <w:r>
        <w:rPr>
          <w:rFonts w:ascii="Arial" w:cs="Arial" w:eastAsia="Arial" w:hAnsi="Arial"/>
          <w:sz w:val="21"/>
          <w:szCs w:val="21"/>
          <w:color w:val="auto"/>
        </w:rPr>
        <w:t>Section 424(e).</w:t>
      </w:r>
    </w:p>
    <w:p>
      <w:pPr>
        <w:spacing w:after="0" w:line="139" w:lineRule="exact"/>
        <w:rPr>
          <w:sz w:val="20"/>
          <w:szCs w:val="20"/>
          <w:color w:val="auto"/>
        </w:rPr>
      </w:pPr>
    </w:p>
    <w:p>
      <w:pPr>
        <w:jc w:val="both"/>
        <w:ind w:right="20" w:firstLine="1296"/>
        <w:spacing w:after="0" w:line="293"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means as to any Performance Period, an Employee who has been selected by the</w:t>
      </w:r>
      <w:r>
        <w:rPr>
          <w:rFonts w:ascii="Arial" w:cs="Arial" w:eastAsia="Arial" w:hAnsi="Arial"/>
          <w:sz w:val="20"/>
          <w:szCs w:val="20"/>
          <w:color w:val="auto"/>
        </w:rPr>
        <w:t xml:space="preserve"> </w:t>
      </w:r>
      <w:r>
        <w:rPr>
          <w:rFonts w:ascii="Arial" w:cs="Arial" w:eastAsia="Arial" w:hAnsi="Arial"/>
          <w:sz w:val="21"/>
          <w:szCs w:val="21"/>
          <w:color w:val="auto"/>
        </w:rPr>
        <w:t>Administrator for participation in the Plan for that Performance Period.</w:t>
      </w:r>
    </w:p>
    <w:p>
      <w:pPr>
        <w:spacing w:after="0" w:line="139"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1"/>
          <w:szCs w:val="21"/>
          <w:color w:val="auto"/>
        </w:rPr>
        <w:t>“</w:t>
      </w:r>
      <w:r>
        <w:rPr>
          <w:rFonts w:ascii="Arial" w:cs="Arial" w:eastAsia="Arial" w:hAnsi="Arial"/>
          <w:sz w:val="21"/>
          <w:szCs w:val="21"/>
          <w:b w:val="1"/>
          <w:bCs w:val="1"/>
          <w:color w:val="auto"/>
        </w:rPr>
        <w:t>Performance Period</w:t>
      </w:r>
      <w:r>
        <w:rPr>
          <w:rFonts w:ascii="Arial" w:cs="Arial" w:eastAsia="Arial" w:hAnsi="Arial"/>
          <w:sz w:val="21"/>
          <w:szCs w:val="21"/>
          <w:color w:val="auto"/>
        </w:rPr>
        <w:t>” means the period of time for the measurement of the performance criteria that must</w:t>
      </w:r>
      <w:r>
        <w:rPr>
          <w:rFonts w:ascii="Arial" w:cs="Arial" w:eastAsia="Arial" w:hAnsi="Arial"/>
          <w:sz w:val="20"/>
          <w:szCs w:val="20"/>
          <w:color w:val="auto"/>
        </w:rPr>
        <w:t xml:space="preserve"> </w:t>
      </w:r>
      <w:r>
        <w:rPr>
          <w:rFonts w:ascii="Arial" w:cs="Arial" w:eastAsia="Arial" w:hAnsi="Arial"/>
          <w:sz w:val="21"/>
          <w:szCs w:val="21"/>
          <w:color w:val="auto"/>
        </w:rPr>
        <w:t>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6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means this Executive Incentive Compensation Plan (including any appendix attached hereto), as</w:t>
      </w:r>
      <w:r>
        <w:rPr>
          <w:rFonts w:ascii="Arial" w:cs="Arial" w:eastAsia="Arial" w:hAnsi="Arial"/>
          <w:sz w:val="20"/>
          <w:szCs w:val="20"/>
          <w:color w:val="auto"/>
        </w:rPr>
        <w:t xml:space="preserve"> </w:t>
      </w:r>
      <w:r>
        <w:rPr>
          <w:rFonts w:ascii="Arial" w:cs="Arial" w:eastAsia="Arial" w:hAnsi="Arial"/>
          <w:sz w:val="21"/>
          <w:szCs w:val="21"/>
          <w:color w:val="auto"/>
        </w:rPr>
        <w:t>may be amended from time to time.</w:t>
      </w:r>
    </w:p>
    <w:p>
      <w:pPr>
        <w:spacing w:after="0" w:line="139" w:lineRule="exact"/>
        <w:rPr>
          <w:sz w:val="20"/>
          <w:szCs w:val="20"/>
          <w:color w:val="auto"/>
        </w:rPr>
      </w:pPr>
    </w:p>
    <w:p>
      <w:pPr>
        <w:jc w:val="both"/>
        <w:ind w:firstLine="1296"/>
        <w:spacing w:after="0" w:line="320"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20"/>
          <w:szCs w:val="20"/>
          <w:color w:val="auto"/>
        </w:rPr>
        <w:t>“</w:t>
      </w:r>
      <w:r>
        <w:rPr>
          <w:rFonts w:ascii="Arial" w:cs="Arial" w:eastAsia="Arial" w:hAnsi="Arial"/>
          <w:sz w:val="20"/>
          <w:szCs w:val="20"/>
          <w:b w:val="1"/>
          <w:bCs w:val="1"/>
          <w:color w:val="auto"/>
        </w:rPr>
        <w:t>Section 409A</w:t>
      </w:r>
      <w:r>
        <w:rPr>
          <w:rFonts w:ascii="Arial" w:cs="Arial" w:eastAsia="Arial" w:hAnsi="Arial"/>
          <w:sz w:val="20"/>
          <w:szCs w:val="20"/>
          <w:color w:val="auto"/>
        </w:rPr>
        <w:t>” means Section 409A of the Code and the U.S. Treasury Regulations and guidance</w:t>
      </w:r>
      <w:r>
        <w:rPr>
          <w:rFonts w:ascii="Arial" w:cs="Arial" w:eastAsia="Arial" w:hAnsi="Arial"/>
          <w:sz w:val="19"/>
          <w:szCs w:val="19"/>
          <w:color w:val="auto"/>
        </w:rPr>
        <w:t xml:space="preserve"> </w:t>
      </w:r>
      <w:r>
        <w:rPr>
          <w:rFonts w:ascii="Arial" w:cs="Arial" w:eastAsia="Arial" w:hAnsi="Arial"/>
          <w:sz w:val="20"/>
          <w:szCs w:val="20"/>
          <w:color w:val="auto"/>
        </w:rPr>
        <w:t>thereunder, and any applicable state law equivalent, as each may be promulgated, amended or modified from time to time.</w:t>
      </w:r>
    </w:p>
    <w:p>
      <w:pPr>
        <w:spacing w:after="0" w:line="11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 “subsidiary corporation,” whether now or hereafter existing, as defined in Code</w:t>
      </w:r>
      <w:r>
        <w:rPr>
          <w:rFonts w:ascii="Arial" w:cs="Arial" w:eastAsia="Arial" w:hAnsi="Arial"/>
          <w:sz w:val="20"/>
          <w:szCs w:val="20"/>
          <w:color w:val="auto"/>
        </w:rPr>
        <w:t xml:space="preserve"> </w:t>
      </w:r>
      <w:r>
        <w:rPr>
          <w:rFonts w:ascii="Arial" w:cs="Arial" w:eastAsia="Arial" w:hAnsi="Arial"/>
          <w:sz w:val="21"/>
          <w:szCs w:val="21"/>
          <w:color w:val="auto"/>
        </w:rPr>
        <w:t>Section 424(f), in relation to the Company.</w:t>
      </w:r>
    </w:p>
    <w:p>
      <w:pPr>
        <w:spacing w:after="0" w:line="13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1"/>
          <w:szCs w:val="21"/>
          <w:color w:val="auto"/>
        </w:rPr>
        <w:t>“</w:t>
      </w:r>
      <w:r>
        <w:rPr>
          <w:rFonts w:ascii="Arial" w:cs="Arial" w:eastAsia="Arial" w:hAnsi="Arial"/>
          <w:sz w:val="21"/>
          <w:szCs w:val="21"/>
          <w:b w:val="1"/>
          <w:bCs w:val="1"/>
          <w:color w:val="auto"/>
        </w:rPr>
        <w:t>Target Award</w:t>
      </w:r>
      <w:r>
        <w:rPr>
          <w:rFonts w:ascii="Arial" w:cs="Arial" w:eastAsia="Arial" w:hAnsi="Arial"/>
          <w:sz w:val="21"/>
          <w:szCs w:val="21"/>
          <w:color w:val="auto"/>
        </w:rPr>
        <w:t>” means the target award, at one hundred percent (100%) of target level performance</w:t>
      </w:r>
      <w:r>
        <w:rPr>
          <w:rFonts w:ascii="Arial" w:cs="Arial" w:eastAsia="Arial" w:hAnsi="Arial"/>
          <w:sz w:val="20"/>
          <w:szCs w:val="20"/>
          <w:color w:val="auto"/>
        </w:rPr>
        <w:t xml:space="preserve"> </w:t>
      </w:r>
      <w:r>
        <w:rPr>
          <w:rFonts w:ascii="Arial" w:cs="Arial" w:eastAsia="Arial" w:hAnsi="Arial"/>
          <w:sz w:val="21"/>
          <w:szCs w:val="21"/>
          <w:color w:val="auto"/>
        </w:rPr>
        <w:t>achievement, payable under the Plan to a Participant for a Performance Period, as determined by the Administrator in accordance with Section 4.2.</w:t>
      </w:r>
    </w:p>
    <w:p>
      <w:pPr>
        <w:spacing w:after="0" w:line="15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1"/>
          <w:szCs w:val="21"/>
          <w:color w:val="auto"/>
        </w:rPr>
        <w:t>“</w:t>
      </w:r>
      <w:r>
        <w:rPr>
          <w:rFonts w:ascii="Arial" w:cs="Arial" w:eastAsia="Arial" w:hAnsi="Arial"/>
          <w:sz w:val="21"/>
          <w:szCs w:val="21"/>
          <w:b w:val="1"/>
          <w:bCs w:val="1"/>
          <w:color w:val="auto"/>
        </w:rPr>
        <w:t>Tax Withholdings</w:t>
      </w:r>
      <w:r>
        <w:rPr>
          <w:rFonts w:ascii="Arial" w:cs="Arial" w:eastAsia="Arial" w:hAnsi="Arial"/>
          <w:sz w:val="21"/>
          <w:szCs w:val="21"/>
          <w:color w:val="auto"/>
        </w:rPr>
        <w:t>” means tax, social insurance and social security liability or premium obligations in</w:t>
      </w:r>
      <w:r>
        <w:rPr>
          <w:rFonts w:ascii="Arial" w:cs="Arial" w:eastAsia="Arial" w:hAnsi="Arial"/>
          <w:sz w:val="20"/>
          <w:szCs w:val="20"/>
          <w:color w:val="auto"/>
        </w:rPr>
        <w:t xml:space="preserve"> </w:t>
      </w:r>
      <w:r>
        <w:rPr>
          <w:rFonts w:ascii="Arial" w:cs="Arial" w:eastAsia="Arial" w:hAnsi="Arial"/>
          <w:sz w:val="21"/>
          <w:szCs w:val="21"/>
          <w:color w:val="auto"/>
        </w:rPr>
        <w:t>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1"/>
          <w:szCs w:val="21"/>
          <w:color w:val="auto"/>
        </w:rPr>
        <w:t>“</w:t>
      </w:r>
      <w:r>
        <w:rPr>
          <w:rFonts w:ascii="Arial" w:cs="Arial" w:eastAsia="Arial" w:hAnsi="Arial"/>
          <w:sz w:val="21"/>
          <w:szCs w:val="21"/>
          <w:b w:val="1"/>
          <w:bCs w:val="1"/>
          <w:color w:val="auto"/>
        </w:rPr>
        <w:t>Termination of Employment</w:t>
      </w:r>
      <w:r>
        <w:rPr>
          <w:rFonts w:ascii="Arial" w:cs="Arial" w:eastAsia="Arial" w:hAnsi="Arial"/>
          <w:sz w:val="21"/>
          <w:szCs w:val="21"/>
          <w:color w:val="auto"/>
        </w:rPr>
        <w:t>” means a cessation of the employee-employer relationship between an</w:t>
      </w:r>
      <w:r>
        <w:rPr>
          <w:rFonts w:ascii="Arial" w:cs="Arial" w:eastAsia="Arial" w:hAnsi="Arial"/>
          <w:sz w:val="20"/>
          <w:szCs w:val="20"/>
          <w:color w:val="auto"/>
        </w:rPr>
        <w:t xml:space="preserve"> </w:t>
      </w:r>
      <w:r>
        <w:rPr>
          <w:rFonts w:ascii="Arial" w:cs="Arial" w:eastAsia="Arial" w:hAnsi="Arial"/>
          <w:sz w:val="21"/>
          <w:szCs w:val="21"/>
          <w:color w:val="auto"/>
        </w:rPr>
        <w:t>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791" w:name="page792"/>
    <w:bookmarkEnd w:id="791"/>
    <w:p>
      <w:pPr>
        <w:spacing w:after="0" w:line="19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1"/>
          <w:szCs w:val="21"/>
          <w:color w:val="auto"/>
        </w:rPr>
        <w:t>“</w:t>
      </w:r>
      <w:r>
        <w:rPr>
          <w:rFonts w:ascii="Arial" w:cs="Arial" w:eastAsia="Arial" w:hAnsi="Arial"/>
          <w:sz w:val="21"/>
          <w:szCs w:val="21"/>
          <w:b w:val="1"/>
          <w:bCs w:val="1"/>
          <w:color w:val="auto"/>
        </w:rPr>
        <w:t>U.S. Treasury Regulations</w:t>
      </w:r>
      <w:r>
        <w:rPr>
          <w:rFonts w:ascii="Arial" w:cs="Arial" w:eastAsia="Arial" w:hAnsi="Arial"/>
          <w:sz w:val="21"/>
          <w:szCs w:val="21"/>
          <w:color w:val="auto"/>
        </w:rPr>
        <w:t>” means the Treasury Regulations of the Code. Reference to a specific section</w:t>
      </w:r>
      <w:r>
        <w:rPr>
          <w:rFonts w:ascii="Arial" w:cs="Arial" w:eastAsia="Arial" w:hAnsi="Arial"/>
          <w:sz w:val="20"/>
          <w:szCs w:val="20"/>
          <w:color w:val="auto"/>
        </w:rPr>
        <w:t xml:space="preserve"> </w:t>
      </w:r>
      <w:r>
        <w:rPr>
          <w:rFonts w:ascii="Arial" w:cs="Arial" w:eastAsia="Arial" w:hAnsi="Arial"/>
          <w:sz w:val="21"/>
          <w:szCs w:val="21"/>
          <w:color w:val="auto"/>
        </w:rPr>
        <w:t>of the Code will include the Treasury Regulation section or sections applicable to such section of the Code, any valid regulation promulgated under such section of the Code, and any comparable provision of any future legislation or regulation amending, supplementing, or superseding such Treasury Regulation section or section of the Code.</w:t>
      </w:r>
    </w:p>
    <w:p>
      <w:pPr>
        <w:spacing w:after="0" w:line="167" w:lineRule="exact"/>
        <w:rPr>
          <w:sz w:val="20"/>
          <w:szCs w:val="20"/>
          <w:color w:val="auto"/>
        </w:rPr>
      </w:pPr>
    </w:p>
    <w:p>
      <w:pPr>
        <w:ind w:left="1000" w:hanging="344"/>
        <w:spacing w:after="0"/>
        <w:tabs>
          <w:tab w:leader="none" w:pos="1000" w:val="left"/>
        </w:tabs>
        <w:numPr>
          <w:ilvl w:val="0"/>
          <w:numId w:val="764"/>
        </w:numPr>
        <w:rPr>
          <w:rFonts w:ascii="Arial" w:cs="Arial" w:eastAsia="Arial" w:hAnsi="Arial"/>
          <w:sz w:val="20"/>
          <w:szCs w:val="20"/>
          <w:color w:val="auto"/>
        </w:rPr>
      </w:pPr>
      <w:r>
        <w:rPr>
          <w:rFonts w:ascii="Arial" w:cs="Arial" w:eastAsia="Arial" w:hAnsi="Arial"/>
          <w:sz w:val="22"/>
          <w:szCs w:val="22"/>
          <w:b w:val="1"/>
          <w:bCs w:val="1"/>
          <w:color w:val="auto"/>
        </w:rPr>
        <w:t>Administration of the Plan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1"/>
          <w:szCs w:val="21"/>
          <w:b w:val="1"/>
          <w:bCs w:val="1"/>
          <w:color w:val="auto"/>
        </w:rPr>
        <w:t>Administrator</w:t>
      </w:r>
      <w:r>
        <w:rPr>
          <w:rFonts w:ascii="Arial" w:cs="Arial" w:eastAsia="Arial" w:hAnsi="Arial"/>
          <w:sz w:val="21"/>
          <w:szCs w:val="21"/>
          <w:color w:val="auto"/>
        </w:rPr>
        <w:t>. The Plan will be administered by the Board or a Committee (the “</w:t>
      </w:r>
      <w:r>
        <w:rPr>
          <w:rFonts w:ascii="Arial" w:cs="Arial" w:eastAsia="Arial" w:hAnsi="Arial"/>
          <w:sz w:val="21"/>
          <w:szCs w:val="21"/>
          <w:b w:val="1"/>
          <w:bCs w:val="1"/>
          <w:color w:val="auto"/>
        </w:rPr>
        <w:t>Administrator</w:t>
      </w:r>
      <w:r>
        <w:rPr>
          <w:rFonts w:ascii="Arial" w:cs="Arial" w:eastAsia="Arial" w:hAnsi="Arial"/>
          <w:sz w:val="21"/>
          <w:szCs w:val="21"/>
          <w:color w:val="auto"/>
        </w:rPr>
        <w:t>”). To the</w:t>
      </w:r>
      <w:r>
        <w:rPr>
          <w:rFonts w:ascii="Arial" w:cs="Arial" w:eastAsia="Arial" w:hAnsi="Arial"/>
          <w:sz w:val="20"/>
          <w:szCs w:val="20"/>
          <w:color w:val="auto"/>
        </w:rPr>
        <w:t xml:space="preserve"> </w:t>
      </w:r>
      <w:r>
        <w:rPr>
          <w:rFonts w:ascii="Arial" w:cs="Arial" w:eastAsia="Arial" w:hAnsi="Arial"/>
          <w:sz w:val="21"/>
          <w:szCs w:val="21"/>
          <w:color w:val="auto"/>
        </w:rPr>
        <w:t>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173"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20"/>
          <w:szCs w:val="20"/>
          <w:b w:val="1"/>
          <w:bCs w:val="1"/>
          <w:color w:val="auto"/>
        </w:rPr>
        <w:t>Administrator Authority</w:t>
      </w:r>
      <w:r>
        <w:rPr>
          <w:rFonts w:ascii="Arial" w:cs="Arial" w:eastAsia="Arial" w:hAnsi="Arial"/>
          <w:sz w:val="20"/>
          <w:szCs w:val="20"/>
          <w:color w:val="auto"/>
        </w:rPr>
        <w:t>. It will be the duty of the Administrator to administer the Plan in accordance with</w:t>
      </w:r>
      <w:r>
        <w:rPr>
          <w:rFonts w:ascii="Arial" w:cs="Arial" w:eastAsia="Arial" w:hAnsi="Arial"/>
          <w:sz w:val="19"/>
          <w:szCs w:val="19"/>
          <w:color w:val="auto"/>
        </w:rPr>
        <w:t xml:space="preserve"> </w:t>
      </w:r>
      <w:r>
        <w:rPr>
          <w:rFonts w:ascii="Arial" w:cs="Arial" w:eastAsia="Arial" w:hAnsi="Arial"/>
          <w:sz w:val="20"/>
          <w:szCs w:val="20"/>
          <w:color w:val="auto"/>
        </w:rPr>
        <w:t>the Plan’s provisions. The Administrator will have all powers and discretion necessary or appropriate to administer the Plan and to control its operation, including, but not limited to, the power to (a) determine which Employees will be granted awards,</w:t>
      </w:r>
    </w:p>
    <w:p>
      <w:pPr>
        <w:jc w:val="both"/>
        <w:ind w:firstLine="8"/>
        <w:spacing w:after="0" w:line="290" w:lineRule="auto"/>
        <w:tabs>
          <w:tab w:leader="none" w:pos="317" w:val="left"/>
        </w:tabs>
        <w:numPr>
          <w:ilvl w:val="0"/>
          <w:numId w:val="765"/>
        </w:numPr>
        <w:rPr>
          <w:rFonts w:ascii="Arial" w:cs="Arial" w:eastAsia="Arial" w:hAnsi="Arial"/>
          <w:sz w:val="19"/>
          <w:szCs w:val="19"/>
          <w:color w:val="auto"/>
        </w:rPr>
      </w:pPr>
      <w:r>
        <w:rPr>
          <w:rFonts w:ascii="Arial" w:cs="Arial" w:eastAsia="Arial" w:hAnsi="Arial"/>
          <w:sz w:val="19"/>
          <w:szCs w:val="19"/>
          <w:color w:val="auto"/>
        </w:rPr>
        <w:t>prescribe the terms and conditions of awards, (c) interpret the Plan and the awards, (d) adopt such procedures and sub-plans as are necessary or appropriate to permit participation in the Plan by Employees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4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1"/>
          <w:szCs w:val="21"/>
          <w:b w:val="1"/>
          <w:bCs w:val="1"/>
          <w:color w:val="auto"/>
        </w:rPr>
        <w:t>Decisions Binding</w:t>
      </w:r>
      <w:r>
        <w:rPr>
          <w:rFonts w:ascii="Arial" w:cs="Arial" w:eastAsia="Arial" w:hAnsi="Arial"/>
          <w:sz w:val="21"/>
          <w:szCs w:val="21"/>
          <w:color w:val="auto"/>
        </w:rPr>
        <w:t>. All determinations and decisions made by the Administrator and/or any delegate of the</w:t>
      </w:r>
      <w:r>
        <w:rPr>
          <w:rFonts w:ascii="Arial" w:cs="Arial" w:eastAsia="Arial" w:hAnsi="Arial"/>
          <w:sz w:val="20"/>
          <w:szCs w:val="20"/>
          <w:color w:val="auto"/>
        </w:rPr>
        <w:t xml:space="preserve"> </w:t>
      </w:r>
      <w:r>
        <w:rPr>
          <w:rFonts w:ascii="Arial" w:cs="Arial" w:eastAsia="Arial" w:hAnsi="Arial"/>
          <w:sz w:val="21"/>
          <w:szCs w:val="21"/>
          <w:color w:val="auto"/>
        </w:rPr>
        <w:t>Administrator pursuant to the provisions of the Plan will be final, conclusive, and binding on all persons, and will be given the maximum deference permitted by law.</w:t>
      </w:r>
    </w:p>
    <w:p>
      <w:pPr>
        <w:spacing w:after="0" w:line="15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1"/>
          <w:szCs w:val="21"/>
          <w:b w:val="1"/>
          <w:bCs w:val="1"/>
          <w:color w:val="auto"/>
        </w:rPr>
        <w:t>Delegation by Administrator</w:t>
      </w:r>
      <w:r>
        <w:rPr>
          <w:rFonts w:ascii="Arial" w:cs="Arial" w:eastAsia="Arial" w:hAnsi="Arial"/>
          <w:sz w:val="21"/>
          <w:szCs w:val="21"/>
          <w:color w:val="auto"/>
        </w:rPr>
        <w:t>. The Administrator, on such terms and conditions as it may provide, may</w:t>
      </w:r>
      <w:r>
        <w:rPr>
          <w:rFonts w:ascii="Arial" w:cs="Arial" w:eastAsia="Arial" w:hAnsi="Arial"/>
          <w:sz w:val="20"/>
          <w:szCs w:val="20"/>
          <w:color w:val="auto"/>
        </w:rPr>
        <w:t xml:space="preserve"> </w:t>
      </w:r>
      <w:r>
        <w:rPr>
          <w:rFonts w:ascii="Arial" w:cs="Arial" w:eastAsia="Arial" w:hAnsi="Arial"/>
          <w:sz w:val="21"/>
          <w:szCs w:val="21"/>
          <w:color w:val="auto"/>
        </w:rPr>
        <w:t>delegate all or part of its authority and powers under the Plan to one or more directors and/or officers of the Company. Such delegation may be revoked at any time.</w:t>
      </w:r>
    </w:p>
    <w:p>
      <w:pPr>
        <w:spacing w:after="0" w:line="15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1"/>
          <w:szCs w:val="21"/>
          <w:b w:val="1"/>
          <w:bCs w:val="1"/>
          <w:color w:val="auto"/>
        </w:rPr>
        <w:t>Indemnification</w:t>
      </w:r>
      <w:r>
        <w:rPr>
          <w:rFonts w:ascii="Arial" w:cs="Arial" w:eastAsia="Arial" w:hAnsi="Arial"/>
          <w:sz w:val="21"/>
          <w:szCs w:val="21"/>
          <w:color w:val="auto"/>
        </w:rPr>
        <w:t>. Each person who is or will have been a member of the Administrator will be indemnified</w:t>
      </w:r>
      <w:r>
        <w:rPr>
          <w:rFonts w:ascii="Arial" w:cs="Arial" w:eastAsia="Arial" w:hAnsi="Arial"/>
          <w:sz w:val="20"/>
          <w:szCs w:val="20"/>
          <w:color w:val="auto"/>
        </w:rPr>
        <w:t xml:space="preserve"> </w:t>
      </w:r>
      <w:r>
        <w:rPr>
          <w:rFonts w:ascii="Arial" w:cs="Arial" w:eastAsia="Arial" w:hAnsi="Arial"/>
          <w:sz w:val="21"/>
          <w:szCs w:val="21"/>
          <w:color w:val="auto"/>
        </w:rPr>
        <w:t>and held harmless by the Company against and from (a) any loss, cost, liability, or expense that may be imposed upon or reasonably incurred by him or her in connection with or resulting from any claim, action, suit, or proceeding to which he or she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92" w:name="page793"/>
    <w:bookmarkEnd w:id="792"/>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be a party or in which he or she may be involved by reason of any action taken or failure to act under the Plan or any award, and</w:t>
      </w:r>
    </w:p>
    <w:p>
      <w:pPr>
        <w:spacing w:after="0" w:line="56" w:lineRule="exact"/>
        <w:rPr>
          <w:sz w:val="20"/>
          <w:szCs w:val="20"/>
          <w:color w:val="auto"/>
        </w:rPr>
      </w:pPr>
    </w:p>
    <w:p>
      <w:pPr>
        <w:jc w:val="both"/>
        <w:ind w:firstLine="8"/>
        <w:spacing w:after="0" w:line="290" w:lineRule="auto"/>
        <w:tabs>
          <w:tab w:leader="none" w:pos="323" w:val="left"/>
        </w:tabs>
        <w:numPr>
          <w:ilvl w:val="0"/>
          <w:numId w:val="766"/>
        </w:numPr>
        <w:rPr>
          <w:rFonts w:ascii="Arial" w:cs="Arial" w:eastAsia="Arial" w:hAnsi="Arial"/>
          <w:sz w:val="19"/>
          <w:szCs w:val="19"/>
          <w:color w:val="auto"/>
        </w:rPr>
      </w:pPr>
      <w:r>
        <w:rPr>
          <w:rFonts w:ascii="Arial" w:cs="Arial" w:eastAsia="Arial" w:hAnsi="Arial"/>
          <w:sz w:val="19"/>
          <w:szCs w:val="19"/>
          <w:color w:val="auto"/>
        </w:rPr>
        <w:t>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47" w:lineRule="exact"/>
        <w:rPr>
          <w:rFonts w:ascii="Arial" w:cs="Arial" w:eastAsia="Arial" w:hAnsi="Arial"/>
          <w:sz w:val="19"/>
          <w:szCs w:val="19"/>
          <w:color w:val="auto"/>
        </w:rPr>
      </w:pPr>
    </w:p>
    <w:p>
      <w:pPr>
        <w:ind w:left="1000" w:hanging="344"/>
        <w:spacing w:after="0"/>
        <w:tabs>
          <w:tab w:leader="none" w:pos="1000" w:val="left"/>
        </w:tabs>
        <w:numPr>
          <w:ilvl w:val="1"/>
          <w:numId w:val="766"/>
        </w:numPr>
        <w:rPr>
          <w:rFonts w:ascii="Arial" w:cs="Arial" w:eastAsia="Arial" w:hAnsi="Arial"/>
          <w:sz w:val="20"/>
          <w:szCs w:val="20"/>
          <w:color w:val="auto"/>
        </w:rPr>
      </w:pPr>
      <w:r>
        <w:rPr>
          <w:rFonts w:ascii="Arial" w:cs="Arial" w:eastAsia="Arial" w:hAnsi="Arial"/>
          <w:sz w:val="22"/>
          <w:szCs w:val="22"/>
          <w:b w:val="1"/>
          <w:bCs w:val="1"/>
          <w:color w:val="auto"/>
        </w:rPr>
        <w:t>Selection of Participants and Determination of Awards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1"/>
          <w:szCs w:val="21"/>
          <w:b w:val="1"/>
          <w:bCs w:val="1"/>
          <w:color w:val="auto"/>
        </w:rPr>
        <w:t>Selection of Participants</w:t>
      </w:r>
      <w:r>
        <w:rPr>
          <w:rFonts w:ascii="Arial" w:cs="Arial" w:eastAsia="Arial" w:hAnsi="Arial"/>
          <w:sz w:val="21"/>
          <w:szCs w:val="21"/>
          <w:color w:val="auto"/>
        </w:rPr>
        <w:t>. The Administrator will select the Employees who will be Participants for any</w:t>
      </w:r>
      <w:r>
        <w:rPr>
          <w:rFonts w:ascii="Arial" w:cs="Arial" w:eastAsia="Arial" w:hAnsi="Arial"/>
          <w:sz w:val="20"/>
          <w:szCs w:val="20"/>
          <w:color w:val="auto"/>
        </w:rPr>
        <w:t xml:space="preserve"> </w:t>
      </w:r>
      <w:r>
        <w:rPr>
          <w:rFonts w:ascii="Arial" w:cs="Arial" w:eastAsia="Arial" w:hAnsi="Arial"/>
          <w:sz w:val="21"/>
          <w:szCs w:val="21"/>
          <w:color w:val="auto"/>
        </w:rPr>
        <w:t>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7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20"/>
          <w:szCs w:val="20"/>
          <w:b w:val="1"/>
          <w:bCs w:val="1"/>
          <w:color w:val="auto"/>
        </w:rPr>
        <w:t>Determination of Target Awards</w:t>
      </w:r>
      <w:r>
        <w:rPr>
          <w:rFonts w:ascii="Arial" w:cs="Arial" w:eastAsia="Arial" w:hAnsi="Arial"/>
          <w:sz w:val="20"/>
          <w:szCs w:val="20"/>
          <w:color w:val="auto"/>
        </w:rPr>
        <w:t>. The Administrator may establish a Target Award for each Participant</w:t>
      </w:r>
      <w:r>
        <w:rPr>
          <w:rFonts w:ascii="Arial" w:cs="Arial" w:eastAsia="Arial" w:hAnsi="Arial"/>
          <w:sz w:val="19"/>
          <w:szCs w:val="19"/>
          <w:color w:val="auto"/>
        </w:rPr>
        <w:t xml:space="preserve"> </w:t>
      </w:r>
      <w:r>
        <w:rPr>
          <w:rFonts w:ascii="Arial" w:cs="Arial" w:eastAsia="Arial" w:hAnsi="Arial"/>
          <w:sz w:val="20"/>
          <w:szCs w:val="20"/>
          <w:color w:val="auto"/>
        </w:rPr>
        <w:t>(which may be expressed as a percentage of a Participant’s average annual base salary for the Performance Period or a fixed dollar amount or such other amount or based on such other formula or factors as the Administrator determines).</w:t>
      </w:r>
    </w:p>
    <w:p>
      <w:pPr>
        <w:spacing w:after="0" w:line="14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1"/>
          <w:szCs w:val="21"/>
          <w:b w:val="1"/>
          <w:bCs w:val="1"/>
          <w:color w:val="auto"/>
        </w:rPr>
        <w:t>Bonus Pool</w:t>
      </w:r>
      <w:r>
        <w:rPr>
          <w:rFonts w:ascii="Arial" w:cs="Arial" w:eastAsia="Arial" w:hAnsi="Arial"/>
          <w:sz w:val="21"/>
          <w:szCs w:val="21"/>
          <w:color w:val="auto"/>
        </w:rPr>
        <w:t>. Each Performance Period, the Administrator may establish a Bonus Pool, which pool may be</w:t>
      </w:r>
      <w:r>
        <w:rPr>
          <w:rFonts w:ascii="Arial" w:cs="Arial" w:eastAsia="Arial" w:hAnsi="Arial"/>
          <w:sz w:val="20"/>
          <w:szCs w:val="20"/>
          <w:color w:val="auto"/>
        </w:rPr>
        <w:t xml:space="preserve"> </w:t>
      </w:r>
      <w:r>
        <w:rPr>
          <w:rFonts w:ascii="Arial" w:cs="Arial" w:eastAsia="Arial" w:hAnsi="Arial"/>
          <w:sz w:val="21"/>
          <w:szCs w:val="21"/>
          <w:color w:val="auto"/>
        </w:rPr>
        <w:t>established before, during or after the applicable Performance Period. Actual Awards will be paid from the Bonus Pool (if a Bonus Pool has been established).</w:t>
      </w:r>
    </w:p>
    <w:p>
      <w:pPr>
        <w:spacing w:after="0" w:line="158"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20"/>
          <w:szCs w:val="20"/>
          <w:b w:val="1"/>
          <w:bCs w:val="1"/>
          <w:color w:val="auto"/>
        </w:rPr>
        <w:t>Discretion to Modify Awards</w:t>
      </w:r>
      <w:r>
        <w:rPr>
          <w:rFonts w:ascii="Arial" w:cs="Arial" w:eastAsia="Arial" w:hAnsi="Arial"/>
          <w:sz w:val="20"/>
          <w:szCs w:val="20"/>
          <w:color w:val="auto"/>
        </w:rPr>
        <w:t>. Notwithstanding any contrary provision of the Plan, the Administrator, at any</w:t>
      </w:r>
      <w:r>
        <w:rPr>
          <w:rFonts w:ascii="Arial" w:cs="Arial" w:eastAsia="Arial" w:hAnsi="Arial"/>
          <w:sz w:val="19"/>
          <w:szCs w:val="19"/>
          <w:color w:val="auto"/>
        </w:rPr>
        <w:t xml:space="preserve"> </w:t>
      </w:r>
      <w:r>
        <w:rPr>
          <w:rFonts w:ascii="Arial" w:cs="Arial" w:eastAsia="Arial" w:hAnsi="Arial"/>
          <w:sz w:val="20"/>
          <w:szCs w:val="20"/>
          <w:color w:val="auto"/>
        </w:rPr>
        <w:t>time prior to payment of an Actual Award, may: (a) increase, reduce or eliminate a Participant’s Actual Award, and/or</w:t>
      </w:r>
    </w:p>
    <w:p>
      <w:pPr>
        <w:jc w:val="both"/>
        <w:ind w:firstLine="8"/>
        <w:spacing w:after="0" w:line="244" w:lineRule="auto"/>
        <w:tabs>
          <w:tab w:leader="none" w:pos="308" w:val="left"/>
        </w:tabs>
        <w:numPr>
          <w:ilvl w:val="0"/>
          <w:numId w:val="767"/>
        </w:numPr>
        <w:rPr>
          <w:rFonts w:ascii="Arial" w:cs="Arial" w:eastAsia="Arial" w:hAnsi="Arial"/>
          <w:sz w:val="22"/>
          <w:szCs w:val="22"/>
          <w:color w:val="auto"/>
        </w:rPr>
      </w:pPr>
      <w:r>
        <w:rPr>
          <w:rFonts w:ascii="Arial" w:cs="Arial" w:eastAsia="Arial" w:hAnsi="Arial"/>
          <w:sz w:val="22"/>
          <w:szCs w:val="22"/>
          <w:color w:val="auto"/>
        </w:rPr>
        <w:t>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8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1"/>
          <w:szCs w:val="21"/>
          <w:b w:val="1"/>
          <w:bCs w:val="1"/>
          <w:color w:val="auto"/>
        </w:rPr>
        <w:t>Discretion to Determine Criteria</w:t>
      </w:r>
      <w:r>
        <w:rPr>
          <w:rFonts w:ascii="Arial" w:cs="Arial" w:eastAsia="Arial" w:hAnsi="Arial"/>
          <w:sz w:val="21"/>
          <w:szCs w:val="21"/>
          <w:color w:val="auto"/>
        </w:rPr>
        <w:t>. Notwithstanding any contrary provision of the Plan, the Administrator</w:t>
      </w:r>
      <w:r>
        <w:rPr>
          <w:rFonts w:ascii="Arial" w:cs="Arial" w:eastAsia="Arial" w:hAnsi="Arial"/>
          <w:sz w:val="20"/>
          <w:szCs w:val="20"/>
          <w:color w:val="auto"/>
        </w:rPr>
        <w:t xml:space="preserve"> </w:t>
      </w:r>
      <w:r>
        <w:rPr>
          <w:rFonts w:ascii="Arial" w:cs="Arial" w:eastAsia="Arial" w:hAnsi="Arial"/>
          <w:sz w:val="21"/>
          <w:szCs w:val="21"/>
          <w:color w:val="auto"/>
        </w:rPr>
        <w:t>will determine the performance goals, if any, applicable to any Target Award (or portion thereof)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93" w:name="page794"/>
    <w:bookmarkEnd w:id="793"/>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 The Administrator also may determine that a Target Award (or portion thereof) will not have a performance goal associated with it but instead will be granted (if at all) as determined by the Administrator.</w:t>
      </w:r>
    </w:p>
    <w:p>
      <w:pPr>
        <w:spacing w:after="0" w:line="200" w:lineRule="exact"/>
        <w:rPr>
          <w:sz w:val="20"/>
          <w:szCs w:val="20"/>
          <w:color w:val="auto"/>
        </w:rPr>
      </w:pPr>
    </w:p>
    <w:p>
      <w:pPr>
        <w:spacing w:after="0" w:line="222" w:lineRule="exact"/>
        <w:rPr>
          <w:sz w:val="20"/>
          <w:szCs w:val="20"/>
          <w:color w:val="auto"/>
        </w:rPr>
      </w:pPr>
    </w:p>
    <w:p>
      <w:pPr>
        <w:ind w:left="1000" w:hanging="344"/>
        <w:spacing w:after="0"/>
        <w:tabs>
          <w:tab w:leader="none" w:pos="1000" w:val="left"/>
        </w:tabs>
        <w:numPr>
          <w:ilvl w:val="0"/>
          <w:numId w:val="768"/>
        </w:numPr>
        <w:rPr>
          <w:rFonts w:ascii="Arial" w:cs="Arial" w:eastAsia="Arial" w:hAnsi="Arial"/>
          <w:sz w:val="20"/>
          <w:szCs w:val="20"/>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20"/>
          <w:szCs w:val="20"/>
          <w:b w:val="1"/>
          <w:bCs w:val="1"/>
          <w:color w:val="auto"/>
        </w:rPr>
        <w:t>Right to Receive Payment</w:t>
      </w:r>
      <w:r>
        <w:rPr>
          <w:rFonts w:ascii="Arial" w:cs="Arial" w:eastAsia="Arial" w:hAnsi="Arial"/>
          <w:sz w:val="20"/>
          <w:szCs w:val="20"/>
          <w:color w:val="auto"/>
        </w:rPr>
        <w:t>. Each Actual Award will be paid solely from the general assets of the Company</w:t>
      </w:r>
      <w:r>
        <w:rPr>
          <w:rFonts w:ascii="Arial" w:cs="Arial" w:eastAsia="Arial" w:hAnsi="Arial"/>
          <w:sz w:val="19"/>
          <w:szCs w:val="19"/>
          <w:color w:val="auto"/>
        </w:rPr>
        <w:t xml:space="preserve"> </w:t>
      </w:r>
      <w:r>
        <w:rPr>
          <w:rFonts w:ascii="Arial" w:cs="Arial" w:eastAsia="Arial" w:hAnsi="Arial"/>
          <w:sz w:val="20"/>
          <w:szCs w:val="20"/>
          <w:color w:val="auto"/>
        </w:rPr>
        <w:t>Group. Nothing in this Plan will be construed to create a trust or to establish or evidence any Participant’s claim of any right other than as an unsecured general creditor with respect to any payment to which the Participant may be entitled.</w:t>
      </w:r>
    </w:p>
    <w:p>
      <w:pPr>
        <w:spacing w:after="0" w:line="14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1"/>
          <w:szCs w:val="21"/>
          <w:b w:val="1"/>
          <w:bCs w:val="1"/>
          <w:color w:val="auto"/>
        </w:rPr>
        <w:t>Timing of Payment</w:t>
      </w:r>
      <w:r>
        <w:rPr>
          <w:rFonts w:ascii="Arial" w:cs="Arial" w:eastAsia="Arial" w:hAnsi="Arial"/>
          <w:sz w:val="21"/>
          <w:szCs w:val="21"/>
          <w:color w:val="auto"/>
        </w:rPr>
        <w:t>. Payment of each Actual Award will be made as soon as practicable after the end of the</w:t>
      </w:r>
      <w:r>
        <w:rPr>
          <w:rFonts w:ascii="Arial" w:cs="Arial" w:eastAsia="Arial" w:hAnsi="Arial"/>
          <w:sz w:val="20"/>
          <w:szCs w:val="20"/>
          <w:color w:val="auto"/>
        </w:rPr>
        <w:t xml:space="preserve"> </w:t>
      </w:r>
      <w:r>
        <w:rPr>
          <w:rFonts w:ascii="Arial" w:cs="Arial" w:eastAsia="Arial" w:hAnsi="Arial"/>
          <w:sz w:val="21"/>
          <w:szCs w:val="21"/>
          <w:color w:val="auto"/>
        </w:rPr>
        <w:t>Performance Period to which the Actual Award relates and after the Actual Award is approved by the Administrator, but in no event after the later of (a) the fifteenth (15</w:t>
      </w:r>
      <w:r>
        <w:rPr>
          <w:rFonts w:ascii="Arial" w:cs="Arial" w:eastAsia="Arial" w:hAnsi="Arial"/>
          <w:sz w:val="28"/>
          <w:szCs w:val="28"/>
          <w:color w:val="auto"/>
          <w:vertAlign w:val="superscript"/>
        </w:rPr>
        <w:t>th</w:t>
      </w:r>
      <w:r>
        <w:rPr>
          <w:rFonts w:ascii="Arial" w:cs="Arial" w:eastAsia="Arial" w:hAnsi="Arial"/>
          <w:sz w:val="21"/>
          <w:szCs w:val="21"/>
          <w:color w:val="auto"/>
        </w:rPr>
        <w:t>) day of the third (3</w:t>
      </w:r>
      <w:r>
        <w:rPr>
          <w:rFonts w:ascii="Arial" w:cs="Arial" w:eastAsia="Arial" w:hAnsi="Arial"/>
          <w:sz w:val="28"/>
          <w:szCs w:val="28"/>
          <w:color w:val="auto"/>
          <w:vertAlign w:val="superscript"/>
        </w:rPr>
        <w:t>rd</w:t>
      </w:r>
      <w:r>
        <w:rPr>
          <w:rFonts w:ascii="Arial" w:cs="Arial" w:eastAsia="Arial" w:hAnsi="Arial"/>
          <w:sz w:val="21"/>
          <w:szCs w:val="21"/>
          <w:color w:val="auto"/>
        </w:rPr>
        <w:t>) month of the Fiscal Year immediately following the Fiscal Year in which the Participant’s Actual Award first becomes no longer subject to a substantial risk of forfeiture, and (b) March 15 of the calendar year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794" w:name="page795"/>
    <w:bookmarkEnd w:id="794"/>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spacing w:after="0" w:line="12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1"/>
          <w:szCs w:val="21"/>
          <w:b w:val="1"/>
          <w:bCs w:val="1"/>
          <w:color w:val="auto"/>
        </w:rPr>
        <w:t>Form of Payment</w:t>
      </w:r>
      <w:r>
        <w:rPr>
          <w:rFonts w:ascii="Arial" w:cs="Arial" w:eastAsia="Arial" w:hAnsi="Arial"/>
          <w:sz w:val="21"/>
          <w:szCs w:val="21"/>
          <w:color w:val="auto"/>
        </w:rPr>
        <w:t>. Each Actual Award generally will be paid in cash (or its equivalent) in a single lump</w:t>
      </w:r>
      <w:r>
        <w:rPr>
          <w:rFonts w:ascii="Arial" w:cs="Arial" w:eastAsia="Arial" w:hAnsi="Arial"/>
          <w:sz w:val="20"/>
          <w:szCs w:val="20"/>
          <w:color w:val="auto"/>
        </w:rPr>
        <w:t xml:space="preserve"> </w:t>
      </w:r>
      <w:r>
        <w:rPr>
          <w:rFonts w:ascii="Arial" w:cs="Arial" w:eastAsia="Arial" w:hAnsi="Arial"/>
          <w:sz w:val="21"/>
          <w:szCs w:val="21"/>
          <w:color w:val="auto"/>
        </w:rPr>
        <w:t>sum. The Administrator reserves the right to settle an Actual Award with a grant of an equity award with such terms and conditions, including any vesting requirements, as determined by the Administrator.</w:t>
      </w:r>
    </w:p>
    <w:p>
      <w:pPr>
        <w:spacing w:after="0" w:line="15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1"/>
          <w:szCs w:val="21"/>
          <w:b w:val="1"/>
          <w:bCs w:val="1"/>
          <w:color w:val="auto"/>
        </w:rPr>
        <w:t>Payment in the Event of Death or Disability</w:t>
      </w:r>
      <w:r>
        <w:rPr>
          <w:rFonts w:ascii="Arial" w:cs="Arial" w:eastAsia="Arial" w:hAnsi="Arial"/>
          <w:sz w:val="21"/>
          <w:szCs w:val="21"/>
          <w:color w:val="auto"/>
        </w:rPr>
        <w:t>. If a Termination of Employment occurs due to a Participant’s</w:t>
      </w:r>
      <w:r>
        <w:rPr>
          <w:rFonts w:ascii="Arial" w:cs="Arial" w:eastAsia="Arial" w:hAnsi="Arial"/>
          <w:sz w:val="20"/>
          <w:szCs w:val="20"/>
          <w:color w:val="auto"/>
        </w:rPr>
        <w:t xml:space="preserve"> </w:t>
      </w:r>
      <w:r>
        <w:rPr>
          <w:rFonts w:ascii="Arial" w:cs="Arial" w:eastAsia="Arial" w:hAnsi="Arial"/>
          <w:sz w:val="21"/>
          <w:szCs w:val="21"/>
          <w:color w:val="auto"/>
        </w:rPr>
        <w:t>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167" w:lineRule="exact"/>
        <w:rPr>
          <w:sz w:val="20"/>
          <w:szCs w:val="20"/>
          <w:color w:val="auto"/>
        </w:rPr>
      </w:pPr>
    </w:p>
    <w:p>
      <w:pPr>
        <w:ind w:left="1300" w:right="8320" w:hanging="644"/>
        <w:spacing w:after="0" w:line="493" w:lineRule="auto"/>
        <w:tabs>
          <w:tab w:leader="none" w:pos="998" w:val="left"/>
        </w:tabs>
        <w:numPr>
          <w:ilvl w:val="0"/>
          <w:numId w:val="769"/>
        </w:numPr>
        <w:rPr>
          <w:rFonts w:ascii="Arial" w:cs="Arial" w:eastAsia="Arial" w:hAnsi="Arial"/>
          <w:sz w:val="18"/>
          <w:szCs w:val="18"/>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6.1 </w:t>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jc w:val="both"/>
        <w:ind w:firstLine="1944"/>
        <w:spacing w:after="0" w:line="278"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20"/>
          <w:szCs w:val="20"/>
          <w:b w:val="1"/>
          <w:bCs w:val="1"/>
          <w:color w:val="auto"/>
        </w:rPr>
        <w:t>Section 409A</w:t>
      </w:r>
      <w:r>
        <w:rPr>
          <w:rFonts w:ascii="Arial" w:cs="Arial" w:eastAsia="Arial" w:hAnsi="Arial"/>
          <w:sz w:val="20"/>
          <w:szCs w:val="20"/>
          <w:color w:val="auto"/>
        </w:rPr>
        <w:t>. It is the intent that this Plan be exempt from or comply with the requirements of</w:t>
      </w:r>
      <w:r>
        <w:rPr>
          <w:rFonts w:ascii="Arial" w:cs="Arial" w:eastAsia="Arial" w:hAnsi="Arial"/>
          <w:sz w:val="19"/>
          <w:szCs w:val="19"/>
          <w:color w:val="auto"/>
        </w:rPr>
        <w:t xml:space="preserve"> </w:t>
      </w:r>
      <w:r>
        <w:rPr>
          <w:rFonts w:ascii="Arial" w:cs="Arial" w:eastAsia="Arial" w:hAnsi="Arial"/>
          <w:sz w:val="20"/>
          <w:szCs w:val="20"/>
          <w:color w:val="auto"/>
        </w:rPr>
        <w:t>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U.S.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57"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1"/>
          <w:szCs w:val="21"/>
          <w:b w:val="1"/>
          <w:bCs w:val="1"/>
          <w:color w:val="auto"/>
        </w:rPr>
        <w:t>Tax Withholdings</w:t>
      </w:r>
      <w:r>
        <w:rPr>
          <w:rFonts w:ascii="Arial" w:cs="Arial" w:eastAsia="Arial" w:hAnsi="Arial"/>
          <w:sz w:val="21"/>
          <w:szCs w:val="21"/>
          <w:color w:val="auto"/>
        </w:rPr>
        <w:t>. The Company Group will have the right and authority to deduct from any</w:t>
      </w:r>
      <w:r>
        <w:rPr>
          <w:rFonts w:ascii="Arial" w:cs="Arial" w:eastAsia="Arial" w:hAnsi="Arial"/>
          <w:sz w:val="20"/>
          <w:szCs w:val="20"/>
          <w:color w:val="auto"/>
        </w:rPr>
        <w:t xml:space="preserve"> </w:t>
      </w:r>
      <w:r>
        <w:rPr>
          <w:rFonts w:ascii="Arial" w:cs="Arial" w:eastAsia="Arial" w:hAnsi="Arial"/>
          <w:sz w:val="21"/>
          <w:szCs w:val="21"/>
          <w:color w:val="auto"/>
        </w:rPr>
        <w:t>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6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b w:val="1"/>
          <w:bCs w:val="1"/>
          <w:color w:val="auto"/>
        </w:rPr>
        <w:t>No Effect on Employment or Service</w:t>
      </w:r>
      <w:r>
        <w:rPr>
          <w:rFonts w:ascii="Arial" w:cs="Arial" w:eastAsia="Arial" w:hAnsi="Arial"/>
          <w:sz w:val="21"/>
          <w:szCs w:val="21"/>
          <w:color w:val="auto"/>
        </w:rPr>
        <w:t>. Neither the Plan nor any award under the Plan will confer upon a</w:t>
      </w:r>
      <w:r>
        <w:rPr>
          <w:rFonts w:ascii="Arial" w:cs="Arial" w:eastAsia="Arial" w:hAnsi="Arial"/>
          <w:sz w:val="20"/>
          <w:szCs w:val="20"/>
          <w:color w:val="auto"/>
        </w:rPr>
        <w:t xml:space="preserve"> </w:t>
      </w:r>
      <w:r>
        <w:rPr>
          <w:rFonts w:ascii="Arial" w:cs="Arial" w:eastAsia="Arial" w:hAnsi="Arial"/>
          <w:sz w:val="21"/>
          <w:szCs w:val="21"/>
          <w:color w:val="auto"/>
        </w:rPr>
        <w:t>Participant any right regarding continuing the Participant’s relationship as an Employee or other service provider to the Company Group, nor will they interfere with or limit in any way the right of the Company Group or the Participant to terminate such relationship at any time, free from any liability or claim under the Plan.</w:t>
      </w:r>
    </w:p>
    <w:p>
      <w:pPr>
        <w:spacing w:after="0" w:line="16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b w:val="1"/>
          <w:bCs w:val="1"/>
          <w:color w:val="auto"/>
        </w:rPr>
        <w:t>Forfeiture Events</w:t>
      </w:r>
      <w:r>
        <w:rPr>
          <w:rFonts w:ascii="Arial" w:cs="Arial" w:eastAsia="Arial" w:hAnsi="Arial"/>
          <w:sz w:val="19"/>
          <w:szCs w:val="19"/>
          <w:color w:val="auto"/>
        </w:rPr>
        <w:t>.</w:t>
      </w:r>
    </w:p>
    <w:p>
      <w:pPr>
        <w:spacing w:after="0" w:line="243" w:lineRule="exact"/>
        <w:rPr>
          <w:sz w:val="20"/>
          <w:szCs w:val="20"/>
          <w:color w:val="auto"/>
        </w:rPr>
      </w:pPr>
    </w:p>
    <w:p>
      <w:pPr>
        <w:jc w:val="both"/>
        <w:ind w:firstLine="1944"/>
        <w:spacing w:after="0" w:line="274" w:lineRule="auto"/>
        <w:rPr>
          <w:sz w:val="20"/>
          <w:szCs w:val="20"/>
          <w:color w:val="auto"/>
        </w:rPr>
      </w:pPr>
      <w:r>
        <w:rPr>
          <w:rFonts w:ascii="Arial" w:cs="Arial" w:eastAsia="Arial" w:hAnsi="Arial"/>
          <w:sz w:val="20"/>
          <w:szCs w:val="20"/>
          <w:color w:val="auto"/>
        </w:rPr>
        <w:t xml:space="preserve">6.3.1 </w:t>
      </w:r>
      <w:r>
        <w:rPr>
          <w:rFonts w:ascii="Arial" w:cs="Arial" w:eastAsia="Arial" w:hAnsi="Arial"/>
          <w:sz w:val="21"/>
          <w:szCs w:val="21"/>
          <w:b w:val="1"/>
          <w:bCs w:val="1"/>
          <w:color w:val="auto"/>
        </w:rPr>
        <w:t>Clawback Policy; Applicable Laws</w:t>
      </w:r>
      <w:r>
        <w:rPr>
          <w:rFonts w:ascii="Arial" w:cs="Arial" w:eastAsia="Arial" w:hAnsi="Arial"/>
          <w:sz w:val="21"/>
          <w:szCs w:val="21"/>
          <w:color w:val="auto"/>
        </w:rPr>
        <w:t>. All awards under the Plan will be subject to reduction,</w:t>
      </w:r>
      <w:r>
        <w:rPr>
          <w:rFonts w:ascii="Arial" w:cs="Arial" w:eastAsia="Arial" w:hAnsi="Arial"/>
          <w:sz w:val="20"/>
          <w:szCs w:val="20"/>
          <w:color w:val="auto"/>
        </w:rPr>
        <w:t xml:space="preserve"> </w:t>
      </w:r>
      <w:r>
        <w:rPr>
          <w:rFonts w:ascii="Arial" w:cs="Arial" w:eastAsia="Arial" w:hAnsi="Arial"/>
          <w:sz w:val="21"/>
          <w:szCs w:val="21"/>
          <w:color w:val="auto"/>
        </w:rPr>
        <w:t>cancellation, forfeiture, recoupment, reimbursement, or reacquisition in accordance with any clawback policy of the Company Group as may be established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795" w:name="page796"/>
    <w:bookmarkEnd w:id="795"/>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amended from time to time to comply with applicable laws, including without limitation pursuant to the listing standards of any national securities exchange or association on which the Company’s securities are listed or as is otherwise required by the Dodd-Frank Wall Street Reform and Consumer Protection Act. In addition, the Administrator may impose such other clawback, reduction, recovery, forfeiture, recoupment, reimbursement or reacquisition provisions with respect to an award under the Plan as the Administrator determines necessary or appropriate, including without limitation a reacquisition right in respect of previously acquired cash, stock, or other property provided with respect to an award, or upon specified events which may include (without limitation) termination of a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Unless this Section 6.3.1 is specifically mentioned and waived in a written agreement between a Participant and a member of the Company Group or other document, no recovery of compensation under a clawback policy or otherwise will constitute an event that triggers or contributes to any right of the Participant to resign for “good reason” or “constructive termination” (or similar term) under any agreement with a member of the Company Group.</w:t>
      </w:r>
    </w:p>
    <w:p>
      <w:pPr>
        <w:spacing w:after="0" w:line="183" w:lineRule="exact"/>
        <w:rPr>
          <w:sz w:val="20"/>
          <w:szCs w:val="20"/>
          <w:color w:val="auto"/>
        </w:rPr>
      </w:pPr>
    </w:p>
    <w:p>
      <w:pPr>
        <w:jc w:val="both"/>
        <w:ind w:firstLine="1944"/>
        <w:spacing w:after="0" w:line="262" w:lineRule="auto"/>
        <w:rPr>
          <w:sz w:val="20"/>
          <w:szCs w:val="20"/>
          <w:color w:val="auto"/>
        </w:rPr>
      </w:pPr>
      <w:r>
        <w:rPr>
          <w:rFonts w:ascii="Arial" w:cs="Arial" w:eastAsia="Arial" w:hAnsi="Arial"/>
          <w:sz w:val="20"/>
          <w:szCs w:val="20"/>
          <w:color w:val="auto"/>
        </w:rPr>
        <w:t xml:space="preserve">6.3.2 </w:t>
      </w:r>
      <w:r>
        <w:rPr>
          <w:rFonts w:ascii="Arial" w:cs="Arial" w:eastAsia="Arial" w:hAnsi="Arial"/>
          <w:sz w:val="21"/>
          <w:szCs w:val="21"/>
          <w:b w:val="1"/>
          <w:bCs w:val="1"/>
          <w:color w:val="auto"/>
        </w:rPr>
        <w:t>Additional Forfeiture Terms</w:t>
      </w:r>
      <w:r>
        <w:rPr>
          <w:rFonts w:ascii="Arial" w:cs="Arial" w:eastAsia="Arial" w:hAnsi="Arial"/>
          <w:sz w:val="21"/>
          <w:szCs w:val="21"/>
          <w:color w:val="auto"/>
        </w:rPr>
        <w:t>. The Administrator may specify when providing for an award under</w:t>
      </w:r>
      <w:r>
        <w:rPr>
          <w:rFonts w:ascii="Arial" w:cs="Arial" w:eastAsia="Arial" w:hAnsi="Arial"/>
          <w:sz w:val="20"/>
          <w:szCs w:val="20"/>
          <w:color w:val="auto"/>
        </w:rPr>
        <w:t xml:space="preserve"> </w:t>
      </w:r>
      <w:r>
        <w:rPr>
          <w:rFonts w:ascii="Arial" w:cs="Arial" w:eastAsia="Arial" w:hAnsi="Arial"/>
          <w:sz w:val="21"/>
          <w:szCs w:val="21"/>
          <w:color w:val="auto"/>
        </w:rPr>
        <w:t>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73"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 xml:space="preserve">6.3.3 </w:t>
      </w:r>
      <w:r>
        <w:rPr>
          <w:rFonts w:ascii="Arial" w:cs="Arial" w:eastAsia="Arial" w:hAnsi="Arial"/>
          <w:sz w:val="21"/>
          <w:szCs w:val="21"/>
          <w:b w:val="1"/>
          <w:bCs w:val="1"/>
          <w:color w:val="auto"/>
        </w:rPr>
        <w:t>Accounting Restatements</w:t>
      </w:r>
      <w:r>
        <w:rPr>
          <w:rFonts w:ascii="Arial" w:cs="Arial" w:eastAsia="Arial" w:hAnsi="Arial"/>
          <w:sz w:val="21"/>
          <w:szCs w:val="21"/>
          <w:color w:val="auto"/>
        </w:rPr>
        <w:t>. If the Company is required to prepare an accounting restatement due to</w:t>
      </w:r>
      <w:r>
        <w:rPr>
          <w:rFonts w:ascii="Arial" w:cs="Arial" w:eastAsia="Arial" w:hAnsi="Arial"/>
          <w:sz w:val="20"/>
          <w:szCs w:val="20"/>
          <w:color w:val="auto"/>
        </w:rPr>
        <w:t xml:space="preserve"> </w:t>
      </w:r>
      <w:r>
        <w:rPr>
          <w:rFonts w:ascii="Arial" w:cs="Arial" w:eastAsia="Arial" w:hAnsi="Arial"/>
          <w:sz w:val="21"/>
          <w:szCs w:val="21"/>
          <w:color w:val="auto"/>
        </w:rPr>
        <w:t>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7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1"/>
          <w:szCs w:val="21"/>
          <w:b w:val="1"/>
          <w:bCs w:val="1"/>
          <w:color w:val="auto"/>
        </w:rPr>
        <w:t>Successors</w:t>
      </w:r>
      <w:r>
        <w:rPr>
          <w:rFonts w:ascii="Arial" w:cs="Arial" w:eastAsia="Arial" w:hAnsi="Arial"/>
          <w:sz w:val="21"/>
          <w:szCs w:val="21"/>
          <w:color w:val="auto"/>
        </w:rPr>
        <w:t>. All obligations of the Company under the Plan, with respect to awards under the Plan, will be</w:t>
      </w:r>
      <w:r>
        <w:rPr>
          <w:rFonts w:ascii="Arial" w:cs="Arial" w:eastAsia="Arial" w:hAnsi="Arial"/>
          <w:sz w:val="20"/>
          <w:szCs w:val="20"/>
          <w:color w:val="auto"/>
        </w:rPr>
        <w:t xml:space="preserve"> </w:t>
      </w:r>
      <w:r>
        <w:rPr>
          <w:rFonts w:ascii="Arial" w:cs="Arial" w:eastAsia="Arial" w:hAnsi="Arial"/>
          <w:sz w:val="21"/>
          <w:szCs w:val="21"/>
          <w:color w:val="auto"/>
        </w:rPr>
        <w:t>binding on any successor to the Company, whether the existence of such successor is the result of a direct or indirect purchase, merger, consolidation, or otherwise, of all or substantially all of the business or assets of the Company.</w:t>
      </w:r>
    </w:p>
    <w:p>
      <w:pPr>
        <w:spacing w:after="0" w:line="15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1"/>
          <w:szCs w:val="21"/>
          <w:b w:val="1"/>
          <w:bCs w:val="1"/>
          <w:color w:val="auto"/>
        </w:rPr>
        <w:t>Nontransferability of Awards</w:t>
      </w:r>
      <w:r>
        <w:rPr>
          <w:rFonts w:ascii="Arial" w:cs="Arial" w:eastAsia="Arial" w:hAnsi="Arial"/>
          <w:sz w:val="21"/>
          <w:szCs w:val="21"/>
          <w:color w:val="auto"/>
        </w:rPr>
        <w:t>. No award under the Plan may be sold, transferred, pledged, assigned, or</w:t>
      </w:r>
      <w:r>
        <w:rPr>
          <w:rFonts w:ascii="Arial" w:cs="Arial" w:eastAsia="Arial" w:hAnsi="Arial"/>
          <w:sz w:val="20"/>
          <w:szCs w:val="20"/>
          <w:color w:val="auto"/>
        </w:rPr>
        <w:t xml:space="preserve"> </w:t>
      </w:r>
      <w:r>
        <w:rPr>
          <w:rFonts w:ascii="Arial" w:cs="Arial" w:eastAsia="Arial" w:hAnsi="Arial"/>
          <w:sz w:val="21"/>
          <w:szCs w:val="21"/>
          <w:color w:val="auto"/>
        </w:rPr>
        <w:t>otherwise alienated or hypothecated, other than by will or by the laws of descent and distribution, and except as provided in Section 5.3. All rights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796" w:name="page797"/>
    <w:bookmarkEnd w:id="796"/>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respect to an award granted to a Participant will be available during his or her lifetime only to the Participant.</w:t>
      </w:r>
    </w:p>
    <w:p>
      <w:pPr>
        <w:spacing w:after="0" w:line="214" w:lineRule="exact"/>
        <w:rPr>
          <w:sz w:val="20"/>
          <w:szCs w:val="20"/>
          <w:color w:val="auto"/>
        </w:rPr>
      </w:pPr>
    </w:p>
    <w:p>
      <w:pPr>
        <w:ind w:left="1000" w:hanging="344"/>
        <w:spacing w:after="0"/>
        <w:tabs>
          <w:tab w:leader="none" w:pos="1000" w:val="left"/>
        </w:tabs>
        <w:numPr>
          <w:ilvl w:val="0"/>
          <w:numId w:val="770"/>
        </w:numPr>
        <w:rPr>
          <w:rFonts w:ascii="Arial" w:cs="Arial" w:eastAsia="Arial" w:hAnsi="Arial"/>
          <w:sz w:val="20"/>
          <w:szCs w:val="20"/>
          <w:color w:val="auto"/>
        </w:rPr>
      </w:pPr>
      <w:r>
        <w:rPr>
          <w:rFonts w:ascii="Arial" w:cs="Arial" w:eastAsia="Arial" w:hAnsi="Arial"/>
          <w:sz w:val="22"/>
          <w:szCs w:val="22"/>
          <w:b w:val="1"/>
          <w:bCs w:val="1"/>
          <w:color w:val="auto"/>
        </w:rPr>
        <w:t>Amendment, Termination, and Duration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1"/>
          <w:szCs w:val="21"/>
          <w:b w:val="1"/>
          <w:bCs w:val="1"/>
          <w:color w:val="auto"/>
        </w:rPr>
        <w:t>Amendment, Suspension, or Termination</w:t>
      </w:r>
      <w:r>
        <w:rPr>
          <w:rFonts w:ascii="Arial" w:cs="Arial" w:eastAsia="Arial" w:hAnsi="Arial"/>
          <w:sz w:val="21"/>
          <w:szCs w:val="21"/>
          <w:color w:val="auto"/>
        </w:rPr>
        <w:t>. The Administrator may amend or terminate the Plan, or any part</w:t>
      </w:r>
      <w:r>
        <w:rPr>
          <w:rFonts w:ascii="Arial" w:cs="Arial" w:eastAsia="Arial" w:hAnsi="Arial"/>
          <w:sz w:val="20"/>
          <w:szCs w:val="20"/>
          <w:color w:val="auto"/>
        </w:rPr>
        <w:t xml:space="preserve"> </w:t>
      </w:r>
      <w:r>
        <w:rPr>
          <w:rFonts w:ascii="Arial" w:cs="Arial" w:eastAsia="Arial" w:hAnsi="Arial"/>
          <w:sz w:val="21"/>
          <w:szCs w:val="21"/>
          <w:color w:val="auto"/>
        </w:rPr>
        <w:t>thereof, at any time and for any reason. The amendment, suspension or termination of the Plan will not, without the consent of the Participant, materially alter or materially impair any rights or obligations under any Actual Award earned by such Participant. No award may be granted during any period of suspension or after termination of the Plan.</w:t>
      </w:r>
    </w:p>
    <w:p>
      <w:pPr>
        <w:spacing w:after="0" w:line="16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b w:val="1"/>
          <w:bCs w:val="1"/>
          <w:color w:val="auto"/>
        </w:rPr>
        <w:t>Duration of Plan</w:t>
      </w:r>
      <w:r>
        <w:rPr>
          <w:rFonts w:ascii="Arial" w:cs="Arial" w:eastAsia="Arial" w:hAnsi="Arial"/>
          <w:sz w:val="21"/>
          <w:szCs w:val="21"/>
          <w:color w:val="auto"/>
        </w:rPr>
        <w:t>. The Plan will commence on the date first adopted by the Board or the Compensation</w:t>
      </w:r>
      <w:r>
        <w:rPr>
          <w:rFonts w:ascii="Arial" w:cs="Arial" w:eastAsia="Arial" w:hAnsi="Arial"/>
          <w:sz w:val="20"/>
          <w:szCs w:val="20"/>
          <w:color w:val="auto"/>
        </w:rPr>
        <w:t xml:space="preserve"> </w:t>
      </w:r>
      <w:r>
        <w:rPr>
          <w:rFonts w:ascii="Arial" w:cs="Arial" w:eastAsia="Arial" w:hAnsi="Arial"/>
          <w:sz w:val="21"/>
          <w:szCs w:val="21"/>
          <w:color w:val="auto"/>
        </w:rPr>
        <w:t>Committee of the Board, and subject to Section 7.1 (regarding the Administrator’s right to amend or terminate the Plan), will remain in effect thereafter until terminated.</w:t>
      </w:r>
    </w:p>
    <w:p>
      <w:pPr>
        <w:spacing w:after="0" w:line="158" w:lineRule="exact"/>
        <w:rPr>
          <w:sz w:val="20"/>
          <w:szCs w:val="20"/>
          <w:color w:val="auto"/>
        </w:rPr>
      </w:pPr>
    </w:p>
    <w:p>
      <w:pPr>
        <w:ind w:left="1000" w:hanging="344"/>
        <w:spacing w:after="0"/>
        <w:tabs>
          <w:tab w:leader="none" w:pos="1000" w:val="left"/>
        </w:tabs>
        <w:numPr>
          <w:ilvl w:val="0"/>
          <w:numId w:val="771"/>
        </w:numPr>
        <w:rPr>
          <w:rFonts w:ascii="Arial" w:cs="Arial" w:eastAsia="Arial" w:hAnsi="Arial"/>
          <w:sz w:val="20"/>
          <w:szCs w:val="20"/>
          <w:color w:val="auto"/>
        </w:rPr>
      </w:pPr>
      <w:r>
        <w:rPr>
          <w:rFonts w:ascii="Arial" w:cs="Arial" w:eastAsia="Arial" w:hAnsi="Arial"/>
          <w:sz w:val="22"/>
          <w:szCs w:val="22"/>
          <w:b w:val="1"/>
          <w:bCs w:val="1"/>
          <w:color w:val="auto"/>
        </w:rPr>
        <w:t>Legal Construction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1"/>
          <w:szCs w:val="21"/>
          <w:b w:val="1"/>
          <w:bCs w:val="1"/>
          <w:color w:val="auto"/>
        </w:rPr>
        <w:t>Gender and Number</w:t>
      </w:r>
      <w:r>
        <w:rPr>
          <w:rFonts w:ascii="Arial" w:cs="Arial" w:eastAsia="Arial" w:hAnsi="Arial"/>
          <w:sz w:val="21"/>
          <w:szCs w:val="21"/>
          <w:color w:val="auto"/>
        </w:rPr>
        <w:t>. Unless otherwise indicated by the context, any feminine term used herein also will</w:t>
      </w:r>
      <w:r>
        <w:rPr>
          <w:rFonts w:ascii="Arial" w:cs="Arial" w:eastAsia="Arial" w:hAnsi="Arial"/>
          <w:sz w:val="20"/>
          <w:szCs w:val="20"/>
          <w:color w:val="auto"/>
        </w:rPr>
        <w:t xml:space="preserve"> </w:t>
      </w:r>
      <w:r>
        <w:rPr>
          <w:rFonts w:ascii="Arial" w:cs="Arial" w:eastAsia="Arial" w:hAnsi="Arial"/>
          <w:sz w:val="21"/>
          <w:szCs w:val="21"/>
          <w:color w:val="auto"/>
        </w:rPr>
        <w:t>include the masculine and any masculine term used herein also will include the feminine; the plural will include the singular and the singular will include the plural.</w:t>
      </w:r>
    </w:p>
    <w:p>
      <w:pPr>
        <w:spacing w:after="0" w:line="15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1"/>
          <w:szCs w:val="21"/>
          <w:b w:val="1"/>
          <w:bCs w:val="1"/>
          <w:color w:val="auto"/>
        </w:rPr>
        <w:t>Severability</w:t>
      </w:r>
      <w:r>
        <w:rPr>
          <w:rFonts w:ascii="Arial" w:cs="Arial" w:eastAsia="Arial" w:hAnsi="Arial"/>
          <w:sz w:val="21"/>
          <w:szCs w:val="21"/>
          <w:color w:val="auto"/>
        </w:rPr>
        <w:t>. If any provision of the Plan is or becomes or is deemed to be invalid, illegal, or unenforceable</w:t>
      </w:r>
      <w:r>
        <w:rPr>
          <w:rFonts w:ascii="Arial" w:cs="Arial" w:eastAsia="Arial" w:hAnsi="Arial"/>
          <w:sz w:val="20"/>
          <w:szCs w:val="20"/>
          <w:color w:val="auto"/>
        </w:rPr>
        <w:t xml:space="preserve"> </w:t>
      </w:r>
      <w:r>
        <w:rPr>
          <w:rFonts w:ascii="Arial" w:cs="Arial" w:eastAsia="Arial" w:hAnsi="Arial"/>
          <w:sz w:val="21"/>
          <w:szCs w:val="21"/>
          <w:color w:val="auto"/>
        </w:rPr>
        <w:t>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6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1"/>
          <w:szCs w:val="21"/>
          <w:b w:val="1"/>
          <w:bCs w:val="1"/>
          <w:color w:val="auto"/>
        </w:rPr>
        <w:t>Governing Law</w:t>
      </w:r>
      <w:r>
        <w:rPr>
          <w:rFonts w:ascii="Arial" w:cs="Arial" w:eastAsia="Arial" w:hAnsi="Arial"/>
          <w:sz w:val="21"/>
          <w:szCs w:val="21"/>
          <w:color w:val="auto"/>
        </w:rPr>
        <w:t>. The Plan and all awards will be construed in accordance with and governed by the laws of</w:t>
      </w:r>
      <w:r>
        <w:rPr>
          <w:rFonts w:ascii="Arial" w:cs="Arial" w:eastAsia="Arial" w:hAnsi="Arial"/>
          <w:sz w:val="20"/>
          <w:szCs w:val="20"/>
          <w:color w:val="auto"/>
        </w:rPr>
        <w:t xml:space="preserve"> </w:t>
      </w:r>
      <w:r>
        <w:rPr>
          <w:rFonts w:ascii="Arial" w:cs="Arial" w:eastAsia="Arial" w:hAnsi="Arial"/>
          <w:sz w:val="21"/>
          <w:szCs w:val="21"/>
          <w:color w:val="auto"/>
        </w:rPr>
        <w:t>the State of California, but without regard to its conflict of law provisions.</w:t>
      </w:r>
    </w:p>
    <w:p>
      <w:pPr>
        <w:spacing w:after="0" w:line="13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1"/>
          <w:szCs w:val="21"/>
          <w:b w:val="1"/>
          <w:bCs w:val="1"/>
          <w:color w:val="auto"/>
        </w:rPr>
        <w:t>Bonus Plan</w:t>
      </w:r>
      <w:r>
        <w:rPr>
          <w:rFonts w:ascii="Arial" w:cs="Arial" w:eastAsia="Arial" w:hAnsi="Arial"/>
          <w:sz w:val="21"/>
          <w:szCs w:val="21"/>
          <w:color w:val="auto"/>
        </w:rPr>
        <w:t>. The Plan is intended to be a “bonus program” as defined under U.S. Department of Labor</w:t>
      </w:r>
      <w:r>
        <w:rPr>
          <w:rFonts w:ascii="Arial" w:cs="Arial" w:eastAsia="Arial" w:hAnsi="Arial"/>
          <w:sz w:val="20"/>
          <w:szCs w:val="20"/>
          <w:color w:val="auto"/>
        </w:rPr>
        <w:t xml:space="preserve"> </w:t>
      </w:r>
      <w:r>
        <w:rPr>
          <w:rFonts w:ascii="Arial" w:cs="Arial" w:eastAsia="Arial" w:hAnsi="Arial"/>
          <w:sz w:val="21"/>
          <w:szCs w:val="21"/>
          <w:color w:val="auto"/>
        </w:rPr>
        <w:t>regulations section 2510.3-2(c) and will be construed and administered in accordance with such intention.</w:t>
      </w:r>
    </w:p>
    <w:p>
      <w:pPr>
        <w:spacing w:after="0" w:line="13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1"/>
          <w:szCs w:val="21"/>
          <w:b w:val="1"/>
          <w:bCs w:val="1"/>
          <w:color w:val="auto"/>
        </w:rPr>
        <w:t>Headings</w:t>
      </w:r>
      <w:r>
        <w:rPr>
          <w:rFonts w:ascii="Arial" w:cs="Arial" w:eastAsia="Arial" w:hAnsi="Arial"/>
          <w:sz w:val="21"/>
          <w:szCs w:val="21"/>
          <w:color w:val="auto"/>
        </w:rPr>
        <w:t>. Headings are provided herein for convenience only, and will not serve as a basis for interpretation</w:t>
      </w:r>
      <w:r>
        <w:rPr>
          <w:rFonts w:ascii="Arial" w:cs="Arial" w:eastAsia="Arial" w:hAnsi="Arial"/>
          <w:sz w:val="20"/>
          <w:szCs w:val="20"/>
          <w:color w:val="auto"/>
        </w:rPr>
        <w:t xml:space="preserve"> </w:t>
      </w:r>
      <w:r>
        <w:rPr>
          <w:rFonts w:ascii="Arial" w:cs="Arial" w:eastAsia="Arial" w:hAnsi="Arial"/>
          <w:sz w:val="21"/>
          <w:szCs w:val="21"/>
          <w:color w:val="auto"/>
        </w:rPr>
        <w:t>or construction of the Plan.</w:t>
      </w:r>
    </w:p>
    <w:p>
      <w:pPr>
        <w:spacing w:after="0" w:line="139" w:lineRule="exact"/>
        <w:rPr>
          <w:sz w:val="20"/>
          <w:szCs w:val="20"/>
          <w:color w:val="auto"/>
        </w:rPr>
      </w:pPr>
    </w:p>
    <w:p>
      <w:pPr>
        <w:jc w:val="both"/>
        <w:ind w:firstLine="656"/>
        <w:spacing w:after="0" w:line="256" w:lineRule="auto"/>
        <w:tabs>
          <w:tab w:leader="none" w:pos="1143" w:val="left"/>
        </w:tabs>
        <w:numPr>
          <w:ilvl w:val="0"/>
          <w:numId w:val="772"/>
        </w:numPr>
        <w:rPr>
          <w:rFonts w:ascii="Arial" w:cs="Arial" w:eastAsia="Arial" w:hAnsi="Arial"/>
          <w:sz w:val="20"/>
          <w:szCs w:val="20"/>
          <w:color w:val="auto"/>
        </w:rPr>
      </w:pPr>
      <w:r>
        <w:rPr>
          <w:rFonts w:ascii="Arial" w:cs="Arial" w:eastAsia="Arial" w:hAnsi="Arial"/>
          <w:sz w:val="22"/>
          <w:szCs w:val="22"/>
          <w:b w:val="1"/>
          <w:bCs w:val="1"/>
          <w:color w:val="auto"/>
        </w:rPr>
        <w:t>Compliance with Applicable Laws</w:t>
      </w:r>
      <w:r>
        <w:rPr>
          <w:rFonts w:ascii="Arial" w:cs="Arial" w:eastAsia="Arial" w:hAnsi="Arial"/>
          <w:sz w:val="22"/>
          <w:szCs w:val="22"/>
          <w:color w:val="auto"/>
        </w:rPr>
        <w:t>. Awards under the Plan (including without limitation the granting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be subject to all applicable laws, rules and regulations, and to such approvals by any governmental agencies or national securities exchanges as may be required.</w:t>
      </w:r>
    </w:p>
    <w:p>
      <w:pPr>
        <w:spacing w:after="0" w:line="182" w:lineRule="exact"/>
        <w:rPr>
          <w:rFonts w:ascii="Arial" w:cs="Arial" w:eastAsia="Arial" w:hAnsi="Arial"/>
          <w:sz w:val="20"/>
          <w:szCs w:val="20"/>
          <w:color w:val="auto"/>
        </w:rPr>
      </w:pPr>
    </w:p>
    <w:p>
      <w:pPr>
        <w:ind w:left="4980"/>
        <w:spacing w:after="0"/>
        <w:rPr>
          <w:rFonts w:ascii="Arial" w:cs="Arial" w:eastAsia="Arial" w:hAnsi="Arial"/>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797" w:name="page798"/>
    <w:bookmarkEnd w:id="79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We hereby consent to the use in the Prospectus constituting a part of this Registration Statement on Form S-4, Amendment No. 2, of our report dated March 26, 2021, relating to the financial statements of ARYA Sciences Acquisition Corp III which is contained in the Prospectus. We also consent to the reference to us under the caption “Experts” in the Prospectus.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 WithumSmith+Brown, PC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April 23, 2021</w:t>
      </w:r>
    </w:p>
    <w:p>
      <w:pPr>
        <w:sectPr>
          <w:pgSz w:w="11900" w:h="16838" w:orient="portrait"/>
          <w:cols w:equalWidth="0" w:num="1">
            <w:col w:w="11240"/>
          </w:cols>
          <w:pgMar w:left="320" w:top="122" w:right="339" w:bottom="1440" w:gutter="0" w:footer="0" w:header="0"/>
        </w:sectPr>
      </w:pPr>
    </w:p>
    <w:bookmarkStart w:id="798" w:name="page799"/>
    <w:bookmarkEnd w:id="79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3" w:lineRule="exact"/>
        <w:rPr>
          <w:sz w:val="20"/>
          <w:szCs w:val="20"/>
          <w:color w:val="auto"/>
        </w:rPr>
      </w:pPr>
    </w:p>
    <w:p>
      <w:pPr>
        <w:jc w:val="both"/>
        <w:ind w:right="460"/>
        <w:spacing w:after="0" w:line="312" w:lineRule="auto"/>
        <w:rPr>
          <w:sz w:val="20"/>
          <w:szCs w:val="20"/>
          <w:color w:val="auto"/>
        </w:rPr>
      </w:pPr>
      <w:r>
        <w:rPr>
          <w:rFonts w:ascii="Arial" w:cs="Arial" w:eastAsia="Arial" w:hAnsi="Arial"/>
          <w:sz w:val="19"/>
          <w:szCs w:val="19"/>
          <w:color w:val="auto"/>
        </w:rPr>
        <w:t>We hereby consent to the use in this Registration Statement on Form S-4 of Arya Sciences Acquisition Corp III of our report dated March 26, 2021 relating to the financial statements of Nautilus Biotechnology, Inc. which appears in this Registration Statement.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Seattle, Washington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April 23, 2021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65647"/>
    <w:multiLevelType w:val="hybridMultilevel"/>
    <w:lvl w:ilvl="0">
      <w:lvlJc w:val="left"/>
      <w:lvlText w:val="(%1)"/>
      <w:numFmt w:val="decimal"/>
      <w:start w:val="1"/>
    </w:lvl>
  </w:abstractNum>
  <w:abstractNum w:abstractNumId="1">
    <w:nsid w:val="3E5E582B"/>
    <w:multiLevelType w:val="hybridMultilevel"/>
    <w:lvl w:ilvl="0">
      <w:lvlJc w:val="left"/>
      <w:lvlText w:val="*"/>
      <w:numFmt w:val="bullet"/>
      <w:start w:val="1"/>
    </w:lvl>
  </w:abstractNum>
  <w:abstractNum w:abstractNumId="2">
    <w:nsid w:val="257D4626"/>
    <w:multiLevelType w:val="hybridMultilevel"/>
    <w:lvl w:ilvl="0">
      <w:lvlJc w:val="left"/>
      <w:lvlText w:val="(%1)"/>
      <w:numFmt w:val="lowerLetter"/>
      <w:start w:val="1"/>
    </w:lvl>
  </w:abstractNum>
  <w:abstractNum w:abstractNumId="3">
    <w:nsid w:val="5AA8580E"/>
    <w:multiLevelType w:val="hybridMultilevel"/>
    <w:lvl w:ilvl="0">
      <w:lvlJc w:val="left"/>
      <w:lvlText w:val="•"/>
      <w:numFmt w:val="bullet"/>
      <w:start w:val="1"/>
    </w:lvl>
  </w:abstractNum>
  <w:abstractNum w:abstractNumId="4">
    <w:nsid w:val="68FA8D0D"/>
    <w:multiLevelType w:val="hybridMultilevel"/>
    <w:lvl w:ilvl="0">
      <w:lvlJc w:val="left"/>
      <w:lvlText w:val="•"/>
      <w:numFmt w:val="bullet"/>
      <w:start w:val="1"/>
    </w:lvl>
    <w:lvl w:ilvl="1">
      <w:lvlJc w:val="left"/>
      <w:lvlText w:val="•"/>
      <w:numFmt w:val="bullet"/>
      <w:start w:val="1"/>
    </w:lvl>
  </w:abstractNum>
  <w:abstractNum w:abstractNumId="5">
    <w:nsid w:val="40F2CBD2"/>
    <w:multiLevelType w:val="hybridMultilevel"/>
    <w:lvl w:ilvl="0">
      <w:lvlJc w:val="left"/>
      <w:lvlText w:val="(%1)"/>
      <w:numFmt w:val="lowerRoman"/>
      <w:start w:val="1"/>
    </w:lvl>
  </w:abstractNum>
  <w:abstractNum w:abstractNumId="6">
    <w:nsid w:val="3BD615EB"/>
    <w:multiLevelType w:val="hybridMultilevel"/>
    <w:lvl w:ilvl="0">
      <w:lvlJc w:val="left"/>
      <w:lvlText w:val="(%1)"/>
      <w:numFmt w:val="decimal"/>
      <w:start w:val="212"/>
    </w:lvl>
  </w:abstractNum>
  <w:abstractNum w:abstractNumId="7">
    <w:nsid w:val="A045AB2"/>
    <w:multiLevelType w:val="hybridMultilevel"/>
    <w:lvl w:ilvl="0">
      <w:lvlJc w:val="left"/>
      <w:lvlText w:val="•"/>
      <w:numFmt w:val="bullet"/>
      <w:start w:val="1"/>
    </w:lvl>
  </w:abstractNum>
  <w:abstractNum w:abstractNumId="8">
    <w:nsid w:val="1872261F"/>
    <w:multiLevelType w:val="hybridMultilevel"/>
    <w:lvl w:ilvl="0">
      <w:lvlJc w:val="left"/>
      <w:lvlText w:val="•"/>
      <w:numFmt w:val="bullet"/>
      <w:start w:val="1"/>
    </w:lvl>
  </w:abstractNum>
  <w:abstractNum w:abstractNumId="9">
    <w:nsid w:val="3DE8306C"/>
    <w:multiLevelType w:val="hybridMultilevel"/>
    <w:lvl w:ilvl="0">
      <w:lvlJc w:val="left"/>
      <w:lvlText w:val="•"/>
      <w:numFmt w:val="bullet"/>
      <w:start w:val="1"/>
    </w:lvl>
  </w:abstractNum>
  <w:abstractNum w:abstractNumId="10">
    <w:nsid w:val="7631573A"/>
    <w:multiLevelType w:val="hybridMultilevel"/>
    <w:lvl w:ilvl="0">
      <w:lvlJc w:val="left"/>
      <w:lvlText w:val="•"/>
      <w:numFmt w:val="bullet"/>
      <w:start w:val="1"/>
    </w:lvl>
  </w:abstractNum>
  <w:abstractNum w:abstractNumId="11">
    <w:nsid w:val="58DF53B"/>
    <w:multiLevelType w:val="hybridMultilevel"/>
    <w:lvl w:ilvl="0">
      <w:lvlJc w:val="left"/>
      <w:lvlText w:val="%1."/>
      <w:numFmt w:val="upperLetter"/>
      <w:start w:val="17"/>
    </w:lvl>
  </w:abstractNum>
  <w:abstractNum w:abstractNumId="12">
    <w:nsid w:val="ACDFAC0"/>
    <w:multiLevelType w:val="hybridMultilevel"/>
    <w:lvl w:ilvl="0">
      <w:lvlJc w:val="left"/>
      <w:lvlText w:val="%1."/>
      <w:numFmt w:val="upperLetter"/>
      <w:start w:val="1"/>
    </w:lvl>
  </w:abstractNum>
  <w:abstractNum w:abstractNumId="13">
    <w:nsid w:val="1F578454"/>
    <w:multiLevelType w:val="hybridMultilevel"/>
    <w:lvl w:ilvl="0">
      <w:lvlJc w:val="left"/>
      <w:lvlText w:val="%1."/>
      <w:numFmt w:val="upperLetter"/>
      <w:start w:val="17"/>
    </w:lvl>
    <w:lvl w:ilvl="1">
      <w:lvlJc w:val="left"/>
      <w:lvlText w:val="•"/>
      <w:numFmt w:val="bullet"/>
      <w:start w:val="1"/>
    </w:lvl>
    <w:lvl w:ilvl="2">
      <w:lvlJc w:val="left"/>
      <w:lvlText w:val="•"/>
      <w:numFmt w:val="bullet"/>
      <w:start w:val="1"/>
    </w:lvl>
  </w:abstractNum>
  <w:abstractNum w:abstractNumId="14">
    <w:nsid w:val="5B0DAD2A"/>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5">
    <w:nsid w:val="4E3D26AB"/>
    <w:multiLevelType w:val="hybridMultilevel"/>
    <w:lvl w:ilvl="0">
      <w:lvlJc w:val="left"/>
      <w:lvlText w:val="%1."/>
      <w:numFmt w:val="upperLetter"/>
      <w:start w:val="17"/>
    </w:lvl>
  </w:abstractNum>
  <w:abstractNum w:abstractNumId="16">
    <w:nsid w:val="BE2C8BA"/>
    <w:multiLevelType w:val="hybridMultilevel"/>
    <w:lvl w:ilvl="0">
      <w:lvlJc w:val="left"/>
      <w:lvlText w:val="%1."/>
      <w:numFmt w:val="upperLetter"/>
      <w:start w:val="1"/>
    </w:lvl>
  </w:abstractNum>
  <w:abstractNum w:abstractNumId="17">
    <w:nsid w:val="7B14914E"/>
    <w:multiLevelType w:val="hybridMultilevel"/>
    <w:lvl w:ilvl="0">
      <w:lvlJc w:val="left"/>
      <w:lvlText w:val="%1."/>
      <w:numFmt w:val="upperLetter"/>
      <w:start w:val="17"/>
    </w:lvl>
  </w:abstractNum>
  <w:abstractNum w:abstractNumId="18">
    <w:nsid w:val="6F0939F8"/>
    <w:multiLevelType w:val="hybridMultilevel"/>
    <w:lvl w:ilvl="0">
      <w:lvlJc w:val="left"/>
      <w:lvlText w:val="%1."/>
      <w:numFmt w:val="upperLetter"/>
      <w:start w:val="1"/>
    </w:lvl>
  </w:abstractNum>
  <w:abstractNum w:abstractNumId="19">
    <w:nsid w:val="154291F6"/>
    <w:multiLevelType w:val="hybridMultilevel"/>
    <w:lvl w:ilvl="0">
      <w:lvlJc w:val="left"/>
      <w:lvlText w:val="%1."/>
      <w:numFmt w:val="upperLetter"/>
      <w:start w:val="17"/>
    </w:lvl>
  </w:abstractNum>
  <w:abstractNum w:abstractNumId="20">
    <w:nsid w:val="3CEBD7C7"/>
    <w:multiLevelType w:val="hybridMultilevel"/>
    <w:lvl w:ilvl="0">
      <w:lvlJc w:val="left"/>
      <w:lvlText w:val="%1."/>
      <w:numFmt w:val="upperLetter"/>
      <w:start w:val="1"/>
    </w:lvl>
  </w:abstractNum>
  <w:abstractNum w:abstractNumId="21">
    <w:nsid w:val="60EE9C16"/>
    <w:multiLevelType w:val="hybridMultilevel"/>
    <w:lvl w:ilvl="0">
      <w:lvlJc w:val="left"/>
      <w:lvlText w:val="%1."/>
      <w:numFmt w:val="upperLetter"/>
      <w:start w:val="17"/>
    </w:lvl>
  </w:abstractNum>
  <w:abstractNum w:abstractNumId="22">
    <w:nsid w:val="6385489E"/>
    <w:multiLevelType w:val="hybridMultilevel"/>
    <w:lvl w:ilvl="0">
      <w:lvlJc w:val="left"/>
      <w:lvlText w:val="%1."/>
      <w:numFmt w:val="upperLetter"/>
      <w:start w:val="1"/>
    </w:lvl>
  </w:abstractNum>
  <w:abstractNum w:abstractNumId="23">
    <w:nsid w:val="E4B973"/>
    <w:multiLevelType w:val="hybridMultilevel"/>
    <w:lvl w:ilvl="0">
      <w:lvlJc w:val="left"/>
      <w:lvlText w:val="%1."/>
      <w:numFmt w:val="upperLetter"/>
      <w:start w:val="17"/>
    </w:lvl>
  </w:abstractNum>
  <w:abstractNum w:abstractNumId="24">
    <w:nsid w:val="4A0FFA11"/>
    <w:multiLevelType w:val="hybridMultilevel"/>
    <w:lvl w:ilvl="0">
      <w:lvlJc w:val="left"/>
      <w:lvlText w:val="%1."/>
      <w:numFmt w:val="upperLetter"/>
      <w:start w:val="1"/>
    </w:lvl>
  </w:abstractNum>
  <w:abstractNum w:abstractNumId="25">
    <w:nsid w:val="5E446208"/>
    <w:multiLevelType w:val="hybridMultilevel"/>
    <w:lvl w:ilvl="0">
      <w:lvlJc w:val="left"/>
      <w:lvlText w:val="(%1)"/>
      <w:numFmt w:val="decimal"/>
      <w:start w:val="1"/>
    </w:lvl>
  </w:abstractNum>
  <w:abstractNum w:abstractNumId="26">
    <w:nsid w:val="5F3272DB"/>
    <w:multiLevelType w:val="hybridMultilevel"/>
    <w:lvl w:ilvl="0">
      <w:lvlJc w:val="left"/>
      <w:lvlText w:val="%1."/>
      <w:numFmt w:val="upperLetter"/>
      <w:start w:val="17"/>
    </w:lvl>
  </w:abstractNum>
  <w:abstractNum w:abstractNumId="27">
    <w:nsid w:val="7616D704"/>
    <w:multiLevelType w:val="hybridMultilevel"/>
    <w:lvl w:ilvl="0">
      <w:lvlJc w:val="left"/>
      <w:lvlText w:val="%1."/>
      <w:numFmt w:val="upperLetter"/>
      <w:start w:val="1"/>
    </w:lvl>
  </w:abstractNum>
  <w:abstractNum w:abstractNumId="28">
    <w:nsid w:val="C56F860"/>
    <w:multiLevelType w:val="hybridMultilevel"/>
    <w:lvl w:ilvl="0">
      <w:lvlJc w:val="left"/>
      <w:lvlText w:val="%1."/>
      <w:numFmt w:val="upperLetter"/>
      <w:start w:val="17"/>
    </w:lvl>
  </w:abstractNum>
  <w:abstractNum w:abstractNumId="29">
    <w:nsid w:val="64D17722"/>
    <w:multiLevelType w:val="hybridMultilevel"/>
    <w:lvl w:ilvl="0">
      <w:lvlJc w:val="left"/>
      <w:lvlText w:val="%1."/>
      <w:numFmt w:val="upperLetter"/>
      <w:start w:val="1"/>
    </w:lvl>
  </w:abstractNum>
  <w:abstractNum w:abstractNumId="30">
    <w:nsid w:val="7924CA0A"/>
    <w:multiLevelType w:val="hybridMultilevel"/>
    <w:lvl w:ilvl="0">
      <w:lvlJc w:val="left"/>
      <w:lvlText w:val="%1."/>
      <w:numFmt w:val="upperLetter"/>
      <w:start w:val="17"/>
    </w:lvl>
    <w:lvl w:ilvl="1">
      <w:lvlJc w:val="left"/>
      <w:lvlText w:val="•"/>
      <w:numFmt w:val="bullet"/>
      <w:start w:val="1"/>
    </w:lvl>
  </w:abstractNum>
  <w:abstractNum w:abstractNumId="31">
    <w:nsid w:val="CFD4EA7"/>
    <w:multiLevelType w:val="hybridMultilevel"/>
    <w:lvl w:ilvl="0">
      <w:lvlJc w:val="left"/>
      <w:lvlText w:val="%1."/>
      <w:numFmt w:val="upperLetter"/>
      <w:start w:val="1"/>
    </w:lvl>
    <w:lvl w:ilvl="1">
      <w:lvlJc w:val="left"/>
      <w:lvlText w:val="•"/>
      <w:numFmt w:val="bullet"/>
      <w:start w:val="1"/>
    </w:lvl>
  </w:abstractNum>
  <w:abstractNum w:abstractNumId="32">
    <w:nsid w:val="232FCF4D"/>
    <w:multiLevelType w:val="hybridMultilevel"/>
    <w:lvl w:ilvl="0">
      <w:lvlJc w:val="left"/>
      <w:lvlText w:val="%1."/>
      <w:numFmt w:val="upperLetter"/>
      <w:start w:val="17"/>
    </w:lvl>
    <w:lvl w:ilvl="1">
      <w:lvlJc w:val="left"/>
      <w:lvlText w:val="•"/>
      <w:numFmt w:val="bullet"/>
      <w:start w:val="1"/>
    </w:lvl>
  </w:abstractNum>
  <w:abstractNum w:abstractNumId="33">
    <w:nsid w:val="1EA21031"/>
    <w:multiLevelType w:val="hybridMultilevel"/>
    <w:lvl w:ilvl="0">
      <w:lvlJc w:val="left"/>
      <w:lvlText w:val="%1."/>
      <w:numFmt w:val="upperLetter"/>
      <w:start w:val="1"/>
    </w:lvl>
    <w:lvl w:ilvl="1">
      <w:lvlJc w:val="left"/>
      <w:lvlText w:val="•"/>
      <w:numFmt w:val="bullet"/>
      <w:start w:val="1"/>
    </w:lvl>
  </w:abstractNum>
  <w:abstractNum w:abstractNumId="34">
    <w:nsid w:val="67A5A6B5"/>
    <w:multiLevelType w:val="hybridMultilevel"/>
    <w:lvl w:ilvl="0">
      <w:lvlJc w:val="left"/>
      <w:lvlText w:val="%1."/>
      <w:numFmt w:val="upperLetter"/>
      <w:start w:val="17"/>
    </w:lvl>
    <w:lvl w:ilvl="1">
      <w:lvlJc w:val="left"/>
      <w:lvlText w:val="%2"/>
      <w:numFmt w:val="lowerRoman"/>
      <w:start w:val="1"/>
    </w:lvl>
  </w:abstractNum>
  <w:abstractNum w:abstractNumId="35">
    <w:nsid w:val="C2A5C5B"/>
    <w:multiLevelType w:val="hybridMultilevel"/>
    <w:lvl w:ilvl="0">
      <w:lvlJc w:val="left"/>
      <w:lvlText w:val="%1."/>
      <w:numFmt w:val="upperLetter"/>
      <w:start w:val="1"/>
    </w:lvl>
    <w:lvl w:ilvl="1">
      <w:lvlJc w:val="left"/>
      <w:lvlText w:val="%2"/>
      <w:numFmt w:val="lowerRoman"/>
      <w:start w:val="1"/>
    </w:lvl>
  </w:abstractNum>
  <w:abstractNum w:abstractNumId="36">
    <w:nsid w:val="5F94DC03"/>
    <w:multiLevelType w:val="hybridMultilevel"/>
    <w:lvl w:ilvl="0">
      <w:lvlJc w:val="left"/>
      <w:lvlText w:val="%1."/>
      <w:numFmt w:val="upperLetter"/>
      <w:start w:val="17"/>
    </w:lvl>
    <w:lvl w:ilvl="1">
      <w:lvlJc w:val="left"/>
      <w:lvlText w:val="%2"/>
      <w:numFmt w:val="lowerRoman"/>
      <w:start w:val="1"/>
    </w:lvl>
  </w:abstractNum>
  <w:abstractNum w:abstractNumId="37">
    <w:nsid w:val="237BBCA0"/>
    <w:multiLevelType w:val="hybridMultilevel"/>
    <w:lvl w:ilvl="0">
      <w:lvlJc w:val="left"/>
      <w:lvlText w:val="%1."/>
      <w:numFmt w:val="upperLetter"/>
      <w:start w:val="1"/>
    </w:lvl>
    <w:lvl w:ilvl="1">
      <w:lvlJc w:val="left"/>
      <w:lvlText w:val="(%2)"/>
      <w:numFmt w:val="lowerRoman"/>
      <w:start w:val="1"/>
    </w:lvl>
  </w:abstractNum>
  <w:abstractNum w:abstractNumId="38">
    <w:nsid w:val="162EB70D"/>
    <w:multiLevelType w:val="hybridMultilevel"/>
    <w:lvl w:ilvl="0">
      <w:lvlJc w:val="left"/>
      <w:lvlText w:val="%1."/>
      <w:numFmt w:val="upperLetter"/>
      <w:start w:val="17"/>
    </w:lvl>
  </w:abstractNum>
  <w:abstractNum w:abstractNumId="39">
    <w:nsid w:val="78070222"/>
    <w:multiLevelType w:val="hybridMultilevel"/>
    <w:lvl w:ilvl="0">
      <w:lvlJc w:val="left"/>
      <w:lvlText w:val="%1."/>
      <w:numFmt w:val="upperLetter"/>
      <w:start w:val="1"/>
    </w:lvl>
  </w:abstractNum>
  <w:abstractNum w:abstractNumId="40">
    <w:nsid w:val="6163ED0D"/>
    <w:multiLevelType w:val="hybridMultilevel"/>
    <w:lvl w:ilvl="0">
      <w:lvlJc w:val="left"/>
      <w:lvlText w:val="%1."/>
      <w:numFmt w:val="upperLetter"/>
      <w:start w:val="17"/>
    </w:lvl>
  </w:abstractNum>
  <w:abstractNum w:abstractNumId="41">
    <w:nsid w:val="C600E47"/>
    <w:multiLevelType w:val="hybridMultilevel"/>
    <w:lvl w:ilvl="0">
      <w:lvlJc w:val="left"/>
      <w:lvlText w:val="%1."/>
      <w:numFmt w:val="upperLetter"/>
      <w:start w:val="1"/>
    </w:lvl>
  </w:abstractNum>
  <w:abstractNum w:abstractNumId="42">
    <w:nsid w:val="7D94F75D"/>
    <w:multiLevelType w:val="hybridMultilevel"/>
    <w:lvl w:ilvl="0">
      <w:lvlJc w:val="left"/>
      <w:lvlText w:val="%1."/>
      <w:numFmt w:val="upperLetter"/>
      <w:start w:val="17"/>
    </w:lvl>
  </w:abstractNum>
  <w:abstractNum w:abstractNumId="43">
    <w:nsid w:val="6C31E7CD"/>
    <w:multiLevelType w:val="hybridMultilevel"/>
    <w:lvl w:ilvl="0">
      <w:lvlJc w:val="left"/>
      <w:lvlText w:val="%1."/>
      <w:numFmt w:val="upperLetter"/>
      <w:start w:val="1"/>
    </w:lvl>
  </w:abstractNum>
  <w:abstractNum w:abstractNumId="44">
    <w:nsid w:val="2BB7929B"/>
    <w:multiLevelType w:val="hybridMultilevel"/>
    <w:lvl w:ilvl="0">
      <w:lvlJc w:val="left"/>
      <w:lvlText w:val="%1."/>
      <w:numFmt w:val="upperLetter"/>
      <w:start w:val="17"/>
    </w:lvl>
  </w:abstractNum>
  <w:abstractNum w:abstractNumId="45">
    <w:nsid w:val="58A2A487"/>
    <w:multiLevelType w:val="hybridMultilevel"/>
    <w:lvl w:ilvl="0">
      <w:lvlJc w:val="left"/>
      <w:lvlText w:val="%1."/>
      <w:numFmt w:val="upperLetter"/>
      <w:start w:val="1"/>
    </w:lvl>
  </w:abstractNum>
  <w:abstractNum w:abstractNumId="46">
    <w:nsid w:val="3A6F0E78"/>
    <w:multiLevelType w:val="hybridMultilevel"/>
    <w:lvl w:ilvl="0">
      <w:lvlJc w:val="left"/>
      <w:lvlText w:val="%1."/>
      <w:numFmt w:val="upperLetter"/>
      <w:start w:val="17"/>
    </w:lvl>
  </w:abstractNum>
  <w:abstractNum w:abstractNumId="47">
    <w:nsid w:val="379A5B56"/>
    <w:multiLevelType w:val="hybridMultilevel"/>
    <w:lvl w:ilvl="0">
      <w:lvlJc w:val="left"/>
      <w:lvlText w:val="%1."/>
      <w:numFmt w:val="upperLetter"/>
      <w:start w:val="1"/>
    </w:lvl>
  </w:abstractNum>
  <w:abstractNum w:abstractNumId="48">
    <w:nsid w:val="53B735D5"/>
    <w:multiLevelType w:val="hybridMultilevel"/>
    <w:lvl w:ilvl="0">
      <w:lvlJc w:val="left"/>
      <w:lvlText w:val="%1."/>
      <w:numFmt w:val="upperLetter"/>
      <w:start w:val="17"/>
    </w:lvl>
  </w:abstractNum>
  <w:abstractNum w:abstractNumId="49">
    <w:nsid w:val="29784870"/>
    <w:multiLevelType w:val="hybridMultilevel"/>
    <w:lvl w:ilvl="0">
      <w:lvlJc w:val="left"/>
      <w:lvlText w:val="%1."/>
      <w:numFmt w:val="upperLetter"/>
      <w:start w:val="1"/>
    </w:lvl>
  </w:abstractNum>
  <w:abstractNum w:abstractNumId="50">
    <w:nsid w:val="4CDCED4C"/>
    <w:multiLevelType w:val="hybridMultilevel"/>
    <w:lvl w:ilvl="0">
      <w:lvlJc w:val="left"/>
      <w:lvlText w:val="%1."/>
      <w:numFmt w:val="upperLetter"/>
      <w:start w:val="17"/>
    </w:lvl>
  </w:abstractNum>
  <w:abstractNum w:abstractNumId="51">
    <w:nsid w:val="10A30D9C"/>
    <w:multiLevelType w:val="hybridMultilevel"/>
    <w:lvl w:ilvl="0">
      <w:lvlJc w:val="left"/>
      <w:lvlText w:val="%1."/>
      <w:numFmt w:val="upperLetter"/>
      <w:start w:val="1"/>
    </w:lvl>
  </w:abstractNum>
  <w:abstractNum w:abstractNumId="52">
    <w:nsid w:val="A66E486"/>
    <w:multiLevelType w:val="hybridMultilevel"/>
    <w:lvl w:ilvl="0">
      <w:lvlJc w:val="left"/>
      <w:lvlText w:val="%1."/>
      <w:numFmt w:val="upperLetter"/>
      <w:start w:val="17"/>
    </w:lvl>
  </w:abstractNum>
  <w:abstractNum w:abstractNumId="53">
    <w:nsid w:val="306235EA"/>
    <w:multiLevelType w:val="hybridMultilevel"/>
    <w:lvl w:ilvl="0">
      <w:lvlJc w:val="left"/>
      <w:lvlText w:val="%1."/>
      <w:numFmt w:val="upperLetter"/>
      <w:start w:val="1"/>
    </w:lvl>
  </w:abstractNum>
  <w:abstractNum w:abstractNumId="54">
    <w:nsid w:val="1187C70F"/>
    <w:multiLevelType w:val="hybridMultilevel"/>
    <w:lvl w:ilvl="0">
      <w:lvlJc w:val="left"/>
      <w:lvlText w:val="%1."/>
      <w:numFmt w:val="upperLetter"/>
      <w:start w:val="17"/>
    </w:lvl>
  </w:abstractNum>
  <w:abstractNum w:abstractNumId="55">
    <w:nsid w:val="5476DE98"/>
    <w:multiLevelType w:val="hybridMultilevel"/>
    <w:lvl w:ilvl="0">
      <w:lvlJc w:val="left"/>
      <w:lvlText w:val="%1."/>
      <w:numFmt w:val="upperLetter"/>
      <w:start w:val="1"/>
    </w:lvl>
  </w:abstractNum>
  <w:abstractNum w:abstractNumId="56">
    <w:nsid w:val="EA697F2"/>
    <w:multiLevelType w:val="hybridMultilevel"/>
    <w:lvl w:ilvl="0">
      <w:lvlJc w:val="left"/>
      <w:lvlText w:val="%1."/>
      <w:numFmt w:val="upperLetter"/>
      <w:start w:val="17"/>
    </w:lvl>
  </w:abstractNum>
  <w:abstractNum w:abstractNumId="57">
    <w:nsid w:val="70BA39EB"/>
    <w:multiLevelType w:val="hybridMultilevel"/>
    <w:lvl w:ilvl="0">
      <w:lvlJc w:val="left"/>
      <w:lvlText w:val="%1."/>
      <w:numFmt w:val="upperLetter"/>
      <w:start w:val="1"/>
    </w:lvl>
  </w:abstractNum>
  <w:abstractNum w:abstractNumId="58">
    <w:nsid w:val="4A8DB59C"/>
    <w:multiLevelType w:val="hybridMultilevel"/>
    <w:lvl w:ilvl="0">
      <w:lvlJc w:val="left"/>
      <w:lvlText w:val="%1."/>
      <w:numFmt w:val="upperLetter"/>
      <w:start w:val="17"/>
    </w:lvl>
  </w:abstractNum>
  <w:abstractNum w:abstractNumId="59">
    <w:nsid w:val="1AFD9053"/>
    <w:multiLevelType w:val="hybridMultilevel"/>
    <w:lvl w:ilvl="0">
      <w:lvlJc w:val="left"/>
      <w:lvlText w:val="%1."/>
      <w:numFmt w:val="upperLetter"/>
      <w:start w:val="1"/>
    </w:lvl>
  </w:abstractNum>
  <w:abstractNum w:abstractNumId="60">
    <w:nsid w:val="558BB10D"/>
    <w:multiLevelType w:val="hybridMultilevel"/>
    <w:lvl w:ilvl="0">
      <w:lvlJc w:val="left"/>
      <w:lvlText w:val="%1."/>
      <w:numFmt w:val="upperLetter"/>
      <w:start w:val="17"/>
    </w:lvl>
  </w:abstractNum>
  <w:abstractNum w:abstractNumId="61">
    <w:nsid w:val="43B27FA7"/>
    <w:multiLevelType w:val="hybridMultilevel"/>
    <w:lvl w:ilvl="0">
      <w:lvlJc w:val="left"/>
      <w:lvlText w:val="%1."/>
      <w:numFmt w:val="upperLetter"/>
      <w:start w:val="1"/>
    </w:lvl>
  </w:abstractNum>
  <w:abstractNum w:abstractNumId="62">
    <w:nsid w:val="27FADEFA"/>
    <w:multiLevelType w:val="hybridMultilevel"/>
    <w:lvl w:ilvl="0">
      <w:lvlJc w:val="left"/>
      <w:lvlText w:val="%1."/>
      <w:numFmt w:val="upperLetter"/>
      <w:start w:val="17"/>
    </w:lvl>
  </w:abstractNum>
  <w:abstractNum w:abstractNumId="63">
    <w:nsid w:val="78BB805A"/>
    <w:multiLevelType w:val="hybridMultilevel"/>
    <w:lvl w:ilvl="0">
      <w:lvlJc w:val="left"/>
      <w:lvlText w:val="%1."/>
      <w:numFmt w:val="upperLetter"/>
      <w:start w:val="1"/>
    </w:lvl>
  </w:abstractNum>
  <w:abstractNum w:abstractNumId="64">
    <w:nsid w:val="62548FD8"/>
    <w:multiLevelType w:val="hybridMultilevel"/>
    <w:lvl w:ilvl="0">
      <w:lvlJc w:val="left"/>
      <w:lvlText w:val="%1."/>
      <w:numFmt w:val="upperLetter"/>
      <w:start w:val="17"/>
    </w:lvl>
  </w:abstractNum>
  <w:abstractNum w:abstractNumId="65">
    <w:nsid w:val="FA085B0"/>
    <w:multiLevelType w:val="hybridMultilevel"/>
    <w:lvl w:ilvl="0">
      <w:lvlJc w:val="left"/>
      <w:lvlText w:val="%1."/>
      <w:numFmt w:val="upperLetter"/>
      <w:start w:val="1"/>
    </w:lvl>
  </w:abstractNum>
  <w:abstractNum w:abstractNumId="66">
    <w:nsid w:val="4E5DCB5"/>
    <w:multiLevelType w:val="hybridMultilevel"/>
    <w:lvl w:ilvl="0">
      <w:lvlJc w:val="left"/>
      <w:lvlText w:val="%1."/>
      <w:numFmt w:val="upperLetter"/>
      <w:start w:val="17"/>
    </w:lvl>
    <w:lvl w:ilvl="1">
      <w:lvlJc w:val="left"/>
      <w:lvlText w:val="%2"/>
      <w:numFmt w:val="lowerRoman"/>
      <w:start w:val="1"/>
    </w:lvl>
  </w:abstractNum>
  <w:abstractNum w:abstractNumId="67">
    <w:nsid w:val="41E96BDB"/>
    <w:multiLevelType w:val="hybridMultilevel"/>
    <w:lvl w:ilvl="0">
      <w:lvlJc w:val="left"/>
      <w:lvlText w:val="%1."/>
      <w:numFmt w:val="upperLetter"/>
      <w:start w:val="1"/>
    </w:lvl>
    <w:lvl w:ilvl="1">
      <w:lvlJc w:val="left"/>
      <w:lvlText w:val="%2"/>
      <w:numFmt w:val="lowerRoman"/>
      <w:start w:val="1"/>
    </w:lvl>
  </w:abstractNum>
  <w:abstractNum w:abstractNumId="68">
    <w:nsid w:val="331C4250"/>
    <w:multiLevelType w:val="hybridMultilevel"/>
    <w:lvl w:ilvl="0">
      <w:lvlJc w:val="left"/>
      <w:lvlText w:val="%1."/>
      <w:numFmt w:val="upperLetter"/>
      <w:start w:val="17"/>
    </w:lvl>
    <w:lvl w:ilvl="1">
      <w:lvlJc w:val="left"/>
      <w:lvlText w:val="%2"/>
      <w:numFmt w:val="lowerRoman"/>
      <w:start w:val="1"/>
    </w:lvl>
  </w:abstractNum>
  <w:abstractNum w:abstractNumId="69">
    <w:nsid w:val="1B1493C2"/>
    <w:multiLevelType w:val="hybridMultilevel"/>
    <w:lvl w:ilvl="0">
      <w:lvlJc w:val="left"/>
      <w:lvlText w:val="%1."/>
      <w:numFmt w:val="upperLetter"/>
      <w:start w:val="1"/>
    </w:lvl>
    <w:lvl w:ilvl="1">
      <w:lvlJc w:val="left"/>
      <w:lvlText w:val="%2"/>
      <w:numFmt w:val="lowerRoman"/>
      <w:start w:val="1"/>
    </w:lvl>
  </w:abstractNum>
  <w:abstractNum w:abstractNumId="70">
    <w:nsid w:val="39F06DFD"/>
    <w:multiLevelType w:val="hybridMultilevel"/>
    <w:lvl w:ilvl="0">
      <w:lvlJc w:val="left"/>
      <w:lvlText w:val="%1."/>
      <w:numFmt w:val="upperLetter"/>
      <w:start w:val="17"/>
    </w:lvl>
    <w:lvl w:ilvl="1">
      <w:lvlJc w:val="left"/>
      <w:lvlText w:val="%2"/>
      <w:numFmt w:val="lowerRoman"/>
      <w:start w:val="1"/>
    </w:lvl>
  </w:abstractNum>
  <w:abstractNum w:abstractNumId="71">
    <w:nsid w:val="14802F5D"/>
    <w:multiLevelType w:val="hybridMultilevel"/>
    <w:lvl w:ilvl="0">
      <w:lvlJc w:val="left"/>
      <w:lvlText w:val="%1."/>
      <w:numFmt w:val="upperLetter"/>
      <w:start w:val="1"/>
    </w:lvl>
    <w:lvl w:ilvl="1">
      <w:lvlJc w:val="left"/>
      <w:lvlText w:val="%2"/>
      <w:numFmt w:val="lowerRoman"/>
      <w:start w:val="1"/>
    </w:lvl>
  </w:abstractNum>
  <w:abstractNum w:abstractNumId="72">
    <w:nsid w:val="2774A209"/>
    <w:multiLevelType w:val="hybridMultilevel"/>
    <w:lvl w:ilvl="0">
      <w:lvlJc w:val="left"/>
      <w:lvlText w:val="%1."/>
      <w:numFmt w:val="upperLetter"/>
      <w:start w:val="17"/>
    </w:lvl>
    <w:lvl w:ilvl="1">
      <w:lvlJc w:val="left"/>
      <w:lvlText w:val="%2"/>
      <w:numFmt w:val="lowerRoman"/>
      <w:start w:val="1"/>
    </w:lvl>
  </w:abstractNum>
  <w:abstractNum w:abstractNumId="73">
    <w:nsid w:val="3785655A"/>
    <w:multiLevelType w:val="hybridMultilevel"/>
    <w:lvl w:ilvl="0">
      <w:lvlJc w:val="left"/>
      <w:lvlText w:val="%1."/>
      <w:numFmt w:val="upperLetter"/>
      <w:start w:val="1"/>
    </w:lvl>
    <w:lvl w:ilvl="1">
      <w:lvlJc w:val="left"/>
      <w:lvlText w:val="(%2)"/>
      <w:numFmt w:val="lowerRoman"/>
      <w:start w:val="1"/>
    </w:lvl>
  </w:abstractNum>
  <w:abstractNum w:abstractNumId="74">
    <w:nsid w:val="B2172A"/>
    <w:multiLevelType w:val="hybridMultilevel"/>
    <w:lvl w:ilvl="0">
      <w:lvlJc w:val="left"/>
      <w:lvlText w:val="%1"/>
      <w:numFmt w:val="upperLetter"/>
      <w:start w:val="1"/>
    </w:lvl>
    <w:lvl w:ilvl="1">
      <w:lvlJc w:val="left"/>
      <w:lvlText w:val="(%2)"/>
      <w:numFmt w:val="lowerRoman"/>
      <w:start w:val="6"/>
    </w:lvl>
  </w:abstractNum>
  <w:abstractNum w:abstractNumId="75">
    <w:nsid w:val="532C34A5"/>
    <w:multiLevelType w:val="hybridMultilevel"/>
    <w:lvl w:ilvl="0">
      <w:lvlJc w:val="left"/>
      <w:lvlText w:val="%1."/>
      <w:numFmt w:val="upperLetter"/>
      <w:start w:val="17"/>
    </w:lvl>
    <w:lvl w:ilvl="1">
      <w:lvlJc w:val="left"/>
      <w:lvlText w:val="%2"/>
      <w:numFmt w:val="lowerRoman"/>
      <w:start w:val="1"/>
    </w:lvl>
  </w:abstractNum>
  <w:abstractNum w:abstractNumId="76">
    <w:nsid w:val="102809E2"/>
    <w:multiLevelType w:val="hybridMultilevel"/>
    <w:lvl w:ilvl="0">
      <w:lvlJc w:val="left"/>
      <w:lvlText w:val="%1."/>
      <w:numFmt w:val="upperLetter"/>
      <w:start w:val="1"/>
    </w:lvl>
    <w:lvl w:ilvl="1">
      <w:lvlJc w:val="left"/>
      <w:lvlText w:val="%2"/>
      <w:numFmt w:val="lowerRoman"/>
      <w:start w:val="1"/>
    </w:lvl>
  </w:abstractNum>
  <w:abstractNum w:abstractNumId="77">
    <w:nsid w:val="3B2125A3"/>
    <w:multiLevelType w:val="hybridMultilevel"/>
    <w:lvl w:ilvl="0">
      <w:lvlJc w:val="left"/>
      <w:lvlText w:val="%1."/>
      <w:numFmt w:val="upperLetter"/>
      <w:start w:val="17"/>
    </w:lvl>
    <w:lvl w:ilvl="1">
      <w:lvlJc w:val="left"/>
      <w:lvlText w:val="%2"/>
      <w:numFmt w:val="lowerRoman"/>
      <w:start w:val="1"/>
    </w:lvl>
  </w:abstractNum>
  <w:abstractNum w:abstractNumId="78">
    <w:nsid w:val="AC68FFB"/>
    <w:multiLevelType w:val="hybridMultilevel"/>
    <w:lvl w:ilvl="0">
      <w:lvlJc w:val="left"/>
      <w:lvlText w:val="%1."/>
      <w:numFmt w:val="upperLetter"/>
      <w:start w:val="1"/>
    </w:lvl>
    <w:lvl w:ilvl="1">
      <w:lvlJc w:val="left"/>
      <w:lvlText w:val="%2"/>
      <w:numFmt w:val="lowerRoman"/>
      <w:start w:val="1"/>
    </w:lvl>
  </w:abstractNum>
  <w:abstractNum w:abstractNumId="79">
    <w:nsid w:val="63DF3FB7"/>
    <w:multiLevelType w:val="hybridMultilevel"/>
    <w:lvl w:ilvl="0">
      <w:lvlJc w:val="left"/>
      <w:lvlText w:val="%1."/>
      <w:numFmt w:val="upperLetter"/>
      <w:start w:val="17"/>
    </w:lvl>
  </w:abstractNum>
  <w:abstractNum w:abstractNumId="80">
    <w:nsid w:val="64996E13"/>
    <w:multiLevelType w:val="hybridMultilevel"/>
    <w:lvl w:ilvl="0">
      <w:lvlJc w:val="left"/>
      <w:lvlText w:val="%1."/>
      <w:numFmt w:val="upperLetter"/>
      <w:start w:val="1"/>
    </w:lvl>
  </w:abstractNum>
  <w:abstractNum w:abstractNumId="81">
    <w:nsid w:val="57A37D47"/>
    <w:multiLevelType w:val="hybridMultilevel"/>
    <w:lvl w:ilvl="0">
      <w:lvlJc w:val="left"/>
      <w:lvlText w:val="%1."/>
      <w:numFmt w:val="upperLetter"/>
      <w:start w:val="17"/>
    </w:lvl>
  </w:abstractNum>
  <w:abstractNum w:abstractNumId="82">
    <w:nsid w:val="74824D54"/>
    <w:multiLevelType w:val="hybridMultilevel"/>
    <w:lvl w:ilvl="0">
      <w:lvlJc w:val="left"/>
      <w:lvlText w:val="%1."/>
      <w:numFmt w:val="upperLetter"/>
      <w:start w:val="1"/>
    </w:lvl>
  </w:abstractNum>
  <w:abstractNum w:abstractNumId="83">
    <w:nsid w:val="6F00529A"/>
    <w:multiLevelType w:val="hybridMultilevel"/>
    <w:lvl w:ilvl="0">
      <w:lvlJc w:val="left"/>
      <w:lvlText w:val="%1."/>
      <w:numFmt w:val="upperLetter"/>
      <w:start w:val="17"/>
    </w:lvl>
  </w:abstractNum>
  <w:abstractNum w:abstractNumId="84">
    <w:nsid w:val="805B331"/>
    <w:multiLevelType w:val="hybridMultilevel"/>
    <w:lvl w:ilvl="0">
      <w:lvlJc w:val="left"/>
      <w:lvlText w:val="%1."/>
      <w:numFmt w:val="upperLetter"/>
      <w:start w:val="1"/>
    </w:lvl>
  </w:abstractNum>
  <w:abstractNum w:abstractNumId="85">
    <w:nsid w:val="60A1463"/>
    <w:multiLevelType w:val="hybridMultilevel"/>
    <w:lvl w:ilvl="0">
      <w:lvlJc w:val="left"/>
      <w:lvlText w:val="%1."/>
      <w:numFmt w:val="upperLetter"/>
      <w:start w:val="17"/>
    </w:lvl>
  </w:abstractNum>
  <w:abstractNum w:abstractNumId="86">
    <w:nsid w:val="43773132"/>
    <w:multiLevelType w:val="hybridMultilevel"/>
    <w:lvl w:ilvl="0">
      <w:lvlJc w:val="left"/>
      <w:lvlText w:val="%1."/>
      <w:numFmt w:val="upperLetter"/>
      <w:start w:val="1"/>
    </w:lvl>
  </w:abstractNum>
  <w:abstractNum w:abstractNumId="87">
    <w:nsid w:val="16AC4B23"/>
    <w:multiLevelType w:val="hybridMultilevel"/>
    <w:lvl w:ilvl="0">
      <w:lvlJc w:val="left"/>
      <w:lvlText w:val="%1."/>
      <w:numFmt w:val="upperLetter"/>
      <w:start w:val="17"/>
    </w:lvl>
  </w:abstractNum>
  <w:abstractNum w:abstractNumId="88">
    <w:nsid w:val="76C44E4E"/>
    <w:multiLevelType w:val="hybridMultilevel"/>
    <w:lvl w:ilvl="0">
      <w:lvlJc w:val="left"/>
      <w:lvlText w:val="%1."/>
      <w:numFmt w:val="upperLetter"/>
      <w:start w:val="1"/>
    </w:lvl>
  </w:abstractNum>
  <w:abstractNum w:abstractNumId="89">
    <w:nsid w:val="E04E6CE"/>
    <w:multiLevelType w:val="hybridMultilevel"/>
    <w:lvl w:ilvl="0">
      <w:lvlJc w:val="left"/>
      <w:lvlText w:val="%1."/>
      <w:numFmt w:val="upperLetter"/>
      <w:start w:val="17"/>
    </w:lvl>
  </w:abstractNum>
  <w:abstractNum w:abstractNumId="90">
    <w:nsid w:val="31A9DB76"/>
    <w:multiLevelType w:val="hybridMultilevel"/>
    <w:lvl w:ilvl="0">
      <w:lvlJc w:val="left"/>
      <w:lvlText w:val="%1."/>
      <w:numFmt w:val="upperLetter"/>
      <w:start w:val="1"/>
    </w:lvl>
  </w:abstractNum>
  <w:abstractNum w:abstractNumId="91">
    <w:nsid w:val="4C4FFF5B"/>
    <w:multiLevelType w:val="hybridMultilevel"/>
    <w:lvl w:ilvl="0">
      <w:lvlJc w:val="left"/>
      <w:lvlText w:val="%1."/>
      <w:numFmt w:val="upperLetter"/>
      <w:start w:val="17"/>
    </w:lvl>
  </w:abstractNum>
  <w:abstractNum w:abstractNumId="92">
    <w:nsid w:val="51B76675"/>
    <w:multiLevelType w:val="hybridMultilevel"/>
    <w:lvl w:ilvl="0">
      <w:lvlJc w:val="left"/>
      <w:lvlText w:val="%1."/>
      <w:numFmt w:val="upperLetter"/>
      <w:start w:val="1"/>
    </w:lvl>
  </w:abstractNum>
  <w:abstractNum w:abstractNumId="93">
    <w:nsid w:val="59A4BA71"/>
    <w:multiLevelType w:val="hybridMultilevel"/>
    <w:lvl w:ilvl="0">
      <w:lvlJc w:val="left"/>
      <w:lvlText w:val="•"/>
      <w:numFmt w:val="bullet"/>
      <w:start w:val="1"/>
    </w:lvl>
  </w:abstractNum>
  <w:abstractNum w:abstractNumId="94">
    <w:nsid w:val="450B7FB6"/>
    <w:multiLevelType w:val="hybridMultilevel"/>
    <w:lvl w:ilvl="0">
      <w:lvlJc w:val="left"/>
      <w:lvlText w:val="(%1)"/>
      <w:numFmt w:val="lowerRoman"/>
      <w:start w:val="1"/>
    </w:lvl>
  </w:abstractNum>
  <w:abstractNum w:abstractNumId="95">
    <w:nsid w:val="340BF64D"/>
    <w:multiLevelType w:val="hybridMultilevel"/>
    <w:lvl w:ilvl="0">
      <w:lvlJc w:val="left"/>
      <w:lvlText w:val="•"/>
      <w:numFmt w:val="bullet"/>
      <w:start w:val="1"/>
    </w:lvl>
  </w:abstractNum>
  <w:abstractNum w:abstractNumId="96">
    <w:nsid w:val="69454021"/>
    <w:multiLevelType w:val="hybridMultilevel"/>
    <w:lvl w:ilvl="0">
      <w:lvlJc w:val="left"/>
      <w:lvlText w:val="%1."/>
      <w:numFmt w:val="upperLetter"/>
      <w:start w:val="1"/>
    </w:lvl>
  </w:abstractNum>
  <w:abstractNum w:abstractNumId="97">
    <w:nsid w:val="49F15C6B"/>
    <w:multiLevelType w:val="hybridMultilevel"/>
    <w:lvl w:ilvl="0">
      <w:lvlJc w:val="left"/>
      <w:lvlText w:val="%1."/>
      <w:numFmt w:val="upperLetter"/>
      <w:start w:val="1"/>
    </w:lvl>
  </w:abstractNum>
  <w:abstractNum w:abstractNumId="98">
    <w:nsid w:val="75F56228"/>
    <w:multiLevelType w:val="hybridMultilevel"/>
    <w:lvl w:ilvl="0">
      <w:lvlJc w:val="left"/>
      <w:lvlText w:val="(%1)"/>
      <w:numFmt w:val="decimal"/>
      <w:start w:val="1"/>
    </w:lvl>
  </w:abstractNum>
  <w:abstractNum w:abstractNumId="99">
    <w:nsid w:val="1C618271"/>
    <w:multiLevelType w:val="hybridMultilevel"/>
    <w:lvl w:ilvl="0">
      <w:lvlJc w:val="left"/>
      <w:lvlText w:val="&amp;"/>
      <w:numFmt w:val="bullet"/>
      <w:start w:val="1"/>
    </w:lvl>
  </w:abstractNum>
  <w:abstractNum w:abstractNumId="100">
    <w:nsid w:val="6505F02E"/>
    <w:multiLevelType w:val="hybridMultilevel"/>
    <w:lvl w:ilvl="0">
      <w:lvlJc w:val="left"/>
      <w:lvlText w:val="(%1)"/>
      <w:numFmt w:val="lowerRoman"/>
      <w:start w:val="1"/>
    </w:lvl>
  </w:abstractNum>
  <w:abstractNum w:abstractNumId="101">
    <w:nsid w:val="2FE5D025"/>
    <w:multiLevelType w:val="hybridMultilevel"/>
    <w:lvl w:ilvl="0">
      <w:lvlJc w:val="left"/>
      <w:lvlText w:val="(%1)"/>
      <w:numFmt w:val="lowerRoman"/>
      <w:start w:val="5"/>
    </w:lvl>
  </w:abstractNum>
  <w:abstractNum w:abstractNumId="102">
    <w:nsid w:val="30E1B1CF"/>
    <w:multiLevelType w:val="hybridMultilevel"/>
    <w:lvl w:ilvl="0">
      <w:lvlJc w:val="left"/>
      <w:lvlText w:val="(%1)"/>
      <w:numFmt w:val="lowerRoman"/>
      <w:start w:val="1"/>
    </w:lvl>
  </w:abstractNum>
  <w:abstractNum w:abstractNumId="103">
    <w:nsid w:val="C7A9237"/>
    <w:multiLevelType w:val="hybridMultilevel"/>
    <w:lvl w:ilvl="0">
      <w:lvlJc w:val="left"/>
      <w:lvlText w:val="•"/>
      <w:numFmt w:val="bullet"/>
      <w:start w:val="1"/>
    </w:lvl>
  </w:abstractNum>
  <w:abstractNum w:abstractNumId="104">
    <w:nsid w:val="676B3580"/>
    <w:multiLevelType w:val="hybridMultilevel"/>
    <w:lvl w:ilvl="0">
      <w:lvlJc w:val="left"/>
      <w:lvlText w:val="•"/>
      <w:numFmt w:val="bullet"/>
      <w:start w:val="1"/>
    </w:lvl>
  </w:abstractNum>
  <w:abstractNum w:abstractNumId="105">
    <w:nsid w:val="3193C8F9"/>
    <w:multiLevelType w:val="hybridMultilevel"/>
    <w:lvl w:ilvl="0">
      <w:lvlJc w:val="left"/>
      <w:lvlText w:val="(%1)"/>
      <w:numFmt w:val="lowerRoman"/>
      <w:start w:val="2"/>
    </w:lvl>
  </w:abstractNum>
  <w:abstractNum w:abstractNumId="106">
    <w:nsid w:val="5FA6C6DC"/>
    <w:multiLevelType w:val="hybridMultilevel"/>
    <w:lvl w:ilvl="0">
      <w:lvlJc w:val="left"/>
      <w:lvlText w:val="(%1)"/>
      <w:numFmt w:val="decimal"/>
      <w:start w:val="1"/>
    </w:lvl>
  </w:abstractNum>
  <w:abstractNum w:abstractNumId="107">
    <w:nsid w:val="77933F62"/>
    <w:multiLevelType w:val="hybridMultilevel"/>
    <w:lvl w:ilvl="0">
      <w:lvlJc w:val="left"/>
      <w:lvlText w:val="(%1)"/>
      <w:numFmt w:val="decimal"/>
      <w:start w:val="1"/>
    </w:lvl>
  </w:abstractNum>
  <w:abstractNum w:abstractNumId="108">
    <w:nsid w:val="6CB4EE9C"/>
    <w:multiLevelType w:val="hybridMultilevel"/>
    <w:lvl w:ilvl="0">
      <w:lvlJc w:val="left"/>
      <w:lvlText w:val="•"/>
      <w:numFmt w:val="bullet"/>
      <w:start w:val="1"/>
    </w:lvl>
  </w:abstractNum>
  <w:abstractNum w:abstractNumId="109">
    <w:nsid w:val="6A6D56D7"/>
    <w:multiLevelType w:val="hybridMultilevel"/>
    <w:lvl w:ilvl="0">
      <w:lvlJc w:val="left"/>
      <w:lvlText w:val="•"/>
      <w:numFmt w:val="bullet"/>
      <w:start w:val="1"/>
    </w:lvl>
  </w:abstractNum>
  <w:abstractNum w:abstractNumId="110">
    <w:nsid w:val="5B727F19"/>
    <w:multiLevelType w:val="hybridMultilevel"/>
    <w:lvl w:ilvl="0">
      <w:lvlJc w:val="left"/>
      <w:lvlText w:val="•"/>
      <w:numFmt w:val="bullet"/>
      <w:start w:val="1"/>
    </w:lvl>
  </w:abstractNum>
  <w:abstractNum w:abstractNumId="111">
    <w:nsid w:val="514E5CB0"/>
    <w:multiLevelType w:val="hybridMultilevel"/>
    <w:lvl w:ilvl="0">
      <w:lvlJc w:val="left"/>
      <w:lvlText w:val="•"/>
      <w:numFmt w:val="bullet"/>
      <w:start w:val="1"/>
    </w:lvl>
  </w:abstractNum>
  <w:abstractNum w:abstractNumId="112">
    <w:nsid w:val="4210D41E"/>
    <w:multiLevelType w:val="hybridMultilevel"/>
    <w:lvl w:ilvl="0">
      <w:lvlJc w:val="left"/>
      <w:lvlText w:val="•"/>
      <w:numFmt w:val="bullet"/>
      <w:start w:val="1"/>
    </w:lvl>
  </w:abstractNum>
  <w:abstractNum w:abstractNumId="113">
    <w:nsid w:val="4FF4CC6D"/>
    <w:multiLevelType w:val="hybridMultilevel"/>
    <w:lvl w:ilvl="0">
      <w:lvlJc w:val="left"/>
      <w:lvlText w:val="•"/>
      <w:numFmt w:val="bullet"/>
      <w:start w:val="1"/>
    </w:lvl>
    <w:lvl w:ilvl="1">
      <w:lvlJc w:val="left"/>
      <w:lvlText w:val="•"/>
      <w:numFmt w:val="bullet"/>
      <w:start w:val="1"/>
    </w:lvl>
  </w:abstractNum>
  <w:abstractNum w:abstractNumId="114">
    <w:nsid w:val="404EAF4A"/>
    <w:multiLevelType w:val="hybridMultilevel"/>
    <w:lvl w:ilvl="0">
      <w:lvlJc w:val="left"/>
      <w:lvlText w:val="(%1)"/>
      <w:numFmt w:val="decimal"/>
      <w:start w:val="1"/>
    </w:lvl>
    <w:lvl w:ilvl="1">
      <w:lvlJc w:val="left"/>
      <w:lvlText w:val="•"/>
      <w:numFmt w:val="bullet"/>
      <w:start w:val="1"/>
    </w:lvl>
  </w:abstractNum>
  <w:abstractNum w:abstractNumId="115">
    <w:nsid w:val="4A16874F"/>
    <w:multiLevelType w:val="hybridMultilevel"/>
    <w:lvl w:ilvl="0">
      <w:lvlJc w:val="left"/>
      <w:lvlText w:val="•"/>
      <w:numFmt w:val="bullet"/>
      <w:start w:val="1"/>
    </w:lvl>
  </w:abstractNum>
  <w:abstractNum w:abstractNumId="116">
    <w:nsid w:val="55FEE0D1"/>
    <w:multiLevelType w:val="hybridMultilevel"/>
    <w:lvl w:ilvl="0">
      <w:lvlJc w:val="left"/>
      <w:lvlText w:val="•"/>
      <w:numFmt w:val="bullet"/>
      <w:start w:val="1"/>
    </w:lvl>
  </w:abstractNum>
  <w:abstractNum w:abstractNumId="117">
    <w:nsid w:val="3C5E07C"/>
    <w:multiLevelType w:val="hybridMultilevel"/>
    <w:lvl w:ilvl="0">
      <w:lvlJc w:val="left"/>
      <w:lvlText w:val="•"/>
      <w:numFmt w:val="bullet"/>
      <w:start w:val="1"/>
    </w:lvl>
  </w:abstractNum>
  <w:abstractNum w:abstractNumId="118">
    <w:nsid w:val="60C2D273"/>
    <w:multiLevelType w:val="hybridMultilevel"/>
    <w:lvl w:ilvl="0">
      <w:lvlJc w:val="left"/>
      <w:lvlText w:val="•"/>
      <w:numFmt w:val="bullet"/>
      <w:start w:val="1"/>
    </w:lvl>
  </w:abstractNum>
  <w:abstractNum w:abstractNumId="119">
    <w:nsid w:val="4CC32F1F"/>
    <w:multiLevelType w:val="hybridMultilevel"/>
    <w:lvl w:ilvl="0">
      <w:lvlJc w:val="left"/>
      <w:lvlText w:val="•"/>
      <w:numFmt w:val="bullet"/>
      <w:start w:val="1"/>
    </w:lvl>
  </w:abstractNum>
  <w:abstractNum w:abstractNumId="120">
    <w:nsid w:val="11CAC74A"/>
    <w:multiLevelType w:val="hybridMultilevel"/>
    <w:lvl w:ilvl="0">
      <w:lvlJc w:val="left"/>
      <w:lvlText w:val="•"/>
      <w:numFmt w:val="bullet"/>
      <w:start w:val="1"/>
    </w:lvl>
  </w:abstractNum>
  <w:abstractNum w:abstractNumId="121">
    <w:nsid w:val="126CADE9"/>
    <w:multiLevelType w:val="hybridMultilevel"/>
    <w:lvl w:ilvl="0">
      <w:lvlJc w:val="left"/>
      <w:lvlText w:val="•"/>
      <w:numFmt w:val="bullet"/>
      <w:start w:val="1"/>
    </w:lvl>
  </w:abstractNum>
  <w:abstractNum w:abstractNumId="122">
    <w:nsid w:val="19132E7B"/>
    <w:multiLevelType w:val="hybridMultilevel"/>
    <w:lvl w:ilvl="0">
      <w:lvlJc w:val="left"/>
      <w:lvlText w:val="•"/>
      <w:numFmt w:val="bullet"/>
      <w:start w:val="1"/>
    </w:lvl>
  </w:abstractNum>
  <w:abstractNum w:abstractNumId="123">
    <w:nsid w:val="63822DC0"/>
    <w:multiLevelType w:val="hybridMultilevel"/>
    <w:lvl w:ilvl="0">
      <w:lvlJc w:val="left"/>
      <w:lvlText w:val="•"/>
      <w:numFmt w:val="bullet"/>
      <w:start w:val="1"/>
    </w:lvl>
  </w:abstractNum>
  <w:abstractNum w:abstractNumId="124">
    <w:nsid w:val="6C11685A"/>
    <w:multiLevelType w:val="hybridMultilevel"/>
    <w:lvl w:ilvl="0">
      <w:lvlJc w:val="left"/>
      <w:lvlText w:val="•"/>
      <w:numFmt w:val="bullet"/>
      <w:start w:val="1"/>
    </w:lvl>
  </w:abstractNum>
  <w:abstractNum w:abstractNumId="125">
    <w:nsid w:val="5E1EAE31"/>
    <w:multiLevelType w:val="hybridMultilevel"/>
    <w:lvl w:ilvl="0">
      <w:lvlJc w:val="left"/>
      <w:lvlText w:val="•"/>
      <w:numFmt w:val="bullet"/>
      <w:start w:val="1"/>
    </w:lvl>
  </w:abstractNum>
  <w:abstractNum w:abstractNumId="126">
    <w:nsid w:val="178E240D"/>
    <w:multiLevelType w:val="hybridMultilevel"/>
    <w:lvl w:ilvl="0">
      <w:lvlJc w:val="left"/>
      <w:lvlText w:val="•"/>
      <w:numFmt w:val="bullet"/>
      <w:start w:val="1"/>
    </w:lvl>
  </w:abstractNum>
  <w:abstractNum w:abstractNumId="127">
    <w:nsid w:val="5556A87B"/>
    <w:multiLevelType w:val="hybridMultilevel"/>
    <w:lvl w:ilvl="0">
      <w:lvlJc w:val="left"/>
      <w:lvlText w:val="•"/>
      <w:numFmt w:val="bullet"/>
      <w:start w:val="1"/>
    </w:lvl>
  </w:abstractNum>
  <w:abstractNum w:abstractNumId="128">
    <w:nsid w:val="28100A9C"/>
    <w:multiLevelType w:val="hybridMultilevel"/>
    <w:lvl w:ilvl="0">
      <w:lvlJc w:val="left"/>
      <w:lvlText w:val="•"/>
      <w:numFmt w:val="bullet"/>
      <w:start w:val="1"/>
    </w:lvl>
  </w:abstractNum>
  <w:abstractNum w:abstractNumId="129">
    <w:nsid w:val="D838636"/>
    <w:multiLevelType w:val="hybridMultilevel"/>
    <w:lvl w:ilvl="0">
      <w:lvlJc w:val="left"/>
      <w:lvlText w:val="•"/>
      <w:numFmt w:val="bullet"/>
      <w:start w:val="1"/>
    </w:lvl>
  </w:abstractNum>
  <w:abstractNum w:abstractNumId="130">
    <w:nsid w:val="71B82AED"/>
    <w:multiLevelType w:val="hybridMultilevel"/>
    <w:lvl w:ilvl="0">
      <w:lvlJc w:val="left"/>
      <w:lvlText w:val="•"/>
      <w:numFmt w:val="bullet"/>
      <w:start w:val="1"/>
    </w:lvl>
  </w:abstractNum>
  <w:abstractNum w:abstractNumId="131">
    <w:nsid w:val="D15FACA"/>
    <w:multiLevelType w:val="hybridMultilevel"/>
    <w:lvl w:ilvl="0">
      <w:lvlJc w:val="left"/>
      <w:lvlText w:val="•"/>
      <w:numFmt w:val="bullet"/>
      <w:start w:val="1"/>
    </w:lvl>
  </w:abstractNum>
  <w:abstractNum w:abstractNumId="132">
    <w:nsid w:val="3D69565B"/>
    <w:multiLevelType w:val="hybridMultilevel"/>
    <w:lvl w:ilvl="0">
      <w:lvlJc w:val="left"/>
      <w:lvlText w:val="•"/>
      <w:numFmt w:val="bullet"/>
      <w:start w:val="1"/>
    </w:lvl>
  </w:abstractNum>
  <w:abstractNum w:abstractNumId="133">
    <w:nsid w:val="2299DCBC"/>
    <w:multiLevelType w:val="hybridMultilevel"/>
    <w:lvl w:ilvl="0">
      <w:lvlJc w:val="left"/>
      <w:lvlText w:val="•"/>
      <w:numFmt w:val="bullet"/>
      <w:start w:val="1"/>
    </w:lvl>
  </w:abstractNum>
  <w:abstractNum w:abstractNumId="134">
    <w:nsid w:val="19908D02"/>
    <w:multiLevelType w:val="hybridMultilevel"/>
    <w:lvl w:ilvl="0">
      <w:lvlJc w:val="left"/>
      <w:lvlText w:val="•"/>
      <w:numFmt w:val="bullet"/>
      <w:start w:val="1"/>
    </w:lvl>
  </w:abstractNum>
  <w:abstractNum w:abstractNumId="135">
    <w:nsid w:val="24D48BDB"/>
    <w:multiLevelType w:val="hybridMultilevel"/>
    <w:lvl w:ilvl="0">
      <w:lvlJc w:val="left"/>
      <w:lvlText w:val="•"/>
      <w:numFmt w:val="bullet"/>
      <w:start w:val="1"/>
    </w:lvl>
  </w:abstractNum>
  <w:abstractNum w:abstractNumId="136">
    <w:nsid w:val="542DA5B5"/>
    <w:multiLevelType w:val="hybridMultilevel"/>
    <w:lvl w:ilvl="0">
      <w:lvlJc w:val="left"/>
      <w:lvlText w:val="•"/>
      <w:numFmt w:val="bullet"/>
      <w:start w:val="1"/>
    </w:lvl>
  </w:abstractNum>
  <w:abstractNum w:abstractNumId="137">
    <w:nsid w:val="793753DE"/>
    <w:multiLevelType w:val="hybridMultilevel"/>
    <w:lvl w:ilvl="0">
      <w:lvlJc w:val="left"/>
      <w:lvlText w:val="•"/>
      <w:numFmt w:val="bullet"/>
      <w:start w:val="1"/>
    </w:lvl>
  </w:abstractNum>
  <w:abstractNum w:abstractNumId="138">
    <w:nsid w:val="1C67CB3D"/>
    <w:multiLevelType w:val="hybridMultilevel"/>
    <w:lvl w:ilvl="0">
      <w:lvlJc w:val="left"/>
      <w:lvlText w:val="(%1)"/>
      <w:numFmt w:val="lowerRoman"/>
      <w:start w:val="2"/>
    </w:lvl>
  </w:abstractNum>
  <w:abstractNum w:abstractNumId="139">
    <w:nsid w:val="40E29452"/>
    <w:multiLevelType w:val="hybridMultilevel"/>
    <w:lvl w:ilvl="0">
      <w:lvlJc w:val="left"/>
      <w:lvlText w:val="•"/>
      <w:numFmt w:val="bullet"/>
      <w:start w:val="1"/>
    </w:lvl>
  </w:abstractNum>
  <w:abstractNum w:abstractNumId="140">
    <w:nsid w:val="63A4AAB6"/>
    <w:multiLevelType w:val="hybridMultilevel"/>
    <w:lvl w:ilvl="0">
      <w:lvlJc w:val="left"/>
      <w:lvlText w:val="•"/>
      <w:numFmt w:val="bullet"/>
      <w:start w:val="1"/>
    </w:lvl>
  </w:abstractNum>
  <w:abstractNum w:abstractNumId="141">
    <w:nsid w:val="77DA4A57"/>
    <w:multiLevelType w:val="hybridMultilevel"/>
    <w:lvl w:ilvl="0">
      <w:lvlJc w:val="left"/>
      <w:lvlText w:val="•"/>
      <w:numFmt w:val="bullet"/>
      <w:start w:val="1"/>
    </w:lvl>
  </w:abstractNum>
  <w:abstractNum w:abstractNumId="142">
    <w:nsid w:val="1230F102"/>
    <w:multiLevelType w:val="hybridMultilevel"/>
    <w:lvl w:ilvl="0">
      <w:lvlJc w:val="left"/>
      <w:lvlText w:val="(%1)"/>
      <w:numFmt w:val="lowerRoman"/>
      <w:start w:val="2"/>
    </w:lvl>
  </w:abstractNum>
  <w:abstractNum w:abstractNumId="143">
    <w:nsid w:val="25B57ED4"/>
    <w:multiLevelType w:val="hybridMultilevel"/>
    <w:lvl w:ilvl="0">
      <w:lvlJc w:val="left"/>
      <w:lvlText w:val="•"/>
      <w:numFmt w:val="bullet"/>
      <w:start w:val="1"/>
    </w:lvl>
    <w:lvl w:ilvl="1">
      <w:lvlJc w:val="left"/>
      <w:lvlText w:val="•"/>
      <w:numFmt w:val="bullet"/>
      <w:start w:val="1"/>
    </w:lvl>
  </w:abstractNum>
  <w:abstractNum w:abstractNumId="144">
    <w:nsid w:val="47CF16C4"/>
    <w:multiLevelType w:val="hybridMultilevel"/>
    <w:lvl w:ilvl="0">
      <w:lvlJc w:val="left"/>
      <w:lvlText w:val="•"/>
      <w:numFmt w:val="bullet"/>
      <w:start w:val="1"/>
    </w:lvl>
  </w:abstractNum>
  <w:abstractNum w:abstractNumId="145">
    <w:nsid w:val="527FA04C"/>
    <w:multiLevelType w:val="hybridMultilevel"/>
    <w:lvl w:ilvl="0">
      <w:lvlJc w:val="left"/>
      <w:lvlText w:val="•"/>
      <w:numFmt w:val="bullet"/>
      <w:start w:val="1"/>
    </w:lvl>
  </w:abstractNum>
  <w:abstractNum w:abstractNumId="146">
    <w:nsid w:val="6FCC0624"/>
    <w:multiLevelType w:val="hybridMultilevel"/>
    <w:lvl w:ilvl="0">
      <w:lvlJc w:val="left"/>
      <w:lvlText w:val="•"/>
      <w:numFmt w:val="bullet"/>
      <w:start w:val="1"/>
    </w:lvl>
  </w:abstractNum>
  <w:abstractNum w:abstractNumId="147">
    <w:nsid w:val="1DCDF795"/>
    <w:multiLevelType w:val="hybridMultilevel"/>
    <w:lvl w:ilvl="0">
      <w:lvlJc w:val="left"/>
      <w:lvlText w:val="(%1)"/>
      <w:numFmt w:val="lowerRoman"/>
      <w:start w:val="1"/>
    </w:lvl>
  </w:abstractNum>
  <w:abstractNum w:abstractNumId="148">
    <w:nsid w:val="564580C8"/>
    <w:multiLevelType w:val="hybridMultilevel"/>
    <w:lvl w:ilvl="0">
      <w:lvlJc w:val="left"/>
      <w:lvlText w:val="(%1)"/>
      <w:numFmt w:val="lowerLetter"/>
      <w:start w:val="1"/>
    </w:lvl>
  </w:abstractNum>
  <w:abstractNum w:abstractNumId="149">
    <w:nsid w:val="508ED897"/>
    <w:multiLevelType w:val="hybridMultilevel"/>
    <w:lvl w:ilvl="0">
      <w:lvlJc w:val="left"/>
      <w:lvlText w:val="•"/>
      <w:numFmt w:val="bullet"/>
      <w:start w:val="1"/>
    </w:lvl>
  </w:abstractNum>
  <w:abstractNum w:abstractNumId="150">
    <w:nsid w:val="6A9126B5"/>
    <w:multiLevelType w:val="hybridMultilevel"/>
    <w:lvl w:ilvl="0">
      <w:lvlJc w:val="left"/>
      <w:lvlText w:val="•"/>
      <w:numFmt w:val="bullet"/>
      <w:start w:val="1"/>
    </w:lvl>
  </w:abstractNum>
  <w:abstractNum w:abstractNumId="151">
    <w:nsid w:val="68104812"/>
    <w:multiLevelType w:val="hybridMultilevel"/>
    <w:lvl w:ilvl="0">
      <w:lvlJc w:val="left"/>
      <w:lvlText w:val="•"/>
      <w:numFmt w:val="bullet"/>
      <w:start w:val="1"/>
    </w:lvl>
  </w:abstractNum>
  <w:abstractNum w:abstractNumId="152">
    <w:nsid w:val="62FB8680"/>
    <w:multiLevelType w:val="hybridMultilevel"/>
    <w:lvl w:ilvl="0">
      <w:lvlJc w:val="left"/>
      <w:lvlText w:val="•"/>
      <w:numFmt w:val="bullet"/>
      <w:start w:val="1"/>
    </w:lvl>
  </w:abstractNum>
  <w:abstractNum w:abstractNumId="153">
    <w:nsid w:val="3A45530"/>
    <w:multiLevelType w:val="hybridMultilevel"/>
    <w:lvl w:ilvl="0">
      <w:lvlJc w:val="left"/>
      <w:lvlText w:val="•"/>
      <w:numFmt w:val="bullet"/>
      <w:start w:val="1"/>
    </w:lvl>
  </w:abstractNum>
  <w:abstractNum w:abstractNumId="154">
    <w:nsid w:val="4B9275D2"/>
    <w:multiLevelType w:val="hybridMultilevel"/>
    <w:lvl w:ilvl="0">
      <w:lvlJc w:val="left"/>
      <w:lvlText w:val="•"/>
      <w:numFmt w:val="bullet"/>
      <w:start w:val="1"/>
    </w:lvl>
  </w:abstractNum>
  <w:abstractNum w:abstractNumId="155">
    <w:nsid w:val="4F0CEEDB"/>
    <w:multiLevelType w:val="hybridMultilevel"/>
    <w:lvl w:ilvl="0">
      <w:lvlJc w:val="left"/>
      <w:lvlText w:val="•"/>
      <w:numFmt w:val="bullet"/>
      <w:start w:val="1"/>
    </w:lvl>
  </w:abstractNum>
  <w:abstractNum w:abstractNumId="156">
    <w:nsid w:val="61C30361"/>
    <w:multiLevelType w:val="hybridMultilevel"/>
    <w:lvl w:ilvl="0">
      <w:lvlJc w:val="left"/>
      <w:lvlText w:val="•"/>
      <w:numFmt w:val="bullet"/>
      <w:start w:val="1"/>
    </w:lvl>
  </w:abstractNum>
  <w:abstractNum w:abstractNumId="157">
    <w:nsid w:val="632099E0"/>
    <w:multiLevelType w:val="hybridMultilevel"/>
    <w:lvl w:ilvl="0">
      <w:lvlJc w:val="left"/>
      <w:lvlText w:val="•"/>
      <w:numFmt w:val="bullet"/>
      <w:start w:val="1"/>
    </w:lvl>
  </w:abstractNum>
  <w:abstractNum w:abstractNumId="158">
    <w:nsid w:val="24639756"/>
    <w:multiLevelType w:val="hybridMultilevel"/>
    <w:lvl w:ilvl="0">
      <w:lvlJc w:val="left"/>
      <w:lvlText w:val="•"/>
      <w:numFmt w:val="bullet"/>
      <w:start w:val="1"/>
    </w:lvl>
  </w:abstractNum>
  <w:abstractNum w:abstractNumId="159">
    <w:nsid w:val="9D30DFD"/>
    <w:multiLevelType w:val="hybridMultilevel"/>
    <w:lvl w:ilvl="0">
      <w:lvlJc w:val="left"/>
      <w:lvlText w:val="▪"/>
      <w:numFmt w:val="bullet"/>
      <w:start w:val="1"/>
    </w:lvl>
  </w:abstractNum>
  <w:abstractNum w:abstractNumId="160">
    <w:nsid w:val="70A42016"/>
    <w:multiLevelType w:val="hybridMultilevel"/>
    <w:lvl w:ilvl="0">
      <w:lvlJc w:val="left"/>
      <w:lvlText w:val="•"/>
      <w:numFmt w:val="bullet"/>
      <w:start w:val="1"/>
    </w:lvl>
  </w:abstractNum>
  <w:abstractNum w:abstractNumId="161">
    <w:nsid w:val="161BC243"/>
    <w:multiLevelType w:val="hybridMultilevel"/>
    <w:lvl w:ilvl="0">
      <w:lvlJc w:val="left"/>
      <w:lvlText w:val="•"/>
      <w:numFmt w:val="bullet"/>
      <w:start w:val="1"/>
    </w:lvl>
  </w:abstractNum>
  <w:abstractNum w:abstractNumId="162">
    <w:nsid w:val="16E908C8"/>
    <w:multiLevelType w:val="hybridMultilevel"/>
    <w:lvl w:ilvl="0">
      <w:lvlJc w:val="left"/>
      <w:lvlText w:val="•"/>
      <w:numFmt w:val="bullet"/>
      <w:start w:val="1"/>
    </w:lvl>
  </w:abstractNum>
  <w:abstractNum w:abstractNumId="163">
    <w:nsid w:val="2E0D7671"/>
    <w:multiLevelType w:val="hybridMultilevel"/>
    <w:lvl w:ilvl="0">
      <w:lvlJc w:val="left"/>
      <w:lvlText w:val="•"/>
      <w:numFmt w:val="bullet"/>
      <w:start w:val="1"/>
    </w:lvl>
  </w:abstractNum>
  <w:abstractNum w:abstractNumId="164">
    <w:nsid w:val="38B59EFF"/>
    <w:multiLevelType w:val="hybridMultilevel"/>
    <w:lvl w:ilvl="0">
      <w:lvlJc w:val="left"/>
      <w:lvlText w:val="•"/>
      <w:numFmt w:val="bullet"/>
      <w:start w:val="1"/>
    </w:lvl>
  </w:abstractNum>
  <w:abstractNum w:abstractNumId="165">
    <w:nsid w:val="307995CA"/>
    <w:multiLevelType w:val="hybridMultilevel"/>
    <w:lvl w:ilvl="0">
      <w:lvlJc w:val="left"/>
      <w:lvlText w:val="•"/>
      <w:numFmt w:val="bullet"/>
      <w:start w:val="1"/>
    </w:lvl>
    <w:lvl w:ilvl="1">
      <w:lvlJc w:val="left"/>
      <w:lvlText w:val="•"/>
      <w:numFmt w:val="bullet"/>
      <w:start w:val="1"/>
    </w:lvl>
  </w:abstractNum>
  <w:abstractNum w:abstractNumId="166">
    <w:nsid w:val="52E2024D"/>
    <w:multiLevelType w:val="hybridMultilevel"/>
    <w:lvl w:ilvl="0">
      <w:lvlJc w:val="left"/>
      <w:lvlText w:val="(%1)"/>
      <w:numFmt w:val="decimal"/>
      <w:start w:val="1"/>
    </w:lvl>
  </w:abstractNum>
  <w:abstractNum w:abstractNumId="167">
    <w:nsid w:val="CE344B5"/>
    <w:multiLevelType w:val="hybridMultilevel"/>
    <w:lvl w:ilvl="0">
      <w:lvlJc w:val="left"/>
      <w:lvlText w:val="(%1)"/>
      <w:numFmt w:val="lowerRoman"/>
      <w:start w:val="2"/>
    </w:lvl>
  </w:abstractNum>
  <w:abstractNum w:abstractNumId="168">
    <w:nsid w:val="29B0E9A8"/>
    <w:multiLevelType w:val="hybridMultilevel"/>
    <w:lvl w:ilvl="0">
      <w:lvlJc w:val="left"/>
      <w:lvlText w:val="(%1)"/>
      <w:numFmt w:val="lowerLetter"/>
      <w:start w:val="10"/>
    </w:lvl>
  </w:abstractNum>
  <w:abstractNum w:abstractNumId="169">
    <w:nsid w:val="6F49CD8A"/>
    <w:multiLevelType w:val="hybridMultilevel"/>
    <w:lvl w:ilvl="0">
      <w:lvlJc w:val="left"/>
      <w:lvlText w:val="%1."/>
      <w:numFmt w:val="upperLetter"/>
      <w:start w:val="1"/>
    </w:lvl>
  </w:abstractNum>
  <w:abstractNum w:abstractNumId="170">
    <w:nsid w:val="4DC5D907"/>
    <w:multiLevelType w:val="hybridMultilevel"/>
    <w:lvl w:ilvl="0">
      <w:lvlJc w:val="left"/>
      <w:lvlText w:val="%1."/>
      <w:numFmt w:val="upperLetter"/>
      <w:start w:val="1"/>
    </w:lvl>
  </w:abstractNum>
  <w:abstractNum w:abstractNumId="171">
    <w:nsid w:val="D55945E"/>
    <w:multiLevelType w:val="hybridMultilevel"/>
    <w:lvl w:ilvl="0">
      <w:lvlJc w:val="left"/>
      <w:lvlText w:val="%1."/>
      <w:numFmt w:val="upperLetter"/>
      <w:start w:val="7"/>
    </w:lvl>
  </w:abstractNum>
  <w:abstractNum w:abstractNumId="172">
    <w:nsid w:val="672417E1"/>
    <w:multiLevelType w:val="hybridMultilevel"/>
    <w:lvl w:ilvl="0">
      <w:lvlJc w:val="left"/>
      <w:lvlText w:val="•"/>
      <w:numFmt w:val="bullet"/>
      <w:start w:val="1"/>
    </w:lvl>
  </w:abstractNum>
  <w:abstractNum w:abstractNumId="173">
    <w:nsid w:val="5FF6CA09"/>
    <w:multiLevelType w:val="hybridMultilevel"/>
    <w:lvl w:ilvl="0">
      <w:lvlJc w:val="left"/>
      <w:lvlText w:val="•"/>
      <w:numFmt w:val="bullet"/>
      <w:start w:val="1"/>
    </w:lvl>
  </w:abstractNum>
  <w:abstractNum w:abstractNumId="174">
    <w:nsid w:val="330B1333"/>
    <w:multiLevelType w:val="hybridMultilevel"/>
    <w:lvl w:ilvl="0">
      <w:lvlJc w:val="left"/>
      <w:lvlText w:val="•"/>
      <w:numFmt w:val="bullet"/>
      <w:start w:val="1"/>
    </w:lvl>
  </w:abstractNum>
  <w:abstractNum w:abstractNumId="175">
    <w:nsid w:val="2EF32EA6"/>
    <w:multiLevelType w:val="hybridMultilevel"/>
    <w:lvl w:ilvl="0">
      <w:lvlJc w:val="left"/>
      <w:lvlText w:val="•"/>
      <w:numFmt w:val="bullet"/>
      <w:start w:val="1"/>
    </w:lvl>
  </w:abstractNum>
  <w:abstractNum w:abstractNumId="176">
    <w:nsid w:val="32766A55"/>
    <w:multiLevelType w:val="hybridMultilevel"/>
    <w:lvl w:ilvl="0">
      <w:lvlJc w:val="left"/>
      <w:lvlText w:val="•"/>
      <w:numFmt w:val="bullet"/>
      <w:start w:val="1"/>
    </w:lvl>
  </w:abstractNum>
  <w:abstractNum w:abstractNumId="177">
    <w:nsid w:val="22D71957"/>
    <w:multiLevelType w:val="hybridMultilevel"/>
    <w:lvl w:ilvl="0">
      <w:lvlJc w:val="left"/>
      <w:lvlText w:val="•"/>
      <w:numFmt w:val="bullet"/>
      <w:start w:val="1"/>
    </w:lvl>
  </w:abstractNum>
  <w:abstractNum w:abstractNumId="178">
    <w:nsid w:val="4CC1263B"/>
    <w:multiLevelType w:val="hybridMultilevel"/>
    <w:lvl w:ilvl="0">
      <w:lvlJc w:val="left"/>
      <w:lvlText w:val="•"/>
      <w:numFmt w:val="bullet"/>
      <w:start w:val="1"/>
    </w:lvl>
  </w:abstractNum>
  <w:abstractNum w:abstractNumId="179">
    <w:nsid w:val="8BBEB1D"/>
    <w:multiLevelType w:val="hybridMultilevel"/>
    <w:lvl w:ilvl="0">
      <w:lvlJc w:val="left"/>
      <w:lvlText w:val="(%1)"/>
      <w:numFmt w:val="lowerRoman"/>
      <w:start w:val="2"/>
    </w:lvl>
  </w:abstractNum>
  <w:abstractNum w:abstractNumId="180">
    <w:nsid w:val="7365F1EE"/>
    <w:multiLevelType w:val="hybridMultilevel"/>
    <w:lvl w:ilvl="0">
      <w:lvlJc w:val="left"/>
      <w:lvlText w:val="•"/>
      <w:numFmt w:val="bullet"/>
      <w:start w:val="1"/>
    </w:lvl>
  </w:abstractNum>
  <w:abstractNum w:abstractNumId="181">
    <w:nsid w:val="37524CF0"/>
    <w:multiLevelType w:val="hybridMultilevel"/>
    <w:lvl w:ilvl="0">
      <w:lvlJc w:val="left"/>
      <w:lvlText w:val="•"/>
      <w:numFmt w:val="bullet"/>
      <w:start w:val="1"/>
    </w:lvl>
  </w:abstractNum>
  <w:abstractNum w:abstractNumId="182">
    <w:nsid w:val="70CC332F"/>
    <w:multiLevelType w:val="hybridMultilevel"/>
    <w:lvl w:ilvl="0">
      <w:lvlJc w:val="left"/>
      <w:lvlText w:val="(%1)"/>
      <w:numFmt w:val="lowerRoman"/>
      <w:start w:val="1"/>
    </w:lvl>
  </w:abstractNum>
  <w:abstractNum w:abstractNumId="183">
    <w:nsid w:val="5661786E"/>
    <w:multiLevelType w:val="hybridMultilevel"/>
    <w:lvl w:ilvl="0">
      <w:lvlJc w:val="left"/>
      <w:lvlText w:val="•"/>
      <w:numFmt w:val="bullet"/>
      <w:start w:val="1"/>
    </w:lvl>
  </w:abstractNum>
  <w:abstractNum w:abstractNumId="184">
    <w:nsid w:val="3AF6A220"/>
    <w:multiLevelType w:val="hybridMultilevel"/>
    <w:lvl w:ilvl="0">
      <w:lvlJc w:val="left"/>
      <w:lvlText w:val="(%1)"/>
      <w:numFmt w:val="lowerRoman"/>
      <w:start w:val="1"/>
    </w:lvl>
  </w:abstractNum>
  <w:abstractNum w:abstractNumId="185">
    <w:nsid w:val="3C5EA902"/>
    <w:multiLevelType w:val="hybridMultilevel"/>
    <w:lvl w:ilvl="0">
      <w:lvlJc w:val="left"/>
      <w:lvlText w:val="•"/>
      <w:numFmt w:val="bullet"/>
      <w:start w:val="1"/>
    </w:lvl>
  </w:abstractNum>
  <w:abstractNum w:abstractNumId="186">
    <w:nsid w:val="256E6749"/>
    <w:multiLevelType w:val="hybridMultilevel"/>
    <w:lvl w:ilvl="0">
      <w:lvlJc w:val="left"/>
      <w:lvlText w:val="•"/>
      <w:numFmt w:val="bullet"/>
      <w:start w:val="1"/>
    </w:lvl>
  </w:abstractNum>
  <w:abstractNum w:abstractNumId="187">
    <w:nsid w:val="1CB9A581"/>
    <w:multiLevelType w:val="hybridMultilevel"/>
    <w:lvl w:ilvl="0">
      <w:lvlJc w:val="left"/>
      <w:lvlText w:val="%1."/>
      <w:numFmt w:val="upperLetter"/>
      <w:start w:val="1"/>
    </w:lvl>
  </w:abstractNum>
  <w:abstractNum w:abstractNumId="188">
    <w:nsid w:val="1F7F42E2"/>
    <w:multiLevelType w:val="hybridMultilevel"/>
    <w:lvl w:ilvl="0">
      <w:lvlJc w:val="left"/>
      <w:lvlText w:val="%1."/>
      <w:numFmt w:val="upperLetter"/>
      <w:start w:val="12"/>
    </w:lvl>
  </w:abstractNum>
  <w:abstractNum w:abstractNumId="189">
    <w:nsid w:val="49D1FEA0"/>
    <w:multiLevelType w:val="hybridMultilevel"/>
    <w:lvl w:ilvl="0">
      <w:lvlJc w:val="left"/>
      <w:lvlText w:val="•"/>
      <w:numFmt w:val="bullet"/>
      <w:start w:val="1"/>
    </w:lvl>
  </w:abstractNum>
  <w:abstractNum w:abstractNumId="190">
    <w:nsid w:val="268CB37F"/>
    <w:multiLevelType w:val="hybridMultilevel"/>
    <w:lvl w:ilvl="0">
      <w:lvlJc w:val="left"/>
      <w:lvlText w:val="(%1)"/>
      <w:numFmt w:val="lowerRoman"/>
      <w:start w:val="3"/>
    </w:lvl>
  </w:abstractNum>
  <w:abstractNum w:abstractNumId="191">
    <w:nsid w:val="102362F8"/>
    <w:multiLevelType w:val="hybridMultilevel"/>
    <w:lvl w:ilvl="0">
      <w:lvlJc w:val="left"/>
      <w:lvlText w:val="•"/>
      <w:numFmt w:val="bullet"/>
      <w:start w:val="1"/>
    </w:lvl>
  </w:abstractNum>
  <w:abstractNum w:abstractNumId="192">
    <w:nsid w:val="5FEDC0E3"/>
    <w:multiLevelType w:val="hybridMultilevel"/>
    <w:lvl w:ilvl="0">
      <w:lvlJc w:val="left"/>
      <w:lvlText w:val="•"/>
      <w:numFmt w:val="bullet"/>
      <w:start w:val="1"/>
    </w:lvl>
  </w:abstractNum>
  <w:abstractNum w:abstractNumId="193">
    <w:nsid w:val="3D75BC47"/>
    <w:multiLevelType w:val="hybridMultilevel"/>
    <w:lvl w:ilvl="0">
      <w:lvlJc w:val="left"/>
      <w:lvlText w:val="•"/>
      <w:numFmt w:val="bullet"/>
      <w:start w:val="1"/>
    </w:lvl>
  </w:abstractNum>
  <w:abstractNum w:abstractNumId="194">
    <w:nsid w:val="3E30D969"/>
    <w:multiLevelType w:val="hybridMultilevel"/>
    <w:lvl w:ilvl="0">
      <w:lvlJc w:val="left"/>
      <w:lvlText w:val="•"/>
      <w:numFmt w:val="bullet"/>
      <w:start w:val="1"/>
    </w:lvl>
  </w:abstractNum>
  <w:abstractNum w:abstractNumId="195">
    <w:nsid w:val="18A35FE3"/>
    <w:multiLevelType w:val="hybridMultilevel"/>
    <w:lvl w:ilvl="0">
      <w:lvlJc w:val="left"/>
      <w:lvlText w:val="•"/>
      <w:numFmt w:val="bullet"/>
      <w:start w:val="1"/>
    </w:lvl>
  </w:abstractNum>
  <w:abstractNum w:abstractNumId="196">
    <w:nsid w:val="6DEF5211"/>
    <w:multiLevelType w:val="hybridMultilevel"/>
    <w:lvl w:ilvl="0">
      <w:lvlJc w:val="left"/>
      <w:lvlText w:val="•"/>
      <w:numFmt w:val="bullet"/>
      <w:start w:val="1"/>
    </w:lvl>
  </w:abstractNum>
  <w:abstractNum w:abstractNumId="197">
    <w:nsid w:val="1112DBB6"/>
    <w:multiLevelType w:val="hybridMultilevel"/>
    <w:lvl w:ilvl="0">
      <w:lvlJc w:val="left"/>
      <w:lvlText w:val="•"/>
      <w:numFmt w:val="bullet"/>
      <w:start w:val="1"/>
    </w:lvl>
  </w:abstractNum>
  <w:abstractNum w:abstractNumId="198">
    <w:nsid w:val="2586A498"/>
    <w:multiLevelType w:val="hybridMultilevel"/>
    <w:lvl w:ilvl="0">
      <w:lvlJc w:val="left"/>
      <w:lvlText w:val="•"/>
      <w:numFmt w:val="bullet"/>
      <w:start w:val="1"/>
    </w:lvl>
  </w:abstractNum>
  <w:abstractNum w:abstractNumId="199">
    <w:nsid w:val="17A03BB9"/>
    <w:multiLevelType w:val="hybridMultilevel"/>
    <w:lvl w:ilvl="0">
      <w:lvlJc w:val="left"/>
      <w:lvlText w:val="•"/>
      <w:numFmt w:val="bullet"/>
      <w:start w:val="1"/>
    </w:lvl>
  </w:abstractNum>
  <w:abstractNum w:abstractNumId="200">
    <w:nsid w:val="5CA941"/>
    <w:multiLevelType w:val="hybridMultilevel"/>
    <w:lvl w:ilvl="0">
      <w:lvlJc w:val="left"/>
      <w:lvlText w:val="•"/>
      <w:numFmt w:val="bullet"/>
      <w:start w:val="1"/>
    </w:lvl>
  </w:abstractNum>
  <w:abstractNum w:abstractNumId="201">
    <w:nsid w:val="734C7D9F"/>
    <w:multiLevelType w:val="hybridMultilevel"/>
    <w:lvl w:ilvl="0">
      <w:lvlJc w:val="left"/>
      <w:lvlText w:val="•"/>
      <w:numFmt w:val="bullet"/>
      <w:start w:val="1"/>
    </w:lvl>
  </w:abstractNum>
  <w:abstractNum w:abstractNumId="202">
    <w:nsid w:val="24F5D018"/>
    <w:multiLevelType w:val="hybridMultilevel"/>
    <w:lvl w:ilvl="0">
      <w:lvlJc w:val="left"/>
      <w:lvlText w:val="•"/>
      <w:numFmt w:val="bullet"/>
      <w:start w:val="1"/>
    </w:lvl>
  </w:abstractNum>
  <w:abstractNum w:abstractNumId="203">
    <w:nsid w:val="6780C122"/>
    <w:multiLevelType w:val="hybridMultilevel"/>
    <w:lvl w:ilvl="0">
      <w:lvlJc w:val="left"/>
      <w:lvlText w:val="•"/>
      <w:numFmt w:val="bullet"/>
      <w:start w:val="1"/>
    </w:lvl>
  </w:abstractNum>
  <w:abstractNum w:abstractNumId="204">
    <w:nsid w:val="534347A8"/>
    <w:multiLevelType w:val="hybridMultilevel"/>
    <w:lvl w:ilvl="0">
      <w:lvlJc w:val="left"/>
      <w:lvlText w:val="•"/>
      <w:numFmt w:val="bullet"/>
      <w:start w:val="1"/>
    </w:lvl>
  </w:abstractNum>
  <w:abstractNum w:abstractNumId="205">
    <w:nsid w:val="5800E34B"/>
    <w:multiLevelType w:val="hybridMultilevel"/>
    <w:lvl w:ilvl="0">
      <w:lvlJc w:val="left"/>
      <w:lvlText w:val="%1."/>
      <w:numFmt w:val="decimal"/>
      <w:start w:val="1"/>
    </w:lvl>
  </w:abstractNum>
  <w:abstractNum w:abstractNumId="206">
    <w:nsid w:val="1673EFC8"/>
    <w:multiLevelType w:val="hybridMultilevel"/>
    <w:lvl w:ilvl="0">
      <w:lvlJc w:val="left"/>
      <w:lvlText w:val="%1."/>
      <w:numFmt w:val="decimal"/>
      <w:start w:val="2"/>
    </w:lvl>
  </w:abstractNum>
  <w:abstractNum w:abstractNumId="207">
    <w:nsid w:val="5B9B1FD"/>
    <w:multiLevelType w:val="hybridMultilevel"/>
    <w:lvl w:ilvl="0">
      <w:lvlJc w:val="left"/>
      <w:lvlText w:val="%1."/>
      <w:numFmt w:val="decimal"/>
      <w:start w:val="3"/>
    </w:lvl>
  </w:abstractNum>
  <w:abstractNum w:abstractNumId="208">
    <w:nsid w:val="7AD7FCA2"/>
    <w:multiLevelType w:val="hybridMultilevel"/>
    <w:lvl w:ilvl="0">
      <w:lvlJc w:val="left"/>
      <w:lvlText w:val="%1."/>
      <w:numFmt w:val="decimal"/>
      <w:start w:val="4"/>
    </w:lvl>
  </w:abstractNum>
  <w:abstractNum w:abstractNumId="209">
    <w:nsid w:val="63351604"/>
    <w:multiLevelType w:val="hybridMultilevel"/>
    <w:lvl w:ilvl="0">
      <w:lvlJc w:val="left"/>
      <w:lvlText w:val="•"/>
      <w:numFmt w:val="bullet"/>
      <w:start w:val="1"/>
    </w:lvl>
  </w:abstractNum>
  <w:abstractNum w:abstractNumId="210">
    <w:nsid w:val="E759D1A"/>
    <w:multiLevelType w:val="hybridMultilevel"/>
    <w:lvl w:ilvl="0">
      <w:lvlJc w:val="left"/>
      <w:lvlText w:val="%1)"/>
      <w:numFmt w:val="decimal"/>
      <w:start w:val="1"/>
    </w:lvl>
  </w:abstractNum>
  <w:abstractNum w:abstractNumId="211">
    <w:nsid w:val="6E3DEE90"/>
    <w:multiLevelType w:val="hybridMultilevel"/>
    <w:lvl w:ilvl="0">
      <w:lvlJc w:val="left"/>
      <w:lvlText w:val="•"/>
      <w:numFmt w:val="bullet"/>
      <w:start w:val="1"/>
    </w:lvl>
  </w:abstractNum>
  <w:abstractNum w:abstractNumId="212">
    <w:nsid w:val="1A8762F4"/>
    <w:multiLevelType w:val="hybridMultilevel"/>
    <w:lvl w:ilvl="0">
      <w:lvlJc w:val="left"/>
      <w:lvlText w:val="•"/>
      <w:numFmt w:val="bullet"/>
      <w:start w:val="1"/>
    </w:lvl>
  </w:abstractNum>
  <w:abstractNum w:abstractNumId="213">
    <w:nsid w:val="7F41D049"/>
    <w:multiLevelType w:val="hybridMultilevel"/>
    <w:lvl w:ilvl="0">
      <w:lvlJc w:val="left"/>
      <w:lvlText w:val="•"/>
      <w:numFmt w:val="bullet"/>
      <w:start w:val="1"/>
    </w:lvl>
  </w:abstractNum>
  <w:abstractNum w:abstractNumId="214">
    <w:nsid w:val="449F66FE"/>
    <w:multiLevelType w:val="hybridMultilevel"/>
    <w:lvl w:ilvl="0">
      <w:lvlJc w:val="left"/>
      <w:lvlText w:val="•"/>
      <w:numFmt w:val="bullet"/>
      <w:start w:val="1"/>
    </w:lvl>
  </w:abstractNum>
  <w:abstractNum w:abstractNumId="215">
    <w:nsid w:val="557E0515"/>
    <w:multiLevelType w:val="hybridMultilevel"/>
    <w:lvl w:ilvl="0">
      <w:lvlJc w:val="left"/>
      <w:lvlText w:val="(%1)"/>
      <w:numFmt w:val="decimal"/>
      <w:start w:val="1"/>
    </w:lvl>
  </w:abstractNum>
  <w:abstractNum w:abstractNumId="216">
    <w:nsid w:val="3BA0794B"/>
    <w:multiLevelType w:val="hybridMultilevel"/>
    <w:lvl w:ilvl="0">
      <w:lvlJc w:val="left"/>
      <w:lvlText w:val="•"/>
      <w:numFmt w:val="bullet"/>
      <w:start w:val="1"/>
    </w:lvl>
  </w:abstractNum>
  <w:abstractNum w:abstractNumId="217">
    <w:nsid w:val="6A0DCE48"/>
    <w:multiLevelType w:val="hybridMultilevel"/>
    <w:lvl w:ilvl="0">
      <w:lvlJc w:val="left"/>
      <w:lvlText w:val="•"/>
      <w:numFmt w:val="bullet"/>
      <w:start w:val="1"/>
    </w:lvl>
  </w:abstractNum>
  <w:abstractNum w:abstractNumId="218">
    <w:nsid w:val="7237AA96"/>
    <w:multiLevelType w:val="hybridMultilevel"/>
    <w:lvl w:ilvl="0">
      <w:lvlJc w:val="left"/>
      <w:lvlText w:val="•"/>
      <w:numFmt w:val="bullet"/>
      <w:start w:val="1"/>
    </w:lvl>
  </w:abstractNum>
  <w:abstractNum w:abstractNumId="219">
    <w:nsid w:val="5B1FBC2D"/>
    <w:multiLevelType w:val="hybridMultilevel"/>
    <w:lvl w:ilvl="0">
      <w:lvlJc w:val="left"/>
      <w:lvlText w:val="•"/>
      <w:numFmt w:val="bullet"/>
      <w:start w:val="1"/>
    </w:lvl>
  </w:abstractNum>
  <w:abstractNum w:abstractNumId="220">
    <w:nsid w:val="33DFCCE8"/>
    <w:multiLevelType w:val="hybridMultilevel"/>
    <w:lvl w:ilvl="0">
      <w:lvlJc w:val="left"/>
      <w:lvlText w:val="•"/>
      <w:numFmt w:val="bullet"/>
      <w:start w:val="1"/>
    </w:lvl>
  </w:abstractNum>
  <w:abstractNum w:abstractNumId="221">
    <w:nsid w:val="18C45E15"/>
    <w:multiLevelType w:val="hybridMultilevel"/>
    <w:lvl w:ilvl="0">
      <w:lvlJc w:val="left"/>
      <w:lvlText w:val="(%1)"/>
      <w:numFmt w:val="decimal"/>
      <w:start w:val="1"/>
    </w:lvl>
  </w:abstractNum>
  <w:abstractNum w:abstractNumId="222">
    <w:nsid w:val="6B431F25"/>
    <w:multiLevelType w:val="hybridMultilevel"/>
    <w:lvl w:ilvl="0">
      <w:lvlJc w:val="left"/>
      <w:lvlText w:val="(%1)"/>
      <w:numFmt w:val="decimal"/>
      <w:start w:val="7"/>
    </w:lvl>
  </w:abstractNum>
  <w:abstractNum w:abstractNumId="223">
    <w:nsid w:val="13CD8DCB"/>
    <w:multiLevelType w:val="hybridMultilevel"/>
    <w:lvl w:ilvl="0">
      <w:lvlJc w:val="left"/>
      <w:lvlText w:val="(%1)"/>
      <w:numFmt w:val="decimal"/>
      <w:start w:val="1"/>
    </w:lvl>
  </w:abstractNum>
  <w:abstractNum w:abstractNumId="224">
    <w:nsid w:val="563A1A5C"/>
    <w:multiLevelType w:val="hybridMultilevel"/>
    <w:lvl w:ilvl="0">
      <w:lvlJc w:val="left"/>
      <w:lvlText w:val="•"/>
      <w:numFmt w:val="bullet"/>
      <w:start w:val="1"/>
    </w:lvl>
  </w:abstractNum>
  <w:abstractNum w:abstractNumId="225">
    <w:nsid w:val="2973F88F"/>
    <w:multiLevelType w:val="hybridMultilevel"/>
    <w:lvl w:ilvl="0">
      <w:lvlJc w:val="left"/>
      <w:lvlText w:val="•"/>
      <w:numFmt w:val="bullet"/>
      <w:start w:val="1"/>
    </w:lvl>
  </w:abstractNum>
  <w:abstractNum w:abstractNumId="226">
    <w:nsid w:val="2C70EDAE"/>
    <w:multiLevelType w:val="hybridMultilevel"/>
    <w:lvl w:ilvl="0">
      <w:lvlJc w:val="left"/>
      <w:lvlText w:val="(%1)"/>
      <w:numFmt w:val="decimal"/>
      <w:start w:val="1"/>
    </w:lvl>
  </w:abstractNum>
  <w:abstractNum w:abstractNumId="227">
    <w:nsid w:val="44296C6D"/>
    <w:multiLevelType w:val="hybridMultilevel"/>
    <w:lvl w:ilvl="0">
      <w:lvlJc w:val="left"/>
      <w:lvlText w:val="•"/>
      <w:numFmt w:val="bullet"/>
      <w:start w:val="1"/>
    </w:lvl>
  </w:abstractNum>
  <w:abstractNum w:abstractNumId="228">
    <w:nsid w:val="3A86D445"/>
    <w:multiLevelType w:val="hybridMultilevel"/>
    <w:lvl w:ilvl="0">
      <w:lvlJc w:val="left"/>
      <w:lvlText w:val="•"/>
      <w:numFmt w:val="bullet"/>
      <w:start w:val="1"/>
    </w:lvl>
  </w:abstractNum>
  <w:abstractNum w:abstractNumId="229">
    <w:nsid w:val="51F79246"/>
    <w:multiLevelType w:val="hybridMultilevel"/>
    <w:lvl w:ilvl="0">
      <w:lvlJc w:val="left"/>
      <w:lvlText w:val="•"/>
      <w:numFmt w:val="bullet"/>
      <w:start w:val="1"/>
    </w:lvl>
  </w:abstractNum>
  <w:abstractNum w:abstractNumId="230">
    <w:nsid w:val="5BC9A827"/>
    <w:multiLevelType w:val="hybridMultilevel"/>
    <w:lvl w:ilvl="0">
      <w:lvlJc w:val="left"/>
      <w:lvlText w:val="•"/>
      <w:numFmt w:val="bullet"/>
      <w:start w:val="1"/>
    </w:lvl>
  </w:abstractNum>
  <w:abstractNum w:abstractNumId="231">
    <w:nsid w:val="3AE37D86"/>
    <w:multiLevelType w:val="hybridMultilevel"/>
    <w:lvl w:ilvl="0">
      <w:lvlJc w:val="left"/>
      <w:lvlText w:val="(%1)"/>
      <w:numFmt w:val="decimal"/>
      <w:start w:val="1"/>
    </w:lvl>
  </w:abstractNum>
  <w:abstractNum w:abstractNumId="232">
    <w:nsid w:val="45440FE5"/>
    <w:multiLevelType w:val="hybridMultilevel"/>
    <w:lvl w:ilvl="0">
      <w:lvlJc w:val="left"/>
      <w:lvlText w:val="%1"/>
      <w:numFmt w:val="upperLetter"/>
      <w:start w:val="35"/>
    </w:lvl>
  </w:abstractNum>
  <w:abstractNum w:abstractNumId="233">
    <w:nsid w:val="BF783F"/>
    <w:multiLevelType w:val="hybridMultilevel"/>
    <w:lvl w:ilvl="0">
      <w:lvlJc w:val="left"/>
      <w:lvlText w:val="•"/>
      <w:numFmt w:val="bullet"/>
      <w:start w:val="1"/>
    </w:lvl>
  </w:abstractNum>
  <w:abstractNum w:abstractNumId="234">
    <w:nsid w:val="22643EA9"/>
    <w:multiLevelType w:val="hybridMultilevel"/>
    <w:lvl w:ilvl="0">
      <w:lvlJc w:val="left"/>
      <w:lvlText w:val="•"/>
      <w:numFmt w:val="bullet"/>
      <w:start w:val="1"/>
    </w:lvl>
  </w:abstractNum>
  <w:abstractNum w:abstractNumId="235">
    <w:nsid w:val="1887578D"/>
    <w:multiLevelType w:val="hybridMultilevel"/>
    <w:lvl w:ilvl="0">
      <w:lvlJc w:val="left"/>
      <w:lvlText w:val="•"/>
      <w:numFmt w:val="bullet"/>
      <w:start w:val="1"/>
    </w:lvl>
  </w:abstractNum>
  <w:abstractNum w:abstractNumId="236">
    <w:nsid w:val="58C05B8A"/>
    <w:multiLevelType w:val="hybridMultilevel"/>
    <w:lvl w:ilvl="0">
      <w:lvlJc w:val="left"/>
      <w:lvlText w:val="•"/>
      <w:numFmt w:val="bullet"/>
      <w:start w:val="1"/>
    </w:lvl>
  </w:abstractNum>
  <w:abstractNum w:abstractNumId="237">
    <w:nsid w:val="38D82E71"/>
    <w:multiLevelType w:val="hybridMultilevel"/>
    <w:lvl w:ilvl="0">
      <w:lvlJc w:val="left"/>
      <w:lvlText w:val="•"/>
      <w:numFmt w:val="bullet"/>
      <w:start w:val="1"/>
    </w:lvl>
  </w:abstractNum>
  <w:abstractNum w:abstractNumId="238">
    <w:nsid w:val="1E41098A"/>
    <w:multiLevelType w:val="hybridMultilevel"/>
    <w:lvl w:ilvl="0">
      <w:lvlJc w:val="left"/>
      <w:lvlText w:val="*"/>
      <w:numFmt w:val="bullet"/>
      <w:start w:val="1"/>
    </w:lvl>
  </w:abstractNum>
  <w:abstractNum w:abstractNumId="239">
    <w:nsid w:val="5398582C"/>
    <w:multiLevelType w:val="hybridMultilevel"/>
    <w:lvl w:ilvl="0">
      <w:lvlJc w:val="left"/>
      <w:lvlText w:val="(%1)"/>
      <w:numFmt w:val="decimal"/>
      <w:start w:val="1"/>
    </w:lvl>
  </w:abstractNum>
  <w:abstractNum w:abstractNumId="240">
    <w:nsid w:val="1C0D4475"/>
    <w:multiLevelType w:val="hybridMultilevel"/>
    <w:lvl w:ilvl="0">
      <w:lvlJc w:val="left"/>
      <w:lvlText w:val="(%1)"/>
      <w:numFmt w:val="decimal"/>
      <w:start w:val="4"/>
    </w:lvl>
  </w:abstractNum>
  <w:abstractNum w:abstractNumId="241">
    <w:nsid w:val="2CB6A6A4"/>
    <w:multiLevelType w:val="hybridMultilevel"/>
    <w:lvl w:ilvl="0">
      <w:lvlJc w:val="left"/>
      <w:lvlText w:val="(%1)"/>
      <w:numFmt w:val="decimal"/>
      <w:start w:val="21"/>
    </w:lvl>
  </w:abstractNum>
  <w:abstractNum w:abstractNumId="242">
    <w:nsid w:val="41D646BC"/>
    <w:multiLevelType w:val="hybridMultilevel"/>
    <w:lvl w:ilvl="0">
      <w:lvlJc w:val="left"/>
      <w:lvlText w:val="•"/>
      <w:numFmt w:val="bullet"/>
      <w:start w:val="1"/>
    </w:lvl>
  </w:abstractNum>
  <w:abstractNum w:abstractNumId="243">
    <w:nsid w:val="3694A76A"/>
    <w:multiLevelType w:val="hybridMultilevel"/>
    <w:lvl w:ilvl="0">
      <w:lvlJc w:val="left"/>
      <w:lvlText w:val="(%1)"/>
      <w:numFmt w:val="lowerRoman"/>
      <w:start w:val="2"/>
    </w:lvl>
  </w:abstractNum>
  <w:abstractNum w:abstractNumId="244">
    <w:nsid w:val="2BF876EE"/>
    <w:multiLevelType w:val="hybridMultilevel"/>
    <w:lvl w:ilvl="0">
      <w:lvlJc w:val="left"/>
      <w:lvlText w:val="(%1)"/>
      <w:numFmt w:val="decimal"/>
      <w:start w:val="1"/>
    </w:lvl>
  </w:abstractNum>
  <w:abstractNum w:abstractNumId="245">
    <w:nsid w:val="675ADBA"/>
    <w:multiLevelType w:val="hybridMultilevel"/>
    <w:lvl w:ilvl="0">
      <w:lvlJc w:val="left"/>
      <w:lvlText w:val="(%1)"/>
      <w:numFmt w:val="decimal"/>
      <w:start w:val="4"/>
    </w:lvl>
  </w:abstractNum>
  <w:abstractNum w:abstractNumId="246">
    <w:nsid w:val="C12AC7F"/>
    <w:multiLevelType w:val="hybridMultilevel"/>
    <w:lvl w:ilvl="0">
      <w:lvlJc w:val="left"/>
      <w:lvlText w:val="(%1)"/>
      <w:numFmt w:val="decimal"/>
      <w:start w:val="1"/>
    </w:lvl>
  </w:abstractNum>
  <w:abstractNum w:abstractNumId="247">
    <w:nsid w:val="6798F039"/>
    <w:multiLevelType w:val="hybridMultilevel"/>
    <w:lvl w:ilvl="0">
      <w:lvlJc w:val="left"/>
      <w:lvlText w:val="(%1)"/>
      <w:numFmt w:val="decimal"/>
      <w:start w:val="1"/>
    </w:lvl>
  </w:abstractNum>
  <w:abstractNum w:abstractNumId="248">
    <w:nsid w:val="70837C02"/>
    <w:multiLevelType w:val="hybridMultilevel"/>
    <w:lvl w:ilvl="0">
      <w:lvlJc w:val="left"/>
      <w:lvlText w:val="•"/>
      <w:numFmt w:val="bullet"/>
      <w:start w:val="1"/>
    </w:lvl>
  </w:abstractNum>
  <w:abstractNum w:abstractNumId="249">
    <w:nsid w:val="7E4A5715"/>
    <w:multiLevelType w:val="hybridMultilevel"/>
    <w:lvl w:ilvl="0">
      <w:lvlJc w:val="left"/>
      <w:lvlText w:val="•"/>
      <w:numFmt w:val="bullet"/>
      <w:start w:val="1"/>
    </w:lvl>
  </w:abstractNum>
  <w:abstractNum w:abstractNumId="250">
    <w:nsid w:val="42B8AC67"/>
    <w:multiLevelType w:val="hybridMultilevel"/>
    <w:lvl w:ilvl="0">
      <w:lvlJc w:val="left"/>
      <w:lvlText w:val="•"/>
      <w:numFmt w:val="bullet"/>
      <w:start w:val="1"/>
    </w:lvl>
  </w:abstractNum>
  <w:abstractNum w:abstractNumId="251">
    <w:nsid w:val="246348EA"/>
    <w:multiLevelType w:val="hybridMultilevel"/>
    <w:lvl w:ilvl="0">
      <w:lvlJc w:val="left"/>
      <w:lvlText w:val="•"/>
      <w:numFmt w:val="bullet"/>
      <w:start w:val="1"/>
    </w:lvl>
  </w:abstractNum>
  <w:abstractNum w:abstractNumId="252">
    <w:nsid w:val="170EB52B"/>
    <w:multiLevelType w:val="hybridMultilevel"/>
    <w:lvl w:ilvl="0">
      <w:lvlJc w:val="left"/>
      <w:lvlText w:val="(%1)"/>
      <w:numFmt w:val="lowerRoman"/>
      <w:start w:val="1"/>
    </w:lvl>
    <w:lvl w:ilvl="1">
      <w:lvlJc w:val="left"/>
      <w:lvlText w:val="•"/>
      <w:numFmt w:val="bullet"/>
      <w:start w:val="1"/>
    </w:lvl>
  </w:abstractNum>
  <w:abstractNum w:abstractNumId="253">
    <w:nsid w:val="2DFBCB8C"/>
    <w:multiLevelType w:val="hybridMultilevel"/>
    <w:lvl w:ilvl="0">
      <w:lvlJc w:val="left"/>
      <w:lvlText w:val="$"/>
      <w:numFmt w:val="bullet"/>
      <w:start w:val="1"/>
    </w:lvl>
  </w:abstractNum>
  <w:abstractNum w:abstractNumId="254">
    <w:nsid w:val="3830D6B6"/>
    <w:multiLevelType w:val="hybridMultilevel"/>
    <w:lvl w:ilvl="0">
      <w:lvlJc w:val="left"/>
      <w:lvlText w:val="$"/>
      <w:numFmt w:val="bullet"/>
      <w:start w:val="1"/>
    </w:lvl>
  </w:abstractNum>
  <w:abstractNum w:abstractNumId="255">
    <w:nsid w:val="6D48CF87"/>
    <w:multiLevelType w:val="hybridMultilevel"/>
    <w:lvl w:ilvl="0">
      <w:lvlJc w:val="left"/>
      <w:lvlText w:val="$"/>
      <w:numFmt w:val="bullet"/>
      <w:start w:val="1"/>
    </w:lvl>
  </w:abstractNum>
  <w:abstractNum w:abstractNumId="256">
    <w:nsid w:val="576FC41B"/>
    <w:multiLevelType w:val="hybridMultilevel"/>
    <w:lvl w:ilvl="0">
      <w:lvlJc w:val="left"/>
      <w:lvlText w:val="$"/>
      <w:numFmt w:val="bullet"/>
      <w:start w:val="1"/>
    </w:lvl>
  </w:abstractNum>
  <w:abstractNum w:abstractNumId="257">
    <w:nsid w:val="64A1C464"/>
    <w:multiLevelType w:val="hybridMultilevel"/>
    <w:lvl w:ilvl="0">
      <w:lvlJc w:val="left"/>
      <w:lvlText w:val="$"/>
      <w:numFmt w:val="bullet"/>
      <w:start w:val="1"/>
    </w:lvl>
  </w:abstractNum>
  <w:abstractNum w:abstractNumId="258">
    <w:nsid w:val="31723BF5"/>
    <w:multiLevelType w:val="hybridMultilevel"/>
    <w:lvl w:ilvl="0">
      <w:lvlJc w:val="left"/>
      <w:lvlText w:val="$"/>
      <w:numFmt w:val="bullet"/>
      <w:start w:val="1"/>
    </w:lvl>
  </w:abstractNum>
  <w:abstractNum w:abstractNumId="259">
    <w:nsid w:val="11F69861"/>
    <w:multiLevelType w:val="hybridMultilevel"/>
    <w:lvl w:ilvl="0">
      <w:lvlJc w:val="left"/>
      <w:lvlText w:val="$"/>
      <w:numFmt w:val="bullet"/>
      <w:start w:val="1"/>
    </w:lvl>
  </w:abstractNum>
  <w:abstractNum w:abstractNumId="260">
    <w:nsid w:val="369956AB"/>
    <w:multiLevelType w:val="hybridMultilevel"/>
    <w:lvl w:ilvl="0">
      <w:lvlJc w:val="left"/>
      <w:lvlText w:val="(%1)"/>
      <w:numFmt w:val="lowerRoman"/>
      <w:start w:val="2"/>
    </w:lvl>
  </w:abstractNum>
  <w:abstractNum w:abstractNumId="261">
    <w:nsid w:val="D3BE41C"/>
    <w:multiLevelType w:val="hybridMultilevel"/>
    <w:lvl w:ilvl="0">
      <w:lvlJc w:val="left"/>
      <w:lvlText w:val="•"/>
      <w:numFmt w:val="bullet"/>
      <w:start w:val="1"/>
    </w:lvl>
  </w:abstractNum>
  <w:abstractNum w:abstractNumId="262">
    <w:nsid w:val="4CDA15E7"/>
    <w:multiLevelType w:val="hybridMultilevel"/>
    <w:lvl w:ilvl="0">
      <w:lvlJc w:val="left"/>
      <w:lvlText w:val="%1."/>
      <w:numFmt w:val="decimal"/>
      <w:start w:val="1"/>
    </w:lvl>
  </w:abstractNum>
  <w:abstractNum w:abstractNumId="263">
    <w:nsid w:val="7BDD6690"/>
    <w:multiLevelType w:val="hybridMultilevel"/>
    <w:lvl w:ilvl="0">
      <w:lvlJc w:val="left"/>
      <w:lvlText w:val="%1."/>
      <w:numFmt w:val="decimal"/>
      <w:start w:val="2"/>
    </w:lvl>
  </w:abstractNum>
  <w:abstractNum w:abstractNumId="264">
    <w:nsid w:val="DFB5C5B"/>
    <w:multiLevelType w:val="hybridMultilevel"/>
    <w:lvl w:ilvl="0">
      <w:lvlJc w:val="left"/>
      <w:lvlText w:val="%1."/>
      <w:numFmt w:val="decimal"/>
      <w:start w:val="3"/>
    </w:lvl>
  </w:abstractNum>
  <w:abstractNum w:abstractNumId="265">
    <w:nsid w:val="6F3E5490"/>
    <w:multiLevelType w:val="hybridMultilevel"/>
    <w:lvl w:ilvl="0">
      <w:lvlJc w:val="left"/>
      <w:lvlText w:val="%1."/>
      <w:numFmt w:val="decimal"/>
      <w:start w:val="4"/>
    </w:lvl>
  </w:abstractNum>
  <w:abstractNum w:abstractNumId="266">
    <w:nsid w:val="1464BE1E"/>
    <w:multiLevelType w:val="hybridMultilevel"/>
    <w:lvl w:ilvl="0">
      <w:lvlJc w:val="left"/>
      <w:lvlText w:val="(%1)"/>
      <w:numFmt w:val="lowerRoman"/>
      <w:start w:val="1"/>
    </w:lvl>
  </w:abstractNum>
  <w:abstractNum w:abstractNumId="267">
    <w:nsid w:val="66BBB7E5"/>
    <w:multiLevelType w:val="hybridMultilevel"/>
    <w:lvl w:ilvl="0">
      <w:lvlJc w:val="left"/>
      <w:lvlText w:val="%1."/>
      <w:numFmt w:val="decimal"/>
      <w:start w:val="6"/>
    </w:lvl>
  </w:abstractNum>
  <w:abstractNum w:abstractNumId="268">
    <w:nsid w:val="28168302"/>
    <w:multiLevelType w:val="hybridMultilevel"/>
    <w:lvl w:ilvl="0">
      <w:lvlJc w:val="left"/>
      <w:lvlText w:val="%1."/>
      <w:numFmt w:val="decimal"/>
      <w:start w:val="7"/>
    </w:lvl>
  </w:abstractNum>
  <w:abstractNum w:abstractNumId="269">
    <w:nsid w:val="32A5C7A8"/>
    <w:multiLevelType w:val="hybridMultilevel"/>
    <w:lvl w:ilvl="0">
      <w:lvlJc w:val="left"/>
      <w:lvlText w:val="%1."/>
      <w:numFmt w:val="decimal"/>
      <w:start w:val="8"/>
    </w:lvl>
  </w:abstractNum>
  <w:abstractNum w:abstractNumId="270">
    <w:nsid w:val="3A541011"/>
    <w:multiLevelType w:val="hybridMultilevel"/>
    <w:lvl w:ilvl="0">
      <w:lvlJc w:val="left"/>
      <w:lvlText w:val="%1."/>
      <w:numFmt w:val="decimal"/>
      <w:start w:val="9"/>
    </w:lvl>
  </w:abstractNum>
  <w:abstractNum w:abstractNumId="271">
    <w:nsid w:val="4423C777"/>
    <w:multiLevelType w:val="hybridMultilevel"/>
    <w:lvl w:ilvl="0">
      <w:lvlJc w:val="left"/>
      <w:lvlText w:val="%1."/>
      <w:numFmt w:val="decimal"/>
      <w:start w:val="10"/>
    </w:lvl>
  </w:abstractNum>
  <w:abstractNum w:abstractNumId="272">
    <w:nsid w:val="5F5C6E4D"/>
    <w:multiLevelType w:val="hybridMultilevel"/>
    <w:lvl w:ilvl="0">
      <w:lvlJc w:val="left"/>
      <w:lvlText w:val="%1."/>
      <w:numFmt w:val="decimal"/>
      <w:start w:val="11"/>
    </w:lvl>
  </w:abstractNum>
  <w:abstractNum w:abstractNumId="273">
    <w:nsid w:val="7C2A56CD"/>
    <w:multiLevelType w:val="hybridMultilevel"/>
    <w:lvl w:ilvl="0">
      <w:lvlJc w:val="left"/>
      <w:lvlText w:val="(%1)"/>
      <w:numFmt w:val="lowerLetter"/>
      <w:start w:val="2"/>
    </w:lvl>
  </w:abstractNum>
  <w:abstractNum w:abstractNumId="274">
    <w:nsid w:val="7AB86EE1"/>
    <w:multiLevelType w:val="hybridMultilevel"/>
    <w:lvl w:ilvl="0">
      <w:lvlJc w:val="left"/>
      <w:lvlText w:val="(%1)"/>
      <w:numFmt w:val="lowerRoman"/>
      <w:start w:val="1"/>
    </w:lvl>
  </w:abstractNum>
  <w:abstractNum w:abstractNumId="275">
    <w:nsid w:val="B54E53B"/>
    <w:multiLevelType w:val="hybridMultilevel"/>
    <w:lvl w:ilvl="0">
      <w:lvlJc w:val="left"/>
      <w:lvlText w:val="(%1)"/>
      <w:numFmt w:val="lowerRoman"/>
      <w:start w:val="6"/>
    </w:lvl>
  </w:abstractNum>
  <w:abstractNum w:abstractNumId="276">
    <w:nsid w:val="2A00487"/>
    <w:multiLevelType w:val="hybridMultilevel"/>
    <w:lvl w:ilvl="0">
      <w:lvlJc w:val="left"/>
      <w:lvlText w:val="%1"/>
      <w:numFmt w:val="lowerLetter"/>
      <w:start w:val="1"/>
    </w:lvl>
    <w:lvl w:ilvl="1">
      <w:lvlJc w:val="left"/>
      <w:lvlText w:val="(%2)"/>
      <w:numFmt w:val="lowerLetter"/>
      <w:start w:val="1"/>
    </w:lvl>
  </w:abstractNum>
  <w:abstractNum w:abstractNumId="277">
    <w:nsid w:val="6CB1B60"/>
    <w:multiLevelType w:val="hybridMultilevel"/>
    <w:lvl w:ilvl="0">
      <w:lvlJc w:val="left"/>
      <w:lvlText w:val="(%1)"/>
      <w:numFmt w:val="lowerLetter"/>
      <w:start w:val="35"/>
    </w:lvl>
    <w:lvl w:ilvl="1">
      <w:lvlJc w:val="left"/>
      <w:lvlText w:val="%2"/>
      <w:numFmt w:val="lowerLetter"/>
      <w:start w:val="1"/>
    </w:lvl>
  </w:abstractNum>
  <w:abstractNum w:abstractNumId="278">
    <w:nsid w:val="72EDD574"/>
    <w:multiLevelType w:val="hybridMultilevel"/>
    <w:lvl w:ilvl="0">
      <w:lvlJc w:val="left"/>
      <w:lvlText w:val="(%1)"/>
      <w:numFmt w:val="lowerLetter"/>
      <w:start w:val="2"/>
    </w:lvl>
    <w:lvl w:ilvl="1">
      <w:lvlJc w:val="left"/>
      <w:lvlText w:val="(%2)"/>
      <w:numFmt w:val="lowerRoman"/>
      <w:start w:val="1"/>
    </w:lvl>
  </w:abstractNum>
  <w:abstractNum w:abstractNumId="279">
    <w:nsid w:val="7323808A"/>
    <w:multiLevelType w:val="hybridMultilevel"/>
    <w:lvl w:ilvl="0">
      <w:lvlJc w:val="left"/>
      <w:lvlText w:val="(%1)"/>
      <w:numFmt w:val="lowerRoman"/>
      <w:start w:val="7"/>
    </w:lvl>
  </w:abstractNum>
  <w:abstractNum w:abstractNumId="280">
    <w:nsid w:val="5157276"/>
    <w:multiLevelType w:val="hybridMultilevel"/>
    <w:lvl w:ilvl="0">
      <w:lvlJc w:val="left"/>
      <w:lvlText w:val="(%1)"/>
      <w:numFmt w:val="lowerRoman"/>
      <w:start w:val="8"/>
    </w:lvl>
  </w:abstractNum>
  <w:abstractNum w:abstractNumId="281">
    <w:nsid w:val="35A681DB"/>
    <w:multiLevelType w:val="hybridMultilevel"/>
    <w:lvl w:ilvl="0">
      <w:lvlJc w:val="left"/>
      <w:lvlText w:val="(%1)"/>
      <w:numFmt w:val="lowerLetter"/>
      <w:start w:val="1"/>
    </w:lvl>
  </w:abstractNum>
  <w:abstractNum w:abstractNumId="282">
    <w:nsid w:val="1786C974"/>
    <w:multiLevelType w:val="hybridMultilevel"/>
    <w:lvl w:ilvl="0">
      <w:lvlJc w:val="left"/>
      <w:lvlText w:val="(%1)"/>
      <w:numFmt w:val="lowerLetter"/>
      <w:start w:val="2"/>
    </w:lvl>
  </w:abstractNum>
  <w:abstractNum w:abstractNumId="283">
    <w:nsid w:val="1C2427A1"/>
    <w:multiLevelType w:val="hybridMultilevel"/>
    <w:lvl w:ilvl="0">
      <w:lvlJc w:val="left"/>
      <w:lvlText w:val="(%1)"/>
      <w:numFmt w:val="lowerLetter"/>
      <w:start w:val="1"/>
    </w:lvl>
  </w:abstractNum>
  <w:abstractNum w:abstractNumId="284">
    <w:nsid w:val="63A24D68"/>
    <w:multiLevelType w:val="hybridMultilevel"/>
    <w:lvl w:ilvl="0">
      <w:lvlJc w:val="left"/>
      <w:lvlText w:val="(%1)"/>
      <w:numFmt w:val="lowerLetter"/>
      <w:start w:val="3"/>
    </w:lvl>
  </w:abstractNum>
  <w:abstractNum w:abstractNumId="285">
    <w:nsid w:val="4FB7A02A"/>
    <w:multiLevelType w:val="hybridMultilevel"/>
    <w:lvl w:ilvl="0">
      <w:lvlJc w:val="left"/>
      <w:lvlText w:val="(%1)"/>
      <w:numFmt w:val="lowerLetter"/>
      <w:start w:val="1"/>
    </w:lvl>
  </w:abstractNum>
  <w:abstractNum w:abstractNumId="286">
    <w:nsid w:val="96CF728"/>
    <w:multiLevelType w:val="hybridMultilevel"/>
    <w:lvl w:ilvl="0">
      <w:lvlJc w:val="left"/>
      <w:lvlText w:val="(%1)"/>
      <w:numFmt w:val="lowerLetter"/>
      <w:start w:val="5"/>
    </w:lvl>
  </w:abstractNum>
  <w:abstractNum w:abstractNumId="287">
    <w:nsid w:val="3B121183"/>
    <w:multiLevelType w:val="hybridMultilevel"/>
    <w:lvl w:ilvl="0">
      <w:lvlJc w:val="left"/>
      <w:lvlText w:val="(%1)"/>
      <w:numFmt w:val="lowerLetter"/>
      <w:start w:val="1"/>
    </w:lvl>
  </w:abstractNum>
  <w:abstractNum w:abstractNumId="288">
    <w:nsid w:val="3459648F"/>
    <w:multiLevelType w:val="hybridMultilevel"/>
    <w:lvl w:ilvl="0">
      <w:lvlJc w:val="left"/>
      <w:lvlText w:val="%1"/>
      <w:numFmt w:val="lowerLetter"/>
      <w:start w:val="1"/>
    </w:lvl>
    <w:lvl w:ilvl="1">
      <w:lvlJc w:val="left"/>
      <w:lvlText w:val="(%2)"/>
      <w:numFmt w:val="lowerLetter"/>
      <w:start w:val="1"/>
    </w:lvl>
  </w:abstractNum>
  <w:abstractNum w:abstractNumId="289">
    <w:nsid w:val="3ADF331D"/>
    <w:multiLevelType w:val="hybridMultilevel"/>
    <w:lvl w:ilvl="0">
      <w:lvlJc w:val="left"/>
      <w:lvlText w:val="(%1)"/>
      <w:numFmt w:val="lowerLetter"/>
      <w:start w:val="61"/>
    </w:lvl>
    <w:lvl w:ilvl="1">
      <w:lvlJc w:val="left"/>
      <w:lvlText w:val="(%2)"/>
      <w:numFmt w:val="lowerLetter"/>
      <w:start w:val="3"/>
    </w:lvl>
  </w:abstractNum>
  <w:abstractNum w:abstractNumId="290">
    <w:nsid w:val="4D08A9E4"/>
    <w:multiLevelType w:val="hybridMultilevel"/>
    <w:lvl w:ilvl="0">
      <w:lvlJc w:val="left"/>
      <w:lvlText w:val="(%1)"/>
      <w:numFmt w:val="lowerLetter"/>
      <w:start w:val="6"/>
    </w:lvl>
  </w:abstractNum>
  <w:abstractNum w:abstractNumId="291">
    <w:nsid w:val="6AF2BB3A"/>
    <w:multiLevelType w:val="hybridMultilevel"/>
    <w:lvl w:ilvl="0">
      <w:lvlJc w:val="left"/>
      <w:lvlText w:val="(%1)"/>
      <w:numFmt w:val="lowerLetter"/>
      <w:start w:val="1"/>
    </w:lvl>
  </w:abstractNum>
  <w:abstractNum w:abstractNumId="292">
    <w:nsid w:val="481B1739"/>
    <w:multiLevelType w:val="hybridMultilevel"/>
    <w:lvl w:ilvl="0">
      <w:lvlJc w:val="left"/>
      <w:lvlText w:val="(%1)"/>
      <w:numFmt w:val="lowerLetter"/>
      <w:start w:val="2"/>
    </w:lvl>
  </w:abstractNum>
  <w:abstractNum w:abstractNumId="293">
    <w:nsid w:val="19E2BFCC"/>
    <w:multiLevelType w:val="hybridMultilevel"/>
    <w:lvl w:ilvl="0">
      <w:lvlJc w:val="left"/>
      <w:lvlText w:val="(%1)"/>
      <w:numFmt w:val="lowerLetter"/>
      <w:start w:val="1"/>
    </w:lvl>
  </w:abstractNum>
  <w:abstractNum w:abstractNumId="294">
    <w:nsid w:val="66D021CA"/>
    <w:multiLevelType w:val="hybridMultilevel"/>
    <w:lvl w:ilvl="0">
      <w:lvlJc w:val="left"/>
      <w:lvlText w:val="(%1)"/>
      <w:numFmt w:val="lowerLetter"/>
      <w:start w:val="1"/>
    </w:lvl>
    <w:lvl w:ilvl="1">
      <w:lvlJc w:val="left"/>
      <w:lvlText w:val="(%2)"/>
      <w:numFmt w:val="lowerRoman"/>
      <w:start w:val="1"/>
    </w:lvl>
  </w:abstractNum>
  <w:abstractNum w:abstractNumId="295">
    <w:nsid w:val="56167394"/>
    <w:multiLevelType w:val="hybridMultilevel"/>
    <w:lvl w:ilvl="0">
      <w:lvlJc w:val="left"/>
      <w:lvlText w:val="%1"/>
      <w:numFmt w:val="lowerLetter"/>
      <w:start w:val="1"/>
    </w:lvl>
    <w:lvl w:ilvl="1">
      <w:lvlJc w:val="left"/>
      <w:lvlText w:val="(%2)"/>
      <w:numFmt w:val="lowerRoman"/>
      <w:start w:val="8"/>
    </w:lvl>
  </w:abstractNum>
  <w:abstractNum w:abstractNumId="296">
    <w:nsid w:val="921145C"/>
    <w:multiLevelType w:val="hybridMultilevel"/>
    <w:lvl w:ilvl="0">
      <w:lvlJc w:val="left"/>
      <w:lvlText w:val="(%1)"/>
      <w:numFmt w:val="lowerLetter"/>
      <w:start w:val="2"/>
    </w:lvl>
    <w:lvl w:ilvl="1">
      <w:lvlJc w:val="left"/>
      <w:lvlText w:val="%2"/>
      <w:numFmt w:val="lowerRoman"/>
      <w:start w:val="1"/>
    </w:lvl>
  </w:abstractNum>
  <w:abstractNum w:abstractNumId="297">
    <w:nsid w:val="7B34DFE8"/>
    <w:multiLevelType w:val="hybridMultilevel"/>
    <w:lvl w:ilvl="0">
      <w:lvlJc w:val="left"/>
      <w:lvlText w:val="(%1)"/>
      <w:numFmt w:val="lowerLetter"/>
      <w:start w:val="1"/>
    </w:lvl>
  </w:abstractNum>
  <w:abstractNum w:abstractNumId="298">
    <w:nsid w:val="3CD22B79"/>
    <w:multiLevelType w:val="hybridMultilevel"/>
    <w:lvl w:ilvl="0">
      <w:lvlJc w:val="left"/>
      <w:lvlText w:val="(%1)"/>
      <w:numFmt w:val="lowerLetter"/>
      <w:start w:val="6"/>
    </w:lvl>
  </w:abstractNum>
  <w:abstractNum w:abstractNumId="299">
    <w:nsid w:val="3137975E"/>
    <w:multiLevelType w:val="hybridMultilevel"/>
    <w:lvl w:ilvl="0">
      <w:lvlJc w:val="left"/>
      <w:lvlText w:val="(%1)"/>
      <w:numFmt w:val="lowerLetter"/>
      <w:start w:val="1"/>
    </w:lvl>
  </w:abstractNum>
  <w:abstractNum w:abstractNumId="300">
    <w:nsid w:val="2DDAA791"/>
    <w:multiLevelType w:val="hybridMultilevel"/>
    <w:lvl w:ilvl="0">
      <w:lvlJc w:val="left"/>
      <w:lvlText w:val="(%1)"/>
      <w:numFmt w:val="lowerLetter"/>
      <w:start w:val="1"/>
    </w:lvl>
  </w:abstractNum>
  <w:abstractNum w:abstractNumId="301">
    <w:nsid w:val="77263B8A"/>
    <w:multiLevelType w:val="hybridMultilevel"/>
    <w:lvl w:ilvl="0">
      <w:lvlJc w:val="left"/>
      <w:lvlText w:val="(%1)"/>
      <w:numFmt w:val="lowerLetter"/>
      <w:start w:val="2"/>
    </w:lvl>
  </w:abstractNum>
  <w:abstractNum w:abstractNumId="302">
    <w:nsid w:val="755B5ED6"/>
    <w:multiLevelType w:val="hybridMultilevel"/>
    <w:lvl w:ilvl="0">
      <w:lvlJc w:val="left"/>
      <w:lvlText w:val="(%1)"/>
      <w:numFmt w:val="lowerLetter"/>
      <w:start w:val="5"/>
    </w:lvl>
  </w:abstractNum>
  <w:abstractNum w:abstractNumId="303">
    <w:nsid w:val="D3715DE"/>
    <w:multiLevelType w:val="hybridMultilevel"/>
    <w:lvl w:ilvl="0">
      <w:lvlJc w:val="left"/>
      <w:lvlText w:val="(%1)"/>
      <w:numFmt w:val="lowerLetter"/>
      <w:start w:val="11"/>
    </w:lvl>
  </w:abstractNum>
  <w:abstractNum w:abstractNumId="304">
    <w:nsid w:val="73509257"/>
    <w:multiLevelType w:val="hybridMultilevel"/>
    <w:lvl w:ilvl="0">
      <w:lvlJc w:val="left"/>
      <w:lvlText w:val="(%1)"/>
      <w:numFmt w:val="lowerLetter"/>
      <w:start w:val="1"/>
    </w:lvl>
  </w:abstractNum>
  <w:abstractNum w:abstractNumId="305">
    <w:nsid w:val="7013CDB7"/>
    <w:multiLevelType w:val="hybridMultilevel"/>
    <w:lvl w:ilvl="0">
      <w:lvlJc w:val="left"/>
      <w:lvlText w:val="(%1)"/>
      <w:numFmt w:val="lowerLetter"/>
      <w:start w:val="1"/>
    </w:lvl>
  </w:abstractNum>
  <w:abstractNum w:abstractNumId="306">
    <w:nsid w:val="188BFB19"/>
    <w:multiLevelType w:val="hybridMultilevel"/>
    <w:lvl w:ilvl="0">
      <w:lvlJc w:val="left"/>
      <w:lvlText w:val="(%1)"/>
      <w:numFmt w:val="lowerLetter"/>
      <w:start w:val="12"/>
    </w:lvl>
  </w:abstractNum>
  <w:abstractNum w:abstractNumId="307">
    <w:nsid w:val="75F096DF"/>
    <w:multiLevelType w:val="hybridMultilevel"/>
    <w:lvl w:ilvl="0">
      <w:lvlJc w:val="left"/>
      <w:lvlText w:val="(%1)"/>
      <w:numFmt w:val="lowerLetter"/>
      <w:start w:val="1"/>
    </w:lvl>
  </w:abstractNum>
  <w:abstractNum w:abstractNumId="308">
    <w:nsid w:val="76DEE918"/>
    <w:multiLevelType w:val="hybridMultilevel"/>
    <w:lvl w:ilvl="0">
      <w:lvlJc w:val="left"/>
      <w:lvlText w:val="(%1)"/>
      <w:numFmt w:val="upperLetter"/>
      <w:start w:val="1"/>
    </w:lvl>
  </w:abstractNum>
  <w:abstractNum w:abstractNumId="309">
    <w:nsid w:val="B79D08D"/>
    <w:multiLevelType w:val="hybridMultilevel"/>
    <w:lvl w:ilvl="0">
      <w:lvlJc w:val="left"/>
      <w:lvlText w:val="(%1)"/>
      <w:numFmt w:val="lowerLetter"/>
      <w:start w:val="1"/>
    </w:lvl>
  </w:abstractNum>
  <w:abstractNum w:abstractNumId="310">
    <w:nsid w:val="69141769"/>
    <w:multiLevelType w:val="hybridMultilevel"/>
    <w:lvl w:ilvl="0">
      <w:lvlJc w:val="left"/>
      <w:lvlText w:val="(%1)"/>
      <w:numFmt w:val="lowerLetter"/>
      <w:start w:val="1"/>
    </w:lvl>
  </w:abstractNum>
  <w:abstractNum w:abstractNumId="311">
    <w:nsid w:val="7BF45B8E"/>
    <w:multiLevelType w:val="hybridMultilevel"/>
    <w:lvl w:ilvl="0">
      <w:lvlJc w:val="left"/>
      <w:lvlText w:val="(%1)"/>
      <w:numFmt w:val="lowerLetter"/>
      <w:start w:val="2"/>
    </w:lvl>
  </w:abstractNum>
  <w:abstractNum w:abstractNumId="312">
    <w:nsid w:val="41205269"/>
    <w:multiLevelType w:val="hybridMultilevel"/>
    <w:lvl w:ilvl="0">
      <w:lvlJc w:val="left"/>
      <w:lvlText w:val="(%1)"/>
      <w:numFmt w:val="lowerLetter"/>
      <w:start w:val="1"/>
    </w:lvl>
  </w:abstractNum>
  <w:abstractNum w:abstractNumId="313">
    <w:nsid w:val="9AE0DD"/>
    <w:multiLevelType w:val="hybridMultilevel"/>
    <w:lvl w:ilvl="0">
      <w:lvlJc w:val="left"/>
      <w:lvlText w:val="(%1)"/>
      <w:numFmt w:val="lowerLetter"/>
      <w:start w:val="1"/>
    </w:lvl>
  </w:abstractNum>
  <w:abstractNum w:abstractNumId="314">
    <w:nsid w:val="1818832F"/>
    <w:multiLevelType w:val="hybridMultilevel"/>
    <w:lvl w:ilvl="0">
      <w:lvlJc w:val="left"/>
      <w:lvlText w:val="(%1)"/>
      <w:numFmt w:val="lowerLetter"/>
      <w:start w:val="2"/>
    </w:lvl>
  </w:abstractNum>
  <w:abstractNum w:abstractNumId="315">
    <w:nsid w:val="24C29FD1"/>
    <w:multiLevelType w:val="hybridMultilevel"/>
    <w:lvl w:ilvl="0">
      <w:lvlJc w:val="left"/>
      <w:lvlText w:val="(%1)"/>
      <w:numFmt w:val="lowerLetter"/>
      <w:start w:val="1"/>
    </w:lvl>
  </w:abstractNum>
  <w:abstractNum w:abstractNumId="316">
    <w:nsid w:val="50528108"/>
    <w:multiLevelType w:val="hybridMultilevel"/>
    <w:lvl w:ilvl="0">
      <w:lvlJc w:val="left"/>
      <w:lvlText w:val="(%1)"/>
      <w:numFmt w:val="lowerLetter"/>
      <w:start w:val="2"/>
    </w:lvl>
  </w:abstractNum>
  <w:abstractNum w:abstractNumId="317">
    <w:nsid w:val="21857A57"/>
    <w:multiLevelType w:val="hybridMultilevel"/>
    <w:lvl w:ilvl="0">
      <w:lvlJc w:val="left"/>
      <w:lvlText w:val="(%1)"/>
      <w:numFmt w:val="lowerLetter"/>
      <w:start w:val="1"/>
    </w:lvl>
  </w:abstractNum>
  <w:abstractNum w:abstractNumId="318">
    <w:nsid w:val="5FD4B154"/>
    <w:multiLevelType w:val="hybridMultilevel"/>
    <w:lvl w:ilvl="0">
      <w:lvlJc w:val="left"/>
      <w:lvlText w:val="(%1)"/>
      <w:numFmt w:val="lowerLetter"/>
      <w:start w:val="2"/>
    </w:lvl>
  </w:abstractNum>
  <w:abstractNum w:abstractNumId="319">
    <w:nsid w:val="4ABE597"/>
    <w:multiLevelType w:val="hybridMultilevel"/>
    <w:lvl w:ilvl="0">
      <w:lvlJc w:val="left"/>
      <w:lvlText w:val="(%1)"/>
      <w:numFmt w:val="lowerLetter"/>
      <w:start w:val="5"/>
    </w:lvl>
  </w:abstractNum>
  <w:abstractNum w:abstractNumId="320">
    <w:nsid w:val="5C64AD75"/>
    <w:multiLevelType w:val="hybridMultilevel"/>
    <w:lvl w:ilvl="0">
      <w:lvlJc w:val="left"/>
      <w:lvlText w:val="(%1)"/>
      <w:numFmt w:val="lowerLetter"/>
      <w:start w:val="1"/>
    </w:lvl>
  </w:abstractNum>
  <w:abstractNum w:abstractNumId="321">
    <w:nsid w:val="2CDD5B39"/>
    <w:multiLevelType w:val="hybridMultilevel"/>
    <w:lvl w:ilvl="0">
      <w:lvlJc w:val="left"/>
      <w:lvlText w:val="(%1)"/>
      <w:numFmt w:val="lowerLetter"/>
      <w:start w:val="1"/>
    </w:lvl>
  </w:abstractNum>
  <w:abstractNum w:abstractNumId="322">
    <w:nsid w:val="6F9EA0D1"/>
    <w:multiLevelType w:val="hybridMultilevel"/>
    <w:lvl w:ilvl="0">
      <w:lvlJc w:val="left"/>
      <w:lvlText w:val="(%1)"/>
      <w:numFmt w:val="lowerLetter"/>
      <w:start w:val="1"/>
    </w:lvl>
  </w:abstractNum>
  <w:abstractNum w:abstractNumId="323">
    <w:nsid w:val="247FC4AE"/>
    <w:multiLevelType w:val="hybridMultilevel"/>
    <w:lvl w:ilvl="0">
      <w:lvlJc w:val="left"/>
      <w:lvlText w:val="%1"/>
      <w:numFmt w:val="lowerRoman"/>
      <w:start w:val="1"/>
    </w:lvl>
    <w:lvl w:ilvl="1">
      <w:lvlJc w:val="left"/>
      <w:lvlText w:val="(%2)"/>
      <w:numFmt w:val="lowerLetter"/>
      <w:start w:val="4"/>
    </w:lvl>
  </w:abstractNum>
  <w:abstractNum w:abstractNumId="324">
    <w:nsid w:val="46C01B05"/>
    <w:multiLevelType w:val="hybridMultilevel"/>
    <w:lvl w:ilvl="0">
      <w:lvlJc w:val="left"/>
      <w:lvlText w:val="(%1)"/>
      <w:numFmt w:val="lowerRoman"/>
      <w:start w:val="4"/>
    </w:lvl>
    <w:lvl w:ilvl="1">
      <w:lvlJc w:val="left"/>
      <w:lvlText w:val="(%2)"/>
      <w:numFmt w:val="lowerLetter"/>
      <w:start w:val="5"/>
    </w:lvl>
  </w:abstractNum>
  <w:abstractNum w:abstractNumId="325">
    <w:nsid w:val="566EC29B"/>
    <w:multiLevelType w:val="hybridMultilevel"/>
    <w:lvl w:ilvl="0">
      <w:lvlJc w:val="left"/>
      <w:lvlText w:val="(%1)"/>
      <w:numFmt w:val="lowerLetter"/>
      <w:start w:val="5"/>
    </w:lvl>
  </w:abstractNum>
  <w:abstractNum w:abstractNumId="326">
    <w:nsid w:val="7A963843"/>
    <w:multiLevelType w:val="hybridMultilevel"/>
    <w:lvl w:ilvl="0">
      <w:lvlJc w:val="left"/>
      <w:lvlText w:val="(%1)"/>
      <w:numFmt w:val="lowerLetter"/>
      <w:start w:val="1"/>
    </w:lvl>
  </w:abstractNum>
  <w:abstractNum w:abstractNumId="327">
    <w:nsid w:val="4FE12F61"/>
    <w:multiLevelType w:val="hybridMultilevel"/>
    <w:lvl w:ilvl="0">
      <w:lvlJc w:val="left"/>
      <w:lvlText w:val="(%1)"/>
      <w:numFmt w:val="lowerLetter"/>
      <w:start w:val="1"/>
    </w:lvl>
  </w:abstractNum>
  <w:abstractNum w:abstractNumId="328">
    <w:nsid w:val="51A3A284"/>
    <w:multiLevelType w:val="hybridMultilevel"/>
    <w:lvl w:ilvl="0">
      <w:lvlJc w:val="left"/>
      <w:lvlText w:val="(%1)"/>
      <w:numFmt w:val="lowerLetter"/>
      <w:start w:val="1"/>
    </w:lvl>
  </w:abstractNum>
  <w:abstractNum w:abstractNumId="329">
    <w:nsid w:val="376863BC"/>
    <w:multiLevelType w:val="hybridMultilevel"/>
    <w:lvl w:ilvl="0">
      <w:lvlJc w:val="left"/>
      <w:lvlText w:val="(%1)"/>
      <w:numFmt w:val="lowerLetter"/>
      <w:start w:val="1"/>
    </w:lvl>
    <w:lvl w:ilvl="1">
      <w:lvlJc w:val="left"/>
      <w:lvlText w:val="(%2)"/>
      <w:numFmt w:val="lowerRoman"/>
      <w:start w:val="1"/>
    </w:lvl>
  </w:abstractNum>
  <w:abstractNum w:abstractNumId="330">
    <w:nsid w:val="118C6C0"/>
    <w:multiLevelType w:val="hybridMultilevel"/>
    <w:lvl w:ilvl="0">
      <w:lvlJc w:val="left"/>
      <w:lvlText w:val="%1"/>
      <w:numFmt w:val="upperLetter"/>
      <w:start w:val="1"/>
    </w:lvl>
    <w:lvl w:ilvl="1">
      <w:lvlJc w:val="left"/>
      <w:lvlText w:val="(%2)"/>
      <w:numFmt w:val="lowerRoman"/>
      <w:start w:val="5"/>
    </w:lvl>
  </w:abstractNum>
  <w:abstractNum w:abstractNumId="331">
    <w:nsid w:val="7F7E4A15"/>
    <w:multiLevelType w:val="hybridMultilevel"/>
    <w:lvl w:ilvl="0">
      <w:lvlJc w:val="left"/>
      <w:lvlText w:val="(%1)"/>
      <w:numFmt w:val="upperLetter"/>
      <w:start w:val="2"/>
    </w:lvl>
    <w:lvl w:ilvl="1">
      <w:lvlJc w:val="left"/>
      <w:lvlText w:val="(%2)"/>
      <w:numFmt w:val="lowerRoman"/>
      <w:start w:val="9"/>
    </w:lvl>
  </w:abstractNum>
  <w:abstractNum w:abstractNumId="332">
    <w:nsid w:val="2E8E9F47"/>
    <w:multiLevelType w:val="hybridMultilevel"/>
    <w:lvl w:ilvl="0">
      <w:lvlJc w:val="left"/>
      <w:lvlText w:val="(%1)"/>
      <w:numFmt w:val="lowerRoman"/>
      <w:start w:val="10"/>
    </w:lvl>
  </w:abstractNum>
  <w:abstractNum w:abstractNumId="333">
    <w:nsid w:val="76742596"/>
    <w:multiLevelType w:val="hybridMultilevel"/>
    <w:lvl w:ilvl="0">
      <w:lvlJc w:val="left"/>
      <w:lvlText w:val="(%1)"/>
      <w:numFmt w:val="lowerLetter"/>
      <w:start w:val="1"/>
    </w:lvl>
  </w:abstractNum>
  <w:abstractNum w:abstractNumId="334">
    <w:nsid w:val="CB55FF3"/>
    <w:multiLevelType w:val="hybridMultilevel"/>
    <w:lvl w:ilvl="0">
      <w:lvlJc w:val="left"/>
      <w:lvlText w:val="(%1)"/>
      <w:numFmt w:val="lowerLetter"/>
      <w:start w:val="35"/>
    </w:lvl>
    <w:lvl w:ilvl="1">
      <w:lvlJc w:val="left"/>
      <w:lvlText w:val="(%2)"/>
      <w:numFmt w:val="lowerLetter"/>
      <w:start w:val="2"/>
    </w:lvl>
  </w:abstractNum>
  <w:abstractNum w:abstractNumId="335">
    <w:nsid w:val="21DF319E"/>
    <w:multiLevelType w:val="hybridMultilevel"/>
    <w:lvl w:ilvl="0">
      <w:lvlJc w:val="left"/>
      <w:lvlText w:val="(%1)"/>
      <w:numFmt w:val="lowerLetter"/>
      <w:start w:val="3"/>
    </w:lvl>
  </w:abstractNum>
  <w:abstractNum w:abstractNumId="336">
    <w:nsid w:val="6687F34D"/>
    <w:multiLevelType w:val="hybridMultilevel"/>
    <w:lvl w:ilvl="0">
      <w:lvlJc w:val="left"/>
      <w:lvlText w:val="%1"/>
      <w:numFmt w:val="upperLetter"/>
      <w:start w:val="1"/>
    </w:lvl>
    <w:lvl w:ilvl="1">
      <w:lvlJc w:val="left"/>
      <w:lvlText w:val="(%2)"/>
      <w:numFmt w:val="lowerLetter"/>
      <w:start w:val="1"/>
    </w:lvl>
  </w:abstractNum>
  <w:abstractNum w:abstractNumId="337">
    <w:nsid w:val="25415B0C"/>
    <w:multiLevelType w:val="hybridMultilevel"/>
    <w:lvl w:ilvl="0">
      <w:lvlJc w:val="left"/>
      <w:lvlText w:val="(%1)"/>
      <w:numFmt w:val="upperLetter"/>
      <w:start w:val="1"/>
    </w:lvl>
    <w:lvl w:ilvl="1">
      <w:lvlJc w:val="left"/>
      <w:lvlText w:val="(%2)"/>
      <w:numFmt w:val="lowerLetter"/>
      <w:start w:val="3"/>
    </w:lvl>
  </w:abstractNum>
  <w:abstractNum w:abstractNumId="338">
    <w:nsid w:val="17CFC87D"/>
    <w:multiLevelType w:val="hybridMultilevel"/>
    <w:lvl w:ilvl="0">
      <w:lvlJc w:val="left"/>
      <w:lvlText w:val="(%1)"/>
      <w:numFmt w:val="lowerLetter"/>
      <w:start w:val="1"/>
    </w:lvl>
  </w:abstractNum>
  <w:abstractNum w:abstractNumId="339">
    <w:nsid w:val="5D66DC65"/>
    <w:multiLevelType w:val="hybridMultilevel"/>
    <w:lvl w:ilvl="0">
      <w:lvlJc w:val="left"/>
      <w:lvlText w:val="(%1)"/>
      <w:numFmt w:val="lowerLetter"/>
      <w:start w:val="1"/>
    </w:lvl>
    <w:lvl w:ilvl="1">
      <w:lvlJc w:val="left"/>
      <w:lvlText w:val="(%2)"/>
      <w:numFmt w:val="lowerRoman"/>
      <w:start w:val="1"/>
    </w:lvl>
  </w:abstractNum>
  <w:abstractNum w:abstractNumId="340">
    <w:nsid w:val="30BB2B99"/>
    <w:multiLevelType w:val="hybridMultilevel"/>
    <w:lvl w:ilvl="0">
      <w:lvlJc w:val="left"/>
      <w:lvlText w:val="(%1)"/>
      <w:numFmt w:val="lowerLetter"/>
      <w:start w:val="2"/>
    </w:lvl>
  </w:abstractNum>
  <w:abstractNum w:abstractNumId="341">
    <w:nsid w:val="E3DFE6"/>
    <w:multiLevelType w:val="hybridMultilevel"/>
    <w:lvl w:ilvl="0">
      <w:lvlJc w:val="left"/>
      <w:lvlText w:val="(%1)"/>
      <w:numFmt w:val="lowerLetter"/>
      <w:start w:val="1"/>
    </w:lvl>
  </w:abstractNum>
  <w:abstractNum w:abstractNumId="342">
    <w:nsid w:val="595B37F3"/>
    <w:multiLevelType w:val="hybridMultilevel"/>
    <w:lvl w:ilvl="0">
      <w:lvlJc w:val="left"/>
      <w:lvlText w:val="(%1)"/>
      <w:numFmt w:val="lowerLetter"/>
      <w:start w:val="1"/>
    </w:lvl>
  </w:abstractNum>
  <w:abstractNum w:abstractNumId="343">
    <w:nsid w:val="71DB7E02"/>
    <w:multiLevelType w:val="hybridMultilevel"/>
    <w:lvl w:ilvl="0">
      <w:lvlJc w:val="left"/>
      <w:lvlText w:val="(%1)"/>
      <w:numFmt w:val="lowerLetter"/>
      <w:start w:val="2"/>
    </w:lvl>
  </w:abstractNum>
  <w:abstractNum w:abstractNumId="344">
    <w:nsid w:val="17EC0C4"/>
    <w:multiLevelType w:val="hybridMultilevel"/>
    <w:lvl w:ilvl="0">
      <w:lvlJc w:val="left"/>
      <w:lvlText w:val="(%1)"/>
      <w:numFmt w:val="lowerRoman"/>
      <w:start w:val="2"/>
    </w:lvl>
  </w:abstractNum>
  <w:abstractNum w:abstractNumId="345">
    <w:nsid w:val="7173BB22"/>
    <w:multiLevelType w:val="hybridMultilevel"/>
    <w:lvl w:ilvl="0">
      <w:lvlJc w:val="left"/>
      <w:lvlText w:val="(%1)"/>
      <w:numFmt w:val="lowerLetter"/>
      <w:start w:val="1"/>
    </w:lvl>
  </w:abstractNum>
  <w:abstractNum w:abstractNumId="346">
    <w:nsid w:val="169E1DD3"/>
    <w:multiLevelType w:val="hybridMultilevel"/>
    <w:lvl w:ilvl="0">
      <w:lvlJc w:val="left"/>
      <w:lvlText w:val="(%1)"/>
      <w:numFmt w:val="lowerLetter"/>
      <w:start w:val="2"/>
    </w:lvl>
  </w:abstractNum>
  <w:abstractNum w:abstractNumId="347">
    <w:nsid w:val="51D141CC"/>
    <w:multiLevelType w:val="hybridMultilevel"/>
    <w:lvl w:ilvl="0">
      <w:lvlJc w:val="left"/>
      <w:lvlText w:val="(%1)"/>
      <w:numFmt w:val="lowerLetter"/>
      <w:start w:val="12"/>
    </w:lvl>
  </w:abstractNum>
  <w:abstractNum w:abstractNumId="348">
    <w:nsid w:val="12F9357A"/>
    <w:multiLevelType w:val="hybridMultilevel"/>
    <w:lvl w:ilvl="0">
      <w:lvlJc w:val="left"/>
      <w:lvlText w:val="(%1)"/>
      <w:numFmt w:val="lowerLetter"/>
      <w:start w:val="1"/>
    </w:lvl>
  </w:abstractNum>
  <w:abstractNum w:abstractNumId="349">
    <w:nsid w:val="7672CF28"/>
    <w:multiLevelType w:val="hybridMultilevel"/>
    <w:lvl w:ilvl="0">
      <w:lvlJc w:val="left"/>
      <w:lvlText w:val="(%1)"/>
      <w:numFmt w:val="lowerLetter"/>
      <w:start w:val="1"/>
    </w:lvl>
  </w:abstractNum>
  <w:abstractNum w:abstractNumId="350">
    <w:nsid w:val="567D2763"/>
    <w:multiLevelType w:val="hybridMultilevel"/>
    <w:lvl w:ilvl="0">
      <w:lvlJc w:val="left"/>
      <w:lvlText w:val="(%1)"/>
      <w:numFmt w:val="lowerLetter"/>
      <w:start w:val="1"/>
    </w:lvl>
  </w:abstractNum>
  <w:abstractNum w:abstractNumId="351">
    <w:nsid w:val="6F5DE2EF"/>
    <w:multiLevelType w:val="hybridMultilevel"/>
    <w:lvl w:ilvl="0">
      <w:lvlJc w:val="left"/>
      <w:lvlText w:val="(%1)"/>
      <w:numFmt w:val="lowerLetter"/>
      <w:start w:val="3"/>
    </w:lvl>
  </w:abstractNum>
  <w:abstractNum w:abstractNumId="352">
    <w:nsid w:val="23502A61"/>
    <w:multiLevelType w:val="hybridMultilevel"/>
    <w:lvl w:ilvl="0">
      <w:lvlJc w:val="left"/>
      <w:lvlText w:val="%1"/>
      <w:numFmt w:val="decimal"/>
      <w:start w:val="1"/>
    </w:lvl>
    <w:lvl w:ilvl="1">
      <w:lvlJc w:val="left"/>
      <w:lvlText w:val="(%2)"/>
      <w:numFmt w:val="lowerLetter"/>
      <w:start w:val="1"/>
    </w:lvl>
  </w:abstractNum>
  <w:abstractNum w:abstractNumId="353">
    <w:nsid w:val="461BC834"/>
    <w:multiLevelType w:val="hybridMultilevel"/>
    <w:lvl w:ilvl="0">
      <w:lvlJc w:val="left"/>
      <w:lvlText w:val="(%1)"/>
      <w:numFmt w:val="decimal"/>
      <w:start w:val="6"/>
    </w:lvl>
    <w:lvl w:ilvl="1">
      <w:lvlJc w:val="left"/>
      <w:lvlText w:val="%2"/>
      <w:numFmt w:val="lowerLetter"/>
      <w:start w:val="1"/>
    </w:lvl>
  </w:abstractNum>
  <w:abstractNum w:abstractNumId="354">
    <w:nsid w:val="13DDA79D"/>
    <w:multiLevelType w:val="hybridMultilevel"/>
    <w:lvl w:ilvl="0">
      <w:lvlJc w:val="left"/>
      <w:lvlText w:val="(%1)"/>
      <w:numFmt w:val="lowerLetter"/>
      <w:start w:val="5"/>
    </w:lvl>
  </w:abstractNum>
  <w:abstractNum w:abstractNumId="355">
    <w:nsid w:val="6A104566"/>
    <w:multiLevelType w:val="hybridMultilevel"/>
    <w:lvl w:ilvl="0">
      <w:lvlJc w:val="left"/>
      <w:lvlText w:val="(%1)"/>
      <w:numFmt w:val="lowerLetter"/>
      <w:start w:val="1"/>
    </w:lvl>
  </w:abstractNum>
  <w:abstractNum w:abstractNumId="356">
    <w:nsid w:val="1C8A8ACF"/>
    <w:multiLevelType w:val="hybridMultilevel"/>
    <w:lvl w:ilvl="0">
      <w:lvlJc w:val="left"/>
      <w:lvlText w:val="(%1)"/>
      <w:numFmt w:val="lowerLetter"/>
      <w:start w:val="4"/>
    </w:lvl>
  </w:abstractNum>
  <w:abstractNum w:abstractNumId="357">
    <w:nsid w:val="E73DFE0"/>
    <w:multiLevelType w:val="hybridMultilevel"/>
    <w:lvl w:ilvl="0">
      <w:lvlJc w:val="left"/>
      <w:lvlText w:val="(%1)"/>
      <w:numFmt w:val="lowerLetter"/>
      <w:start w:val="1"/>
    </w:lvl>
  </w:abstractNum>
  <w:abstractNum w:abstractNumId="358">
    <w:nsid w:val="39F174C7"/>
    <w:multiLevelType w:val="hybridMultilevel"/>
    <w:lvl w:ilvl="0">
      <w:lvlJc w:val="left"/>
      <w:lvlText w:val="(%1)"/>
      <w:numFmt w:val="lowerLetter"/>
      <w:start w:val="4"/>
    </w:lvl>
  </w:abstractNum>
  <w:abstractNum w:abstractNumId="359">
    <w:nsid w:val="6E2E2D53"/>
    <w:multiLevelType w:val="hybridMultilevel"/>
    <w:lvl w:ilvl="0">
      <w:lvlJc w:val="left"/>
      <w:lvlText w:val="(%1)"/>
      <w:numFmt w:val="lowerLetter"/>
      <w:start w:val="1"/>
    </w:lvl>
  </w:abstractNum>
  <w:abstractNum w:abstractNumId="360">
    <w:nsid w:val="45DC439D"/>
    <w:multiLevelType w:val="hybridMultilevel"/>
    <w:lvl w:ilvl="0">
      <w:lvlJc w:val="left"/>
      <w:lvlText w:val="(%1)"/>
      <w:numFmt w:val="lowerLetter"/>
      <w:start w:val="1"/>
    </w:lvl>
  </w:abstractNum>
  <w:abstractNum w:abstractNumId="361">
    <w:nsid w:val="3B0A3B87"/>
    <w:multiLevelType w:val="hybridMultilevel"/>
    <w:lvl w:ilvl="0">
      <w:lvlJc w:val="left"/>
      <w:lvlText w:val="(%1)"/>
      <w:numFmt w:val="lowerLetter"/>
      <w:start w:val="2"/>
    </w:lvl>
  </w:abstractNum>
  <w:abstractNum w:abstractNumId="362">
    <w:nsid w:val="6DAC7768"/>
    <w:multiLevelType w:val="hybridMultilevel"/>
    <w:lvl w:ilvl="0">
      <w:lvlJc w:val="left"/>
      <w:lvlText w:val="(%1)"/>
      <w:numFmt w:val="lowerLetter"/>
      <w:start w:val="1"/>
    </w:lvl>
  </w:abstractNum>
  <w:abstractNum w:abstractNumId="363">
    <w:nsid w:val="746AE2E4"/>
    <w:multiLevelType w:val="hybridMultilevel"/>
    <w:lvl w:ilvl="0">
      <w:lvlJc w:val="left"/>
      <w:lvlText w:val="(%1)"/>
      <w:numFmt w:val="lowerLetter"/>
      <w:start w:val="2"/>
    </w:lvl>
  </w:abstractNum>
  <w:abstractNum w:abstractNumId="364">
    <w:nsid w:val="317E611D"/>
    <w:multiLevelType w:val="hybridMultilevel"/>
    <w:lvl w:ilvl="0">
      <w:lvlJc w:val="left"/>
      <w:lvlText w:val="(%1)"/>
      <w:numFmt w:val="lowerLetter"/>
      <w:start w:val="1"/>
    </w:lvl>
  </w:abstractNum>
  <w:abstractNum w:abstractNumId="365">
    <w:nsid w:val="7A61D75B"/>
    <w:multiLevelType w:val="hybridMultilevel"/>
    <w:lvl w:ilvl="0">
      <w:lvlJc w:val="left"/>
      <w:lvlText w:val="%1"/>
      <w:numFmt w:val="decimal"/>
      <w:start w:val="1"/>
    </w:lvl>
    <w:lvl w:ilvl="1">
      <w:lvlJc w:val="left"/>
      <w:lvlText w:val="(%2)"/>
      <w:numFmt w:val="lowerLetter"/>
      <w:start w:val="7"/>
    </w:lvl>
  </w:abstractNum>
  <w:abstractNum w:abstractNumId="366">
    <w:nsid w:val="164A1482"/>
    <w:multiLevelType w:val="hybridMultilevel"/>
    <w:lvl w:ilvl="0">
      <w:lvlJc w:val="left"/>
      <w:lvlText w:val="(%1)"/>
      <w:numFmt w:val="decimal"/>
      <w:start w:val="1"/>
    </w:lvl>
    <w:lvl w:ilvl="1">
      <w:lvlJc w:val="left"/>
      <w:lvlText w:val="%2"/>
      <w:numFmt w:val="lowerLetter"/>
      <w:start w:val="1"/>
    </w:lvl>
  </w:abstractNum>
  <w:abstractNum w:abstractNumId="367">
    <w:nsid w:val="1806546B"/>
    <w:multiLevelType w:val="hybridMultilevel"/>
    <w:lvl w:ilvl="0">
      <w:lvlJc w:val="left"/>
      <w:lvlText w:val="(%1)"/>
      <w:numFmt w:val="lowerLetter"/>
      <w:start w:val="1"/>
    </w:lvl>
    <w:lvl w:ilvl="1">
      <w:lvlJc w:val="left"/>
      <w:lvlText w:val="(%2)"/>
      <w:numFmt w:val="lowerRoman"/>
      <w:start w:val="1"/>
    </w:lvl>
  </w:abstractNum>
  <w:abstractNum w:abstractNumId="368">
    <w:nsid w:val="1FA33267"/>
    <w:multiLevelType w:val="hybridMultilevel"/>
    <w:lvl w:ilvl="0">
      <w:lvlJc w:val="left"/>
      <w:lvlText w:val="(%1)"/>
      <w:numFmt w:val="lowerLetter"/>
      <w:start w:val="1"/>
    </w:lvl>
  </w:abstractNum>
  <w:abstractNum w:abstractNumId="369">
    <w:nsid w:val="2E19DD00"/>
    <w:multiLevelType w:val="hybridMultilevel"/>
    <w:lvl w:ilvl="0">
      <w:lvlJc w:val="left"/>
      <w:lvlText w:val="(%1)"/>
      <w:numFmt w:val="lowerLetter"/>
      <w:start w:val="2"/>
    </w:lvl>
    <w:lvl w:ilvl="1">
      <w:lvlJc w:val="left"/>
      <w:lvlText w:val="(%2)"/>
      <w:numFmt w:val="lowerRoman"/>
      <w:start w:val="1"/>
    </w:lvl>
  </w:abstractNum>
  <w:abstractNum w:abstractNumId="370">
    <w:nsid w:val="756D30D0"/>
    <w:multiLevelType w:val="hybridMultilevel"/>
    <w:lvl w:ilvl="0">
      <w:lvlJc w:val="left"/>
      <w:lvlText w:val="(%1)"/>
      <w:numFmt w:val="lowerLetter"/>
      <w:start w:val="1"/>
    </w:lvl>
  </w:abstractNum>
  <w:abstractNum w:abstractNumId="371">
    <w:nsid w:val="505E5E01"/>
    <w:multiLevelType w:val="hybridMultilevel"/>
    <w:lvl w:ilvl="0">
      <w:lvlJc w:val="left"/>
      <w:lvlText w:val="(%1)"/>
      <w:numFmt w:val="lowerLetter"/>
      <w:start w:val="5"/>
    </w:lvl>
  </w:abstractNum>
  <w:abstractNum w:abstractNumId="372">
    <w:nsid w:val="2EFDBCE6"/>
    <w:multiLevelType w:val="hybridMultilevel"/>
    <w:lvl w:ilvl="0">
      <w:lvlJc w:val="left"/>
      <w:lvlText w:val="(%1)"/>
      <w:numFmt w:val="lowerLetter"/>
      <w:start w:val="1"/>
    </w:lvl>
  </w:abstractNum>
  <w:abstractNum w:abstractNumId="373">
    <w:nsid w:val="4EC868C4"/>
    <w:multiLevelType w:val="hybridMultilevel"/>
    <w:lvl w:ilvl="0">
      <w:lvlJc w:val="left"/>
      <w:lvlText w:val="(%1)"/>
      <w:numFmt w:val="lowerLetter"/>
      <w:start w:val="2"/>
    </w:lvl>
  </w:abstractNum>
  <w:abstractNum w:abstractNumId="374">
    <w:nsid w:val="4239DC03"/>
    <w:multiLevelType w:val="hybridMultilevel"/>
    <w:lvl w:ilvl="0">
      <w:lvlJc w:val="left"/>
      <w:lvlText w:val="(%1)"/>
      <w:numFmt w:val="upperLetter"/>
      <w:start w:val="2"/>
    </w:lvl>
  </w:abstractNum>
  <w:abstractNum w:abstractNumId="375">
    <w:nsid w:val="307C7DAA"/>
    <w:multiLevelType w:val="hybridMultilevel"/>
    <w:lvl w:ilvl="0">
      <w:lvlJc w:val="left"/>
      <w:lvlText w:val="(%1)"/>
      <w:numFmt w:val="lowerLetter"/>
      <w:start w:val="1"/>
    </w:lvl>
  </w:abstractNum>
  <w:abstractNum w:abstractNumId="376">
    <w:nsid w:val="403C23E6"/>
    <w:multiLevelType w:val="hybridMultilevel"/>
    <w:lvl w:ilvl="0">
      <w:lvlJc w:val="left"/>
      <w:lvlText w:val="(%1)"/>
      <w:numFmt w:val="lowerLetter"/>
      <w:start w:val="1"/>
    </w:lvl>
  </w:abstractNum>
  <w:abstractNum w:abstractNumId="377">
    <w:nsid w:val="58D7F9D7"/>
    <w:multiLevelType w:val="hybridMultilevel"/>
    <w:lvl w:ilvl="0">
      <w:lvlJc w:val="left"/>
      <w:lvlText w:val="(%1)"/>
      <w:numFmt w:val="lowerLetter"/>
      <w:start w:val="2"/>
    </w:lvl>
    <w:lvl w:ilvl="1">
      <w:lvlJc w:val="left"/>
      <w:lvlText w:val="*"/>
      <w:numFmt w:val="bullet"/>
      <w:start w:val="1"/>
    </w:lvl>
  </w:abstractNum>
  <w:abstractNum w:abstractNumId="378">
    <w:nsid w:val="24DBF76"/>
    <w:multiLevelType w:val="hybridMultilevel"/>
    <w:lvl w:ilvl="0">
      <w:lvlJc w:val="left"/>
      <w:lvlText w:val="1"/>
      <w:numFmt w:val="bullet"/>
      <w:start w:val="1"/>
    </w:lvl>
  </w:abstractNum>
  <w:abstractNum w:abstractNumId="379">
    <w:nsid w:val="53355960"/>
    <w:multiLevelType w:val="hybridMultilevel"/>
    <w:lvl w:ilvl="0">
      <w:lvlJc w:val="left"/>
      <w:lvlText w:val="2"/>
      <w:numFmt w:val="bullet"/>
      <w:start w:val="1"/>
    </w:lvl>
  </w:abstractNum>
  <w:abstractNum w:abstractNumId="380">
    <w:nsid w:val="4F4AC8FF"/>
    <w:multiLevelType w:val="hybridMultilevel"/>
    <w:lvl w:ilvl="0">
      <w:lvlJc w:val="left"/>
      <w:lvlText w:val="3"/>
      <w:numFmt w:val="bullet"/>
      <w:start w:val="1"/>
    </w:lvl>
  </w:abstractNum>
  <w:abstractNum w:abstractNumId="381">
    <w:nsid w:val="58CAE6D9"/>
    <w:multiLevelType w:val="hybridMultilevel"/>
    <w:lvl w:ilvl="0">
      <w:lvlJc w:val="left"/>
      <w:lvlText w:val="4"/>
      <w:numFmt w:val="bullet"/>
      <w:start w:val="1"/>
    </w:lvl>
  </w:abstractNum>
  <w:abstractNum w:abstractNumId="382">
    <w:nsid w:val="42933C4F"/>
    <w:multiLevelType w:val="hybridMultilevel"/>
    <w:lvl w:ilvl="0">
      <w:lvlJc w:val="left"/>
      <w:lvlText w:val="5"/>
      <w:numFmt w:val="bullet"/>
      <w:start w:val="1"/>
    </w:lvl>
  </w:abstractNum>
  <w:abstractNum w:abstractNumId="383">
    <w:nsid w:val="729AF360"/>
    <w:multiLevelType w:val="hybridMultilevel"/>
    <w:lvl w:ilvl="0">
      <w:lvlJc w:val="left"/>
      <w:lvlText w:val="(%1)"/>
      <w:numFmt w:val="lowerLetter"/>
      <w:start w:val="1"/>
    </w:lvl>
  </w:abstractNum>
  <w:abstractNum w:abstractNumId="384">
    <w:nsid w:val="1EE6AF0D"/>
    <w:multiLevelType w:val="hybridMultilevel"/>
    <w:lvl w:ilvl="0">
      <w:lvlJc w:val="left"/>
      <w:lvlText w:val="6"/>
      <w:numFmt w:val="bullet"/>
      <w:start w:val="1"/>
    </w:lvl>
  </w:abstractNum>
  <w:abstractNum w:abstractNumId="385">
    <w:nsid w:val="5670E3ED"/>
    <w:multiLevelType w:val="hybridMultilevel"/>
    <w:lvl w:ilvl="0">
      <w:lvlJc w:val="left"/>
      <w:lvlText w:val="7"/>
      <w:numFmt w:val="bullet"/>
      <w:start w:val="1"/>
    </w:lvl>
  </w:abstractNum>
  <w:abstractNum w:abstractNumId="386">
    <w:nsid w:val="5CAB38C6"/>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387">
    <w:nsid w:val="3B7139DD"/>
    <w:multiLevelType w:val="hybridMultilevel"/>
    <w:lvl w:ilvl="0">
      <w:lvlJc w:val="left"/>
      <w:lvlText w:val="(%1)"/>
      <w:numFmt w:val="lowerLetter"/>
      <w:start w:val="4"/>
    </w:lvl>
  </w:abstractNum>
  <w:abstractNum w:abstractNumId="388">
    <w:nsid w:val="64E4C3CD"/>
    <w:multiLevelType w:val="hybridMultilevel"/>
    <w:lvl w:ilvl="0">
      <w:lvlJc w:val="left"/>
      <w:lvlText w:val="9"/>
      <w:numFmt w:val="bullet"/>
      <w:start w:val="1"/>
    </w:lvl>
  </w:abstractNum>
  <w:abstractNum w:abstractNumId="389">
    <w:nsid w:val="169CAD8D"/>
    <w:multiLevelType w:val="hybridMultilevel"/>
    <w:lvl w:ilvl="0">
      <w:lvlJc w:val="left"/>
      <w:lvlText w:val="1"/>
      <w:numFmt w:val="bullet"/>
      <w:start w:val="1"/>
    </w:lvl>
  </w:abstractNum>
  <w:abstractNum w:abstractNumId="390">
    <w:nsid w:val="299F6730"/>
    <w:multiLevelType w:val="hybridMultilevel"/>
    <w:lvl w:ilvl="0">
      <w:lvlJc w:val="left"/>
      <w:lvlText w:val="(%1)"/>
      <w:numFmt w:val="lowerLetter"/>
      <w:start w:val="1"/>
    </w:lvl>
  </w:abstractNum>
  <w:abstractNum w:abstractNumId="391">
    <w:nsid w:val="2AC1076A"/>
    <w:multiLevelType w:val="hybridMultilevel"/>
    <w:lvl w:ilvl="0">
      <w:lvlJc w:val="left"/>
      <w:lvlText w:val="(%1)"/>
      <w:numFmt w:val="lowerLetter"/>
      <w:start w:val="1"/>
    </w:lvl>
  </w:abstractNum>
  <w:abstractNum w:abstractNumId="392">
    <w:nsid w:val="51A6E915"/>
    <w:multiLevelType w:val="hybridMultilevel"/>
    <w:lvl w:ilvl="0">
      <w:lvlJc w:val="left"/>
      <w:lvlText w:val="(%1)"/>
      <w:numFmt w:val="lowerLetter"/>
      <w:start w:val="1"/>
    </w:lvl>
  </w:abstractNum>
  <w:abstractNum w:abstractNumId="393">
    <w:nsid w:val="174BDE99"/>
    <w:multiLevelType w:val="hybridMultilevel"/>
    <w:lvl w:ilvl="0">
      <w:lvlJc w:val="left"/>
      <w:lvlText w:val="(%1)"/>
      <w:numFmt w:val="lowerLetter"/>
      <w:start w:val="1"/>
    </w:lvl>
  </w:abstractNum>
  <w:abstractNum w:abstractNumId="394">
    <w:nsid w:val="1F2BEA4E"/>
    <w:multiLevelType w:val="hybridMultilevel"/>
    <w:lvl w:ilvl="0">
      <w:lvlJc w:val="left"/>
      <w:lvlText w:val="(%1)"/>
      <w:numFmt w:val="lowerLetter"/>
      <w:start w:val="1"/>
    </w:lvl>
    <w:lvl w:ilvl="1">
      <w:lvlJc w:val="left"/>
      <w:lvlText w:val="(%2)"/>
      <w:numFmt w:val="lowerRoman"/>
      <w:start w:val="1"/>
    </w:lvl>
  </w:abstractNum>
  <w:abstractNum w:abstractNumId="395">
    <w:nsid w:val="3254A32"/>
    <w:multiLevelType w:val="hybridMultilevel"/>
    <w:lvl w:ilvl="0">
      <w:lvlJc w:val="left"/>
      <w:lvlText w:val="(%1)"/>
      <w:numFmt w:val="lowerLetter"/>
      <w:start w:val="2"/>
    </w:lvl>
  </w:abstractNum>
  <w:abstractNum w:abstractNumId="396">
    <w:nsid w:val="11ADB5F4"/>
    <w:multiLevelType w:val="hybridMultilevel"/>
    <w:lvl w:ilvl="0">
      <w:lvlJc w:val="left"/>
      <w:lvlText w:val="2"/>
      <w:numFmt w:val="bullet"/>
      <w:start w:val="1"/>
    </w:lvl>
  </w:abstractNum>
  <w:abstractNum w:abstractNumId="397">
    <w:nsid w:val="3575FED1"/>
    <w:multiLevelType w:val="hybridMultilevel"/>
    <w:lvl w:ilvl="0">
      <w:lvlJc w:val="left"/>
      <w:lvlText w:val="3"/>
      <w:numFmt w:val="bullet"/>
      <w:start w:val="1"/>
    </w:lvl>
  </w:abstractNum>
  <w:abstractNum w:abstractNumId="398">
    <w:nsid w:val="1B2B9E9D"/>
    <w:multiLevelType w:val="hybridMultilevel"/>
    <w:lvl w:ilvl="0">
      <w:lvlJc w:val="left"/>
      <w:lvlText w:val="(%1)"/>
      <w:numFmt w:val="lowerLetter"/>
      <w:start w:val="1"/>
    </w:lvl>
  </w:abstractNum>
  <w:abstractNum w:abstractNumId="399">
    <w:nsid w:val="3150E85C"/>
    <w:multiLevelType w:val="hybridMultilevel"/>
    <w:lvl w:ilvl="0">
      <w:lvlJc w:val="left"/>
      <w:lvlText w:val="(%1)"/>
      <w:numFmt w:val="lowerLetter"/>
      <w:start w:val="1"/>
    </w:lvl>
  </w:abstractNum>
  <w:abstractNum w:abstractNumId="400">
    <w:nsid w:val="638FDBD1"/>
    <w:multiLevelType w:val="hybridMultilevel"/>
    <w:lvl w:ilvl="0">
      <w:lvlJc w:val="left"/>
      <w:lvlText w:val="(%1)"/>
      <w:numFmt w:val="lowerLetter"/>
      <w:start w:val="1"/>
    </w:lvl>
  </w:abstractNum>
  <w:abstractNum w:abstractNumId="401">
    <w:nsid w:val="1098CF6E"/>
    <w:multiLevelType w:val="hybridMultilevel"/>
    <w:lvl w:ilvl="0">
      <w:lvlJc w:val="left"/>
      <w:lvlText w:val="(%1)"/>
      <w:numFmt w:val="lowerLetter"/>
      <w:start w:val="1"/>
    </w:lvl>
  </w:abstractNum>
  <w:abstractNum w:abstractNumId="402">
    <w:nsid w:val="1AF465D"/>
    <w:multiLevelType w:val="hybridMultilevel"/>
    <w:lvl w:ilvl="0">
      <w:lvlJc w:val="left"/>
      <w:lvlText w:val="(%1)"/>
      <w:numFmt w:val="lowerLetter"/>
      <w:start w:val="1"/>
    </w:lvl>
  </w:abstractNum>
  <w:abstractNum w:abstractNumId="403">
    <w:nsid w:val="128D98B7"/>
    <w:multiLevelType w:val="hybridMultilevel"/>
    <w:lvl w:ilvl="0">
      <w:lvlJc w:val="left"/>
      <w:lvlText w:val="(%1)"/>
      <w:numFmt w:val="lowerLetter"/>
      <w:start w:val="1"/>
    </w:lvl>
    <w:lvl w:ilvl="1">
      <w:lvlJc w:val="left"/>
      <w:lvlText w:val="(%2)"/>
      <w:numFmt w:val="lowerRoman"/>
      <w:start w:val="1"/>
    </w:lvl>
  </w:abstractNum>
  <w:abstractNum w:abstractNumId="404">
    <w:nsid w:val="5F613832"/>
    <w:multiLevelType w:val="hybridMultilevel"/>
    <w:lvl w:ilvl="0">
      <w:lvlJc w:val="left"/>
      <w:lvlText w:val="(%1)"/>
      <w:numFmt w:val="lowerLetter"/>
      <w:start w:val="1"/>
    </w:lvl>
  </w:abstractNum>
  <w:abstractNum w:abstractNumId="405">
    <w:nsid w:val="43E92260"/>
    <w:multiLevelType w:val="hybridMultilevel"/>
    <w:lvl w:ilvl="0">
      <w:lvlJc w:val="left"/>
      <w:lvlText w:val="(%1)"/>
      <w:numFmt w:val="lowerLetter"/>
      <w:start w:val="1"/>
    </w:lvl>
  </w:abstractNum>
  <w:abstractNum w:abstractNumId="406">
    <w:nsid w:val="430A1662"/>
    <w:multiLevelType w:val="hybridMultilevel"/>
    <w:lvl w:ilvl="0">
      <w:lvlJc w:val="left"/>
      <w:lvlText w:val="(%1)"/>
      <w:numFmt w:val="lowerLetter"/>
      <w:start w:val="2"/>
    </w:lvl>
  </w:abstractNum>
  <w:abstractNum w:abstractNumId="407">
    <w:nsid w:val="1F9D5C18"/>
    <w:multiLevelType w:val="hybridMultilevel"/>
    <w:lvl w:ilvl="0">
      <w:lvlJc w:val="left"/>
      <w:lvlText w:val="4"/>
      <w:numFmt w:val="bullet"/>
      <w:start w:val="1"/>
    </w:lvl>
  </w:abstractNum>
  <w:abstractNum w:abstractNumId="408">
    <w:nsid w:val="1CC11C37"/>
    <w:multiLevelType w:val="hybridMultilevel"/>
    <w:lvl w:ilvl="0">
      <w:lvlJc w:val="left"/>
      <w:lvlText w:val="5"/>
      <w:numFmt w:val="bullet"/>
      <w:start w:val="1"/>
    </w:lvl>
  </w:abstractNum>
  <w:abstractNum w:abstractNumId="409">
    <w:nsid w:val="4557D5D8"/>
    <w:multiLevelType w:val="hybridMultilevel"/>
    <w:lvl w:ilvl="0">
      <w:lvlJc w:val="left"/>
      <w:lvlText w:val="(%1)"/>
      <w:numFmt w:val="lowerLetter"/>
      <w:start w:val="1"/>
    </w:lvl>
  </w:abstractNum>
  <w:abstractNum w:abstractNumId="410">
    <w:nsid w:val="72D2B579"/>
    <w:multiLevelType w:val="hybridMultilevel"/>
    <w:lvl w:ilvl="0">
      <w:lvlJc w:val="left"/>
      <w:lvlText w:val="(%1)"/>
      <w:numFmt w:val="lowerLetter"/>
      <w:start w:val="1"/>
    </w:lvl>
  </w:abstractNum>
  <w:abstractNum w:abstractNumId="411">
    <w:nsid w:val="6C0BE536"/>
    <w:multiLevelType w:val="hybridMultilevel"/>
    <w:lvl w:ilvl="0">
      <w:lvlJc w:val="left"/>
      <w:lvlText w:val="6"/>
      <w:numFmt w:val="bullet"/>
      <w:start w:val="1"/>
    </w:lvl>
  </w:abstractNum>
  <w:abstractNum w:abstractNumId="412">
    <w:nsid w:val="1E22BCB2"/>
    <w:multiLevelType w:val="hybridMultilevel"/>
    <w:lvl w:ilvl="0">
      <w:lvlJc w:val="left"/>
      <w:lvlText w:val="(%1)"/>
      <w:numFmt w:val="lowerLetter"/>
      <w:start w:val="1"/>
    </w:lvl>
  </w:abstractNum>
  <w:abstractNum w:abstractNumId="413">
    <w:nsid w:val="3565F1C8"/>
    <w:multiLevelType w:val="hybridMultilevel"/>
    <w:lvl w:ilvl="0">
      <w:lvlJc w:val="left"/>
      <w:lvlText w:val="(%1)"/>
      <w:numFmt w:val="lowerLetter"/>
      <w:start w:val="1"/>
    </w:lvl>
  </w:abstractNum>
  <w:abstractNum w:abstractNumId="414">
    <w:nsid w:val="5EA6D896"/>
    <w:multiLevelType w:val="hybridMultilevel"/>
    <w:lvl w:ilvl="0">
      <w:lvlJc w:val="left"/>
      <w:lvlText w:val="(%1)"/>
      <w:numFmt w:val="lowerLetter"/>
      <w:start w:val="1"/>
    </w:lvl>
  </w:abstractNum>
  <w:abstractNum w:abstractNumId="415">
    <w:nsid w:val="3D096BBF"/>
    <w:multiLevelType w:val="hybridMultilevel"/>
    <w:lvl w:ilvl="0">
      <w:lvlJc w:val="left"/>
      <w:lvlText w:val="(%1)"/>
      <w:numFmt w:val="lowerLetter"/>
      <w:start w:val="1"/>
    </w:lvl>
  </w:abstractNum>
  <w:abstractNum w:abstractNumId="416">
    <w:nsid w:val="BD6D5B5"/>
    <w:multiLevelType w:val="hybridMultilevel"/>
    <w:lvl w:ilvl="0">
      <w:lvlJc w:val="left"/>
      <w:lvlText w:val="7"/>
      <w:numFmt w:val="bullet"/>
      <w:start w:val="1"/>
    </w:lvl>
  </w:abstractNum>
  <w:abstractNum w:abstractNumId="417">
    <w:nsid w:val="3B52115C"/>
    <w:multiLevelType w:val="hybridMultilevel"/>
    <w:lvl w:ilvl="0">
      <w:lvlJc w:val="left"/>
      <w:lvlText w:val="(%1)"/>
      <w:numFmt w:val="lowerLetter"/>
      <w:start w:val="1"/>
    </w:lvl>
  </w:abstractNum>
  <w:abstractNum w:abstractNumId="418">
    <w:nsid w:val="787AA59C"/>
    <w:multiLevelType w:val="hybridMultilevel"/>
    <w:lvl w:ilvl="0">
      <w:lvlJc w:val="left"/>
      <w:lvlText w:val="(%1)"/>
      <w:numFmt w:val="lowerLetter"/>
      <w:start w:val="1"/>
    </w:lvl>
  </w:abstractNum>
  <w:abstractNum w:abstractNumId="419">
    <w:nsid w:val="70BB9983"/>
    <w:multiLevelType w:val="hybridMultilevel"/>
    <w:lvl w:ilvl="0">
      <w:lvlJc w:val="left"/>
      <w:lvlText w:val="(%1)"/>
      <w:numFmt w:val="lowerLetter"/>
      <w:start w:val="1"/>
    </w:lvl>
  </w:abstractNum>
  <w:abstractNum w:abstractNumId="420">
    <w:nsid w:val="51EEBEEA"/>
    <w:multiLevelType w:val="hybridMultilevel"/>
    <w:lvl w:ilvl="0">
      <w:lvlJc w:val="left"/>
      <w:lvlText w:val="(%1)"/>
      <w:numFmt w:val="lowerLetter"/>
      <w:start w:val="1"/>
    </w:lvl>
  </w:abstractNum>
  <w:abstractNum w:abstractNumId="421">
    <w:nsid w:val="221A0CCD"/>
    <w:multiLevelType w:val="hybridMultilevel"/>
    <w:lvl w:ilvl="0">
      <w:lvlJc w:val="left"/>
      <w:lvlText w:val="(%1)"/>
      <w:numFmt w:val="lowerLetter"/>
      <w:start w:val="1"/>
    </w:lvl>
    <w:lvl w:ilvl="1">
      <w:lvlJc w:val="left"/>
      <w:lvlText w:val="(%2)"/>
      <w:numFmt w:val="lowerRoman"/>
      <w:start w:val="1"/>
    </w:lvl>
  </w:abstractNum>
  <w:abstractNum w:abstractNumId="422">
    <w:nsid w:val="1B7CA0ED"/>
    <w:multiLevelType w:val="hybridMultilevel"/>
    <w:lvl w:ilvl="0">
      <w:lvlJc w:val="left"/>
      <w:lvlText w:val="(%1)"/>
      <w:numFmt w:val="lowerLetter"/>
      <w:start w:val="1"/>
    </w:lvl>
  </w:abstractNum>
  <w:abstractNum w:abstractNumId="423">
    <w:nsid w:val="2395A7FF"/>
    <w:multiLevelType w:val="hybridMultilevel"/>
    <w:lvl w:ilvl="0">
      <w:lvlJc w:val="left"/>
      <w:lvlText w:val="8"/>
      <w:numFmt w:val="bullet"/>
      <w:start w:val="1"/>
    </w:lvl>
  </w:abstractNum>
  <w:abstractNum w:abstractNumId="424">
    <w:nsid w:val="3965EB66"/>
    <w:multiLevelType w:val="hybridMultilevel"/>
    <w:lvl w:ilvl="0">
      <w:lvlJc w:val="left"/>
      <w:lvlText w:val="(%1)"/>
      <w:numFmt w:val="lowerLetter"/>
      <w:start w:val="1"/>
    </w:lvl>
  </w:abstractNum>
  <w:abstractNum w:abstractNumId="425">
    <w:nsid w:val="3AA88B3C"/>
    <w:multiLevelType w:val="hybridMultilevel"/>
    <w:lvl w:ilvl="0">
      <w:lvlJc w:val="left"/>
      <w:lvlText w:val="9"/>
      <w:numFmt w:val="bullet"/>
      <w:start w:val="1"/>
    </w:lvl>
  </w:abstractNum>
  <w:abstractNum w:abstractNumId="426">
    <w:nsid w:val="26BAF231"/>
    <w:multiLevelType w:val="hybridMultilevel"/>
    <w:lvl w:ilvl="0">
      <w:lvlJc w:val="left"/>
      <w:lvlText w:val="(%1)"/>
      <w:numFmt w:val="lowerLetter"/>
      <w:start w:val="1"/>
    </w:lvl>
  </w:abstractNum>
  <w:abstractNum w:abstractNumId="427">
    <w:nsid w:val="4B13A15A"/>
    <w:multiLevelType w:val="hybridMultilevel"/>
    <w:lvl w:ilvl="0">
      <w:lvlJc w:val="left"/>
      <w:lvlText w:val="(%1)"/>
      <w:numFmt w:val="lowerLetter"/>
      <w:start w:val="1"/>
    </w:lvl>
  </w:abstractNum>
  <w:abstractNum w:abstractNumId="428">
    <w:nsid w:val="701E8A0D"/>
    <w:multiLevelType w:val="hybridMultilevel"/>
    <w:lvl w:ilvl="0">
      <w:lvlJc w:val="left"/>
      <w:lvlText w:val="(%1)"/>
      <w:numFmt w:val="lowerLetter"/>
      <w:start w:val="1"/>
    </w:lvl>
  </w:abstractNum>
  <w:abstractNum w:abstractNumId="429">
    <w:nsid w:val="41E690CF"/>
    <w:multiLevelType w:val="hybridMultilevel"/>
    <w:lvl w:ilvl="0">
      <w:lvlJc w:val="left"/>
      <w:lvlText w:val="(%1)"/>
      <w:numFmt w:val="lowerLetter"/>
      <w:start w:val="1"/>
    </w:lvl>
  </w:abstractNum>
  <w:abstractNum w:abstractNumId="430">
    <w:nsid w:val="7C6489B6"/>
    <w:multiLevelType w:val="hybridMultilevel"/>
    <w:lvl w:ilvl="0">
      <w:lvlJc w:val="left"/>
      <w:lvlText w:val="(%1)"/>
      <w:numFmt w:val="lowerLetter"/>
      <w:start w:val="1"/>
    </w:lvl>
  </w:abstractNum>
  <w:abstractNum w:abstractNumId="431">
    <w:nsid w:val="53AE65DE"/>
    <w:multiLevelType w:val="hybridMultilevel"/>
    <w:lvl w:ilvl="0">
      <w:lvlJc w:val="left"/>
      <w:lvlText w:val="(%1)"/>
      <w:numFmt w:val="lowerLetter"/>
      <w:start w:val="1"/>
    </w:lvl>
  </w:abstractNum>
  <w:abstractNum w:abstractNumId="432">
    <w:nsid w:val="527F603D"/>
    <w:multiLevelType w:val="hybridMultilevel"/>
    <w:lvl w:ilvl="0">
      <w:lvlJc w:val="left"/>
      <w:lvlText w:val="(%1)"/>
      <w:numFmt w:val="lowerLetter"/>
      <w:start w:val="1"/>
    </w:lvl>
  </w:abstractNum>
  <w:abstractNum w:abstractNumId="433">
    <w:nsid w:val="7E13D013"/>
    <w:multiLevelType w:val="hybridMultilevel"/>
    <w:lvl w:ilvl="0">
      <w:lvlJc w:val="left"/>
      <w:lvlText w:val="(%1)"/>
      <w:numFmt w:val="lowerLetter"/>
      <w:start w:val="1"/>
    </w:lvl>
    <w:lvl w:ilvl="1">
      <w:lvlJc w:val="left"/>
      <w:lvlText w:val="(%2)"/>
      <w:numFmt w:val="lowerRoman"/>
      <w:start w:val="1"/>
    </w:lvl>
  </w:abstractNum>
  <w:abstractNum w:abstractNumId="434">
    <w:nsid w:val="663BFE95"/>
    <w:multiLevelType w:val="hybridMultilevel"/>
    <w:lvl w:ilvl="0">
      <w:lvlJc w:val="left"/>
      <w:lvlText w:val="(%1)"/>
      <w:numFmt w:val="lowerLetter"/>
      <w:start w:val="1"/>
    </w:lvl>
  </w:abstractNum>
  <w:abstractNum w:abstractNumId="435">
    <w:nsid w:val="31E0986F"/>
    <w:multiLevelType w:val="hybridMultilevel"/>
    <w:lvl w:ilvl="0">
      <w:lvlJc w:val="left"/>
      <w:lvlText w:val="%1"/>
      <w:numFmt w:val="decimal"/>
      <w:start w:val="13"/>
    </w:lvl>
  </w:abstractNum>
  <w:abstractNum w:abstractNumId="436">
    <w:nsid w:val="41FCF274"/>
    <w:multiLevelType w:val="hybridMultilevel"/>
    <w:lvl w:ilvl="0">
      <w:lvlJc w:val="left"/>
      <w:lvlText w:val="(%1)"/>
      <w:numFmt w:val="lowerLetter"/>
      <w:start w:val="1"/>
    </w:lvl>
  </w:abstractNum>
  <w:abstractNum w:abstractNumId="437">
    <w:nsid w:val="294614F7"/>
    <w:multiLevelType w:val="hybridMultilevel"/>
    <w:lvl w:ilvl="0">
      <w:lvlJc w:val="left"/>
      <w:lvlText w:val="(%1)"/>
      <w:numFmt w:val="lowerLetter"/>
      <w:start w:val="1"/>
    </w:lvl>
  </w:abstractNum>
  <w:abstractNum w:abstractNumId="438">
    <w:nsid w:val="517DF487"/>
    <w:multiLevelType w:val="hybridMultilevel"/>
    <w:lvl w:ilvl="0">
      <w:lvlJc w:val="left"/>
      <w:lvlText w:val="(%1)"/>
      <w:numFmt w:val="lowerLetter"/>
      <w:start w:val="3"/>
    </w:lvl>
  </w:abstractNum>
  <w:abstractNum w:abstractNumId="439">
    <w:nsid w:val="5EBE0EAB"/>
    <w:multiLevelType w:val="hybridMultilevel"/>
    <w:lvl w:ilvl="0">
      <w:lvlJc w:val="left"/>
      <w:lvlText w:val="(%1)"/>
      <w:numFmt w:val="lowerLetter"/>
      <w:start w:val="1"/>
    </w:lvl>
  </w:abstractNum>
  <w:abstractNum w:abstractNumId="440">
    <w:nsid w:val="6E9DEAD0"/>
    <w:multiLevelType w:val="hybridMultilevel"/>
    <w:lvl w:ilvl="0">
      <w:lvlJc w:val="left"/>
      <w:lvlText w:val="(%1)"/>
      <w:numFmt w:val="lowerLetter"/>
      <w:start w:val="1"/>
    </w:lvl>
  </w:abstractNum>
  <w:abstractNum w:abstractNumId="441">
    <w:nsid w:val="4450AA00"/>
    <w:multiLevelType w:val="hybridMultilevel"/>
    <w:lvl w:ilvl="0">
      <w:lvlJc w:val="left"/>
      <w:lvlText w:val="(%1)"/>
      <w:numFmt w:val="lowerLetter"/>
      <w:start w:val="1"/>
    </w:lvl>
  </w:abstractNum>
  <w:abstractNum w:abstractNumId="442">
    <w:nsid w:val="4AC9F3E2"/>
    <w:multiLevelType w:val="hybridMultilevel"/>
    <w:lvl w:ilvl="0">
      <w:lvlJc w:val="left"/>
      <w:lvlText w:val="(%1)"/>
      <w:numFmt w:val="lowerLetter"/>
      <w:start w:val="1"/>
    </w:lvl>
  </w:abstractNum>
  <w:abstractNum w:abstractNumId="443">
    <w:nsid w:val="CC0A782"/>
    <w:multiLevelType w:val="hybridMultilevel"/>
    <w:lvl w:ilvl="0">
      <w:lvlJc w:val="left"/>
      <w:lvlText w:val="(%1)"/>
      <w:numFmt w:val="lowerLetter"/>
      <w:start w:val="1"/>
    </w:lvl>
  </w:abstractNum>
  <w:abstractNum w:abstractNumId="444">
    <w:nsid w:val="79B69BC9"/>
    <w:multiLevelType w:val="hybridMultilevel"/>
    <w:lvl w:ilvl="0">
      <w:lvlJc w:val="left"/>
      <w:lvlText w:val="(%1)"/>
      <w:numFmt w:val="lowerLetter"/>
      <w:start w:val="1"/>
    </w:lvl>
  </w:abstractNum>
  <w:abstractNum w:abstractNumId="445">
    <w:nsid w:val="2970CC78"/>
    <w:multiLevelType w:val="hybridMultilevel"/>
    <w:lvl w:ilvl="0">
      <w:lvlJc w:val="left"/>
      <w:lvlText w:val="%1"/>
      <w:numFmt w:val="decimal"/>
      <w:start w:val="14"/>
    </w:lvl>
  </w:abstractNum>
  <w:abstractNum w:abstractNumId="446">
    <w:nsid w:val="49CA1341"/>
    <w:multiLevelType w:val="hybridMultilevel"/>
    <w:lvl w:ilvl="0">
      <w:lvlJc w:val="left"/>
      <w:lvlText w:val="(%1)"/>
      <w:numFmt w:val="lowerLetter"/>
      <w:start w:val="1"/>
    </w:lvl>
  </w:abstractNum>
  <w:abstractNum w:abstractNumId="447">
    <w:nsid w:val="58D717E"/>
    <w:multiLevelType w:val="hybridMultilevel"/>
    <w:lvl w:ilvl="0">
      <w:lvlJc w:val="left"/>
      <w:lvlText w:val="(%1)"/>
      <w:numFmt w:val="lowerLetter"/>
      <w:start w:val="1"/>
    </w:lvl>
  </w:abstractNum>
  <w:abstractNum w:abstractNumId="448">
    <w:nsid w:val="64C2DDD5"/>
    <w:multiLevelType w:val="hybridMultilevel"/>
    <w:lvl w:ilvl="0">
      <w:lvlJc w:val="left"/>
      <w:lvlText w:val="(%1)"/>
      <w:numFmt w:val="lowerLetter"/>
      <w:start w:val="1"/>
    </w:lvl>
  </w:abstractNum>
  <w:abstractNum w:abstractNumId="449">
    <w:nsid w:val="4244B8DE"/>
    <w:multiLevelType w:val="hybridMultilevel"/>
    <w:lvl w:ilvl="0">
      <w:lvlJc w:val="left"/>
      <w:lvlText w:val="(%1)"/>
      <w:numFmt w:val="lowerLetter"/>
      <w:start w:val="1"/>
    </w:lvl>
    <w:lvl w:ilvl="1">
      <w:lvlJc w:val="left"/>
      <w:lvlText w:val="(%2)"/>
      <w:numFmt w:val="lowerRoman"/>
      <w:start w:val="1"/>
    </w:lvl>
  </w:abstractNum>
  <w:abstractNum w:abstractNumId="450">
    <w:nsid w:val="76490B01"/>
    <w:multiLevelType w:val="hybridMultilevel"/>
    <w:lvl w:ilvl="0">
      <w:lvlJc w:val="left"/>
      <w:lvlText w:val="%1"/>
      <w:numFmt w:val="decimal"/>
      <w:start w:val="15"/>
    </w:lvl>
  </w:abstractNum>
  <w:abstractNum w:abstractNumId="451">
    <w:nsid w:val="36B19CBF"/>
    <w:multiLevelType w:val="hybridMultilevel"/>
    <w:lvl w:ilvl="0">
      <w:lvlJc w:val="left"/>
      <w:lvlText w:val="(%1)"/>
      <w:numFmt w:val="lowerLetter"/>
      <w:start w:val="1"/>
    </w:lvl>
  </w:abstractNum>
  <w:abstractNum w:abstractNumId="452">
    <w:nsid w:val="645EC5AB"/>
    <w:multiLevelType w:val="hybridMultilevel"/>
    <w:lvl w:ilvl="0">
      <w:lvlJc w:val="left"/>
      <w:lvlText w:val="(%1)"/>
      <w:numFmt w:val="lowerLetter"/>
      <w:start w:val="1"/>
    </w:lvl>
    <w:lvl w:ilvl="1">
      <w:lvlJc w:val="left"/>
      <w:lvlText w:val="(%2)"/>
      <w:numFmt w:val="lowerRoman"/>
      <w:start w:val="1"/>
    </w:lvl>
  </w:abstractNum>
  <w:abstractNum w:abstractNumId="453">
    <w:nsid w:val="11C5ABEF"/>
    <w:multiLevelType w:val="hybridMultilevel"/>
    <w:lvl w:ilvl="0">
      <w:lvlJc w:val="left"/>
      <w:lvlText w:val="(%1)"/>
      <w:numFmt w:val="lowerLetter"/>
      <w:start w:val="1"/>
    </w:lvl>
  </w:abstractNum>
  <w:abstractNum w:abstractNumId="454">
    <w:nsid w:val="5A4744BE"/>
    <w:multiLevelType w:val="hybridMultilevel"/>
    <w:lvl w:ilvl="0">
      <w:lvlJc w:val="left"/>
      <w:lvlText w:val="(%1)"/>
      <w:numFmt w:val="lowerLetter"/>
      <w:start w:val="2"/>
    </w:lvl>
  </w:abstractNum>
  <w:abstractNum w:abstractNumId="455">
    <w:nsid w:val="1DC4B111"/>
    <w:multiLevelType w:val="hybridMultilevel"/>
    <w:lvl w:ilvl="0">
      <w:lvlJc w:val="left"/>
      <w:lvlText w:val="%1"/>
      <w:numFmt w:val="decimal"/>
      <w:start w:val="16"/>
    </w:lvl>
  </w:abstractNum>
  <w:abstractNum w:abstractNumId="456">
    <w:nsid w:val="4C6E372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7">
    <w:nsid w:val="10236EF"/>
    <w:multiLevelType w:val="hybridMultilevel"/>
    <w:lvl w:ilvl="0">
      <w:lvlJc w:val="left"/>
      <w:lvlText w:val="(%1)"/>
      <w:numFmt w:val="lowerLetter"/>
      <w:start w:val="1"/>
    </w:lvl>
  </w:abstractNum>
  <w:abstractNum w:abstractNumId="458">
    <w:nsid w:val="68D8526B"/>
    <w:multiLevelType w:val="hybridMultilevel"/>
    <w:lvl w:ilvl="0">
      <w:lvlJc w:val="left"/>
      <w:lvlText w:val="(%1)"/>
      <w:numFmt w:val="lowerLetter"/>
      <w:start w:val="2"/>
    </w:lvl>
  </w:abstractNum>
  <w:abstractNum w:abstractNumId="459">
    <w:nsid w:val="3C8CC138"/>
    <w:multiLevelType w:val="hybridMultilevel"/>
    <w:lvl w:ilvl="0">
      <w:lvlJc w:val="left"/>
      <w:lvlText w:val="%1"/>
      <w:numFmt w:val="decimal"/>
      <w:start w:val="18"/>
    </w:lvl>
  </w:abstractNum>
  <w:abstractNum w:abstractNumId="460">
    <w:nsid w:val="42E8C7BE"/>
    <w:multiLevelType w:val="hybridMultilevel"/>
    <w:lvl w:ilvl="0">
      <w:lvlJc w:val="left"/>
      <w:lvlText w:val="(%1)"/>
      <w:numFmt w:val="lowerLetter"/>
      <w:start w:val="1"/>
    </w:lvl>
  </w:abstractNum>
  <w:abstractNum w:abstractNumId="461">
    <w:nsid w:val="653CDC22"/>
    <w:multiLevelType w:val="hybridMultilevel"/>
    <w:lvl w:ilvl="0">
      <w:lvlJc w:val="left"/>
      <w:lvlText w:val="(%1)"/>
      <w:numFmt w:val="lowerLetter"/>
      <w:start w:val="1"/>
    </w:lvl>
  </w:abstractNum>
  <w:abstractNum w:abstractNumId="462">
    <w:nsid w:val="103B2716"/>
    <w:multiLevelType w:val="hybridMultilevel"/>
    <w:lvl w:ilvl="0">
      <w:lvlJc w:val="left"/>
      <w:lvlText w:val="(%1)"/>
      <w:numFmt w:val="lowerLetter"/>
      <w:start w:val="4"/>
    </w:lvl>
  </w:abstractNum>
  <w:abstractNum w:abstractNumId="463">
    <w:nsid w:val="156827FB"/>
    <w:multiLevelType w:val="hybridMultilevel"/>
    <w:lvl w:ilvl="0">
      <w:lvlJc w:val="left"/>
      <w:lvlText w:val="(%1)"/>
      <w:numFmt w:val="lowerLetter"/>
      <w:start w:val="1"/>
    </w:lvl>
  </w:abstractNum>
  <w:abstractNum w:abstractNumId="464">
    <w:nsid w:val="6350AC35"/>
    <w:multiLevelType w:val="hybridMultilevel"/>
    <w:lvl w:ilvl="0">
      <w:lvlJc w:val="left"/>
      <w:lvlText w:val="%1"/>
      <w:numFmt w:val="decimal"/>
      <w:start w:val="19"/>
    </w:lvl>
  </w:abstractNum>
  <w:abstractNum w:abstractNumId="465">
    <w:nsid w:val="767725AB"/>
    <w:multiLevelType w:val="hybridMultilevel"/>
    <w:lvl w:ilvl="0">
      <w:lvlJc w:val="left"/>
      <w:lvlText w:val="(%1)"/>
      <w:numFmt w:val="lowerLetter"/>
      <w:start w:val="1"/>
    </w:lvl>
  </w:abstractNum>
  <w:abstractNum w:abstractNumId="466">
    <w:nsid w:val="4748C06A"/>
    <w:multiLevelType w:val="hybridMultilevel"/>
    <w:lvl w:ilvl="0">
      <w:lvlJc w:val="left"/>
      <w:lvlText w:val="(%1)"/>
      <w:numFmt w:val="lowerLetter"/>
      <w:start w:val="1"/>
    </w:lvl>
  </w:abstractNum>
  <w:abstractNum w:abstractNumId="467">
    <w:nsid w:val="254D9EA9"/>
    <w:multiLevelType w:val="hybridMultilevel"/>
    <w:lvl w:ilvl="0">
      <w:lvlJc w:val="left"/>
      <w:lvlText w:val="(%1)"/>
      <w:numFmt w:val="lowerLetter"/>
      <w:start w:val="1"/>
    </w:lvl>
  </w:abstractNum>
  <w:abstractNum w:abstractNumId="468">
    <w:nsid w:val="1FBD3AA3"/>
    <w:multiLevelType w:val="hybridMultilevel"/>
    <w:lvl w:ilvl="0">
      <w:lvlJc w:val="left"/>
      <w:lvlText w:val="(%1)"/>
      <w:numFmt w:val="lowerLetter"/>
      <w:start w:val="1"/>
    </w:lvl>
  </w:abstractNum>
  <w:abstractNum w:abstractNumId="469">
    <w:nsid w:val="18C6B4F2"/>
    <w:multiLevelType w:val="hybridMultilevel"/>
    <w:lvl w:ilvl="0">
      <w:lvlJc w:val="left"/>
      <w:lvlText w:val="(%1)"/>
      <w:numFmt w:val="lowerLetter"/>
      <w:start w:val="1"/>
    </w:lvl>
  </w:abstractNum>
  <w:abstractNum w:abstractNumId="470">
    <w:nsid w:val="40BAD55"/>
    <w:multiLevelType w:val="hybridMultilevel"/>
    <w:lvl w:ilvl="0">
      <w:lvlJc w:val="left"/>
      <w:lvlText w:val="%1"/>
      <w:numFmt w:val="decimal"/>
      <w:start w:val="21"/>
    </w:lvl>
  </w:abstractNum>
  <w:abstractNum w:abstractNumId="471">
    <w:nsid w:val="E5B2573"/>
    <w:multiLevelType w:val="hybridMultilevel"/>
    <w:lvl w:ilvl="0">
      <w:lvlJc w:val="left"/>
      <w:lvlText w:val="(%1)"/>
      <w:numFmt w:val="lowerLetter"/>
      <w:start w:val="1"/>
    </w:lvl>
  </w:abstractNum>
  <w:abstractNum w:abstractNumId="472">
    <w:nsid w:val="5D175EF2"/>
    <w:multiLevelType w:val="hybridMultilevel"/>
    <w:lvl w:ilvl="0">
      <w:lvlJc w:val="left"/>
      <w:lvlText w:val="%1"/>
      <w:numFmt w:val="decimal"/>
      <w:start w:val="22"/>
    </w:lvl>
  </w:abstractNum>
  <w:abstractNum w:abstractNumId="473">
    <w:nsid w:val="4ED5A137"/>
    <w:multiLevelType w:val="hybridMultilevel"/>
    <w:lvl w:ilvl="0">
      <w:lvlJc w:val="left"/>
      <w:lvlText w:val="(%1)"/>
      <w:numFmt w:val="lowerLetter"/>
      <w:start w:val="1"/>
    </w:lvl>
  </w:abstractNum>
  <w:abstractNum w:abstractNumId="474">
    <w:nsid w:val="1B1BCCF5"/>
    <w:multiLevelType w:val="hybridMultilevel"/>
    <w:lvl w:ilvl="0">
      <w:lvlJc w:val="left"/>
      <w:lvlText w:val="(%1)"/>
      <w:numFmt w:val="lowerLetter"/>
      <w:start w:val="1"/>
    </w:lvl>
  </w:abstractNum>
  <w:abstractNum w:abstractNumId="475">
    <w:nsid w:val="56CDFABB"/>
    <w:multiLevelType w:val="hybridMultilevel"/>
    <w:lvl w:ilvl="0">
      <w:lvlJc w:val="left"/>
      <w:lvlText w:val="%1"/>
      <w:numFmt w:val="decimal"/>
      <w:start w:val="23"/>
    </w:lvl>
  </w:abstractNum>
  <w:abstractNum w:abstractNumId="476">
    <w:nsid w:val="78466DAF"/>
    <w:multiLevelType w:val="hybridMultilevel"/>
    <w:lvl w:ilvl="0">
      <w:lvlJc w:val="left"/>
      <w:lvlText w:val="(%1)"/>
      <w:numFmt w:val="lowerLetter"/>
      <w:start w:val="1"/>
    </w:lvl>
  </w:abstractNum>
  <w:abstractNum w:abstractNumId="477">
    <w:nsid w:val="64E5E036"/>
    <w:multiLevelType w:val="hybridMultilevel"/>
    <w:lvl w:ilvl="0">
      <w:lvlJc w:val="left"/>
      <w:lvlText w:val="(%1)"/>
      <w:numFmt w:val="lowerLetter"/>
      <w:start w:val="2"/>
    </w:lvl>
    <w:lvl w:ilvl="1">
      <w:lvlJc w:val="left"/>
      <w:lvlText w:val="(%2)"/>
      <w:numFmt w:val="lowerRoman"/>
      <w:start w:val="1"/>
    </w:lvl>
  </w:abstractNum>
  <w:abstractNum w:abstractNumId="478">
    <w:nsid w:val="5C5B6C3A"/>
    <w:multiLevelType w:val="hybridMultilevel"/>
    <w:lvl w:ilvl="0">
      <w:lvlJc w:val="left"/>
      <w:lvlText w:val="(%1)"/>
      <w:numFmt w:val="lowerLetter"/>
      <w:start w:val="1"/>
    </w:lvl>
  </w:abstractNum>
  <w:abstractNum w:abstractNumId="479">
    <w:nsid w:val="5D094B84"/>
    <w:multiLevelType w:val="hybridMultilevel"/>
    <w:lvl w:ilvl="0">
      <w:lvlJc w:val="left"/>
      <w:lvlText w:val="(%1)"/>
      <w:numFmt w:val="lowerLetter"/>
      <w:start w:val="1"/>
    </w:lvl>
  </w:abstractNum>
  <w:abstractNum w:abstractNumId="480">
    <w:nsid w:val="272A9914"/>
    <w:multiLevelType w:val="hybridMultilevel"/>
    <w:lvl w:ilvl="0">
      <w:lvlJc w:val="left"/>
      <w:lvlText w:val="%1"/>
      <w:numFmt w:val="decimal"/>
      <w:start w:val="25"/>
    </w:lvl>
    <w:lvl w:ilvl="1">
      <w:lvlJc w:val="left"/>
      <w:lvlText w:val="(%2)"/>
      <w:numFmt w:val="lowerLetter"/>
      <w:start w:val="1"/>
    </w:lvl>
  </w:abstractNum>
  <w:abstractNum w:abstractNumId="481">
    <w:nsid w:val="52A4773B"/>
    <w:multiLevelType w:val="hybridMultilevel"/>
    <w:lvl w:ilvl="0">
      <w:lvlJc w:val="left"/>
      <w:lvlText w:val="(%1)"/>
      <w:numFmt w:val="lowerLetter"/>
      <w:start w:val="1"/>
    </w:lvl>
  </w:abstractNum>
  <w:abstractNum w:abstractNumId="482">
    <w:nsid w:val="13BAE843"/>
    <w:multiLevelType w:val="hybridMultilevel"/>
    <w:lvl w:ilvl="0">
      <w:lvlJc w:val="left"/>
      <w:lvlText w:val="(%1)"/>
      <w:numFmt w:val="lowerLetter"/>
      <w:start w:val="2"/>
    </w:lvl>
  </w:abstractNum>
  <w:abstractNum w:abstractNumId="483">
    <w:nsid w:val="B895EBF"/>
    <w:multiLevelType w:val="hybridMultilevel"/>
    <w:lvl w:ilvl="0">
      <w:lvlJc w:val="left"/>
      <w:lvlText w:val="(%1)"/>
      <w:numFmt w:val="lowerLetter"/>
      <w:start w:val="1"/>
    </w:lvl>
  </w:abstractNum>
  <w:abstractNum w:abstractNumId="484">
    <w:nsid w:val="646A232A"/>
    <w:multiLevelType w:val="hybridMultilevel"/>
    <w:lvl w:ilvl="0">
      <w:lvlJc w:val="left"/>
      <w:lvlText w:val="(%1)"/>
      <w:numFmt w:val="lowerLetter"/>
      <w:start w:val="1"/>
    </w:lvl>
  </w:abstractNum>
  <w:abstractNum w:abstractNumId="485">
    <w:nsid w:val="6E022D01"/>
    <w:multiLevelType w:val="hybridMultilevel"/>
    <w:lvl w:ilvl="0">
      <w:lvlJc w:val="left"/>
      <w:lvlText w:val="(%1)"/>
      <w:numFmt w:val="lowerLetter"/>
      <w:start w:val="1"/>
    </w:lvl>
  </w:abstractNum>
  <w:abstractNum w:abstractNumId="486">
    <w:nsid w:val="294E0FD0"/>
    <w:multiLevelType w:val="hybridMultilevel"/>
    <w:lvl w:ilvl="0">
      <w:lvlJc w:val="left"/>
      <w:lvlText w:val="(%1)"/>
      <w:numFmt w:val="lowerLetter"/>
      <w:start w:val="1"/>
    </w:lvl>
  </w:abstractNum>
  <w:abstractNum w:abstractNumId="487">
    <w:nsid w:val="30D85A55"/>
    <w:multiLevelType w:val="hybridMultilevel"/>
    <w:lvl w:ilvl="0">
      <w:lvlJc w:val="left"/>
      <w:lvlText w:val="(%1)"/>
      <w:numFmt w:val="lowerLetter"/>
      <w:start w:val="1"/>
    </w:lvl>
  </w:abstractNum>
  <w:abstractNum w:abstractNumId="488">
    <w:nsid w:val="6F0463F1"/>
    <w:multiLevelType w:val="hybridMultilevel"/>
    <w:lvl w:ilvl="0">
      <w:lvlJc w:val="left"/>
      <w:lvlText w:val="(%1)"/>
      <w:numFmt w:val="lowerLetter"/>
      <w:start w:val="1"/>
    </w:lvl>
  </w:abstractNum>
  <w:abstractNum w:abstractNumId="489">
    <w:nsid w:val="1226623C"/>
    <w:multiLevelType w:val="hybridMultilevel"/>
    <w:lvl w:ilvl="0">
      <w:lvlJc w:val="left"/>
      <w:lvlText w:val="(%1)"/>
      <w:numFmt w:val="lowerLetter"/>
      <w:start w:val="1"/>
    </w:lvl>
  </w:abstractNum>
  <w:abstractNum w:abstractNumId="490">
    <w:nsid w:val="6D651B8D"/>
    <w:multiLevelType w:val="hybridMultilevel"/>
    <w:lvl w:ilvl="0">
      <w:lvlJc w:val="left"/>
      <w:lvlText w:val="%1"/>
      <w:numFmt w:val="decimal"/>
      <w:start w:val="30"/>
    </w:lvl>
  </w:abstractNum>
  <w:abstractNum w:abstractNumId="491">
    <w:nsid w:val="31ED2BAF"/>
    <w:multiLevelType w:val="hybridMultilevel"/>
    <w:lvl w:ilvl="0">
      <w:lvlJc w:val="left"/>
      <w:lvlText w:val="(%1)"/>
      <w:numFmt w:val="lowerLetter"/>
      <w:start w:val="1"/>
    </w:lvl>
  </w:abstractNum>
  <w:abstractNum w:abstractNumId="492">
    <w:nsid w:val="77633E5E"/>
    <w:multiLevelType w:val="hybridMultilevel"/>
    <w:lvl w:ilvl="0">
      <w:lvlJc w:val="left"/>
      <w:lvlText w:val="(%1)"/>
      <w:numFmt w:val="lowerLetter"/>
      <w:start w:val="1"/>
    </w:lvl>
  </w:abstractNum>
  <w:abstractNum w:abstractNumId="493">
    <w:nsid w:val="7DA042A3"/>
    <w:multiLevelType w:val="hybridMultilevel"/>
    <w:lvl w:ilvl="0">
      <w:lvlJc w:val="left"/>
      <w:lvlText w:val="(%1)"/>
      <w:numFmt w:val="lowerLetter"/>
      <w:start w:val="2"/>
    </w:lvl>
  </w:abstractNum>
  <w:abstractNum w:abstractNumId="494">
    <w:nsid w:val="475553AB"/>
    <w:multiLevelType w:val="hybridMultilevel"/>
    <w:lvl w:ilvl="0">
      <w:lvlJc w:val="left"/>
      <w:lvlText w:val="(%1)"/>
      <w:numFmt w:val="lowerLetter"/>
      <w:start w:val="1"/>
    </w:lvl>
  </w:abstractNum>
  <w:abstractNum w:abstractNumId="495">
    <w:nsid w:val="5AB3EA93"/>
    <w:multiLevelType w:val="hybridMultilevel"/>
    <w:lvl w:ilvl="0">
      <w:lvlJc w:val="left"/>
      <w:lvlText w:val="%1"/>
      <w:numFmt w:val="decimal"/>
      <w:start w:val="31"/>
    </w:lvl>
  </w:abstractNum>
  <w:abstractNum w:abstractNumId="496">
    <w:nsid w:val="7417684F"/>
    <w:multiLevelType w:val="hybridMultilevel"/>
    <w:lvl w:ilvl="0">
      <w:lvlJc w:val="left"/>
      <w:lvlText w:val="(%1)"/>
      <w:numFmt w:val="lowerLetter"/>
      <w:start w:val="1"/>
    </w:lvl>
  </w:abstractNum>
  <w:abstractNum w:abstractNumId="497">
    <w:nsid w:val="E9E1415"/>
    <w:multiLevelType w:val="hybridMultilevel"/>
    <w:lvl w:ilvl="0">
      <w:lvlJc w:val="left"/>
      <w:lvlText w:val="(%1)"/>
      <w:numFmt w:val="lowerLetter"/>
      <w:start w:val="1"/>
    </w:lvl>
    <w:lvl w:ilvl="1">
      <w:lvlJc w:val="left"/>
      <w:lvlText w:val="(%2)"/>
      <w:numFmt w:val="lowerRoman"/>
      <w:start w:val="1"/>
    </w:lvl>
  </w:abstractNum>
  <w:abstractNum w:abstractNumId="498">
    <w:nsid w:val="1893D"/>
    <w:multiLevelType w:val="hybridMultilevel"/>
    <w:lvl w:ilvl="0">
      <w:lvlJc w:val="left"/>
      <w:lvlText w:val="%1"/>
      <w:numFmt w:val="decimal"/>
      <w:start w:val="32"/>
    </w:lvl>
  </w:abstractNum>
  <w:abstractNum w:abstractNumId="499">
    <w:nsid w:val="13D4A2F2"/>
    <w:multiLevelType w:val="hybridMultilevel"/>
    <w:lvl w:ilvl="0">
      <w:lvlJc w:val="left"/>
      <w:lvlText w:val="(%1)"/>
      <w:numFmt w:val="lowerLetter"/>
      <w:start w:val="1"/>
    </w:lvl>
  </w:abstractNum>
  <w:abstractNum w:abstractNumId="500">
    <w:nsid w:val="2764C907"/>
    <w:multiLevelType w:val="hybridMultilevel"/>
    <w:lvl w:ilvl="0">
      <w:lvlJc w:val="left"/>
      <w:lvlText w:val="(%1)"/>
      <w:numFmt w:val="lowerLetter"/>
      <w:start w:val="1"/>
    </w:lvl>
  </w:abstractNum>
  <w:abstractNum w:abstractNumId="501">
    <w:nsid w:val="40D3692"/>
    <w:multiLevelType w:val="hybridMultilevel"/>
    <w:lvl w:ilvl="0">
      <w:lvlJc w:val="left"/>
      <w:lvlText w:val="%1"/>
      <w:numFmt w:val="decimal"/>
      <w:start w:val="33"/>
    </w:lvl>
  </w:abstractNum>
  <w:abstractNum w:abstractNumId="502">
    <w:nsid w:val="222FC865"/>
    <w:multiLevelType w:val="hybridMultilevel"/>
    <w:lvl w:ilvl="0">
      <w:lvlJc w:val="left"/>
      <w:lvlText w:val="(%1)"/>
      <w:numFmt w:val="lowerLetter"/>
      <w:start w:val="1"/>
    </w:lvl>
  </w:abstractNum>
  <w:abstractNum w:abstractNumId="503">
    <w:nsid w:val="47C27FA"/>
    <w:multiLevelType w:val="hybridMultilevel"/>
    <w:lvl w:ilvl="0">
      <w:lvlJc w:val="left"/>
      <w:lvlText w:val="(%1)"/>
      <w:numFmt w:val="lowerLetter"/>
      <w:start w:val="1"/>
    </w:lvl>
  </w:abstractNum>
  <w:abstractNum w:abstractNumId="504">
    <w:nsid w:val="52E2D7C9"/>
    <w:multiLevelType w:val="hybridMultilevel"/>
    <w:lvl w:ilvl="0">
      <w:lvlJc w:val="left"/>
      <w:lvlText w:val="(%1)"/>
      <w:numFmt w:val="lowerLetter"/>
      <w:start w:val="1"/>
    </w:lvl>
  </w:abstractNum>
  <w:abstractNum w:abstractNumId="505">
    <w:nsid w:val="3D4B955A"/>
    <w:multiLevelType w:val="hybridMultilevel"/>
    <w:lvl w:ilvl="0">
      <w:lvlJc w:val="left"/>
      <w:lvlText w:val="(%1)"/>
      <w:numFmt w:val="lowerLetter"/>
      <w:start w:val="1"/>
    </w:lvl>
  </w:abstractNum>
  <w:abstractNum w:abstractNumId="506">
    <w:nsid w:val="5B4A22B5"/>
    <w:multiLevelType w:val="hybridMultilevel"/>
    <w:lvl w:ilvl="0">
      <w:lvlJc w:val="left"/>
      <w:lvlText w:val="(%1)"/>
      <w:numFmt w:val="lowerLetter"/>
      <w:start w:val="1"/>
    </w:lvl>
  </w:abstractNum>
  <w:abstractNum w:abstractNumId="507">
    <w:nsid w:val="4B294578"/>
    <w:multiLevelType w:val="hybridMultilevel"/>
    <w:lvl w:ilvl="0">
      <w:lvlJc w:val="left"/>
      <w:lvlText w:val="%1"/>
      <w:numFmt w:val="decimal"/>
      <w:start w:val="35"/>
    </w:lvl>
  </w:abstractNum>
  <w:abstractNum w:abstractNumId="508">
    <w:nsid w:val="22317590"/>
    <w:multiLevelType w:val="hybridMultilevel"/>
    <w:lvl w:ilvl="0">
      <w:lvlJc w:val="left"/>
      <w:lvlText w:val="(%1)"/>
      <w:numFmt w:val="lowerLetter"/>
      <w:start w:val="1"/>
    </w:lvl>
  </w:abstractNum>
  <w:abstractNum w:abstractNumId="509">
    <w:nsid w:val="37A58EEF"/>
    <w:multiLevelType w:val="hybridMultilevel"/>
    <w:lvl w:ilvl="0">
      <w:lvlJc w:val="left"/>
      <w:lvlText w:val="%1"/>
      <w:numFmt w:val="decimal"/>
      <w:start w:val="36"/>
    </w:lvl>
  </w:abstractNum>
  <w:abstractNum w:abstractNumId="510">
    <w:nsid w:val="283290FD"/>
    <w:multiLevelType w:val="hybridMultilevel"/>
    <w:lvl w:ilvl="0">
      <w:lvlJc w:val="left"/>
      <w:lvlText w:val="(%1)"/>
      <w:numFmt w:val="lowerLetter"/>
      <w:start w:val="1"/>
    </w:lvl>
  </w:abstractNum>
  <w:abstractNum w:abstractNumId="511">
    <w:nsid w:val="495C0EA5"/>
    <w:multiLevelType w:val="hybridMultilevel"/>
    <w:lvl w:ilvl="0">
      <w:lvlJc w:val="left"/>
      <w:lvlText w:val="%1"/>
      <w:numFmt w:val="decimal"/>
      <w:start w:val="37"/>
    </w:lvl>
  </w:abstractNum>
  <w:abstractNum w:abstractNumId="512">
    <w:nsid w:val="A4A062B"/>
    <w:multiLevelType w:val="hybridMultilevel"/>
    <w:lvl w:ilvl="0">
      <w:lvlJc w:val="left"/>
      <w:lvlText w:val="(%1)"/>
      <w:numFmt w:val="lowerLetter"/>
      <w:start w:val="1"/>
    </w:lvl>
  </w:abstractNum>
  <w:abstractNum w:abstractNumId="513">
    <w:nsid w:val="3BED7940"/>
    <w:multiLevelType w:val="hybridMultilevel"/>
    <w:lvl w:ilvl="0">
      <w:lvlJc w:val="left"/>
      <w:lvlText w:val="(%1)"/>
      <w:numFmt w:val="lowerLetter"/>
      <w:start w:val="1"/>
    </w:lvl>
    <w:lvl w:ilvl="1">
      <w:lvlJc w:val="left"/>
      <w:lvlText w:val="(%2)"/>
      <w:numFmt w:val="lowerRoman"/>
      <w:start w:val="1"/>
    </w:lvl>
  </w:abstractNum>
  <w:abstractNum w:abstractNumId="514">
    <w:nsid w:val="54E56D64"/>
    <w:multiLevelType w:val="hybridMultilevel"/>
    <w:lvl w:ilvl="0">
      <w:lvlJc w:val="left"/>
      <w:lvlText w:val="(%1)"/>
      <w:numFmt w:val="lowerLetter"/>
      <w:start w:val="1"/>
    </w:lvl>
    <w:lvl w:ilvl="1">
      <w:lvlJc w:val="left"/>
      <w:lvlText w:val="(%2)"/>
      <w:numFmt w:val="lowerRoman"/>
      <w:start w:val="1"/>
    </w:lvl>
  </w:abstractNum>
  <w:abstractNum w:abstractNumId="515">
    <w:nsid w:val="6EB42955"/>
    <w:multiLevelType w:val="hybridMultilevel"/>
    <w:lvl w:ilvl="0">
      <w:lvlJc w:val="left"/>
      <w:lvlText w:val="(%1)"/>
      <w:numFmt w:val="lowerRoman"/>
      <w:start w:val="4"/>
    </w:lvl>
  </w:abstractNum>
  <w:abstractNum w:abstractNumId="516">
    <w:nsid w:val="29EFA6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7">
    <w:nsid w:val="7E337D35"/>
    <w:multiLevelType w:val="hybridMultilevel"/>
    <w:lvl w:ilvl="0">
      <w:lvlJc w:val="left"/>
      <w:lvlText w:val="(%1)"/>
      <w:numFmt w:val="lowerLetter"/>
      <w:start w:val="1"/>
    </w:lvl>
  </w:abstractNum>
  <w:abstractNum w:abstractNumId="518">
    <w:nsid w:val="1F8C83AB"/>
    <w:multiLevelType w:val="hybridMultilevel"/>
    <w:lvl w:ilvl="0">
      <w:lvlJc w:val="left"/>
      <w:lvlText w:val="%1"/>
      <w:numFmt w:val="lowerRoman"/>
      <w:start w:val="1"/>
    </w:lvl>
    <w:lvl w:ilvl="1">
      <w:lvlJc w:val="left"/>
      <w:lvlText w:val="(%2)"/>
      <w:numFmt w:val="lowerLetter"/>
      <w:start w:val="1"/>
    </w:lvl>
  </w:abstractNum>
  <w:abstractNum w:abstractNumId="519">
    <w:nsid w:val="18F40A33"/>
    <w:multiLevelType w:val="hybridMultilevel"/>
    <w:lvl w:ilvl="0">
      <w:lvlJc w:val="left"/>
      <w:lvlText w:val="(%1)"/>
      <w:numFmt w:val="lowerRoman"/>
      <w:start w:val="4"/>
    </w:lvl>
    <w:lvl w:ilvl="1">
      <w:lvlJc w:val="left"/>
      <w:lvlText w:val="(%2)"/>
      <w:numFmt w:val="lowerLetter"/>
      <w:start w:val="2"/>
    </w:lvl>
  </w:abstractNum>
  <w:abstractNum w:abstractNumId="520">
    <w:nsid w:val="1059DF71"/>
    <w:multiLevelType w:val="hybridMultilevel"/>
    <w:lvl w:ilvl="0">
      <w:lvlJc w:val="left"/>
      <w:lvlText w:val="(%1)"/>
      <w:numFmt w:val="lowerLetter"/>
      <w:start w:val="1"/>
    </w:lvl>
    <w:lvl w:ilvl="1">
      <w:lvlJc w:val="left"/>
      <w:lvlText w:val="(%2)"/>
      <w:numFmt w:val="lowerLetter"/>
      <w:start w:val="9"/>
    </w:lvl>
  </w:abstractNum>
  <w:abstractNum w:abstractNumId="521">
    <w:nsid w:val="CF19F38"/>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522">
    <w:nsid w:val="4AE135E2"/>
    <w:multiLevelType w:val="hybridMultilevel"/>
    <w:lvl w:ilvl="0">
      <w:lvlJc w:val="left"/>
      <w:lvlText w:val="%1"/>
      <w:numFmt w:val="decimal"/>
      <w:start w:val="1"/>
    </w:lvl>
    <w:lvl w:ilvl="1">
      <w:lvlJc w:val="left"/>
      <w:lvlText w:val="(%2)"/>
      <w:numFmt w:val="upperLetter"/>
      <w:start w:val="4"/>
    </w:lvl>
  </w:abstractNum>
  <w:abstractNum w:abstractNumId="523">
    <w:nsid w:val="7BD1DCF"/>
    <w:multiLevelType w:val="hybridMultilevel"/>
    <w:lvl w:ilvl="0">
      <w:lvlJc w:val="left"/>
      <w:lvlText w:val="(%1)"/>
      <w:numFmt w:val="decimal"/>
      <w:start w:val="2"/>
    </w:lvl>
    <w:lvl w:ilvl="1">
      <w:lvlJc w:val="left"/>
      <w:lvlText w:val="(%2)"/>
      <w:numFmt w:val="upperLetter"/>
      <w:start w:val="1"/>
    </w:lvl>
  </w:abstractNum>
  <w:abstractNum w:abstractNumId="524">
    <w:nsid w:val="A91E1DC"/>
    <w:multiLevelType w:val="hybridMultilevel"/>
    <w:lvl w:ilvl="0">
      <w:lvlJc w:val="left"/>
      <w:lvlText w:val="%1"/>
      <w:numFmt w:val="lowerRoman"/>
      <w:start w:val="1"/>
    </w:lvl>
    <w:lvl w:ilvl="1">
      <w:lvlJc w:val="left"/>
      <w:lvlText w:val="(%2)"/>
      <w:numFmt w:val="upperLetter"/>
      <w:start w:val="6"/>
    </w:lvl>
  </w:abstractNum>
  <w:abstractNum w:abstractNumId="525">
    <w:nsid w:val="1236898D"/>
    <w:multiLevelType w:val="hybridMultilevel"/>
    <w:lvl w:ilvl="0">
      <w:lvlJc w:val="left"/>
      <w:lvlText w:val="(%1)"/>
      <w:numFmt w:val="lowerRoman"/>
      <w:start w:val="4"/>
    </w:lvl>
    <w:lvl w:ilvl="1">
      <w:lvlJc w:val="left"/>
      <w:lvlText w:val="%2"/>
      <w:numFmt w:val="upperLetter"/>
      <w:start w:val="1"/>
    </w:lvl>
  </w:abstractNum>
  <w:abstractNum w:abstractNumId="526">
    <w:nsid w:val="6271086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27">
    <w:nsid w:val="7EA94A2B"/>
    <w:multiLevelType w:val="hybridMultilevel"/>
    <w:lvl w:ilvl="0">
      <w:lvlJc w:val="left"/>
      <w:lvlText w:val="(%1)"/>
      <w:numFmt w:val="lowerRoman"/>
      <w:start w:val="4"/>
    </w:lvl>
  </w:abstractNum>
  <w:abstractNum w:abstractNumId="528">
    <w:nsid w:val="20D49DA3"/>
    <w:multiLevelType w:val="hybridMultilevel"/>
    <w:lvl w:ilvl="0">
      <w:lvlJc w:val="left"/>
      <w:lvlText w:val="(%1)"/>
      <w:numFmt w:val="lowerLetter"/>
      <w:start w:val="1"/>
    </w:lvl>
  </w:abstractNum>
  <w:abstractNum w:abstractNumId="529">
    <w:nsid w:val="6272919F"/>
    <w:multiLevelType w:val="hybridMultilevel"/>
    <w:lvl w:ilvl="0">
      <w:lvlJc w:val="left"/>
      <w:lvlText w:val="(%1)"/>
      <w:numFmt w:val="lowerLetter"/>
      <w:start w:val="5"/>
    </w:lvl>
  </w:abstractNum>
  <w:abstractNum w:abstractNumId="530">
    <w:nsid w:val="127DED1D"/>
    <w:multiLevelType w:val="hybridMultilevel"/>
    <w:lvl w:ilvl="0">
      <w:lvlJc w:val="left"/>
      <w:lvlText w:val="(%1)"/>
      <w:numFmt w:val="lowerLetter"/>
      <w:start w:val="1"/>
    </w:lvl>
  </w:abstractNum>
  <w:abstractNum w:abstractNumId="531">
    <w:nsid w:val="483966AA"/>
    <w:multiLevelType w:val="hybridMultilevel"/>
    <w:lvl w:ilvl="0">
      <w:lvlJc w:val="left"/>
      <w:lvlText w:val="(%1)"/>
      <w:numFmt w:val="lowerLetter"/>
      <w:start w:val="1"/>
    </w:lvl>
  </w:abstractNum>
  <w:abstractNum w:abstractNumId="532">
    <w:nsid w:val="667FC831"/>
    <w:multiLevelType w:val="hybridMultilevel"/>
    <w:lvl w:ilvl="0">
      <w:lvlJc w:val="left"/>
      <w:lvlText w:val="(%1)"/>
      <w:numFmt w:val="lowerLetter"/>
      <w:start w:val="1"/>
    </w:lvl>
  </w:abstractNum>
  <w:abstractNum w:abstractNumId="533">
    <w:nsid w:val="34ADB582"/>
    <w:multiLevelType w:val="hybridMultilevel"/>
    <w:lvl w:ilvl="0">
      <w:lvlJc w:val="left"/>
      <w:lvlText w:val="%1"/>
      <w:numFmt w:val="lowerRoman"/>
      <w:start w:val="1"/>
    </w:lvl>
    <w:lvl w:ilvl="1">
      <w:lvlJc w:val="left"/>
      <w:lvlText w:val="(%2)"/>
      <w:numFmt w:val="lowerLetter"/>
      <w:start w:val="1"/>
    </w:lvl>
  </w:abstractNum>
  <w:abstractNum w:abstractNumId="534">
    <w:nsid w:val="4CB58EA4"/>
    <w:multiLevelType w:val="hybridMultilevel"/>
    <w:lvl w:ilvl="0">
      <w:lvlJc w:val="left"/>
      <w:lvlText w:val="(%1)"/>
      <w:numFmt w:val="lowerRoman"/>
      <w:start w:val="6"/>
    </w:lvl>
    <w:lvl w:ilvl="1">
      <w:lvlJc w:val="left"/>
      <w:lvlText w:val="%2"/>
      <w:numFmt w:val="lowerLetter"/>
      <w:start w:val="1"/>
    </w:lvl>
  </w:abstractNum>
  <w:abstractNum w:abstractNumId="535">
    <w:nsid w:val="39629FFA"/>
    <w:multiLevelType w:val="hybridMultilevel"/>
    <w:lvl w:ilvl="0">
      <w:lvlJc w:val="left"/>
      <w:lvlText w:val="(%1)"/>
      <w:numFmt w:val="lowerLetter"/>
      <w:start w:val="3"/>
    </w:lvl>
    <w:lvl w:ilvl="1">
      <w:lvlJc w:val="left"/>
      <w:lvlText w:val="(%2)"/>
      <w:numFmt w:val="lowerRoman"/>
      <w:start w:val="1"/>
    </w:lvl>
  </w:abstractNum>
  <w:abstractNum w:abstractNumId="536">
    <w:nsid w:val="71F94ADC"/>
    <w:multiLevelType w:val="hybridMultilevel"/>
    <w:lvl w:ilvl="0">
      <w:lvlJc w:val="left"/>
      <w:lvlText w:val="(%1)"/>
      <w:numFmt w:val="lowerLetter"/>
      <w:start w:val="1"/>
    </w:lvl>
  </w:abstractNum>
  <w:abstractNum w:abstractNumId="537">
    <w:nsid w:val="27FFB15A"/>
    <w:multiLevelType w:val="hybridMultilevel"/>
    <w:lvl w:ilvl="0">
      <w:lvlJc w:val="left"/>
      <w:lvlText w:val="%1."/>
      <w:numFmt w:val="decimal"/>
      <w:start w:val="1"/>
    </w:lvl>
    <w:lvl w:ilvl="1">
      <w:lvlJc w:val="left"/>
      <w:lvlText w:val="%2."/>
      <w:numFmt w:val="lowerLetter"/>
      <w:start w:val="1"/>
    </w:lvl>
  </w:abstractNum>
  <w:abstractNum w:abstractNumId="538">
    <w:nsid w:val="48BE573"/>
    <w:multiLevelType w:val="hybridMultilevel"/>
    <w:lvl w:ilvl="0">
      <w:lvlJc w:val="left"/>
      <w:lvlText w:val="%1"/>
      <w:numFmt w:val="decimal"/>
      <w:start w:val="1"/>
    </w:lvl>
    <w:lvl w:ilvl="1">
      <w:lvlJc w:val="left"/>
      <w:lvlText w:val="%2."/>
      <w:numFmt w:val="lowerLetter"/>
      <w:start w:val="3"/>
    </w:lvl>
  </w:abstractNum>
  <w:abstractNum w:abstractNumId="539">
    <w:nsid w:val="142AC06C"/>
    <w:multiLevelType w:val="hybridMultilevel"/>
    <w:lvl w:ilvl="0">
      <w:lvlJc w:val="left"/>
      <w:lvlText w:val="%1."/>
      <w:numFmt w:val="decimal"/>
      <w:start w:val="2"/>
    </w:lvl>
    <w:lvl w:ilvl="1">
      <w:lvlJc w:val="left"/>
      <w:lvlText w:val="%2."/>
      <w:numFmt w:val="lowerLetter"/>
      <w:start w:val="1"/>
    </w:lvl>
  </w:abstractNum>
  <w:abstractNum w:abstractNumId="540">
    <w:nsid w:val="5FA54049"/>
    <w:multiLevelType w:val="hybridMultilevel"/>
    <w:lvl w:ilvl="0">
      <w:lvlJc w:val="left"/>
      <w:lvlText w:val="%1"/>
      <w:numFmt w:val="decimal"/>
      <w:start w:val="1"/>
    </w:lvl>
    <w:lvl w:ilvl="1">
      <w:lvlJc w:val="left"/>
      <w:lvlText w:val="%2."/>
      <w:numFmt w:val="lowerLetter"/>
      <w:start w:val="2"/>
    </w:lvl>
  </w:abstractNum>
  <w:abstractNum w:abstractNumId="541">
    <w:nsid w:val="2CBE7670"/>
    <w:multiLevelType w:val="hybridMultilevel"/>
    <w:lvl w:ilvl="0">
      <w:lvlJc w:val="left"/>
      <w:lvlText w:val="%1."/>
      <w:numFmt w:val="decimal"/>
      <w:start w:val="4"/>
    </w:lvl>
    <w:lvl w:ilvl="1">
      <w:lvlJc w:val="left"/>
      <w:lvlText w:val="%2."/>
      <w:numFmt w:val="lowerLetter"/>
      <w:start w:val="1"/>
    </w:lvl>
  </w:abstractNum>
  <w:abstractNum w:abstractNumId="542">
    <w:nsid w:val="5D86CF11"/>
    <w:multiLevelType w:val="hybridMultilevel"/>
    <w:lvl w:ilvl="0">
      <w:lvlJc w:val="left"/>
      <w:lvlText w:val="%1."/>
      <w:numFmt w:val="decimal"/>
      <w:start w:val="5"/>
    </w:lvl>
  </w:abstractNum>
  <w:abstractNum w:abstractNumId="543">
    <w:nsid w:val="69EF4674"/>
    <w:multiLevelType w:val="hybridMultilevel"/>
    <w:lvl w:ilvl="0">
      <w:lvlJc w:val="left"/>
      <w:lvlText w:val="%1."/>
      <w:numFmt w:val="decimal"/>
      <w:start w:val="6"/>
    </w:lvl>
    <w:lvl w:ilvl="1">
      <w:lvlJc w:val="left"/>
      <w:lvlText w:val="%2."/>
      <w:numFmt w:val="lowerLetter"/>
      <w:start w:val="1"/>
    </w:lvl>
  </w:abstractNum>
  <w:abstractNum w:abstractNumId="544">
    <w:nsid w:val="68ABEFB0"/>
    <w:multiLevelType w:val="hybridMultilevel"/>
    <w:lvl w:ilvl="0">
      <w:lvlJc w:val="left"/>
      <w:lvlText w:val="%1."/>
      <w:numFmt w:val="lowerLetter"/>
      <w:start w:val="3"/>
    </w:lvl>
  </w:abstractNum>
  <w:abstractNum w:abstractNumId="545">
    <w:nsid w:val="326C3C76"/>
    <w:multiLevelType w:val="hybridMultilevel"/>
    <w:lvl w:ilvl="0">
      <w:lvlJc w:val="left"/>
      <w:lvlText w:val="%1"/>
      <w:numFmt w:val="decimal"/>
      <w:start w:val="1"/>
    </w:lvl>
    <w:lvl w:ilvl="1">
      <w:lvlJc w:val="left"/>
      <w:lvlText w:val="%2."/>
      <w:numFmt w:val="lowerLetter"/>
      <w:start w:val="8"/>
    </w:lvl>
  </w:abstractNum>
  <w:abstractNum w:abstractNumId="546">
    <w:nsid w:val="58A36FCA"/>
    <w:multiLevelType w:val="hybridMultilevel"/>
    <w:lvl w:ilvl="0">
      <w:lvlJc w:val="left"/>
      <w:lvlText w:val="%1."/>
      <w:numFmt w:val="decimal"/>
      <w:start w:val="7"/>
    </w:lvl>
    <w:lvl w:ilvl="1">
      <w:lvlJc w:val="left"/>
      <w:lvlText w:val="%2"/>
      <w:numFmt w:val="lowerLetter"/>
      <w:start w:val="1"/>
    </w:lvl>
  </w:abstractNum>
  <w:abstractNum w:abstractNumId="547">
    <w:nsid w:val="129B95F2"/>
    <w:multiLevelType w:val="hybridMultilevel"/>
    <w:lvl w:ilvl="0">
      <w:lvlJc w:val="left"/>
      <w:lvlText w:val="%1."/>
      <w:numFmt w:val="decimal"/>
      <w:start w:val="8"/>
    </w:lvl>
    <w:lvl w:ilvl="1">
      <w:lvlJc w:val="left"/>
      <w:lvlText w:val="%2."/>
      <w:numFmt w:val="decimal"/>
      <w:start w:val="9"/>
    </w:lvl>
  </w:abstractNum>
  <w:abstractNum w:abstractNumId="548">
    <w:nsid w:val="309FB9AB"/>
    <w:multiLevelType w:val="hybridMultilevel"/>
    <w:lvl w:ilvl="0">
      <w:lvlJc w:val="left"/>
      <w:lvlText w:val="%1."/>
      <w:numFmt w:val="decimal"/>
      <w:start w:val="12"/>
    </w:lvl>
  </w:abstractNum>
  <w:abstractNum w:abstractNumId="549">
    <w:nsid w:val="782FF375"/>
    <w:multiLevelType w:val="hybridMultilevel"/>
    <w:lvl w:ilvl="0">
      <w:lvlJc w:val="left"/>
      <w:lvlText w:val="%1"/>
      <w:numFmt w:val="lowerLetter"/>
      <w:start w:val="1"/>
    </w:lvl>
    <w:lvl w:ilvl="1">
      <w:lvlJc w:val="left"/>
      <w:lvlText w:val="%2."/>
      <w:numFmt w:val="decimal"/>
      <w:start w:val="15"/>
    </w:lvl>
  </w:abstractNum>
  <w:abstractNum w:abstractNumId="550">
    <w:nsid w:val="2B8FA025"/>
    <w:multiLevelType w:val="hybridMultilevel"/>
    <w:lvl w:ilvl="0">
      <w:lvlJc w:val="left"/>
      <w:lvlText w:val="(%1)"/>
      <w:numFmt w:val="lowerLetter"/>
      <w:start w:val="3"/>
    </w:lvl>
    <w:lvl w:ilvl="1">
      <w:lvlJc w:val="left"/>
      <w:lvlText w:val="%2."/>
      <w:numFmt w:val="decimal"/>
      <w:start w:val="18"/>
    </w:lvl>
  </w:abstractNum>
  <w:abstractNum w:abstractNumId="551">
    <w:nsid w:val="40F9991C"/>
    <w:multiLevelType w:val="hybridMultilevel"/>
    <w:lvl w:ilvl="0">
      <w:lvlJc w:val="left"/>
      <w:lvlText w:val="%1."/>
      <w:numFmt w:val="decimal"/>
      <w:start w:val="21"/>
    </w:lvl>
  </w:abstractNum>
  <w:abstractNum w:abstractNumId="552">
    <w:nsid w:val="52192AD"/>
    <w:multiLevelType w:val="hybridMultilevel"/>
    <w:lvl w:ilvl="0">
      <w:lvlJc w:val="left"/>
      <w:lvlText w:val="(%1)"/>
      <w:numFmt w:val="lowerRoman"/>
      <w:start w:val="10"/>
    </w:lvl>
  </w:abstractNum>
  <w:abstractNum w:abstractNumId="553">
    <w:nsid w:val="7670D608"/>
    <w:multiLevelType w:val="hybridMultilevel"/>
    <w:lvl w:ilvl="0">
      <w:lvlJc w:val="left"/>
      <w:lvlText w:val="%1."/>
      <w:numFmt w:val="decimal"/>
      <w:start w:val="1"/>
    </w:lvl>
  </w:abstractNum>
  <w:abstractNum w:abstractNumId="554">
    <w:nsid w:val="48B6B6EB"/>
    <w:multiLevelType w:val="hybridMultilevel"/>
    <w:lvl w:ilvl="0">
      <w:lvlJc w:val="left"/>
      <w:lvlText w:val="%1."/>
      <w:numFmt w:val="decimal"/>
      <w:start w:val="1"/>
    </w:lvl>
  </w:abstractNum>
  <w:abstractNum w:abstractNumId="555">
    <w:nsid w:val="FB3748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6">
    <w:nsid w:val="8A75F95"/>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557">
    <w:nsid w:val="2B27BF4D"/>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5"/>
    </w:lvl>
  </w:abstractNum>
  <w:abstractNum w:abstractNumId="558">
    <w:nsid w:val="E5CBEB4"/>
    <w:multiLevelType w:val="hybridMultilevel"/>
    <w:lvl w:ilvl="0">
      <w:lvlJc w:val="left"/>
      <w:lvlText w:val="%1."/>
      <w:numFmt w:val="lowerLetter"/>
      <w:start w:val="7"/>
    </w:lvl>
  </w:abstractNum>
  <w:abstractNum w:abstractNumId="559">
    <w:nsid w:val="297BFD38"/>
    <w:multiLevelType w:val="hybridMultilevel"/>
    <w:lvl w:ilvl="0">
      <w:lvlJc w:val="left"/>
      <w:lvlText w:val="%1."/>
      <w:numFmt w:val="decimal"/>
      <w:start w:val="6"/>
    </w:lvl>
    <w:lvl w:ilvl="1">
      <w:lvlJc w:val="left"/>
      <w:lvlText w:val="%2."/>
      <w:numFmt w:val="lowerLetter"/>
      <w:start w:val="1"/>
    </w:lvl>
  </w:abstractNum>
  <w:abstractNum w:abstractNumId="560">
    <w:nsid w:val="D9A50ED"/>
    <w:multiLevelType w:val="hybridMultilevel"/>
    <w:lvl w:ilvl="0">
      <w:lvlJc w:val="left"/>
      <w:lvlText w:val="%1."/>
      <w:numFmt w:val="lowerLetter"/>
      <w:start w:val="6"/>
    </w:lvl>
  </w:abstractNum>
  <w:abstractNum w:abstractNumId="561">
    <w:nsid w:val="20DAABD1"/>
    <w:multiLevelType w:val="hybridMultilevel"/>
    <w:lvl w:ilvl="0">
      <w:lvlJc w:val="left"/>
      <w:lvlText w:val="%1."/>
      <w:numFmt w:val="lowerLetter"/>
      <w:start w:val="7"/>
    </w:lvl>
  </w:abstractNum>
  <w:abstractNum w:abstractNumId="562">
    <w:nsid w:val="71B563E3"/>
    <w:multiLevelType w:val="hybridMultilevel"/>
    <w:lvl w:ilvl="0">
      <w:lvlJc w:val="left"/>
      <w:lvlText w:val="%1"/>
      <w:numFmt w:val="decimal"/>
      <w:start w:val="1"/>
    </w:lvl>
    <w:lvl w:ilvl="1">
      <w:lvlJc w:val="left"/>
      <w:lvlText w:val="%2."/>
      <w:numFmt w:val="lowerLetter"/>
      <w:start w:val="14"/>
    </w:lvl>
  </w:abstractNum>
  <w:abstractNum w:abstractNumId="563">
    <w:nsid w:val="741A191E"/>
    <w:multiLevelType w:val="hybridMultilevel"/>
    <w:lvl w:ilvl="0">
      <w:lvlJc w:val="left"/>
      <w:lvlText w:val="%1."/>
      <w:numFmt w:val="decimal"/>
      <w:start w:val="7"/>
    </w:lvl>
    <w:lvl w:ilvl="1">
      <w:lvlJc w:val="left"/>
      <w:lvlText w:val="%2."/>
      <w:numFmt w:val="lowerLetter"/>
      <w:start w:val="1"/>
    </w:lvl>
  </w:abstractNum>
  <w:abstractNum w:abstractNumId="564">
    <w:nsid w:val="55886153"/>
    <w:multiLevelType w:val="hybridMultilevel"/>
    <w:lvl w:ilvl="0">
      <w:lvlJc w:val="left"/>
      <w:lvlText w:val="%1."/>
      <w:numFmt w:val="lowerLetter"/>
      <w:start w:val="2"/>
    </w:lvl>
  </w:abstractNum>
  <w:abstractNum w:abstractNumId="565">
    <w:nsid w:val="3E6AF287"/>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66">
    <w:nsid w:val="2D7CB919"/>
    <w:multiLevelType w:val="hybridMultilevel"/>
    <w:lvl w:ilvl="0">
      <w:lvlJc w:val="left"/>
      <w:lvlText w:val="%1."/>
      <w:numFmt w:val="decimal"/>
      <w:start w:val="8"/>
    </w:lvl>
  </w:abstractNum>
  <w:abstractNum w:abstractNumId="567">
    <w:nsid w:val="4781AC2F"/>
    <w:multiLevelType w:val="hybridMultilevel"/>
    <w:lvl w:ilvl="0">
      <w:lvlJc w:val="left"/>
      <w:lvlText w:val="%1."/>
      <w:numFmt w:val="decimal"/>
      <w:start w:val="10"/>
    </w:lvl>
    <w:lvl w:ilvl="1">
      <w:lvlJc w:val="left"/>
      <w:lvlText w:val="%2."/>
      <w:numFmt w:val="lowerLetter"/>
      <w:start w:val="1"/>
    </w:lvl>
  </w:abstractNum>
  <w:abstractNum w:abstractNumId="568">
    <w:nsid w:val="666AA3E1"/>
    <w:multiLevelType w:val="hybridMultilevel"/>
    <w:lvl w:ilvl="0">
      <w:lvlJc w:val="left"/>
      <w:lvlText w:val="%1."/>
      <w:numFmt w:val="lowerLetter"/>
      <w:start w:val="8"/>
    </w:lvl>
  </w:abstractNum>
  <w:abstractNum w:abstractNumId="569">
    <w:nsid w:val="32089E8C"/>
    <w:multiLevelType w:val="hybridMultilevel"/>
    <w:lvl w:ilvl="0">
      <w:lvlJc w:val="left"/>
      <w:lvlText w:val="%1."/>
      <w:numFmt w:val="decimal"/>
      <w:start w:val="11"/>
    </w:lvl>
  </w:abstractNum>
  <w:abstractNum w:abstractNumId="570">
    <w:nsid w:val="5BAC6C9C"/>
    <w:multiLevelType w:val="hybridMultilevel"/>
    <w:lvl w:ilvl="0">
      <w:lvlJc w:val="left"/>
      <w:lvlText w:val="%1."/>
      <w:numFmt w:val="decimal"/>
      <w:start w:val="13"/>
    </w:lvl>
  </w:abstractNum>
  <w:abstractNum w:abstractNumId="571">
    <w:nsid w:val="460FE42B"/>
    <w:multiLevelType w:val="hybridMultilevel"/>
    <w:lvl w:ilvl="0">
      <w:lvlJc w:val="left"/>
      <w:lvlText w:val="%1."/>
      <w:numFmt w:val="upperLetter"/>
      <w:start w:val="1"/>
    </w:lvl>
  </w:abstractNum>
  <w:abstractNum w:abstractNumId="572">
    <w:nsid w:val="5EC714FC"/>
    <w:multiLevelType w:val="hybridMultilevel"/>
    <w:lvl w:ilvl="0">
      <w:lvlJc w:val="left"/>
      <w:lvlText w:val="%1."/>
      <w:numFmt w:val="decimal"/>
      <w:start w:val="1"/>
    </w:lvl>
  </w:abstractNum>
  <w:abstractNum w:abstractNumId="573">
    <w:nsid w:val="39333BAD"/>
    <w:multiLevelType w:val="hybridMultilevel"/>
    <w:lvl w:ilvl="0">
      <w:lvlJc w:val="left"/>
      <w:lvlText w:val="☐"/>
      <w:numFmt w:val="bullet"/>
      <w:start w:val="1"/>
    </w:lvl>
  </w:abstractNum>
  <w:abstractNum w:abstractNumId="574">
    <w:nsid w:val="2FFF2A9F"/>
    <w:multiLevelType w:val="hybridMultilevel"/>
    <w:lvl w:ilvl="0">
      <w:lvlJc w:val="left"/>
      <w:lvlText w:val="(%1)"/>
      <w:numFmt w:val="upperLetter"/>
      <w:start w:val="1"/>
    </w:lvl>
  </w:abstractNum>
  <w:abstractNum w:abstractNumId="575">
    <w:nsid w:val="477304AC"/>
    <w:multiLevelType w:val="hybridMultilevel"/>
    <w:lvl w:ilvl="0">
      <w:lvlJc w:val="left"/>
      <w:lvlText w:val="(%1)"/>
      <w:numFmt w:val="lowerRoman"/>
      <w:start w:val="1"/>
    </w:lvl>
  </w:abstractNum>
  <w:abstractNum w:abstractNumId="576">
    <w:nsid w:val="6B9F7823"/>
    <w:multiLevelType w:val="hybridMultilevel"/>
    <w:lvl w:ilvl="0">
      <w:lvlJc w:val="left"/>
      <w:lvlText w:val="(%1)"/>
      <w:numFmt w:val="lowerLetter"/>
      <w:start w:val="2"/>
    </w:lvl>
  </w:abstractNum>
  <w:abstractNum w:abstractNumId="577">
    <w:nsid w:val="8A29A69"/>
    <w:multiLevelType w:val="hybridMultilevel"/>
    <w:lvl w:ilvl="0">
      <w:lvlJc w:val="left"/>
      <w:lvlText w:val="%1."/>
      <w:numFmt w:val="decimal"/>
      <w:start w:val="1"/>
    </w:lvl>
  </w:abstractNum>
  <w:abstractNum w:abstractNumId="578">
    <w:nsid w:val="5A0E9A9F"/>
    <w:multiLevelType w:val="hybridMultilevel"/>
    <w:lvl w:ilvl="0">
      <w:lvlJc w:val="left"/>
      <w:lvlText w:val="(%1)"/>
      <w:numFmt w:val="lowerLetter"/>
      <w:start w:val="1"/>
    </w:lvl>
  </w:abstractNum>
  <w:abstractNum w:abstractNumId="579">
    <w:nsid w:val="1C3F31CE"/>
    <w:multiLevelType w:val="hybridMultilevel"/>
    <w:lvl w:ilvl="0">
      <w:lvlJc w:val="left"/>
      <w:lvlText w:val="%1"/>
      <w:numFmt w:val="lowerLetter"/>
      <w:start w:val="1"/>
    </w:lvl>
    <w:lvl w:ilvl="1">
      <w:lvlJc w:val="left"/>
      <w:lvlText w:val="(%2)"/>
      <w:numFmt w:val="lowerLetter"/>
      <w:start w:val="2"/>
    </w:lvl>
  </w:abstractNum>
  <w:abstractNum w:abstractNumId="580">
    <w:nsid w:val="D28DDE"/>
    <w:multiLevelType w:val="hybridMultilevel"/>
    <w:lvl w:ilvl="0">
      <w:lvlJc w:val="left"/>
      <w:lvlText w:val="(%1)"/>
      <w:numFmt w:val="lowerLetter"/>
      <w:start w:val="61"/>
    </w:lvl>
    <w:lvl w:ilvl="1">
      <w:lvlJc w:val="left"/>
      <w:lvlText w:val="(%2)"/>
      <w:numFmt w:val="lowerLetter"/>
      <w:start w:val="3"/>
    </w:lvl>
  </w:abstractNum>
  <w:abstractNum w:abstractNumId="581">
    <w:nsid w:val="59E3AC4"/>
    <w:multiLevelType w:val="hybridMultilevel"/>
    <w:lvl w:ilvl="0">
      <w:lvlJc w:val="left"/>
      <w:lvlText w:val="%1."/>
      <w:numFmt w:val="decimal"/>
      <w:start w:val="2"/>
    </w:lvl>
  </w:abstractNum>
  <w:abstractNum w:abstractNumId="582">
    <w:nsid w:val="5D38CAEA"/>
    <w:multiLevelType w:val="hybridMultilevel"/>
    <w:lvl w:ilvl="0">
      <w:lvlJc w:val="left"/>
      <w:lvlText w:val="(%1)"/>
      <w:numFmt w:val="lowerLetter"/>
      <w:start w:val="1"/>
    </w:lvl>
  </w:abstractNum>
  <w:abstractNum w:abstractNumId="583">
    <w:nsid w:val="5F4208C"/>
    <w:multiLevelType w:val="hybridMultilevel"/>
    <w:lvl w:ilvl="0">
      <w:lvlJc w:val="left"/>
      <w:lvlText w:val="%1."/>
      <w:numFmt w:val="decimal"/>
      <w:start w:val="3"/>
    </w:lvl>
  </w:abstractNum>
  <w:abstractNum w:abstractNumId="584">
    <w:nsid w:val="7C0F10CC"/>
    <w:multiLevelType w:val="hybridMultilevel"/>
    <w:lvl w:ilvl="0">
      <w:lvlJc w:val="left"/>
      <w:lvlText w:val="%1"/>
      <w:numFmt w:val="lowerLetter"/>
      <w:start w:val="1"/>
    </w:lvl>
    <w:lvl w:ilvl="1">
      <w:lvlJc w:val="left"/>
      <w:lvlText w:val="(%2)"/>
      <w:numFmt w:val="lowerLetter"/>
      <w:start w:val="1"/>
    </w:lvl>
  </w:abstractNum>
  <w:abstractNum w:abstractNumId="585">
    <w:nsid w:val="25EF81D5"/>
    <w:multiLevelType w:val="hybridMultilevel"/>
    <w:lvl w:ilvl="0">
      <w:lvlJc w:val="left"/>
      <w:lvlText w:val="(%1)"/>
      <w:numFmt w:val="lowerLetter"/>
      <w:start w:val="9"/>
    </w:lvl>
    <w:lvl w:ilvl="1">
      <w:lvlJc w:val="left"/>
      <w:lvlText w:val="%2"/>
      <w:numFmt w:val="lowerLetter"/>
      <w:start w:val="1"/>
    </w:lvl>
  </w:abstractNum>
  <w:abstractNum w:abstractNumId="586">
    <w:nsid w:val="15A79515"/>
    <w:multiLevelType w:val="hybridMultilevel"/>
    <w:lvl w:ilvl="0">
      <w:lvlJc w:val="left"/>
      <w:lvlText w:val="%1"/>
      <w:numFmt w:val="lowerLetter"/>
      <w:start w:val="1"/>
    </w:lvl>
    <w:lvl w:ilvl="1">
      <w:lvlJc w:val="left"/>
      <w:lvlText w:val="(%2)"/>
      <w:numFmt w:val="lowerLetter"/>
      <w:start w:val="6"/>
    </w:lvl>
  </w:abstractNum>
  <w:abstractNum w:abstractNumId="587">
    <w:nsid w:val="4B67062"/>
    <w:multiLevelType w:val="hybridMultilevel"/>
    <w:lvl w:ilvl="0">
      <w:lvlJc w:val="left"/>
      <w:lvlText w:val="(%1)"/>
      <w:numFmt w:val="lowerLetter"/>
      <w:start w:val="9"/>
    </w:lvl>
    <w:lvl w:ilvl="1">
      <w:lvlJc w:val="left"/>
      <w:lvlText w:val="(%2)"/>
      <w:numFmt w:val="lowerLetter"/>
      <w:start w:val="8"/>
    </w:lvl>
  </w:abstractNum>
  <w:abstractNum w:abstractNumId="588">
    <w:nsid w:val="51174123"/>
    <w:multiLevelType w:val="hybridMultilevel"/>
    <w:lvl w:ilvl="0">
      <w:lvlJc w:val="left"/>
      <w:lvlText w:val="%1."/>
      <w:numFmt w:val="decimal"/>
      <w:start w:val="4"/>
    </w:lvl>
  </w:abstractNum>
  <w:abstractNum w:abstractNumId="589">
    <w:nsid w:val="240453CA"/>
    <w:multiLevelType w:val="hybridMultilevel"/>
    <w:lvl w:ilvl="0">
      <w:lvlJc w:val="left"/>
      <w:lvlText w:val="%1"/>
      <w:numFmt w:val="lowerLetter"/>
      <w:start w:val="1"/>
    </w:lvl>
    <w:lvl w:ilvl="1">
      <w:lvlJc w:val="left"/>
      <w:lvlText w:val="%2."/>
      <w:numFmt w:val="decimal"/>
      <w:start w:val="5"/>
    </w:lvl>
  </w:abstractNum>
  <w:abstractNum w:abstractNumId="590">
    <w:nsid w:val="2E326D9A"/>
    <w:multiLevelType w:val="hybridMultilevel"/>
    <w:lvl w:ilvl="0">
      <w:lvlJc w:val="left"/>
      <w:lvlText w:val="(%1)"/>
      <w:numFmt w:val="lowerLetter"/>
      <w:start w:val="8"/>
    </w:lvl>
    <w:lvl w:ilvl="1">
      <w:lvlJc w:val="left"/>
      <w:lvlText w:val="%2."/>
      <w:numFmt w:val="decimal"/>
      <w:start w:val="6"/>
    </w:lvl>
  </w:abstractNum>
  <w:abstractNum w:abstractNumId="591">
    <w:nsid w:val="5EB19210"/>
    <w:multiLevelType w:val="hybridMultilevel"/>
    <w:lvl w:ilvl="0">
      <w:lvlJc w:val="left"/>
      <w:lvlText w:val="%1."/>
      <w:numFmt w:val="decimal"/>
      <w:start w:val="8"/>
    </w:lvl>
  </w:abstractNum>
  <w:abstractNum w:abstractNumId="592">
    <w:nsid w:val="44DEFF9B"/>
    <w:multiLevelType w:val="hybridMultilevel"/>
    <w:lvl w:ilvl="0">
      <w:lvlJc w:val="left"/>
      <w:lvlText w:val="%1."/>
      <w:numFmt w:val="decimal"/>
      <w:start w:val="9"/>
    </w:lvl>
  </w:abstractNum>
  <w:abstractNum w:abstractNumId="593">
    <w:nsid w:val="1FE7D17D"/>
    <w:multiLevelType w:val="hybridMultilevel"/>
    <w:lvl w:ilvl="0">
      <w:lvlJc w:val="left"/>
      <w:lvlText w:val="%1."/>
      <w:numFmt w:val="decimal"/>
      <w:start w:val="10"/>
    </w:lvl>
  </w:abstractNum>
  <w:abstractNum w:abstractNumId="594">
    <w:nsid w:val="52CBAB2E"/>
    <w:multiLevelType w:val="hybridMultilevel"/>
    <w:lvl w:ilvl="0">
      <w:lvlJc w:val="left"/>
      <w:lvlText w:val="%1"/>
      <w:numFmt w:val="upperLetter"/>
      <w:start w:val="1"/>
    </w:lvl>
    <w:lvl w:ilvl="1">
      <w:lvlJc w:val="left"/>
      <w:lvlText w:val="%2."/>
      <w:numFmt w:val="decimal"/>
      <w:start w:val="16"/>
    </w:lvl>
  </w:abstractNum>
  <w:abstractNum w:abstractNumId="595">
    <w:nsid w:val="1A6760EF"/>
    <w:multiLevelType w:val="hybridMultilevel"/>
    <w:lvl w:ilvl="0">
      <w:lvlJc w:val="left"/>
      <w:lvlText w:val="(%1)"/>
      <w:numFmt w:val="upperLetter"/>
      <w:start w:val="35"/>
    </w:lvl>
    <w:lvl w:ilvl="1">
      <w:lvlJc w:val="left"/>
      <w:lvlText w:val="%2"/>
      <w:numFmt w:val="decimal"/>
      <w:start w:val="1"/>
    </w:lvl>
  </w:abstractNum>
  <w:abstractNum w:abstractNumId="596">
    <w:nsid w:val="5E52C405"/>
    <w:multiLevelType w:val="hybridMultilevel"/>
    <w:lvl w:ilvl="0">
      <w:lvlJc w:val="left"/>
      <w:lvlText w:val="%1."/>
      <w:numFmt w:val="decimal"/>
      <w:start w:val="22"/>
    </w:lvl>
  </w:abstractNum>
  <w:abstractNum w:abstractNumId="597">
    <w:nsid w:val="486447"/>
    <w:multiLevelType w:val="hybridMultilevel"/>
    <w:lvl w:ilvl="0">
      <w:lvlJc w:val="left"/>
      <w:lvlText w:val="%1."/>
      <w:numFmt w:val="decimal"/>
      <w:start w:val="1"/>
    </w:lvl>
    <w:lvl w:ilvl="1">
      <w:lvlJc w:val="left"/>
      <w:lvlText w:val="•"/>
      <w:numFmt w:val="bullet"/>
      <w:start w:val="1"/>
    </w:lvl>
  </w:abstractNum>
  <w:abstractNum w:abstractNumId="598">
    <w:nsid w:val="61E90D1E"/>
    <w:multiLevelType w:val="hybridMultilevel"/>
    <w:lvl w:ilvl="0">
      <w:lvlJc w:val="left"/>
      <w:lvlText w:val="%1."/>
      <w:numFmt w:val="decimal"/>
      <w:start w:val="2"/>
    </w:lvl>
  </w:abstractNum>
  <w:abstractNum w:abstractNumId="599">
    <w:nsid w:val="44BD67E6"/>
    <w:multiLevelType w:val="hybridMultilevel"/>
    <w:lvl w:ilvl="0">
      <w:lvlJc w:val="left"/>
      <w:lvlText w:val="(%1)"/>
      <w:numFmt w:val="lowerLetter"/>
      <w:start w:val="1"/>
    </w:lvl>
  </w:abstractNum>
  <w:abstractNum w:abstractNumId="600">
    <w:nsid w:val="325102D3"/>
    <w:multiLevelType w:val="hybridMultilevel"/>
    <w:lvl w:ilvl="0">
      <w:lvlJc w:val="left"/>
      <w:lvlText w:val="(%1)"/>
      <w:numFmt w:val="lowerLetter"/>
      <w:start w:val="3"/>
    </w:lvl>
  </w:abstractNum>
  <w:abstractNum w:abstractNumId="601">
    <w:nsid w:val="3D9579BA"/>
    <w:multiLevelType w:val="hybridMultilevel"/>
    <w:lvl w:ilvl="0">
      <w:lvlJc w:val="left"/>
      <w:lvlText w:val="(%1)"/>
      <w:numFmt w:val="lowerLetter"/>
      <w:start w:val="1"/>
    </w:lvl>
  </w:abstractNum>
  <w:abstractNum w:abstractNumId="602">
    <w:nsid w:val="ACD4C11"/>
    <w:multiLevelType w:val="hybridMultilevel"/>
    <w:lvl w:ilvl="0">
      <w:lvlJc w:val="left"/>
      <w:lvlText w:val="%1."/>
      <w:numFmt w:val="decimal"/>
      <w:start w:val="3"/>
    </w:lvl>
  </w:abstractNum>
  <w:abstractNum w:abstractNumId="603">
    <w:nsid w:val="111817CF"/>
    <w:multiLevelType w:val="hybridMultilevel"/>
    <w:lvl w:ilvl="0">
      <w:lvlJc w:val="left"/>
      <w:lvlText w:val="%1."/>
      <w:numFmt w:val="decimal"/>
      <w:start w:val="4"/>
    </w:lvl>
  </w:abstractNum>
  <w:abstractNum w:abstractNumId="604">
    <w:nsid w:val="76C8B568"/>
    <w:multiLevelType w:val="hybridMultilevel"/>
    <w:lvl w:ilvl="0">
      <w:lvlJc w:val="left"/>
      <w:lvlText w:val="(%1)"/>
      <w:numFmt w:val="lowerLetter"/>
      <w:start w:val="1"/>
    </w:lvl>
  </w:abstractNum>
  <w:abstractNum w:abstractNumId="605">
    <w:nsid w:val="3ACC76B1"/>
    <w:multiLevelType w:val="hybridMultilevel"/>
    <w:lvl w:ilvl="0">
      <w:lvlJc w:val="left"/>
      <w:lvlText w:val="(%1)"/>
      <w:numFmt w:val="lowerLetter"/>
      <w:start w:val="13"/>
    </w:lvl>
  </w:abstractNum>
  <w:abstractNum w:abstractNumId="606">
    <w:nsid w:val="588B1C7C"/>
    <w:multiLevelType w:val="hybridMultilevel"/>
    <w:lvl w:ilvl="0">
      <w:lvlJc w:val="left"/>
      <w:lvlText w:val="%1."/>
      <w:numFmt w:val="decimal"/>
      <w:start w:val="5"/>
    </w:lvl>
  </w:abstractNum>
  <w:abstractNum w:abstractNumId="607">
    <w:nsid w:val="62682D8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8">
    <w:nsid w:val="436F111A"/>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609">
    <w:nsid w:val="3299B71B"/>
    <w:multiLevelType w:val="hybridMultilevel"/>
    <w:lvl w:ilvl="0">
      <w:lvlJc w:val="left"/>
      <w:lvlText w:val="(%1)"/>
      <w:numFmt w:val="lowerLetter"/>
      <w:start w:val="1"/>
    </w:lvl>
  </w:abstractNum>
  <w:abstractNum w:abstractNumId="610">
    <w:nsid w:val="7EA75F5A"/>
    <w:multiLevelType w:val="hybridMultilevel"/>
    <w:lvl w:ilvl="0">
      <w:lvlJc w:val="left"/>
      <w:lvlText w:val="%1."/>
      <w:numFmt w:val="decimal"/>
      <w:start w:val="8"/>
    </w:lvl>
  </w:abstractNum>
  <w:abstractNum w:abstractNumId="611">
    <w:nsid w:val="44419EF9"/>
    <w:multiLevelType w:val="hybridMultilevel"/>
    <w:lvl w:ilvl="0">
      <w:lvlJc w:val="left"/>
      <w:lvlText w:val="%1."/>
      <w:numFmt w:val="decimal"/>
      <w:start w:val="9"/>
    </w:lvl>
  </w:abstractNum>
  <w:abstractNum w:abstractNumId="612">
    <w:nsid w:val="3837F1DF"/>
    <w:multiLevelType w:val="hybridMultilevel"/>
    <w:lvl w:ilvl="0">
      <w:lvlJc w:val="left"/>
      <w:lvlText w:val="%1."/>
      <w:numFmt w:val="decimal"/>
      <w:start w:val="10"/>
    </w:lvl>
  </w:abstractNum>
  <w:abstractNum w:abstractNumId="613">
    <w:nsid w:val="5BE02A44"/>
    <w:multiLevelType w:val="hybridMultilevel"/>
    <w:lvl w:ilvl="0">
      <w:lvlJc w:val="left"/>
      <w:lvlText w:val="%1."/>
      <w:numFmt w:val="decimal"/>
      <w:start w:val="11"/>
    </w:lvl>
  </w:abstractNum>
  <w:abstractNum w:abstractNumId="614">
    <w:nsid w:val="4A35BF85"/>
    <w:multiLevelType w:val="hybridMultilevel"/>
    <w:lvl w:ilvl="0">
      <w:lvlJc w:val="left"/>
      <w:lvlText w:val="%1"/>
      <w:numFmt w:val="lowerLetter"/>
      <w:start w:val="1"/>
    </w:lvl>
    <w:lvl w:ilvl="1">
      <w:lvlJc w:val="left"/>
      <w:lvlText w:val="%2."/>
      <w:numFmt w:val="decimal"/>
      <w:start w:val="12"/>
    </w:lvl>
  </w:abstractNum>
  <w:abstractNum w:abstractNumId="615">
    <w:nsid w:val="344702AC"/>
    <w:multiLevelType w:val="hybridMultilevel"/>
    <w:lvl w:ilvl="0">
      <w:lvlJc w:val="left"/>
      <w:lvlText w:val="(%1)"/>
      <w:numFmt w:val="lowerLetter"/>
      <w:start w:val="1"/>
    </w:lvl>
    <w:lvl w:ilvl="1">
      <w:lvlJc w:val="left"/>
      <w:lvlText w:val="%2."/>
      <w:numFmt w:val="decimal"/>
      <w:start w:val="14"/>
    </w:lvl>
  </w:abstractNum>
  <w:abstractNum w:abstractNumId="616">
    <w:nsid w:val="1CFAC1A"/>
    <w:multiLevelType w:val="hybridMultilevel"/>
    <w:lvl w:ilvl="0">
      <w:lvlJc w:val="left"/>
      <w:lvlText w:val="%1."/>
      <w:numFmt w:val="decimal"/>
      <w:start w:val="16"/>
    </w:lvl>
  </w:abstractNum>
  <w:abstractNum w:abstractNumId="617">
    <w:nsid w:val="5FDD549A"/>
    <w:multiLevelType w:val="hybridMultilevel"/>
    <w:lvl w:ilvl="0">
      <w:lvlJc w:val="left"/>
      <w:lvlText w:val="%1."/>
      <w:numFmt w:val="decimal"/>
      <w:start w:val="17"/>
    </w:lvl>
  </w:abstractNum>
  <w:abstractNum w:abstractNumId="618">
    <w:nsid w:val="38FD730E"/>
    <w:multiLevelType w:val="hybridMultilevel"/>
    <w:lvl w:ilvl="0">
      <w:lvlJc w:val="left"/>
      <w:lvlText w:val="%1."/>
      <w:numFmt w:val="decimal"/>
      <w:start w:val="18"/>
    </w:lvl>
  </w:abstractNum>
  <w:abstractNum w:abstractNumId="619">
    <w:nsid w:val="52E6ED3D"/>
    <w:multiLevelType w:val="hybridMultilevel"/>
    <w:lvl w:ilvl="0">
      <w:lvlJc w:val="left"/>
      <w:lvlText w:val="%1."/>
      <w:numFmt w:val="decimal"/>
      <w:start w:val="21"/>
    </w:lvl>
  </w:abstractNum>
  <w:abstractNum w:abstractNumId="620">
    <w:nsid w:val="3E1A864"/>
    <w:multiLevelType w:val="hybridMultilevel"/>
    <w:lvl w:ilvl="0">
      <w:lvlJc w:val="left"/>
      <w:lvlText w:val="%1."/>
      <w:numFmt w:val="decimal"/>
      <w:start w:val="22"/>
    </w:lvl>
  </w:abstractNum>
  <w:abstractNum w:abstractNumId="621">
    <w:nsid w:val="672FE0A8"/>
    <w:multiLevelType w:val="hybridMultilevel"/>
    <w:lvl w:ilvl="0">
      <w:lvlJc w:val="left"/>
      <w:lvlText w:val="%1."/>
      <w:numFmt w:val="decimal"/>
      <w:start w:val="1"/>
    </w:lvl>
  </w:abstractNum>
  <w:abstractNum w:abstractNumId="622">
    <w:nsid w:val="31987F4D"/>
    <w:multiLevelType w:val="hybridMultilevel"/>
    <w:lvl w:ilvl="0">
      <w:lvlJc w:val="left"/>
      <w:lvlText w:val="(%1)"/>
      <w:numFmt w:val="lowerLetter"/>
      <w:start w:val="1"/>
    </w:lvl>
  </w:abstractNum>
  <w:abstractNum w:abstractNumId="623">
    <w:nsid w:val="48C0A800"/>
    <w:multiLevelType w:val="hybridMultilevel"/>
    <w:lvl w:ilvl="0">
      <w:lvlJc w:val="left"/>
      <w:lvlText w:val="(%1)"/>
      <w:numFmt w:val="lowerLetter"/>
      <w:start w:val="3"/>
    </w:lvl>
  </w:abstractNum>
  <w:abstractNum w:abstractNumId="624">
    <w:nsid w:val="717B226"/>
    <w:multiLevelType w:val="hybridMultilevel"/>
    <w:lvl w:ilvl="0">
      <w:lvlJc w:val="left"/>
      <w:lvlText w:val="(%1)"/>
      <w:numFmt w:val="lowerLetter"/>
      <w:start w:val="1"/>
    </w:lvl>
  </w:abstractNum>
  <w:abstractNum w:abstractNumId="625">
    <w:nsid w:val="4642A7B"/>
    <w:multiLevelType w:val="hybridMultilevel"/>
    <w:lvl w:ilvl="0">
      <w:lvlJc w:val="left"/>
      <w:lvlText w:val="(%1)"/>
      <w:numFmt w:val="lowerLetter"/>
      <w:start w:val="2"/>
    </w:lvl>
  </w:abstractNum>
  <w:abstractNum w:abstractNumId="626">
    <w:nsid w:val="632808EF"/>
    <w:multiLevelType w:val="hybridMultilevel"/>
    <w:lvl w:ilvl="0">
      <w:lvlJc w:val="left"/>
      <w:lvlText w:val="%1."/>
      <w:numFmt w:val="decimal"/>
      <w:start w:val="3"/>
    </w:lvl>
  </w:abstractNum>
  <w:abstractNum w:abstractNumId="627">
    <w:nsid w:val="656A762B"/>
    <w:multiLevelType w:val="hybridMultilevel"/>
    <w:lvl w:ilvl="0">
      <w:lvlJc w:val="left"/>
      <w:lvlText w:val="%1."/>
      <w:numFmt w:val="decimal"/>
      <w:start w:val="4"/>
    </w:lvl>
    <w:lvl w:ilvl="1">
      <w:lvlJc w:val="left"/>
      <w:lvlText w:val="(%2)"/>
      <w:numFmt w:val="lowerLetter"/>
      <w:start w:val="1"/>
    </w:lvl>
  </w:abstractNum>
  <w:abstractNum w:abstractNumId="628">
    <w:nsid w:val="4AC8EC3"/>
    <w:multiLevelType w:val="hybridMultilevel"/>
    <w:lvl w:ilvl="0">
      <w:lvlJc w:val="left"/>
      <w:lvlText w:val="%1."/>
      <w:numFmt w:val="decimal"/>
      <w:start w:val="5"/>
    </w:lvl>
  </w:abstractNum>
  <w:abstractNum w:abstractNumId="629">
    <w:nsid w:val="4511160D"/>
    <w:multiLevelType w:val="hybridMultilevel"/>
    <w:lvl w:ilvl="0">
      <w:lvlJc w:val="left"/>
      <w:lvlText w:val="(%1)"/>
      <w:numFmt w:val="lowerLetter"/>
      <w:start w:val="1"/>
    </w:lvl>
    <w:lvl w:ilvl="1">
      <w:lvlJc w:val="left"/>
      <w:lvlText w:val="%2."/>
      <w:numFmt w:val="decimal"/>
      <w:start w:val="6"/>
    </w:lvl>
  </w:abstractNum>
  <w:abstractNum w:abstractNumId="630">
    <w:nsid w:val="2A27DE11"/>
    <w:multiLevelType w:val="hybridMultilevel"/>
    <w:lvl w:ilvl="0">
      <w:lvlJc w:val="left"/>
      <w:lvlText w:val="%1."/>
      <w:numFmt w:val="decimal"/>
      <w:start w:val="8"/>
    </w:lvl>
  </w:abstractNum>
  <w:abstractNum w:abstractNumId="631">
    <w:nsid w:val="36FD9196"/>
    <w:multiLevelType w:val="hybridMultilevel"/>
    <w:lvl w:ilvl="0">
      <w:lvlJc w:val="left"/>
      <w:lvlText w:val="(%1)"/>
      <w:numFmt w:val="lowerLetter"/>
      <w:start w:val="1"/>
    </w:lvl>
  </w:abstractNum>
  <w:abstractNum w:abstractNumId="632">
    <w:nsid w:val="2A68FC8"/>
    <w:multiLevelType w:val="hybridMultilevel"/>
    <w:lvl w:ilvl="0">
      <w:lvlJc w:val="left"/>
      <w:lvlText w:val="(%1)"/>
      <w:numFmt w:val="lowerLetter"/>
      <w:start w:val="1"/>
    </w:lvl>
  </w:abstractNum>
  <w:abstractNum w:abstractNumId="633">
    <w:nsid w:val="34F52A23"/>
    <w:multiLevelType w:val="hybridMultilevel"/>
    <w:lvl w:ilvl="0">
      <w:lvlJc w:val="left"/>
      <w:lvlText w:val="%1."/>
      <w:numFmt w:val="decimal"/>
      <w:start w:val="9"/>
    </w:lvl>
  </w:abstractNum>
  <w:abstractNum w:abstractNumId="634">
    <w:nsid w:val="4815A966"/>
    <w:multiLevelType w:val="hybridMultilevel"/>
    <w:lvl w:ilvl="0">
      <w:lvlJc w:val="left"/>
      <w:lvlText w:val="%1."/>
      <w:numFmt w:val="decimal"/>
      <w:start w:val="11"/>
    </w:lvl>
  </w:abstractNum>
  <w:abstractNum w:abstractNumId="635">
    <w:nsid w:val="796F4530"/>
    <w:multiLevelType w:val="hybridMultilevel"/>
    <w:lvl w:ilvl="0">
      <w:lvlJc w:val="left"/>
      <w:lvlText w:val="%1."/>
      <w:numFmt w:val="decimal"/>
      <w:start w:val="13"/>
    </w:lvl>
  </w:abstractNum>
  <w:abstractNum w:abstractNumId="636">
    <w:nsid w:val="6FC1A0D4"/>
    <w:multiLevelType w:val="hybridMultilevel"/>
    <w:lvl w:ilvl="0">
      <w:lvlJc w:val="left"/>
      <w:lvlText w:val="(%1)"/>
      <w:numFmt w:val="lowerLetter"/>
      <w:start w:val="1"/>
    </w:lvl>
  </w:abstractNum>
  <w:abstractNum w:abstractNumId="637">
    <w:nsid w:val="20A0C5E2"/>
    <w:multiLevelType w:val="hybridMultilevel"/>
    <w:lvl w:ilvl="0">
      <w:lvlJc w:val="left"/>
      <w:lvlText w:val="%1."/>
      <w:numFmt w:val="decimal"/>
      <w:start w:val="19"/>
    </w:lvl>
  </w:abstractNum>
  <w:abstractNum w:abstractNumId="638">
    <w:nsid w:val="5BD772BB"/>
    <w:multiLevelType w:val="hybridMultilevel"/>
    <w:lvl w:ilvl="0">
      <w:lvlJc w:val="left"/>
      <w:lvlText w:val="%1."/>
      <w:numFmt w:val="decimal"/>
      <w:start w:val="20"/>
    </w:lvl>
  </w:abstractNum>
  <w:abstractNum w:abstractNumId="639">
    <w:nsid w:val="3330B1EE"/>
    <w:multiLevelType w:val="hybridMultilevel"/>
    <w:lvl w:ilvl="0">
      <w:lvlJc w:val="left"/>
      <w:lvlText w:val="%1."/>
      <w:numFmt w:val="decimal"/>
      <w:start w:val="25"/>
    </w:lvl>
  </w:abstractNum>
  <w:abstractNum w:abstractNumId="640">
    <w:nsid w:val="533A7CFD"/>
    <w:multiLevelType w:val="hybridMultilevel"/>
    <w:lvl w:ilvl="0">
      <w:lvlJc w:val="left"/>
      <w:lvlText w:val="%1"/>
      <w:numFmt w:val="decimal"/>
      <w:start w:val="27"/>
    </w:lvl>
    <w:lvl w:ilvl="1">
      <w:lvlJc w:val="left"/>
      <w:lvlText w:val="*"/>
      <w:numFmt w:val="bullet"/>
      <w:start w:val="1"/>
    </w:lvl>
  </w:abstractNum>
  <w:abstractNum w:abstractNumId="641">
    <w:nsid w:val="5A7ED215"/>
    <w:multiLevelType w:val="hybridMultilevel"/>
    <w:lvl w:ilvl="0">
      <w:lvlJc w:val="left"/>
      <w:lvlText w:val="%1."/>
      <w:numFmt w:val="decimal"/>
      <w:start w:val="1"/>
    </w:lvl>
  </w:abstractNum>
  <w:abstractNum w:abstractNumId="642">
    <w:nsid w:val="777250E7"/>
    <w:multiLevelType w:val="hybridMultilevel"/>
    <w:lvl w:ilvl="0">
      <w:lvlJc w:val="left"/>
      <w:lvlText w:val="%1."/>
      <w:numFmt w:val="decimal"/>
      <w:start w:val="3"/>
    </w:lvl>
  </w:abstractNum>
  <w:abstractNum w:abstractNumId="643">
    <w:nsid w:val="B726EDC"/>
    <w:multiLevelType w:val="hybridMultilevel"/>
    <w:lvl w:ilvl="0">
      <w:lvlJc w:val="left"/>
      <w:lvlText w:val="%1."/>
      <w:numFmt w:val="decimal"/>
      <w:start w:val="6"/>
    </w:lvl>
  </w:abstractNum>
  <w:abstractNum w:abstractNumId="644">
    <w:nsid w:val="365EFC5A"/>
    <w:multiLevelType w:val="hybridMultilevel"/>
    <w:lvl w:ilvl="0">
      <w:lvlJc w:val="left"/>
      <w:lvlText w:val="%1."/>
      <w:numFmt w:val="decimal"/>
      <w:start w:val="7"/>
    </w:lvl>
  </w:abstractNum>
  <w:abstractNum w:abstractNumId="645">
    <w:nsid w:val="41A8106C"/>
    <w:multiLevelType w:val="hybridMultilevel"/>
    <w:lvl w:ilvl="0">
      <w:lvlJc w:val="left"/>
      <w:lvlText w:val="%1."/>
      <w:numFmt w:val="decimal"/>
      <w:start w:val="8"/>
    </w:lvl>
    <w:lvl w:ilvl="1">
      <w:lvlJc w:val="left"/>
      <w:lvlText w:val="(%2)"/>
      <w:numFmt w:val="lowerLetter"/>
      <w:start w:val="1"/>
    </w:lvl>
  </w:abstractNum>
  <w:abstractNum w:abstractNumId="646">
    <w:nsid w:val="3FB97188"/>
    <w:multiLevelType w:val="hybridMultilevel"/>
    <w:lvl w:ilvl="0">
      <w:lvlJc w:val="left"/>
      <w:lvlText w:val="(%1)"/>
      <w:numFmt w:val="lowerLetter"/>
      <w:start w:val="7"/>
    </w:lvl>
  </w:abstractNum>
  <w:abstractNum w:abstractNumId="647">
    <w:nsid w:val="382EA874"/>
    <w:multiLevelType w:val="hybridMultilevel"/>
    <w:lvl w:ilvl="0">
      <w:lvlJc w:val="left"/>
      <w:lvlText w:val="%1"/>
      <w:numFmt w:val="decimal"/>
      <w:start w:val="1"/>
    </w:lvl>
    <w:lvl w:ilvl="1">
      <w:lvlJc w:val="left"/>
      <w:lvlText w:val="(%2)"/>
      <w:numFmt w:val="lowerLetter"/>
      <w:start w:val="8"/>
    </w:lvl>
  </w:abstractNum>
  <w:abstractNum w:abstractNumId="648">
    <w:nsid w:val="21856507"/>
    <w:multiLevelType w:val="hybridMultilevel"/>
    <w:lvl w:ilvl="0">
      <w:lvlJc w:val="left"/>
      <w:lvlText w:val="%1."/>
      <w:numFmt w:val="decimal"/>
      <w:start w:val="9"/>
    </w:lvl>
    <w:lvl w:ilvl="1">
      <w:lvlJc w:val="left"/>
      <w:lvlText w:val="%2"/>
      <w:numFmt w:val="lowerLetter"/>
      <w:start w:val="1"/>
    </w:lvl>
  </w:abstractNum>
  <w:abstractNum w:abstractNumId="649">
    <w:nsid w:val="78B6E496"/>
    <w:multiLevelType w:val="hybridMultilevel"/>
    <w:lvl w:ilvl="0">
      <w:lvlJc w:val="left"/>
      <w:lvlText w:val="%1."/>
      <w:numFmt w:val="decimal"/>
      <w:start w:val="10"/>
    </w:lvl>
  </w:abstractNum>
  <w:abstractNum w:abstractNumId="650">
    <w:nsid w:val="B1595B1"/>
    <w:multiLevelType w:val="hybridMultilevel"/>
    <w:lvl w:ilvl="0">
      <w:lvlJc w:val="left"/>
      <w:lvlText w:val="P"/>
      <w:numFmt w:val="bullet"/>
      <w:start w:val="1"/>
    </w:lvl>
  </w:abstractNum>
  <w:abstractNum w:abstractNumId="651">
    <w:nsid w:val="25670D6B"/>
    <w:multiLevelType w:val="hybridMultilevel"/>
    <w:lvl w:ilvl="0">
      <w:lvlJc w:val="left"/>
      <w:lvlText w:val="X"/>
      <w:numFmt w:val="bullet"/>
      <w:start w:val="1"/>
    </w:lvl>
  </w:abstractNum>
  <w:abstractNum w:abstractNumId="652">
    <w:nsid w:val="5FE6C53F"/>
    <w:multiLevelType w:val="hybridMultilevel"/>
    <w:lvl w:ilvl="0">
      <w:lvlJc w:val="left"/>
      <w:lvlText w:val="C"/>
      <w:numFmt w:val="bullet"/>
      <w:start w:val="1"/>
    </w:lvl>
  </w:abstractNum>
  <w:abstractNum w:abstractNumId="653">
    <w:nsid w:val="3CAE14FE"/>
    <w:multiLevelType w:val="hybridMultilevel"/>
    <w:lvl w:ilvl="0">
      <w:lvlJc w:val="left"/>
      <w:lvlText w:val="(%1)"/>
      <w:numFmt w:val="lowerRoman"/>
      <w:start w:val="2"/>
    </w:lvl>
  </w:abstractNum>
  <w:abstractNum w:abstractNumId="654">
    <w:nsid w:val="6E27B56B"/>
    <w:multiLevelType w:val="hybridMultilevel"/>
    <w:lvl w:ilvl="0">
      <w:lvlJc w:val="left"/>
      <w:lvlText w:val="††"/>
      <w:numFmt w:val="bullet"/>
      <w:start w:val="1"/>
    </w:lvl>
  </w:abstractNum>
  <w:abstractNum w:abstractNumId="655">
    <w:nsid w:val="66FE776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56">
    <w:nsid w:val="41123F79"/>
    <w:multiLevelType w:val="hybridMultilevel"/>
    <w:lvl w:ilvl="0">
      <w:lvlJc w:val="left"/>
      <w:lvlText w:val="%1"/>
      <w:numFmt w:val="decimal"/>
      <w:start w:val="1"/>
    </w:lvl>
    <w:lvl w:ilvl="1">
      <w:lvlJc w:val="left"/>
      <w:lvlText w:val="(%2)"/>
      <w:numFmt w:val="lowerRoman"/>
      <w:start w:val="3"/>
    </w:lvl>
  </w:abstractNum>
  <w:abstractNum w:abstractNumId="657">
    <w:nsid w:val="514FBE5A"/>
    <w:multiLevelType w:val="hybridMultilevel"/>
    <w:lvl w:ilvl="0">
      <w:lvlJc w:val="left"/>
      <w:lvlText w:val="%1."/>
      <w:numFmt w:val="decimal"/>
      <w:start w:val="12"/>
    </w:lvl>
    <w:lvl w:ilvl="1">
      <w:lvlJc w:val="left"/>
      <w:lvlText w:val="%2"/>
      <w:numFmt w:val="lowerRoman"/>
      <w:start w:val="1"/>
    </w:lvl>
  </w:abstractNum>
  <w:abstractNum w:abstractNumId="658">
    <w:nsid w:val="4C68ED90"/>
    <w:multiLevelType w:val="hybridMultilevel"/>
    <w:lvl w:ilvl="0">
      <w:lvlJc w:val="left"/>
      <w:lvlText w:val="%1."/>
      <w:numFmt w:val="decimal"/>
      <w:start w:val="1"/>
    </w:lvl>
  </w:abstractNum>
  <w:abstractNum w:abstractNumId="659">
    <w:nsid w:val="45BECE3C"/>
    <w:multiLevelType w:val="hybridMultilevel"/>
    <w:lvl w:ilvl="0">
      <w:lvlJc w:val="left"/>
      <w:lvlText w:val="%1."/>
      <w:numFmt w:val="lowerLetter"/>
      <w:start w:val="1"/>
    </w:lvl>
  </w:abstractNum>
  <w:abstractNum w:abstractNumId="660">
    <w:nsid w:val="1660D468"/>
    <w:multiLevelType w:val="hybridMultilevel"/>
    <w:lvl w:ilvl="0">
      <w:lvlJc w:val="left"/>
      <w:lvlText w:val="%1."/>
      <w:numFmt w:val="lowerLetter"/>
      <w:start w:val="2"/>
    </w:lvl>
  </w:abstractNum>
  <w:abstractNum w:abstractNumId="661">
    <w:nsid w:val="7690CBA1"/>
    <w:multiLevelType w:val="hybridMultilevel"/>
    <w:lvl w:ilvl="0">
      <w:lvlJc w:val="left"/>
      <w:lvlText w:val="%1."/>
      <w:numFmt w:val="decimal"/>
      <w:start w:val="1"/>
    </w:lvl>
  </w:abstractNum>
  <w:abstractNum w:abstractNumId="662">
    <w:nsid w:val="7CBC5FD3"/>
    <w:multiLevelType w:val="hybridMultilevel"/>
    <w:lvl w:ilvl="0">
      <w:lvlJc w:val="left"/>
      <w:lvlText w:val="%1."/>
      <w:numFmt w:val="decimal"/>
      <w:start w:val="4"/>
    </w:lvl>
    <w:lvl w:ilvl="1">
      <w:lvlJc w:val="left"/>
      <w:lvlText w:val="-"/>
      <w:numFmt w:val="bullet"/>
      <w:start w:val="1"/>
    </w:lvl>
  </w:abstractNum>
  <w:abstractNum w:abstractNumId="663">
    <w:nsid w:val="19076430"/>
    <w:multiLevelType w:val="hybridMultilevel"/>
    <w:lvl w:ilvl="0">
      <w:lvlJc w:val="left"/>
      <w:lvlText w:val="%1."/>
      <w:numFmt w:val="decimal"/>
      <w:start w:val="10"/>
    </w:lvl>
    <w:lvl w:ilvl="1">
      <w:lvlJc w:val="left"/>
      <w:lvlText w:val="-"/>
      <w:numFmt w:val="bullet"/>
      <w:start w:val="1"/>
    </w:lvl>
  </w:abstractNum>
  <w:abstractNum w:abstractNumId="664">
    <w:nsid w:val="2B85F5C4"/>
    <w:multiLevelType w:val="hybridMultilevel"/>
    <w:lvl w:ilvl="0">
      <w:lvlJc w:val="left"/>
      <w:lvlText w:val="%1."/>
      <w:numFmt w:val="decimal"/>
      <w:start w:val="12"/>
    </w:lvl>
    <w:lvl w:ilvl="1">
      <w:lvlJc w:val="left"/>
      <w:lvlText w:val="-"/>
      <w:numFmt w:val="bullet"/>
      <w:start w:val="1"/>
    </w:lvl>
  </w:abstractNum>
  <w:abstractNum w:abstractNumId="665">
    <w:nsid w:val="44D20939"/>
    <w:multiLevelType w:val="hybridMultilevel"/>
    <w:lvl w:ilvl="0">
      <w:lvlJc w:val="left"/>
      <w:lvlText w:val="%1."/>
      <w:numFmt w:val="decimal"/>
      <w:start w:val="1"/>
    </w:lvl>
  </w:abstractNum>
  <w:abstractNum w:abstractNumId="666">
    <w:nsid w:val="1276A960"/>
    <w:multiLevelType w:val="hybridMultilevel"/>
    <w:lvl w:ilvl="0">
      <w:lvlJc w:val="left"/>
      <w:lvlText w:val="%1."/>
      <w:numFmt w:val="decimal"/>
      <w:start w:val="4"/>
    </w:lvl>
  </w:abstractNum>
  <w:abstractNum w:abstractNumId="667">
    <w:nsid w:val="1B479698"/>
    <w:multiLevelType w:val="hybridMultilevel"/>
    <w:lvl w:ilvl="0">
      <w:lvlJc w:val="left"/>
      <w:lvlText w:val="%1."/>
      <w:numFmt w:val="decimal"/>
      <w:start w:val="10"/>
    </w:lvl>
  </w:abstractNum>
  <w:abstractNum w:abstractNumId="668">
    <w:nsid w:val="6572CF1B"/>
    <w:multiLevelType w:val="hybridMultilevel"/>
    <w:lvl w:ilvl="0">
      <w:lvlJc w:val="left"/>
      <w:lvlText w:val="%1."/>
      <w:numFmt w:val="decimal"/>
      <w:start w:val="12"/>
    </w:lvl>
  </w:abstractNum>
  <w:abstractNum w:abstractNumId="669">
    <w:nsid w:val="6E4E1C1B"/>
    <w:multiLevelType w:val="hybridMultilevel"/>
    <w:lvl w:ilvl="0">
      <w:lvlJc w:val="left"/>
      <w:lvlText w:val="%1."/>
      <w:numFmt w:val="decimal"/>
      <w:start w:val="1"/>
    </w:lvl>
  </w:abstractNum>
  <w:abstractNum w:abstractNumId="670">
    <w:nsid w:val="4E784887"/>
    <w:multiLevelType w:val="hybridMultilevel"/>
    <w:lvl w:ilvl="0">
      <w:lvlJc w:val="left"/>
      <w:lvlText w:val="%1."/>
      <w:numFmt w:val="decimal"/>
      <w:start w:val="4"/>
    </w:lvl>
  </w:abstractNum>
  <w:abstractNum w:abstractNumId="671">
    <w:nsid w:val="38AD4C18"/>
    <w:multiLevelType w:val="hybridMultilevel"/>
    <w:lvl w:ilvl="0">
      <w:lvlJc w:val="left"/>
      <w:lvlText w:val="%1."/>
      <w:numFmt w:val="decimal"/>
      <w:start w:val="5"/>
    </w:lvl>
  </w:abstractNum>
  <w:abstractNum w:abstractNumId="672">
    <w:nsid w:val="48CCEE31"/>
    <w:multiLevelType w:val="hybridMultilevel"/>
    <w:lvl w:ilvl="0">
      <w:lvlJc w:val="left"/>
      <w:lvlText w:val="%1."/>
      <w:numFmt w:val="decimal"/>
      <w:start w:val="10"/>
    </w:lvl>
  </w:abstractNum>
  <w:abstractNum w:abstractNumId="673">
    <w:nsid w:val="45EA996E"/>
    <w:multiLevelType w:val="hybridMultilevel"/>
    <w:lvl w:ilvl="0">
      <w:lvlJc w:val="left"/>
      <w:lvlText w:val="%1."/>
      <w:numFmt w:val="decimal"/>
      <w:start w:val="12"/>
    </w:lvl>
  </w:abstractNum>
  <w:abstractNum w:abstractNumId="674">
    <w:nsid w:val="441FBAF4"/>
    <w:multiLevelType w:val="hybridMultilevel"/>
    <w:lvl w:ilvl="0">
      <w:lvlJc w:val="left"/>
      <w:lvlText w:val="%1."/>
      <w:numFmt w:val="decimal"/>
      <w:start w:val="1"/>
    </w:lvl>
  </w:abstractNum>
  <w:abstractNum w:abstractNumId="675">
    <w:nsid w:val="7F2BEA8B"/>
    <w:multiLevelType w:val="hybridMultilevel"/>
    <w:lvl w:ilvl="0">
      <w:lvlJc w:val="left"/>
      <w:lvlText w:val="%1."/>
      <w:numFmt w:val="decimal"/>
      <w:start w:val="4"/>
    </w:lvl>
    <w:lvl w:ilvl="1">
      <w:lvlJc w:val="left"/>
      <w:lvlText w:val="-"/>
      <w:numFmt w:val="bullet"/>
      <w:start w:val="1"/>
    </w:lvl>
  </w:abstractNum>
  <w:abstractNum w:abstractNumId="676">
    <w:nsid w:val="792A9DB"/>
    <w:multiLevelType w:val="hybridMultilevel"/>
    <w:lvl w:ilvl="0">
      <w:lvlJc w:val="left"/>
      <w:lvlText w:val="%1."/>
      <w:numFmt w:val="decimal"/>
      <w:start w:val="10"/>
    </w:lvl>
    <w:lvl w:ilvl="1">
      <w:lvlJc w:val="left"/>
      <w:lvlText w:val="-"/>
      <w:numFmt w:val="bullet"/>
      <w:start w:val="1"/>
    </w:lvl>
  </w:abstractNum>
  <w:abstractNum w:abstractNumId="677">
    <w:nsid w:val="3D92C7D"/>
    <w:multiLevelType w:val="hybridMultilevel"/>
    <w:lvl w:ilvl="0">
      <w:lvlJc w:val="left"/>
      <w:lvlText w:val="%1."/>
      <w:numFmt w:val="decimal"/>
      <w:start w:val="12"/>
    </w:lvl>
    <w:lvl w:ilvl="1">
      <w:lvlJc w:val="left"/>
      <w:lvlText w:val="-"/>
      <w:numFmt w:val="bullet"/>
      <w:start w:val="1"/>
    </w:lvl>
  </w:abstractNum>
  <w:abstractNum w:abstractNumId="678">
    <w:nsid w:val="375A92FF"/>
    <w:multiLevelType w:val="hybridMultilevel"/>
    <w:lvl w:ilvl="0">
      <w:lvlJc w:val="left"/>
      <w:lvlText w:val="%1."/>
      <w:numFmt w:val="decimal"/>
      <w:start w:val="1"/>
    </w:lvl>
  </w:abstractNum>
  <w:abstractNum w:abstractNumId="679">
    <w:nsid w:val="29180EE2"/>
    <w:multiLevelType w:val="hybridMultilevel"/>
    <w:lvl w:ilvl="0">
      <w:lvlJc w:val="left"/>
      <w:lvlText w:val="%1."/>
      <w:numFmt w:val="decimal"/>
      <w:start w:val="4"/>
    </w:lvl>
    <w:lvl w:ilvl="1">
      <w:lvlJc w:val="left"/>
      <w:lvlText w:val="-"/>
      <w:numFmt w:val="bullet"/>
      <w:start w:val="1"/>
    </w:lvl>
  </w:abstractNum>
  <w:abstractNum w:abstractNumId="680">
    <w:nsid w:val="7C901113"/>
    <w:multiLevelType w:val="hybridMultilevel"/>
    <w:lvl w:ilvl="0">
      <w:lvlJc w:val="left"/>
      <w:lvlText w:val="%1."/>
      <w:numFmt w:val="decimal"/>
      <w:start w:val="10"/>
    </w:lvl>
    <w:lvl w:ilvl="1">
      <w:lvlJc w:val="left"/>
      <w:lvlText w:val="-"/>
      <w:numFmt w:val="bullet"/>
      <w:start w:val="1"/>
    </w:lvl>
  </w:abstractNum>
  <w:abstractNum w:abstractNumId="681">
    <w:nsid w:val="427028B0"/>
    <w:multiLevelType w:val="hybridMultilevel"/>
    <w:lvl w:ilvl="0">
      <w:lvlJc w:val="left"/>
      <w:lvlText w:val="%1."/>
      <w:numFmt w:val="decimal"/>
      <w:start w:val="11"/>
    </w:lvl>
    <w:lvl w:ilvl="1">
      <w:lvlJc w:val="left"/>
      <w:lvlText w:val="-"/>
      <w:numFmt w:val="bullet"/>
      <w:start w:val="1"/>
    </w:lvl>
  </w:abstractNum>
  <w:abstractNum w:abstractNumId="682">
    <w:nsid w:val="4E7F1C4D"/>
    <w:multiLevelType w:val="hybridMultilevel"/>
    <w:lvl w:ilvl="0">
      <w:lvlJc w:val="left"/>
      <w:lvlText w:val="%1."/>
      <w:numFmt w:val="decimal"/>
      <w:start w:val="1"/>
    </w:lvl>
  </w:abstractNum>
  <w:abstractNum w:abstractNumId="683">
    <w:nsid w:val="5C76D652"/>
    <w:multiLevelType w:val="hybridMultilevel"/>
    <w:lvl w:ilvl="0">
      <w:lvlJc w:val="left"/>
      <w:lvlText w:val="%1."/>
      <w:numFmt w:val="decimal"/>
      <w:start w:val="5"/>
    </w:lvl>
  </w:abstractNum>
  <w:abstractNum w:abstractNumId="684">
    <w:nsid w:val="7F1E3DAE"/>
    <w:multiLevelType w:val="hybridMultilevel"/>
    <w:lvl w:ilvl="0">
      <w:lvlJc w:val="left"/>
      <w:lvlText w:val="%1."/>
      <w:numFmt w:val="decimal"/>
      <w:start w:val="6"/>
    </w:lvl>
  </w:abstractNum>
  <w:abstractNum w:abstractNumId="685">
    <w:nsid w:val="3CA6D1B9"/>
    <w:multiLevelType w:val="hybridMultilevel"/>
    <w:lvl w:ilvl="0">
      <w:lvlJc w:val="left"/>
      <w:lvlText w:val="%1."/>
      <w:numFmt w:val="decimal"/>
      <w:start w:val="10"/>
    </w:lvl>
  </w:abstractNum>
  <w:abstractNum w:abstractNumId="686">
    <w:nsid w:val="43754DB7"/>
    <w:multiLevelType w:val="hybridMultilevel"/>
    <w:lvl w:ilvl="0">
      <w:lvlJc w:val="left"/>
      <w:lvlText w:val="%1."/>
      <w:numFmt w:val="decimal"/>
      <w:start w:val="12"/>
    </w:lvl>
  </w:abstractNum>
  <w:abstractNum w:abstractNumId="687">
    <w:nsid w:val="40307D27"/>
    <w:multiLevelType w:val="hybridMultilevel"/>
    <w:lvl w:ilvl="0">
      <w:lvlJc w:val="left"/>
      <w:lvlText w:val="%1."/>
      <w:numFmt w:val="decimal"/>
      <w:start w:val="1"/>
    </w:lvl>
  </w:abstractNum>
  <w:abstractNum w:abstractNumId="688">
    <w:nsid w:val="DF69013"/>
    <w:multiLevelType w:val="hybridMultilevel"/>
    <w:lvl w:ilvl="0">
      <w:lvlJc w:val="left"/>
      <w:lvlText w:val="%1."/>
      <w:numFmt w:val="decimal"/>
      <w:start w:val="4"/>
    </w:lvl>
  </w:abstractNum>
  <w:abstractNum w:abstractNumId="689">
    <w:nsid w:val="FDE3B47"/>
    <w:multiLevelType w:val="hybridMultilevel"/>
    <w:lvl w:ilvl="0">
      <w:lvlJc w:val="left"/>
      <w:lvlText w:val="%1."/>
      <w:numFmt w:val="decimal"/>
      <w:start w:val="6"/>
    </w:lvl>
  </w:abstractNum>
  <w:abstractNum w:abstractNumId="690">
    <w:nsid w:val="5EF4B64"/>
    <w:multiLevelType w:val="hybridMultilevel"/>
    <w:lvl w:ilvl="0">
      <w:lvlJc w:val="left"/>
      <w:lvlText w:val="(%1)"/>
      <w:numFmt w:val="lowerLetter"/>
      <w:start w:val="1"/>
    </w:lvl>
  </w:abstractNum>
  <w:abstractNum w:abstractNumId="691">
    <w:nsid w:val="2457647B"/>
    <w:multiLevelType w:val="hybridMultilevel"/>
    <w:lvl w:ilvl="0">
      <w:lvlJc w:val="left"/>
      <w:lvlText w:val="%1."/>
      <w:numFmt w:val="decimal"/>
      <w:start w:val="7"/>
    </w:lvl>
  </w:abstractNum>
  <w:abstractNum w:abstractNumId="692">
    <w:nsid w:val="66F06E9"/>
    <w:multiLevelType w:val="hybridMultilevel"/>
    <w:lvl w:ilvl="0">
      <w:lvlJc w:val="left"/>
      <w:lvlText w:val="%1."/>
      <w:numFmt w:val="decimal"/>
      <w:start w:val="8"/>
    </w:lvl>
  </w:abstractNum>
  <w:abstractNum w:abstractNumId="693">
    <w:nsid w:val="2ABAB37"/>
    <w:multiLevelType w:val="hybridMultilevel"/>
    <w:lvl w:ilvl="0">
      <w:lvlJc w:val="left"/>
      <w:lvlText w:val="%1."/>
      <w:numFmt w:val="decimal"/>
      <w:start w:val="9"/>
    </w:lvl>
  </w:abstractNum>
  <w:abstractNum w:abstractNumId="694">
    <w:nsid w:val="3D5EC8AB"/>
    <w:multiLevelType w:val="hybridMultilevel"/>
    <w:lvl w:ilvl="0">
      <w:lvlJc w:val="left"/>
      <w:lvlText w:val="%1."/>
      <w:numFmt w:val="decimal"/>
      <w:start w:val="10"/>
    </w:lvl>
  </w:abstractNum>
  <w:abstractNum w:abstractNumId="695">
    <w:nsid w:val="31F4FCAD"/>
    <w:multiLevelType w:val="hybridMultilevel"/>
    <w:lvl w:ilvl="0">
      <w:lvlJc w:val="left"/>
      <w:lvlText w:val="%1."/>
      <w:numFmt w:val="decimal"/>
      <w:start w:val="1"/>
    </w:lvl>
  </w:abstractNum>
  <w:abstractNum w:abstractNumId="696">
    <w:nsid w:val="477DB470"/>
    <w:multiLevelType w:val="hybridMultilevel"/>
    <w:lvl w:ilvl="0">
      <w:lvlJc w:val="left"/>
      <w:lvlText w:val="%1."/>
      <w:numFmt w:val="decimal"/>
      <w:start w:val="4"/>
    </w:lvl>
  </w:abstractNum>
  <w:abstractNum w:abstractNumId="697">
    <w:nsid w:val="4FD5720B"/>
    <w:multiLevelType w:val="hybridMultilevel"/>
    <w:lvl w:ilvl="0">
      <w:lvlJc w:val="left"/>
      <w:lvlText w:val="%1."/>
      <w:numFmt w:val="decimal"/>
      <w:start w:val="6"/>
    </w:lvl>
  </w:abstractNum>
  <w:abstractNum w:abstractNumId="698">
    <w:nsid w:val="4D3C9346"/>
    <w:multiLevelType w:val="hybridMultilevel"/>
    <w:lvl w:ilvl="0">
      <w:lvlJc w:val="left"/>
      <w:lvlText w:val="(%1)"/>
      <w:numFmt w:val="lowerLetter"/>
      <w:start w:val="1"/>
    </w:lvl>
  </w:abstractNum>
  <w:abstractNum w:abstractNumId="699">
    <w:nsid w:val="2CF0838B"/>
    <w:multiLevelType w:val="hybridMultilevel"/>
    <w:lvl w:ilvl="0">
      <w:lvlJc w:val="left"/>
      <w:lvlText w:val="%1."/>
      <w:numFmt w:val="decimal"/>
      <w:start w:val="7"/>
    </w:lvl>
  </w:abstractNum>
  <w:abstractNum w:abstractNumId="700">
    <w:nsid w:val="3E238E27"/>
    <w:multiLevelType w:val="hybridMultilevel"/>
    <w:lvl w:ilvl="0">
      <w:lvlJc w:val="left"/>
      <w:lvlText w:val="%1."/>
      <w:numFmt w:val="decimal"/>
      <w:start w:val="8"/>
    </w:lvl>
  </w:abstractNum>
  <w:abstractNum w:abstractNumId="701">
    <w:nsid w:val="1BB4DBCD"/>
    <w:multiLevelType w:val="hybridMultilevel"/>
    <w:lvl w:ilvl="0">
      <w:lvlJc w:val="left"/>
      <w:lvlText w:val="%1."/>
      <w:numFmt w:val="decimal"/>
      <w:start w:val="10"/>
    </w:lvl>
  </w:abstractNum>
  <w:abstractNum w:abstractNumId="702">
    <w:nsid w:val="659DCFA3"/>
    <w:multiLevelType w:val="hybridMultilevel"/>
    <w:lvl w:ilvl="0">
      <w:lvlJc w:val="left"/>
      <w:lvlText w:val="%1."/>
      <w:numFmt w:val="decimal"/>
      <w:start w:val="11"/>
    </w:lvl>
  </w:abstractNum>
  <w:abstractNum w:abstractNumId="703">
    <w:nsid w:val="6F07C58"/>
    <w:multiLevelType w:val="hybridMultilevel"/>
    <w:lvl w:ilvl="0">
      <w:lvlJc w:val="left"/>
      <w:lvlText w:val="%1."/>
      <w:numFmt w:val="decimal"/>
      <w:start w:val="1"/>
    </w:lvl>
  </w:abstractNum>
  <w:abstractNum w:abstractNumId="704">
    <w:nsid w:val="619F753B"/>
    <w:multiLevelType w:val="hybridMultilevel"/>
    <w:lvl w:ilvl="0">
      <w:lvlJc w:val="left"/>
      <w:lvlText w:val="%1."/>
      <w:numFmt w:val="decimal"/>
      <w:start w:val="4"/>
    </w:lvl>
  </w:abstractNum>
  <w:abstractNum w:abstractNumId="705">
    <w:nsid w:val="29BD8A97"/>
    <w:multiLevelType w:val="hybridMultilevel"/>
    <w:lvl w:ilvl="0">
      <w:lvlJc w:val="left"/>
      <w:lvlText w:val="%1."/>
      <w:numFmt w:val="decimal"/>
      <w:start w:val="6"/>
    </w:lvl>
  </w:abstractNum>
  <w:abstractNum w:abstractNumId="706">
    <w:nsid w:val="61C66E3"/>
    <w:multiLevelType w:val="hybridMultilevel"/>
    <w:lvl w:ilvl="0">
      <w:lvlJc w:val="left"/>
      <w:lvlText w:val="(%1)"/>
      <w:numFmt w:val="lowerLetter"/>
      <w:start w:val="1"/>
    </w:lvl>
  </w:abstractNum>
  <w:abstractNum w:abstractNumId="707">
    <w:nsid w:val="69321F16"/>
    <w:multiLevelType w:val="hybridMultilevel"/>
    <w:lvl w:ilvl="0">
      <w:lvlJc w:val="left"/>
      <w:lvlText w:val="%1."/>
      <w:numFmt w:val="decimal"/>
      <w:start w:val="7"/>
    </w:lvl>
  </w:abstractNum>
  <w:abstractNum w:abstractNumId="708">
    <w:nsid w:val="2D96B714"/>
    <w:multiLevelType w:val="hybridMultilevel"/>
    <w:lvl w:ilvl="0">
      <w:lvlJc w:val="left"/>
      <w:lvlText w:val="%1."/>
      <w:numFmt w:val="decimal"/>
      <w:start w:val="8"/>
    </w:lvl>
  </w:abstractNum>
  <w:abstractNum w:abstractNumId="709">
    <w:nsid w:val="3D76F9E2"/>
    <w:multiLevelType w:val="hybridMultilevel"/>
    <w:lvl w:ilvl="0">
      <w:lvlJc w:val="left"/>
      <w:lvlText w:val="%1."/>
      <w:numFmt w:val="decimal"/>
      <w:start w:val="10"/>
    </w:lvl>
  </w:abstractNum>
  <w:abstractNum w:abstractNumId="710">
    <w:nsid w:val="124A2DF8"/>
    <w:multiLevelType w:val="hybridMultilevel"/>
    <w:lvl w:ilvl="0">
      <w:lvlJc w:val="left"/>
      <w:lvlText w:val="%1."/>
      <w:numFmt w:val="decimal"/>
      <w:start w:val="11"/>
    </w:lvl>
  </w:abstractNum>
  <w:abstractNum w:abstractNumId="711">
    <w:nsid w:val="2A26C828"/>
    <w:multiLevelType w:val="hybridMultilevel"/>
    <w:lvl w:ilvl="0">
      <w:lvlJc w:val="left"/>
      <w:lvlText w:val="%1."/>
      <w:numFmt w:val="decimal"/>
      <w:start w:val="1"/>
    </w:lvl>
  </w:abstractNum>
  <w:abstractNum w:abstractNumId="712">
    <w:nsid w:val="7FE72292"/>
    <w:multiLevelType w:val="hybridMultilevel"/>
    <w:lvl w:ilvl="0">
      <w:lvlJc w:val="left"/>
      <w:lvlText w:val="%1."/>
      <w:numFmt w:val="decimal"/>
      <w:start w:val="4"/>
    </w:lvl>
  </w:abstractNum>
  <w:abstractNum w:abstractNumId="713">
    <w:nsid w:val="60C94A46"/>
    <w:multiLevelType w:val="hybridMultilevel"/>
    <w:lvl w:ilvl="0">
      <w:lvlJc w:val="left"/>
      <w:lvlText w:val="%1."/>
      <w:numFmt w:val="decimal"/>
      <w:start w:val="6"/>
    </w:lvl>
  </w:abstractNum>
  <w:abstractNum w:abstractNumId="714">
    <w:nsid w:val="69D9E7A"/>
    <w:multiLevelType w:val="hybridMultilevel"/>
    <w:lvl w:ilvl="0">
      <w:lvlJc w:val="left"/>
      <w:lvlText w:val="(%1)"/>
      <w:numFmt w:val="lowerLetter"/>
      <w:start w:val="1"/>
    </w:lvl>
  </w:abstractNum>
  <w:abstractNum w:abstractNumId="715">
    <w:nsid w:val="7F056040"/>
    <w:multiLevelType w:val="hybridMultilevel"/>
    <w:lvl w:ilvl="0">
      <w:lvlJc w:val="left"/>
      <w:lvlText w:val="%1."/>
      <w:numFmt w:val="decimal"/>
      <w:start w:val="7"/>
    </w:lvl>
  </w:abstractNum>
  <w:abstractNum w:abstractNumId="716">
    <w:nsid w:val="1D701BFF"/>
    <w:multiLevelType w:val="hybridMultilevel"/>
    <w:lvl w:ilvl="0">
      <w:lvlJc w:val="left"/>
      <w:lvlText w:val="%1."/>
      <w:numFmt w:val="decimal"/>
      <w:start w:val="8"/>
    </w:lvl>
  </w:abstractNum>
  <w:abstractNum w:abstractNumId="717">
    <w:nsid w:val="4A12EC32"/>
    <w:multiLevelType w:val="hybridMultilevel"/>
    <w:lvl w:ilvl="0">
      <w:lvlJc w:val="left"/>
      <w:lvlText w:val="%1."/>
      <w:numFmt w:val="decimal"/>
      <w:start w:val="9"/>
    </w:lvl>
  </w:abstractNum>
  <w:abstractNum w:abstractNumId="718">
    <w:nsid w:val="3F35DD67"/>
    <w:multiLevelType w:val="hybridMultilevel"/>
    <w:lvl w:ilvl="0">
      <w:lvlJc w:val="left"/>
      <w:lvlText w:val="%1."/>
      <w:numFmt w:val="decimal"/>
      <w:start w:val="10"/>
    </w:lvl>
  </w:abstractNum>
  <w:abstractNum w:abstractNumId="719">
    <w:nsid w:val="2B66AC12"/>
    <w:multiLevelType w:val="hybridMultilevel"/>
    <w:lvl w:ilvl="0">
      <w:lvlJc w:val="left"/>
      <w:lvlText w:val="%1."/>
      <w:numFmt w:val="decimal"/>
      <w:start w:val="1"/>
    </w:lvl>
  </w:abstractNum>
  <w:abstractNum w:abstractNumId="720">
    <w:nsid w:val="59F12779"/>
    <w:multiLevelType w:val="hybridMultilevel"/>
    <w:lvl w:ilvl="0">
      <w:lvlJc w:val="left"/>
      <w:lvlText w:val="%1."/>
      <w:numFmt w:val="decimal"/>
      <w:start w:val="4"/>
    </w:lvl>
  </w:abstractNum>
  <w:abstractNum w:abstractNumId="721">
    <w:nsid w:val="452528CB"/>
    <w:multiLevelType w:val="hybridMultilevel"/>
    <w:lvl w:ilvl="0">
      <w:lvlJc w:val="left"/>
      <w:lvlText w:val="%1."/>
      <w:numFmt w:val="decimal"/>
      <w:start w:val="6"/>
    </w:lvl>
  </w:abstractNum>
  <w:abstractNum w:abstractNumId="722">
    <w:nsid w:val="4FBE108E"/>
    <w:multiLevelType w:val="hybridMultilevel"/>
    <w:lvl w:ilvl="0">
      <w:lvlJc w:val="left"/>
      <w:lvlText w:val="(%1)"/>
      <w:numFmt w:val="lowerLetter"/>
      <w:start w:val="1"/>
    </w:lvl>
  </w:abstractNum>
  <w:abstractNum w:abstractNumId="723">
    <w:nsid w:val="60602E62"/>
    <w:multiLevelType w:val="hybridMultilevel"/>
    <w:lvl w:ilvl="0">
      <w:lvlJc w:val="left"/>
      <w:lvlText w:val="%1."/>
      <w:numFmt w:val="decimal"/>
      <w:start w:val="7"/>
    </w:lvl>
  </w:abstractNum>
  <w:abstractNum w:abstractNumId="724">
    <w:nsid w:val="47D0D402"/>
    <w:multiLevelType w:val="hybridMultilevel"/>
    <w:lvl w:ilvl="0">
      <w:lvlJc w:val="left"/>
      <w:lvlText w:val="%1."/>
      <w:numFmt w:val="decimal"/>
      <w:start w:val="8"/>
    </w:lvl>
  </w:abstractNum>
  <w:abstractNum w:abstractNumId="725">
    <w:nsid w:val="D1CD939"/>
    <w:multiLevelType w:val="hybridMultilevel"/>
    <w:lvl w:ilvl="0">
      <w:lvlJc w:val="left"/>
      <w:lvlText w:val="%1."/>
      <w:numFmt w:val="decimal"/>
      <w:start w:val="9"/>
    </w:lvl>
  </w:abstractNum>
  <w:abstractNum w:abstractNumId="726">
    <w:nsid w:val="12552B10"/>
    <w:multiLevelType w:val="hybridMultilevel"/>
    <w:lvl w:ilvl="0">
      <w:lvlJc w:val="left"/>
      <w:lvlText w:val="%1."/>
      <w:numFmt w:val="decimal"/>
      <w:start w:val="10"/>
    </w:lvl>
  </w:abstractNum>
  <w:abstractNum w:abstractNumId="727">
    <w:nsid w:val="F4E8872"/>
    <w:multiLevelType w:val="hybridMultilevel"/>
    <w:lvl w:ilvl="0">
      <w:lvlJc w:val="left"/>
      <w:lvlText w:val="%1."/>
      <w:numFmt w:val="decimal"/>
      <w:start w:val="1"/>
    </w:lvl>
  </w:abstractNum>
  <w:abstractNum w:abstractNumId="728">
    <w:nsid w:val="5CF24B45"/>
    <w:multiLevelType w:val="hybridMultilevel"/>
    <w:lvl w:ilvl="0">
      <w:lvlJc w:val="left"/>
      <w:lvlText w:val="%1."/>
      <w:numFmt w:val="decimal"/>
      <w:start w:val="4"/>
    </w:lvl>
  </w:abstractNum>
  <w:abstractNum w:abstractNumId="729">
    <w:nsid w:val="5F91BE56"/>
    <w:multiLevelType w:val="hybridMultilevel"/>
    <w:lvl w:ilvl="0">
      <w:lvlJc w:val="left"/>
      <w:lvlText w:val="%1."/>
      <w:numFmt w:val="decimal"/>
      <w:start w:val="6"/>
    </w:lvl>
  </w:abstractNum>
  <w:abstractNum w:abstractNumId="730">
    <w:nsid w:val="3C3F0BFD"/>
    <w:multiLevelType w:val="hybridMultilevel"/>
    <w:lvl w:ilvl="0">
      <w:lvlJc w:val="left"/>
      <w:lvlText w:val="(%1)"/>
      <w:numFmt w:val="lowerLetter"/>
      <w:start w:val="1"/>
    </w:lvl>
  </w:abstractNum>
  <w:abstractNum w:abstractNumId="731">
    <w:nsid w:val="1B15D96C"/>
    <w:multiLevelType w:val="hybridMultilevel"/>
    <w:lvl w:ilvl="0">
      <w:lvlJc w:val="left"/>
      <w:lvlText w:val="%1."/>
      <w:numFmt w:val="decimal"/>
      <w:start w:val="7"/>
    </w:lvl>
  </w:abstractNum>
  <w:abstractNum w:abstractNumId="732">
    <w:nsid w:val="7B469A23"/>
    <w:multiLevelType w:val="hybridMultilevel"/>
    <w:lvl w:ilvl="0">
      <w:lvlJc w:val="left"/>
      <w:lvlText w:val="%1."/>
      <w:numFmt w:val="decimal"/>
      <w:start w:val="8"/>
    </w:lvl>
  </w:abstractNum>
  <w:abstractNum w:abstractNumId="733">
    <w:nsid w:val="21DCDBA0"/>
    <w:multiLevelType w:val="hybridMultilevel"/>
    <w:lvl w:ilvl="0">
      <w:lvlJc w:val="left"/>
      <w:lvlText w:val="%1."/>
      <w:numFmt w:val="decimal"/>
      <w:start w:val="9"/>
    </w:lvl>
  </w:abstractNum>
  <w:abstractNum w:abstractNumId="734">
    <w:nsid w:val="220655C4"/>
    <w:multiLevelType w:val="hybridMultilevel"/>
    <w:lvl w:ilvl="0">
      <w:lvlJc w:val="left"/>
      <w:lvlText w:val="%1."/>
      <w:numFmt w:val="decimal"/>
      <w:start w:val="10"/>
    </w:lvl>
  </w:abstractNum>
  <w:abstractNum w:abstractNumId="735">
    <w:nsid w:val="5CE60F5E"/>
    <w:multiLevelType w:val="hybridMultilevel"/>
    <w:lvl w:ilvl="0">
      <w:lvlJc w:val="left"/>
      <w:lvlText w:val="%1."/>
      <w:numFmt w:val="upperLetter"/>
      <w:start w:val="1"/>
    </w:lvl>
  </w:abstractNum>
  <w:abstractNum w:abstractNumId="736">
    <w:nsid w:val="4B9A6638"/>
    <w:multiLevelType w:val="hybridMultilevel"/>
    <w:lvl w:ilvl="0">
      <w:lvlJc w:val="left"/>
      <w:lvlText w:val="%1."/>
      <w:numFmt w:val="upperLetter"/>
      <w:start w:val="6"/>
    </w:lvl>
  </w:abstractNum>
  <w:abstractNum w:abstractNumId="737">
    <w:nsid w:val="2822BCA7"/>
    <w:multiLevelType w:val="hybridMultilevel"/>
    <w:lvl w:ilvl="0">
      <w:lvlJc w:val="left"/>
      <w:lvlText w:val="%1."/>
      <w:numFmt w:val="upperLetter"/>
      <w:start w:val="5"/>
    </w:lvl>
  </w:abstractNum>
  <w:abstractNum w:abstractNumId="738">
    <w:nsid w:val="46182E75"/>
    <w:multiLevelType w:val="hybridMultilevel"/>
    <w:lvl w:ilvl="0">
      <w:lvlJc w:val="left"/>
      <w:lvlText w:val="%1."/>
      <w:numFmt w:val="decimal"/>
      <w:start w:val="1"/>
    </w:lvl>
  </w:abstractNum>
  <w:abstractNum w:abstractNumId="739">
    <w:nsid w:val="79311D4C"/>
    <w:multiLevelType w:val="hybridMultilevel"/>
    <w:lvl w:ilvl="0">
      <w:lvlJc w:val="left"/>
      <w:lvlText w:val="(%1)"/>
      <w:numFmt w:val="lowerLetter"/>
      <w:start w:val="1"/>
    </w:lvl>
  </w:abstractNum>
  <w:abstractNum w:abstractNumId="740">
    <w:nsid w:val="6599B689"/>
    <w:multiLevelType w:val="hybridMultilevel"/>
    <w:lvl w:ilvl="0">
      <w:lvlJc w:val="left"/>
      <w:lvlText w:val="(%1)"/>
      <w:numFmt w:val="lowerRoman"/>
      <w:start w:val="1"/>
    </w:lvl>
  </w:abstractNum>
  <w:abstractNum w:abstractNumId="741">
    <w:nsid w:val="58625C6D"/>
    <w:multiLevelType w:val="hybridMultilevel"/>
    <w:lvl w:ilvl="0">
      <w:lvlJc w:val="left"/>
      <w:lvlText w:val="(%1)"/>
      <w:numFmt w:val="lowerRoman"/>
      <w:start w:val="3"/>
    </w:lvl>
  </w:abstractNum>
  <w:abstractNum w:abstractNumId="742">
    <w:nsid w:val="2357E574"/>
    <w:multiLevelType w:val="hybridMultilevel"/>
    <w:lvl w:ilvl="0">
      <w:lvlJc w:val="left"/>
      <w:lvlText w:val="%1"/>
      <w:numFmt w:val="lowerLetter"/>
      <w:start w:val="1"/>
    </w:lvl>
    <w:lvl w:ilvl="1">
      <w:lvlJc w:val="left"/>
      <w:lvlText w:val="(%2)"/>
      <w:numFmt w:val="decimal"/>
      <w:start w:val="1"/>
    </w:lvl>
  </w:abstractNum>
  <w:abstractNum w:abstractNumId="743">
    <w:nsid w:val="6580D91B"/>
    <w:multiLevelType w:val="hybridMultilevel"/>
    <w:lvl w:ilvl="0">
      <w:lvlJc w:val="left"/>
      <w:lvlText w:val="(%1)"/>
      <w:numFmt w:val="lowerLetter"/>
      <w:start w:val="2"/>
    </w:lvl>
    <w:lvl w:ilvl="1">
      <w:lvlJc w:val="left"/>
      <w:lvlText w:val="%2"/>
      <w:numFmt w:val="decimal"/>
      <w:start w:val="1"/>
    </w:lvl>
  </w:abstractNum>
  <w:abstractNum w:abstractNumId="744">
    <w:nsid w:val="392BA6B3"/>
    <w:multiLevelType w:val="hybridMultilevel"/>
    <w:lvl w:ilvl="0">
      <w:lvlJc w:val="left"/>
      <w:lvlText w:val="%1"/>
      <w:numFmt w:val="decimal"/>
      <w:start w:val="1"/>
    </w:lvl>
    <w:lvl w:ilvl="1">
      <w:lvlJc w:val="left"/>
      <w:lvlText w:val="(%2)"/>
      <w:numFmt w:val="lowerLetter"/>
      <w:start w:val="6"/>
    </w:lvl>
  </w:abstractNum>
  <w:abstractNum w:abstractNumId="745">
    <w:nsid w:val="29F583EF"/>
    <w:multiLevelType w:val="hybridMultilevel"/>
    <w:lvl w:ilvl="0">
      <w:lvlJc w:val="left"/>
      <w:lvlText w:val="%1."/>
      <w:numFmt w:val="decimal"/>
      <w:start w:val="2"/>
    </w:lvl>
    <w:lvl w:ilvl="1">
      <w:lvlJc w:val="left"/>
      <w:lvlText w:val="%2"/>
      <w:numFmt w:val="lowerLetter"/>
      <w:start w:val="1"/>
    </w:lvl>
  </w:abstractNum>
  <w:abstractNum w:abstractNumId="746">
    <w:nsid w:val="6486395B"/>
    <w:multiLevelType w:val="hybridMultilevel"/>
    <w:lvl w:ilvl="0">
      <w:lvlJc w:val="left"/>
      <w:lvlText w:val="%1."/>
      <w:numFmt w:val="decimal"/>
      <w:start w:val="3"/>
    </w:lvl>
    <w:lvl w:ilvl="1">
      <w:lvlJc w:val="left"/>
      <w:lvlText w:val="(%2)"/>
      <w:numFmt w:val="lowerLetter"/>
      <w:start w:val="1"/>
    </w:lvl>
  </w:abstractNum>
  <w:abstractNum w:abstractNumId="747">
    <w:nsid w:val="569BC2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8">
    <w:nsid w:val="740870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49">
    <w:nsid w:val="23BC16C2"/>
    <w:multiLevelType w:val="hybridMultilevel"/>
    <w:lvl w:ilvl="0">
      <w:lvlJc w:val="left"/>
      <w:lvlText w:val="%1."/>
      <w:numFmt w:val="decimal"/>
      <w:start w:val="9"/>
    </w:lvl>
    <w:lvl w:ilvl="1">
      <w:lvlJc w:val="left"/>
      <w:lvlText w:val="(%2)"/>
      <w:numFmt w:val="lowerLetter"/>
      <w:start w:val="1"/>
    </w:lvl>
  </w:abstractNum>
  <w:abstractNum w:abstractNumId="750">
    <w:nsid w:val="2026EC5"/>
    <w:multiLevelType w:val="hybridMultilevel"/>
    <w:lvl w:ilvl="0">
      <w:lvlJc w:val="left"/>
      <w:lvlText w:val="%1"/>
      <w:numFmt w:val="decimal"/>
      <w:start w:val="1"/>
    </w:lvl>
    <w:lvl w:ilvl="1">
      <w:lvlJc w:val="left"/>
      <w:lvlText w:val="(%2)"/>
      <w:numFmt w:val="lowerLetter"/>
      <w:start w:val="6"/>
    </w:lvl>
  </w:abstractNum>
  <w:abstractNum w:abstractNumId="751">
    <w:nsid w:val="4DF9979A"/>
    <w:multiLevelType w:val="hybridMultilevel"/>
    <w:lvl w:ilvl="0">
      <w:lvlJc w:val="left"/>
      <w:lvlText w:val="%1."/>
      <w:numFmt w:val="decimal"/>
      <w:start w:val="10"/>
    </w:lvl>
    <w:lvl w:ilvl="1">
      <w:lvlJc w:val="left"/>
      <w:lvlText w:val="(%2)"/>
      <w:numFmt w:val="lowerLetter"/>
      <w:start w:val="1"/>
    </w:lvl>
  </w:abstractNum>
  <w:abstractNum w:abstractNumId="752">
    <w:nsid w:val="68E13F8E"/>
    <w:multiLevelType w:val="hybridMultilevel"/>
    <w:lvl w:ilvl="0">
      <w:lvlJc w:val="left"/>
      <w:lvlText w:val="%1"/>
      <w:numFmt w:val="decimal"/>
      <w:start w:val="1"/>
    </w:lvl>
    <w:lvl w:ilvl="1">
      <w:lvlJc w:val="left"/>
      <w:lvlText w:val="(%2)"/>
      <w:numFmt w:val="lowerLetter"/>
      <w:start w:val="4"/>
    </w:lvl>
  </w:abstractNum>
  <w:abstractNum w:abstractNumId="753">
    <w:nsid w:val="51C07F53"/>
    <w:multiLevelType w:val="hybridMultilevel"/>
    <w:lvl w:ilvl="0">
      <w:lvlJc w:val="left"/>
      <w:lvlText w:val="%1."/>
      <w:numFmt w:val="decimal"/>
      <w:start w:val="11"/>
    </w:lvl>
    <w:lvl w:ilvl="1">
      <w:lvlJc w:val="left"/>
      <w:lvlText w:val="(%2)"/>
      <w:numFmt w:val="lowerLetter"/>
      <w:start w:val="1"/>
    </w:lvl>
  </w:abstractNum>
  <w:abstractNum w:abstractNumId="754">
    <w:nsid w:val="2E59C5FD"/>
    <w:multiLevelType w:val="hybridMultilevel"/>
    <w:lvl w:ilvl="0">
      <w:lvlJc w:val="left"/>
      <w:lvlText w:val="(%1)"/>
      <w:numFmt w:val="lowerLetter"/>
      <w:start w:val="35"/>
    </w:lvl>
    <w:lvl w:ilvl="1">
      <w:lvlJc w:val="left"/>
      <w:lvlText w:val="(%2)"/>
      <w:numFmt w:val="lowerLetter"/>
      <w:start w:val="2"/>
    </w:lvl>
  </w:abstractNum>
  <w:abstractNum w:abstractNumId="755">
    <w:nsid w:val="30B21390"/>
    <w:multiLevelType w:val="hybridMultilevel"/>
    <w:lvl w:ilvl="0">
      <w:lvlJc w:val="left"/>
      <w:lvlText w:val="(%1)"/>
      <w:numFmt w:val="lowerLetter"/>
      <w:start w:val="9"/>
    </w:lvl>
    <w:lvl w:ilvl="1">
      <w:lvlJc w:val="left"/>
      <w:lvlText w:val="(%2)"/>
      <w:numFmt w:val="lowerLetter"/>
      <w:start w:val="4"/>
    </w:lvl>
  </w:abstractNum>
  <w:abstractNum w:abstractNumId="756">
    <w:nsid w:val="5EDD588C"/>
    <w:multiLevelType w:val="hybridMultilevel"/>
    <w:lvl w:ilvl="0">
      <w:lvlJc w:val="left"/>
      <w:lvlText w:val="%1"/>
      <w:numFmt w:val="decimal"/>
      <w:start w:val="1"/>
    </w:lvl>
    <w:lvl w:ilvl="1">
      <w:lvlJc w:val="left"/>
      <w:lvlText w:val="(%2)"/>
      <w:numFmt w:val="lowerLetter"/>
      <w:start w:val="5"/>
    </w:lvl>
  </w:abstractNum>
  <w:abstractNum w:abstractNumId="757">
    <w:nsid w:val="40AEF10D"/>
    <w:multiLevelType w:val="hybridMultilevel"/>
    <w:lvl w:ilvl="0">
      <w:lvlJc w:val="left"/>
      <w:lvlText w:val="%1."/>
      <w:numFmt w:val="decimal"/>
      <w:start w:val="13"/>
    </w:lvl>
    <w:lvl w:ilvl="1">
      <w:lvlJc w:val="left"/>
      <w:lvlText w:val="%2"/>
      <w:numFmt w:val="lowerLetter"/>
      <w:start w:val="1"/>
    </w:lvl>
  </w:abstractNum>
  <w:abstractNum w:abstractNumId="758">
    <w:nsid w:val="40009C03"/>
    <w:multiLevelType w:val="hybridMultilevel"/>
    <w:lvl w:ilvl="0">
      <w:lvlJc w:val="left"/>
      <w:lvlText w:val="%1."/>
      <w:numFmt w:val="decimal"/>
      <w:start w:val="16"/>
    </w:lvl>
  </w:abstractNum>
  <w:abstractNum w:abstractNumId="759">
    <w:nsid w:val="3BCFA3D1"/>
    <w:multiLevelType w:val="hybridMultilevel"/>
    <w:lvl w:ilvl="0">
      <w:lvlJc w:val="left"/>
      <w:lvlText w:val="%1."/>
      <w:numFmt w:val="decimal"/>
      <w:start w:val="22"/>
    </w:lvl>
    <w:lvl w:ilvl="1">
      <w:lvlJc w:val="left"/>
      <w:lvlText w:val="(%2)"/>
      <w:numFmt w:val="lowerLetter"/>
      <w:start w:val="1"/>
    </w:lvl>
  </w:abstractNum>
  <w:abstractNum w:abstractNumId="760">
    <w:nsid w:val="2040AF63"/>
    <w:multiLevelType w:val="hybridMultilevel"/>
    <w:lvl w:ilvl="0">
      <w:lvlJc w:val="left"/>
      <w:lvlText w:val="(%1)"/>
      <w:numFmt w:val="lowerLetter"/>
      <w:start w:val="2"/>
    </w:lvl>
  </w:abstractNum>
  <w:abstractNum w:abstractNumId="761">
    <w:nsid w:val="7C3FA800"/>
    <w:multiLevelType w:val="hybridMultilevel"/>
    <w:lvl w:ilvl="0">
      <w:lvlJc w:val="left"/>
      <w:lvlText w:val="%1."/>
      <w:numFmt w:val="decimal"/>
      <w:start w:val="27"/>
    </w:lvl>
  </w:abstractNum>
  <w:abstractNum w:abstractNumId="762">
    <w:nsid w:val="56E57D3D"/>
    <w:multiLevelType w:val="hybridMultilevel"/>
    <w:lvl w:ilvl="0">
      <w:lvlJc w:val="left"/>
      <w:lvlText w:val="%1."/>
      <w:numFmt w:val="decimal"/>
      <w:start w:val="1"/>
    </w:lvl>
  </w:abstractNum>
  <w:abstractNum w:abstractNumId="763">
    <w:nsid w:val="1B874986"/>
    <w:multiLevelType w:val="hybridMultilevel"/>
    <w:lvl w:ilvl="0">
      <w:lvlJc w:val="left"/>
      <w:lvlText w:val="%1."/>
      <w:numFmt w:val="decimal"/>
      <w:start w:val="3"/>
    </w:lvl>
  </w:abstractNum>
  <w:abstractNum w:abstractNumId="764">
    <w:nsid w:val="1E1C83A1"/>
    <w:multiLevelType w:val="hybridMultilevel"/>
    <w:lvl w:ilvl="0">
      <w:lvlJc w:val="left"/>
      <w:lvlText w:val="(%1)"/>
      <w:numFmt w:val="lowerLetter"/>
      <w:start w:val="2"/>
    </w:lvl>
  </w:abstractNum>
  <w:abstractNum w:abstractNumId="765">
    <w:nsid w:val="78EBD301"/>
    <w:multiLevelType w:val="hybridMultilevel"/>
    <w:lvl w:ilvl="0">
      <w:lvlJc w:val="left"/>
      <w:lvlText w:val="(%1)"/>
      <w:numFmt w:val="lowerLetter"/>
      <w:start w:val="2"/>
    </w:lvl>
    <w:lvl w:ilvl="1">
      <w:lvlJc w:val="left"/>
      <w:lvlText w:val="%2."/>
      <w:numFmt w:val="decimal"/>
      <w:start w:val="4"/>
    </w:lvl>
  </w:abstractNum>
  <w:abstractNum w:abstractNumId="766">
    <w:nsid w:val="786D58E4"/>
    <w:multiLevelType w:val="hybridMultilevel"/>
    <w:lvl w:ilvl="0">
      <w:lvlJc w:val="left"/>
      <w:lvlText w:val="(%1)"/>
      <w:numFmt w:val="lowerLetter"/>
      <w:start w:val="2"/>
    </w:lvl>
  </w:abstractNum>
  <w:abstractNum w:abstractNumId="767">
    <w:nsid w:val="69B6E9D9"/>
    <w:multiLevelType w:val="hybridMultilevel"/>
    <w:lvl w:ilvl="0">
      <w:lvlJc w:val="left"/>
      <w:lvlText w:val="%1."/>
      <w:numFmt w:val="decimal"/>
      <w:start w:val="5"/>
    </w:lvl>
  </w:abstractNum>
  <w:abstractNum w:abstractNumId="768">
    <w:nsid w:val="210E8FA8"/>
    <w:multiLevelType w:val="hybridMultilevel"/>
    <w:lvl w:ilvl="0">
      <w:lvlJc w:val="left"/>
      <w:lvlText w:val="%1."/>
      <w:numFmt w:val="decimal"/>
      <w:start w:val="6"/>
    </w:lvl>
  </w:abstractNum>
  <w:abstractNum w:abstractNumId="769">
    <w:nsid w:val="3E858759"/>
    <w:multiLevelType w:val="hybridMultilevel"/>
    <w:lvl w:ilvl="0">
      <w:lvlJc w:val="left"/>
      <w:lvlText w:val="%1."/>
      <w:numFmt w:val="decimal"/>
      <w:start w:val="7"/>
    </w:lvl>
  </w:abstractNum>
  <w:abstractNum w:abstractNumId="770">
    <w:nsid w:val="62E80725"/>
    <w:multiLevelType w:val="hybridMultilevel"/>
    <w:lvl w:ilvl="0">
      <w:lvlJc w:val="left"/>
      <w:lvlText w:val="%1."/>
      <w:numFmt w:val="decimal"/>
      <w:start w:val="8"/>
    </w:lvl>
  </w:abstractNum>
  <w:abstractNum w:abstractNumId="771">
    <w:nsid w:val="6A84631"/>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3" Type="http://schemas.openxmlformats.org/officeDocument/2006/relationships/image" Target="media/image844.png"/><Relationship Id="rId868" Type="http://schemas.openxmlformats.org/officeDocument/2006/relationships/image" Target="media/image845.png"/><Relationship Id="rId869" Type="http://schemas.openxmlformats.org/officeDocument/2006/relationships/image" Target="media/image846.png"/><Relationship Id="rId870" Type="http://schemas.openxmlformats.org/officeDocument/2006/relationships/image" Target="media/image847.png"/><Relationship Id="rId871" Type="http://schemas.openxmlformats.org/officeDocument/2006/relationships/image" Target="media/image848.png"/><Relationship Id="rId872" Type="http://schemas.openxmlformats.org/officeDocument/2006/relationships/image" Target="media/image849.png"/><Relationship Id="rId873" Type="http://schemas.openxmlformats.org/officeDocument/2006/relationships/image" Target="media/image850.jpeg"/><Relationship Id="rId874" Type="http://schemas.openxmlformats.org/officeDocument/2006/relationships/image" Target="media/image851.jpeg"/><Relationship Id="rId875" Type="http://schemas.openxmlformats.org/officeDocument/2006/relationships/image" Target="media/image852.jpeg"/><Relationship Id="rId876" Type="http://schemas.openxmlformats.org/officeDocument/2006/relationships/image" Target="media/image853.png"/><Relationship Id="rId877" Type="http://schemas.openxmlformats.org/officeDocument/2006/relationships/image" Target="media/image854.png"/><Relationship Id="rId878" Type="http://schemas.openxmlformats.org/officeDocument/2006/relationships/image" Target="media/image855.png"/><Relationship Id="rId879" Type="http://schemas.openxmlformats.org/officeDocument/2006/relationships/image" Target="media/image856.png"/><Relationship Id="rId880" Type="http://schemas.openxmlformats.org/officeDocument/2006/relationships/image" Target="media/image857.png"/><Relationship Id="rId881" Type="http://schemas.openxmlformats.org/officeDocument/2006/relationships/image" Target="media/image858.png"/><Relationship Id="rId882" Type="http://schemas.openxmlformats.org/officeDocument/2006/relationships/image" Target="media/image859.png"/><Relationship Id="rId883" Type="http://schemas.openxmlformats.org/officeDocument/2006/relationships/image" Target="media/image860.png"/><Relationship Id="rId884" Type="http://schemas.openxmlformats.org/officeDocument/2006/relationships/image" Target="media/image861.png"/><Relationship Id="rId885" Type="http://schemas.openxmlformats.org/officeDocument/2006/relationships/image" Target="media/image862.png"/><Relationship Id="rId886" Type="http://schemas.openxmlformats.org/officeDocument/2006/relationships/image" Target="media/image863.png"/><Relationship Id="rId887" Type="http://schemas.openxmlformats.org/officeDocument/2006/relationships/image" Target="media/image864.png"/><Relationship Id="rId888" Type="http://schemas.openxmlformats.org/officeDocument/2006/relationships/image" Target="media/image865.png"/><Relationship Id="rId889" Type="http://schemas.openxmlformats.org/officeDocument/2006/relationships/image" Target="media/image866.png"/><Relationship Id="rId890" Type="http://schemas.openxmlformats.org/officeDocument/2006/relationships/image" Target="media/image867.png"/><Relationship Id="rId891" Type="http://schemas.openxmlformats.org/officeDocument/2006/relationships/image" Target="media/image868.png"/><Relationship Id="rId892" Type="http://schemas.openxmlformats.org/officeDocument/2006/relationships/image" Target="media/image869.png"/><Relationship Id="rId893" Type="http://schemas.openxmlformats.org/officeDocument/2006/relationships/image" Target="media/image870.png"/><Relationship Id="rId894" Type="http://schemas.openxmlformats.org/officeDocument/2006/relationships/image" Target="media/image871.png"/><Relationship Id="rId895" Type="http://schemas.openxmlformats.org/officeDocument/2006/relationships/image" Target="media/image872.png"/><Relationship Id="rId896" Type="http://schemas.openxmlformats.org/officeDocument/2006/relationships/image" Target="media/image873.png"/><Relationship Id="rId897" Type="http://schemas.openxmlformats.org/officeDocument/2006/relationships/image" Target="media/image874.png"/><Relationship Id="rId898" Type="http://schemas.openxmlformats.org/officeDocument/2006/relationships/image" Target="media/image875.png"/><Relationship Id="rId899" Type="http://schemas.openxmlformats.org/officeDocument/2006/relationships/image" Target="media/image876.png"/><Relationship Id="rId900" Type="http://schemas.openxmlformats.org/officeDocument/2006/relationships/image" Target="media/image877.png"/><Relationship Id="rId901" Type="http://schemas.openxmlformats.org/officeDocument/2006/relationships/image" Target="media/image878.png"/><Relationship Id="rId851" Type="http://schemas.openxmlformats.org/officeDocument/2006/relationships/hyperlink" Target="https://www.sec.gov/Archives/edgar/data/1808805/000114036120016987/nt10013610x3_ex4-1.htm" TargetMode="External"/><Relationship Id="rId852" Type="http://schemas.openxmlformats.org/officeDocument/2006/relationships/hyperlink" Target="https://www.sec.gov/Archives/edgar/data/1808805/000162828021005786/exhibit51-sx4.htm" TargetMode="External"/><Relationship Id="rId854" Type="http://schemas.openxmlformats.org/officeDocument/2006/relationships/hyperlink" Target="https://www.sec.gov/Archives/edgar/data/1808805/000162828021005786/exhibit107-sx4.htm" TargetMode="External"/><Relationship Id="rId855" Type="http://schemas.openxmlformats.org/officeDocument/2006/relationships/hyperlink" Target="https://www.sec.gov/Archives/edgar/data/1808805/000162828021005786/exhibit108-sx4.htm" TargetMode="External"/><Relationship Id="rId856" Type="http://schemas.openxmlformats.org/officeDocument/2006/relationships/hyperlink" Target="https://www.sec.gov/Archives/edgar/data/1808805/000162828021005786/exhibit109-sx4.htm" TargetMode="External"/><Relationship Id="rId857" Type="http://schemas.openxmlformats.org/officeDocument/2006/relationships/hyperlink" Target="https://www.sec.gov/Archives/edgar/data/1808805/000114036120016987/nt10013610x3_ex10-4.htm" TargetMode="External"/><Relationship Id="rId858" Type="http://schemas.openxmlformats.org/officeDocument/2006/relationships/hyperlink" Target="https://www.sec.gov/Archives/edgar/data/1808805/000162828021005786/exhibit1011-sx4.htm" TargetMode="External"/><Relationship Id="rId859" Type="http://schemas.openxmlformats.org/officeDocument/2006/relationships/hyperlink" Target="https://www.sec.gov/Archives/edgar/data/1808805/000162828021005786/exhibit211.htm" TargetMode="External"/><Relationship Id="rId860" Type="http://schemas.openxmlformats.org/officeDocument/2006/relationships/hyperlink" Target="https://www.sec.gov/Archives/edgar/data/1808805/000162828021005786/arya-20210326.htm#if2baefd677284383b89cb6f605e45e0e_1082" TargetMode="External"/><Relationship Id="rId861" Type="http://schemas.openxmlformats.org/officeDocument/2006/relationships/hyperlink" Target="https://www.sec.gov/Archives/edgar/data/1808805/000162828021005786/exhibit991-drsxconsenttore.htm" TargetMode="External"/><Relationship Id="rId862" Type="http://schemas.openxmlformats.org/officeDocument/2006/relationships/hyperlink" Target="https://www.sec.gov/Archives/edgar/data/1808805/000162828021005786/exhibit992-drsxconsentofpa.htm" TargetMode="External"/><Relationship Id="rId863" Type="http://schemas.openxmlformats.org/officeDocument/2006/relationships/hyperlink" Target="https://www.sec.gov/Archives/edgar/data/1808805/000162828021005786/exhibit993-drsxregistratio.htm" TargetMode="External"/><Relationship Id="rId864" Type="http://schemas.openxmlformats.org/officeDocument/2006/relationships/hyperlink" Target="https://www.sec.gov/Archives/edgar/data/1808805/000162828021005786/exhibit994-drsxconsentoffa.htm" TargetMode="External"/><Relationship Id="rId865" Type="http://schemas.openxmlformats.org/officeDocument/2006/relationships/hyperlink" Target="https://www.sec.gov/Archives/edgar/data/1808805/000162828021005786/exhibit995-drsxregistratio.htm" TargetMode="External"/><Relationship Id="rId866" Type="http://schemas.openxmlformats.org/officeDocument/2006/relationships/hyperlink" Target="https://www.sec.gov/Archives/edgar/data/1808805/000162828021005786/exhibit996-drsxregistratio.htm" TargetMode="External"/><Relationship Id="rId867" Type="http://schemas.openxmlformats.org/officeDocument/2006/relationships/hyperlink" Target="https://www.sec.gov/Archives/edgar/data/1808805/000162828021005786/exhibit997-drsxconsentofm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2021-04-26T05:48:15Z</dcterms:created>
  <dcterms:modified xsi:type="dcterms:W3CDTF">2021-04-26T05:48:15Z</dcterms:modified>
</cp:coreProperties>
</file>