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August 2, 2023</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20" w:space="720"/>
            <w:col w:w="3000" w:space="720"/>
            <w:col w:w="2280"/>
          </w:cols>
          <w:pgMar w:left="320" w:top="1440" w:right="339" w:bottom="1440" w:gutter="0" w:footer="0" w:header="0"/>
          <w:type w:val="continuous"/>
        </w:sectPr>
      </w:pPr>
    </w:p>
    <w:p>
      <w:pPr>
        <w:jc w:val="center"/>
        <w:ind w:right="300"/>
        <w:spacing w:after="0"/>
        <w:rPr>
          <w:sz w:val="20"/>
          <w:szCs w:val="20"/>
          <w:color w:val="auto"/>
        </w:rPr>
      </w:pPr>
      <w:r>
        <w:rPr>
          <w:rFonts w:ascii="Arial" w:cs="Arial" w:eastAsia="Arial" w:hAnsi="Arial"/>
          <w:sz w:val="14"/>
          <w:szCs w:val="14"/>
          <w:color w:val="auto"/>
        </w:rPr>
        <w:t>(State or other jurisdiction</w:t>
      </w:r>
    </w:p>
    <w:p>
      <w:pPr>
        <w:spacing w:after="0" w:line="36"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03"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40" w:space="720"/>
            <w:col w:w="3280"/>
          </w:cols>
          <w:pgMar w:left="320" w:top="1440" w:right="3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rPr>
              <w:t>NAUT</w:t>
            </w:r>
          </w:p>
        </w:tc>
        <w:tc>
          <w:tcPr>
            <w:tcW w:w="10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August 2, 2023, Nautilus Biotechnology, Inc. issued a press release reporting its financial results for the quarter ended June 30, 2023.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5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August 2, 2023.</w:t>
      </w:r>
    </w:p>
    <w:p>
      <w:pPr>
        <w:spacing w:after="0" w:line="23" w:lineRule="exact"/>
        <w:rPr>
          <w:sz w:val="20"/>
          <w:szCs w:val="20"/>
          <w:color w:val="auto"/>
        </w:rPr>
      </w:pPr>
    </w:p>
    <w:p>
      <w:pPr>
        <w:ind w:left="1020" w:hanging="99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2023</w:t>
      </w:r>
    </w:p>
    <w:p>
      <w:pPr>
        <w:spacing w:after="0" w:line="26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Second Quarter 2023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August 2, 2023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today reported financial results for the second quarter ended June 30, 2023.</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“I’m excited by the solid progress we made in Q2 against some of our foundational scientific and development goals and in the ways we continue to prepare ourselves for our commercial launch.”, said Sujal Patel, CEO of Nautilus. “The type of transformational innovation that Nautilus plans to bring to market next year requires that a significant number of platform elements weave together into a seamless whole: sample preparation, affinity reagent probes, chips, flow cells, the instrument, multi-cycle assay, and software. In Q2, we demonstrated the ability to bring all of those elements together leading to routine and stable assays with higher numbers of probes and cycles. I’m especially proud of the team’s ability to execute well while maintaining exceptional fiscal discipline, preserving our balance sheet, which we now believe will fund operations through 2025 and into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expenses were $19.0 million for the second quarter of 2023, a 23% increase from $15.5 million for the three months ended June 30, 2022. The increase in operating expenses was driven primarily by an increase in headcount to support ongoing development of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Net loss was $15.8 million for the second quarter of 2023, as compared to a net loss of $14.7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$286.7 million as of June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Nautilus will host a conference call to discuss the second quarter 2023 financial results, business developments and outlook before market open on Wednesday, August 2, 2023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7"/>
          <w:szCs w:val="17"/>
          <w:color w:val="auto"/>
        </w:rPr>
        <w:t>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June 30, 2023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June 30, 2023 and December 31, 2022 (Unaudited)</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w:t>
            </w: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72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72,139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114,523</w:t>
            </w:r>
          </w:p>
        </w:tc>
      </w:tr>
      <w:tr>
        <w:trPr>
          <w:trHeight w:val="23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r>
      <w:tr>
        <w:trPr>
          <w:trHeight w:val="236"/>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129,169</w:t>
            </w:r>
          </w:p>
        </w:tc>
      </w:tr>
      <w:tr>
        <w:trPr>
          <w:trHeight w:val="23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3,528</w:t>
            </w:r>
          </w:p>
        </w:tc>
      </w:tr>
      <w:tr>
        <w:trPr>
          <w:trHeight w:val="229"/>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6,791</w:t>
            </w:r>
          </w:p>
        </w:tc>
      </w:tr>
      <w:tr>
        <w:trPr>
          <w:trHeight w:val="236"/>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28,337</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455,330</w:t>
            </w:r>
          </w:p>
        </w:tc>
      </w:tr>
      <w:tr>
        <w:trPr>
          <w:trHeight w:val="237"/>
        </w:trPr>
        <w:tc>
          <w:tcPr>
            <w:tcW w:w="72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289,673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314,924</w:t>
            </w:r>
          </w:p>
        </w:tc>
      </w:tr>
      <w:tr>
        <w:trPr>
          <w:trHeight w:val="256"/>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330,767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350,052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340" w:top="140" w:right="81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Six Months Ended June 30, 2023 and 2022 (Unaudited)</w:t>
      </w:r>
    </w:p>
    <w:p>
      <w:pPr>
        <w:spacing w:after="0" w:line="335"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22,789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(15,808)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(30,452)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w w:val="95"/>
              </w:rPr>
              <w:t>Weighted-average shares used in computing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124,603,181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124,494,036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124,601,762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124,456,518</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40" w:top="140" w:right="5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Months Ended June 30, 2023 and 2022 (Unaudited)</w:t>
      </w:r>
    </w:p>
    <w:p>
      <w:pPr>
        <w:spacing w:after="0" w:line="200" w:lineRule="exact"/>
        <w:rPr>
          <w:sz w:val="20"/>
          <w:szCs w:val="20"/>
          <w:color w:val="auto"/>
        </w:rPr>
      </w:pP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4,677</w:t>
            </w:r>
          </w:p>
        </w:tc>
      </w:tr>
      <w:tr>
        <w:trPr>
          <w:trHeight w:val="243"/>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(accretion) of premium (discount) on securities,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6"/>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(25,864)</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105,575</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(54,185)</w:t>
            </w:r>
          </w:p>
        </w:tc>
      </w:tr>
      <w:tr>
        <w:trPr>
          <w:trHeight w:val="24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r>
      <w:tr>
        <w:trPr>
          <w:trHeight w:val="223"/>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50,258</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7280" w:type="dxa"/>
            <w:vAlign w:val="bottom"/>
          </w:tcPr>
          <w:p>
            <w:pPr>
              <w:ind w:left="3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24,735</w:t>
            </w:r>
          </w:p>
        </w:tc>
      </w:tr>
      <w:tr>
        <w:trPr>
          <w:trHeight w:val="256"/>
        </w:trPr>
        <w:tc>
          <w:tcPr>
            <w:tcW w:w="7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211,196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2023-08-02T05:23:46Z</dcterms:created>
  <dcterms:modified xsi:type="dcterms:W3CDTF">2023-08-02T05:23:46Z</dcterms:modified>
</cp:coreProperties>
</file>