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1125091.xml.htm"/>
      <w:bookmarkStart w:id="1" w:name="kswkform4_17411250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Patel Sujal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AVENUE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President, and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03/03/2035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the first anniversary of the Vesting Commencement Date, as defined below, and the balance of the shares subject to the Option shall vest and become exercisable on a ratable, monthly basis over the 36 months succeeding such first anniversary so long as the Reporting Person remains a Service Provider as provided in the Issuer's 2021 Equity Incentive Plan. Vesting Commencement Date shall mean January 1,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Mathew B.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nautilusbiotechnology-se.htm"/>
      <w:bookmarkStart w:id="3" w:name="ksnautilusbiotechnologyse"/>
      <w:bookmarkEnd w:id="2"/>
      <w:bookmarkEnd w:id="3"/>
      <w:r>
        <w:rPr/>
        <w:drawing>
          <wp:inline distT="0" distB="0" distL="0" distR="0">
            <wp:extent cx="10048875" cy="13001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Sujal Patel, Matt Murphy, Anna Mowry, Priscilla Chen, Nick Brazell, Zachary Myers and Ben Capps, or any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 1. Prepare, execute and submit to the Securities and Exchange Commission (“SEC”), Nautilus Biotechnology,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 2.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 The undersigned acknowledges that: a) This Power of Attorney authorizes, but does not require, the Attorney-in-Fact to act in his or her discretion on information provided to such Attorney-in-Fact without independent verification of such information; b) Any documents prepared or executed by the Attorney-in-Fact on behalf of the undersigned pursuant to this Power of Attorney will be in such form and will contain such information as the Attorney-in-Fact, in his or her discretion, deems necessary or desirable; 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 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 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 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Attorney-in-Fact. This Power of Attorney revokes all previous powers of attorney with respect to the subject matter of this Power of Attorney. IN WITNESS WHEREOF, the undersigned has caused this Power of Attorney to be executed on February 23, 2025. Signature: /s/ Sujal Patel Print Name: Sujal Patel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8830"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6893</Characters>
  <CharactersWithSpaces>8117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nautilusbiotechnology-se</dc:title>
</cp:coreProperties>
</file>