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0" w:lineRule="exact"/>
        <w:rPr>
          <w:sz w:val="24"/>
          <w:szCs w:val="24"/>
          <w:color w:val="auto"/>
        </w:rPr>
      </w:pPr>
    </w:p>
    <w:p>
      <w:pPr>
        <w:spacing w:after="0" w:line="225" w:lineRule="exact"/>
        <w:rPr>
          <w:sz w:val="24"/>
          <w:szCs w:val="24"/>
          <w:color w:val="auto"/>
        </w:rPr>
      </w:pPr>
    </w:p>
    <w:p>
      <w:pPr>
        <w:ind w:left="7100" w:right="319" w:hanging="6282"/>
        <w:spacing w:after="0" w:line="346" w:lineRule="auto"/>
        <w:rPr>
          <w:sz w:val="20"/>
          <w:szCs w:val="20"/>
          <w:color w:val="auto"/>
        </w:rPr>
      </w:pPr>
      <w:r>
        <w:rPr>
          <w:rFonts w:ascii="Arial" w:cs="Arial" w:eastAsia="Arial" w:hAnsi="Arial"/>
          <w:sz w:val="11"/>
          <w:szCs w:val="11"/>
          <w:b w:val="1"/>
          <w:bCs w:val="1"/>
          <w:color w:val="auto"/>
        </w:rPr>
        <w:t>As filed with the United States Securities and Exchange Commission on July 29, 2020 under the Securities Act of 1933, as amended. Registration No. 333-239986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-36830</wp:posOffset>
            </wp:positionV>
            <wp:extent cx="531939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9395" cy="2222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21590</wp:posOffset>
            </wp:positionV>
            <wp:extent cx="53193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9395" cy="762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2386965</wp:posOffset>
            </wp:positionH>
            <wp:positionV relativeFrom="paragraph">
              <wp:posOffset>45085</wp:posOffset>
            </wp:positionV>
            <wp:extent cx="945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5515" cy="7620"/>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Amendment No. 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to</w:t>
      </w:r>
    </w:p>
    <w:p>
      <w:pPr>
        <w:jc w:val="center"/>
        <w:spacing w:after="0"/>
        <w:rPr>
          <w:sz w:val="20"/>
          <w:szCs w:val="20"/>
          <w:color w:val="auto"/>
        </w:rPr>
      </w:pPr>
      <w:r>
        <w:rPr>
          <w:rFonts w:ascii="Arial" w:cs="Arial" w:eastAsia="Arial" w:hAnsi="Arial"/>
          <w:sz w:val="19"/>
          <w:szCs w:val="19"/>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2386965</wp:posOffset>
            </wp:positionH>
            <wp:positionV relativeFrom="paragraph">
              <wp:posOffset>46355</wp:posOffset>
            </wp:positionV>
            <wp:extent cx="945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5515" cy="7620"/>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2386965</wp:posOffset>
            </wp:positionH>
            <wp:positionV relativeFrom="paragraph">
              <wp:posOffset>31115</wp:posOffset>
            </wp:positionV>
            <wp:extent cx="9455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5515" cy="7620"/>
                    </a:xfrm>
                    <a:prstGeom prst="rect">
                      <a:avLst/>
                    </a:prstGeom>
                    <a:noFill/>
                  </pic:spPr>
                </pic:pic>
              </a:graphicData>
            </a:graphic>
          </wp:anchor>
        </w:drawing>
      </w:r>
    </w:p>
    <w:p>
      <w:pPr>
        <w:spacing w:after="0" w:line="189" w:lineRule="exact"/>
        <w:rPr>
          <w:sz w:val="24"/>
          <w:szCs w:val="24"/>
          <w:color w:val="auto"/>
        </w:rPr>
      </w:pPr>
    </w:p>
    <w:tbl>
      <w:tblPr>
        <w:tblLayout w:type="fixed"/>
        <w:tblInd w:w="860" w:type="dxa"/>
        <w:tblCellMar>
          <w:top w:w="0" w:type="dxa"/>
          <w:left w:w="0" w:type="dxa"/>
          <w:bottom w:w="0" w:type="dxa"/>
          <w:right w:w="0" w:type="dxa"/>
        </w:tblCellMar>
      </w:tblPr>
      <w:tr>
        <w:trPr>
          <w:trHeight w:val="169"/>
        </w:trPr>
        <w:tc>
          <w:tcPr>
            <w:tcW w:w="1800" w:type="dxa"/>
            <w:vAlign w:val="bottom"/>
          </w:tcPr>
          <w:p>
            <w:pPr>
              <w:ind w:left="340"/>
              <w:spacing w:after="0"/>
              <w:rPr>
                <w:sz w:val="20"/>
                <w:szCs w:val="20"/>
                <w:color w:val="auto"/>
              </w:rPr>
            </w:pPr>
            <w:r>
              <w:rPr>
                <w:rFonts w:ascii="Arial" w:cs="Arial" w:eastAsia="Arial" w:hAnsi="Arial"/>
                <w:sz w:val="13"/>
                <w:szCs w:val="13"/>
                <w:b w:val="1"/>
                <w:bCs w:val="1"/>
                <w:color w:val="auto"/>
              </w:rPr>
              <w:t>Cayman Islands</w:t>
            </w:r>
          </w:p>
        </w:tc>
        <w:tc>
          <w:tcPr>
            <w:tcW w:w="378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6770</w:t>
            </w:r>
          </w:p>
        </w:tc>
        <w:tc>
          <w:tcPr>
            <w:tcW w:w="1520" w:type="dxa"/>
            <w:vAlign w:val="bottom"/>
          </w:tcPr>
          <w:p>
            <w:pPr>
              <w:jc w:val="center"/>
              <w:ind w:left="214"/>
              <w:spacing w:after="0"/>
              <w:rPr>
                <w:sz w:val="20"/>
                <w:szCs w:val="20"/>
                <w:color w:val="auto"/>
              </w:rPr>
            </w:pPr>
            <w:r>
              <w:rPr>
                <w:rFonts w:ascii="Arial" w:cs="Arial" w:eastAsia="Arial" w:hAnsi="Arial"/>
                <w:sz w:val="13"/>
                <w:szCs w:val="13"/>
                <w:b w:val="1"/>
                <w:bCs w:val="1"/>
                <w:color w:val="auto"/>
                <w:w w:val="92"/>
              </w:rPr>
              <w:t>98-1541723</w:t>
            </w: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(State or other jurisdiction of</w:t>
            </w:r>
          </w:p>
        </w:tc>
        <w:tc>
          <w:tcPr>
            <w:tcW w:w="3780" w:type="dxa"/>
            <w:vAlign w:val="bottom"/>
          </w:tcPr>
          <w:p>
            <w:pPr>
              <w:ind w:left="1060"/>
              <w:spacing w:after="0"/>
              <w:rPr>
                <w:sz w:val="20"/>
                <w:szCs w:val="20"/>
                <w:color w:val="auto"/>
              </w:rPr>
            </w:pPr>
            <w:r>
              <w:rPr>
                <w:rFonts w:ascii="Arial" w:cs="Arial" w:eastAsia="Arial" w:hAnsi="Arial"/>
                <w:sz w:val="13"/>
                <w:szCs w:val="13"/>
                <w:color w:val="auto"/>
              </w:rPr>
              <w:t>(Primary Standard Industrial</w:t>
            </w:r>
          </w:p>
        </w:tc>
        <w:tc>
          <w:tcPr>
            <w:tcW w:w="1520" w:type="dxa"/>
            <w:vAlign w:val="bottom"/>
          </w:tcPr>
          <w:p>
            <w:pPr>
              <w:jc w:val="center"/>
              <w:ind w:left="194"/>
              <w:spacing w:after="0"/>
              <w:rPr>
                <w:sz w:val="20"/>
                <w:szCs w:val="20"/>
                <w:color w:val="auto"/>
              </w:rPr>
            </w:pPr>
            <w:r>
              <w:rPr>
                <w:rFonts w:ascii="Arial" w:cs="Arial" w:eastAsia="Arial" w:hAnsi="Arial"/>
                <w:sz w:val="13"/>
                <w:szCs w:val="13"/>
                <w:color w:val="auto"/>
                <w:w w:val="94"/>
              </w:rPr>
              <w:t>(I.R.S. Employer</w:t>
            </w:r>
          </w:p>
        </w:tc>
      </w:tr>
      <w:tr>
        <w:trPr>
          <w:trHeight w:val="157"/>
        </w:trPr>
        <w:tc>
          <w:tcPr>
            <w:tcW w:w="180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3780" w:type="dxa"/>
            <w:vAlign w:val="bottom"/>
          </w:tcPr>
          <w:p>
            <w:pPr>
              <w:jc w:val="center"/>
              <w:ind w:right="55"/>
              <w:spacing w:after="0"/>
              <w:rPr>
                <w:sz w:val="20"/>
                <w:szCs w:val="20"/>
                <w:color w:val="auto"/>
              </w:rPr>
            </w:pPr>
            <w:r>
              <w:rPr>
                <w:rFonts w:ascii="Arial" w:cs="Arial" w:eastAsia="Arial" w:hAnsi="Arial"/>
                <w:sz w:val="13"/>
                <w:szCs w:val="13"/>
                <w:color w:val="auto"/>
                <w:w w:val="93"/>
              </w:rPr>
              <w:t>Classification Code Number)</w:t>
            </w:r>
          </w:p>
        </w:tc>
        <w:tc>
          <w:tcPr>
            <w:tcW w:w="1520" w:type="dxa"/>
            <w:vAlign w:val="bottom"/>
          </w:tcPr>
          <w:p>
            <w:pPr>
              <w:jc w:val="center"/>
              <w:ind w:left="234"/>
              <w:spacing w:after="0"/>
              <w:rPr>
                <w:sz w:val="20"/>
                <w:szCs w:val="20"/>
                <w:color w:val="auto"/>
              </w:rPr>
            </w:pPr>
            <w:r>
              <w:rPr>
                <w:rFonts w:ascii="Arial" w:cs="Arial" w:eastAsia="Arial" w:hAnsi="Arial"/>
                <w:sz w:val="13"/>
                <w:szCs w:val="13"/>
                <w:color w:val="auto"/>
                <w:w w:val="95"/>
              </w:rPr>
              <w:t>Identification Number)</w:t>
            </w:r>
          </w:p>
        </w:tc>
      </w:tr>
      <w:tr>
        <w:trPr>
          <w:trHeight w:val="153"/>
        </w:trPr>
        <w:tc>
          <w:tcPr>
            <w:tcW w:w="1800" w:type="dxa"/>
            <w:vAlign w:val="bottom"/>
          </w:tcPr>
          <w:p>
            <w:pPr>
              <w:spacing w:after="0"/>
              <w:rPr>
                <w:sz w:val="13"/>
                <w:szCs w:val="13"/>
                <w:color w:val="auto"/>
              </w:rPr>
            </w:pPr>
          </w:p>
        </w:tc>
        <w:tc>
          <w:tcPr>
            <w:tcW w:w="3780" w:type="dxa"/>
            <w:vAlign w:val="bottom"/>
          </w:tcPr>
          <w:p>
            <w:pPr>
              <w:jc w:val="center"/>
              <w:ind w:right="35"/>
              <w:spacing w:after="0" w:line="153" w:lineRule="exact"/>
              <w:rPr>
                <w:sz w:val="20"/>
                <w:szCs w:val="20"/>
                <w:color w:val="auto"/>
              </w:rPr>
            </w:pPr>
            <w:r>
              <w:rPr>
                <w:rFonts w:ascii="Arial" w:cs="Arial" w:eastAsia="Arial" w:hAnsi="Arial"/>
                <w:sz w:val="11"/>
                <w:szCs w:val="11"/>
                <w:b w:val="1"/>
                <w:bCs w:val="1"/>
                <w:color w:val="auto"/>
              </w:rPr>
              <w:t>51 Astor Place, 10</w:t>
            </w:r>
            <w:r>
              <w:rPr>
                <w:rFonts w:ascii="Arial" w:cs="Arial" w:eastAsia="Arial" w:hAnsi="Arial"/>
                <w:sz w:val="17"/>
                <w:szCs w:val="17"/>
                <w:b w:val="1"/>
                <w:bCs w:val="1"/>
                <w:color w:val="auto"/>
                <w:vertAlign w:val="superscript"/>
              </w:rPr>
              <w:t>th</w:t>
            </w:r>
            <w:r>
              <w:rPr>
                <w:rFonts w:ascii="Arial" w:cs="Arial" w:eastAsia="Arial" w:hAnsi="Arial"/>
                <w:sz w:val="11"/>
                <w:szCs w:val="11"/>
                <w:b w:val="1"/>
                <w:bCs w:val="1"/>
                <w:color w:val="auto"/>
              </w:rPr>
              <w:t xml:space="preserve"> Floor</w:t>
            </w:r>
          </w:p>
        </w:tc>
        <w:tc>
          <w:tcPr>
            <w:tcW w:w="1520" w:type="dxa"/>
            <w:vAlign w:val="bottom"/>
          </w:tcPr>
          <w:p>
            <w:pPr>
              <w:spacing w:after="0"/>
              <w:rPr>
                <w:sz w:val="13"/>
                <w:szCs w:val="13"/>
                <w:color w:val="auto"/>
              </w:rPr>
            </w:pPr>
          </w:p>
        </w:tc>
      </w:tr>
      <w:tr>
        <w:trPr>
          <w:trHeight w:val="140"/>
        </w:trPr>
        <w:tc>
          <w:tcPr>
            <w:tcW w:w="1800" w:type="dxa"/>
            <w:vAlign w:val="bottom"/>
          </w:tcPr>
          <w:p>
            <w:pPr>
              <w:spacing w:after="0"/>
              <w:rPr>
                <w:sz w:val="12"/>
                <w:szCs w:val="12"/>
                <w:color w:val="auto"/>
              </w:rPr>
            </w:pPr>
          </w:p>
        </w:tc>
        <w:tc>
          <w:tcPr>
            <w:tcW w:w="3780" w:type="dxa"/>
            <w:vAlign w:val="bottom"/>
          </w:tcPr>
          <w:p>
            <w:pPr>
              <w:jc w:val="center"/>
              <w:ind w:right="35"/>
              <w:spacing w:after="0" w:line="140" w:lineRule="exact"/>
              <w:rPr>
                <w:sz w:val="20"/>
                <w:szCs w:val="20"/>
                <w:color w:val="auto"/>
              </w:rPr>
            </w:pPr>
            <w:r>
              <w:rPr>
                <w:rFonts w:ascii="Arial" w:cs="Arial" w:eastAsia="Arial" w:hAnsi="Arial"/>
                <w:sz w:val="13"/>
                <w:szCs w:val="13"/>
                <w:b w:val="1"/>
                <w:bCs w:val="1"/>
                <w:color w:val="auto"/>
                <w:w w:val="94"/>
              </w:rPr>
              <w:t>New York, New York 10003</w:t>
            </w:r>
          </w:p>
        </w:tc>
        <w:tc>
          <w:tcPr>
            <w:tcW w:w="1520" w:type="dxa"/>
            <w:vAlign w:val="bottom"/>
          </w:tcPr>
          <w:p>
            <w:pPr>
              <w:spacing w:after="0"/>
              <w:rPr>
                <w:sz w:val="12"/>
                <w:szCs w:val="12"/>
                <w:color w:val="auto"/>
              </w:rPr>
            </w:pPr>
          </w:p>
        </w:tc>
      </w:tr>
      <w:tr>
        <w:trPr>
          <w:trHeight w:val="144"/>
        </w:trPr>
        <w:tc>
          <w:tcPr>
            <w:tcW w:w="1800" w:type="dxa"/>
            <w:vAlign w:val="bottom"/>
          </w:tcPr>
          <w:p>
            <w:pPr>
              <w:spacing w:after="0"/>
              <w:rPr>
                <w:sz w:val="12"/>
                <w:szCs w:val="12"/>
                <w:color w:val="auto"/>
              </w:rPr>
            </w:pPr>
          </w:p>
        </w:tc>
        <w:tc>
          <w:tcPr>
            <w:tcW w:w="3780" w:type="dxa"/>
            <w:vAlign w:val="bottom"/>
          </w:tcPr>
          <w:p>
            <w:pPr>
              <w:jc w:val="center"/>
              <w:ind w:right="15"/>
              <w:spacing w:after="0" w:line="144" w:lineRule="exact"/>
              <w:rPr>
                <w:sz w:val="20"/>
                <w:szCs w:val="20"/>
                <w:color w:val="auto"/>
              </w:rPr>
            </w:pPr>
            <w:r>
              <w:rPr>
                <w:rFonts w:ascii="Arial" w:cs="Arial" w:eastAsia="Arial" w:hAnsi="Arial"/>
                <w:sz w:val="13"/>
                <w:szCs w:val="13"/>
                <w:b w:val="1"/>
                <w:bCs w:val="1"/>
                <w:color w:val="auto"/>
                <w:w w:val="92"/>
              </w:rPr>
              <w:t>Tel.: (212) 284 2300</w:t>
            </w:r>
          </w:p>
        </w:tc>
        <w:tc>
          <w:tcPr>
            <w:tcW w:w="1520" w:type="dxa"/>
            <w:vAlign w:val="bottom"/>
          </w:tcPr>
          <w:p>
            <w:pPr>
              <w:spacing w:after="0"/>
              <w:rPr>
                <w:sz w:val="12"/>
                <w:szCs w:val="12"/>
                <w:color w:val="auto"/>
              </w:rPr>
            </w:pPr>
          </w:p>
        </w:tc>
      </w:tr>
      <w:tr>
        <w:trPr>
          <w:trHeight w:val="140"/>
        </w:trPr>
        <w:tc>
          <w:tcPr>
            <w:tcW w:w="1800" w:type="dxa"/>
            <w:vAlign w:val="bottom"/>
          </w:tcPr>
          <w:p>
            <w:pPr>
              <w:spacing w:after="0"/>
              <w:rPr>
                <w:sz w:val="12"/>
                <w:szCs w:val="12"/>
                <w:color w:val="auto"/>
              </w:rPr>
            </w:pPr>
          </w:p>
        </w:tc>
        <w:tc>
          <w:tcPr>
            <w:tcW w:w="3780" w:type="dxa"/>
            <w:vAlign w:val="bottom"/>
          </w:tcPr>
          <w:p>
            <w:pPr>
              <w:jc w:val="center"/>
              <w:ind w:right="15"/>
              <w:spacing w:after="0" w:line="140" w:lineRule="exact"/>
              <w:rPr>
                <w:sz w:val="20"/>
                <w:szCs w:val="20"/>
                <w:color w:val="auto"/>
              </w:rPr>
            </w:pPr>
            <w:r>
              <w:rPr>
                <w:rFonts w:ascii="Arial" w:cs="Arial" w:eastAsia="Arial" w:hAnsi="Arial"/>
                <w:sz w:val="13"/>
                <w:szCs w:val="13"/>
                <w:color w:val="auto"/>
                <w:w w:val="91"/>
              </w:rPr>
              <w:t>(Address, including zip code, and telephone number,</w:t>
            </w:r>
          </w:p>
        </w:tc>
        <w:tc>
          <w:tcPr>
            <w:tcW w:w="1520" w:type="dxa"/>
            <w:vAlign w:val="bottom"/>
          </w:tcPr>
          <w:p>
            <w:pPr>
              <w:spacing w:after="0"/>
              <w:rPr>
                <w:sz w:val="12"/>
                <w:szCs w:val="12"/>
                <w:color w:val="auto"/>
              </w:rPr>
            </w:pPr>
          </w:p>
        </w:tc>
      </w:tr>
      <w:tr>
        <w:trPr>
          <w:trHeight w:val="165"/>
        </w:trPr>
        <w:tc>
          <w:tcPr>
            <w:tcW w:w="1800" w:type="dxa"/>
            <w:vAlign w:val="bottom"/>
          </w:tcPr>
          <w:p>
            <w:pPr>
              <w:spacing w:after="0"/>
              <w:rPr>
                <w:sz w:val="14"/>
                <w:szCs w:val="14"/>
                <w:color w:val="auto"/>
              </w:rPr>
            </w:pPr>
          </w:p>
        </w:tc>
        <w:tc>
          <w:tcPr>
            <w:tcW w:w="3780" w:type="dxa"/>
            <w:vAlign w:val="bottom"/>
          </w:tcPr>
          <w:p>
            <w:pPr>
              <w:jc w:val="center"/>
              <w:ind w:right="15"/>
              <w:spacing w:after="0"/>
              <w:rPr>
                <w:sz w:val="20"/>
                <w:szCs w:val="20"/>
                <w:color w:val="auto"/>
              </w:rPr>
            </w:pPr>
            <w:r>
              <w:rPr>
                <w:rFonts w:ascii="Arial" w:cs="Arial" w:eastAsia="Arial" w:hAnsi="Arial"/>
                <w:sz w:val="13"/>
                <w:szCs w:val="13"/>
                <w:color w:val="auto"/>
                <w:w w:val="93"/>
              </w:rPr>
              <w:t>including area code, of registrant’s principal executive offices)</w:t>
            </w:r>
          </w:p>
        </w:tc>
        <w:tc>
          <w:tcPr>
            <w:tcW w:w="1520" w:type="dxa"/>
            <w:vAlign w:val="bottom"/>
          </w:tcPr>
          <w:p>
            <w:pPr>
              <w:spacing w:after="0"/>
              <w:rPr>
                <w:sz w:val="14"/>
                <w:szCs w:val="14"/>
                <w:color w:val="auto"/>
              </w:rPr>
            </w:pPr>
          </w:p>
        </w:tc>
      </w:tr>
      <w:tr>
        <w:trPr>
          <w:trHeight w:val="160"/>
        </w:trPr>
        <w:tc>
          <w:tcPr>
            <w:tcW w:w="1800" w:type="dxa"/>
            <w:vAlign w:val="bottom"/>
          </w:tcPr>
          <w:p>
            <w:pPr>
              <w:spacing w:after="0"/>
              <w:rPr>
                <w:sz w:val="13"/>
                <w:szCs w:val="13"/>
                <w:color w:val="auto"/>
              </w:rPr>
            </w:pPr>
          </w:p>
        </w:tc>
        <w:tc>
          <w:tcPr>
            <w:tcW w:w="3780" w:type="dxa"/>
            <w:vAlign w:val="bottom"/>
          </w:tcPr>
          <w:p>
            <w:pPr>
              <w:jc w:val="center"/>
              <w:ind w:right="15"/>
              <w:spacing w:after="0"/>
              <w:rPr>
                <w:sz w:val="20"/>
                <w:szCs w:val="20"/>
                <w:color w:val="auto"/>
              </w:rPr>
            </w:pPr>
            <w:r>
              <w:rPr>
                <w:rFonts w:ascii="Arial" w:cs="Arial" w:eastAsia="Arial" w:hAnsi="Arial"/>
                <w:sz w:val="13"/>
                <w:szCs w:val="13"/>
                <w:b w:val="1"/>
                <w:bCs w:val="1"/>
                <w:color w:val="auto"/>
                <w:w w:val="92"/>
              </w:rPr>
              <w:t>Adam Stone</w:t>
            </w:r>
          </w:p>
        </w:tc>
        <w:tc>
          <w:tcPr>
            <w:tcW w:w="1520" w:type="dxa"/>
            <w:vAlign w:val="bottom"/>
          </w:tcPr>
          <w:p>
            <w:pPr>
              <w:spacing w:after="0"/>
              <w:rPr>
                <w:sz w:val="13"/>
                <w:szCs w:val="13"/>
                <w:color w:val="auto"/>
              </w:rPr>
            </w:pPr>
          </w:p>
        </w:tc>
      </w:tr>
      <w:tr>
        <w:trPr>
          <w:trHeight w:val="148"/>
        </w:trPr>
        <w:tc>
          <w:tcPr>
            <w:tcW w:w="1800" w:type="dxa"/>
            <w:vAlign w:val="bottom"/>
          </w:tcPr>
          <w:p>
            <w:pPr>
              <w:spacing w:after="0"/>
              <w:rPr>
                <w:sz w:val="12"/>
                <w:szCs w:val="12"/>
                <w:color w:val="auto"/>
              </w:rPr>
            </w:pPr>
          </w:p>
        </w:tc>
        <w:tc>
          <w:tcPr>
            <w:tcW w:w="3780" w:type="dxa"/>
            <w:vAlign w:val="bottom"/>
          </w:tcPr>
          <w:p>
            <w:pPr>
              <w:jc w:val="center"/>
              <w:ind w:right="35"/>
              <w:spacing w:after="0" w:line="148" w:lineRule="exact"/>
              <w:rPr>
                <w:sz w:val="20"/>
                <w:szCs w:val="20"/>
                <w:color w:val="auto"/>
              </w:rPr>
            </w:pPr>
            <w:r>
              <w:rPr>
                <w:rFonts w:ascii="Arial" w:cs="Arial" w:eastAsia="Arial" w:hAnsi="Arial"/>
                <w:sz w:val="11"/>
                <w:szCs w:val="11"/>
                <w:b w:val="1"/>
                <w:bCs w:val="1"/>
                <w:color w:val="auto"/>
              </w:rPr>
              <w:t>51 Astor Place, 10</w:t>
            </w:r>
            <w:r>
              <w:rPr>
                <w:rFonts w:ascii="Arial" w:cs="Arial" w:eastAsia="Arial" w:hAnsi="Arial"/>
                <w:sz w:val="17"/>
                <w:szCs w:val="17"/>
                <w:b w:val="1"/>
                <w:bCs w:val="1"/>
                <w:color w:val="auto"/>
                <w:vertAlign w:val="superscript"/>
              </w:rPr>
              <w:t>th</w:t>
            </w:r>
            <w:r>
              <w:rPr>
                <w:rFonts w:ascii="Arial" w:cs="Arial" w:eastAsia="Arial" w:hAnsi="Arial"/>
                <w:sz w:val="11"/>
                <w:szCs w:val="11"/>
                <w:b w:val="1"/>
                <w:bCs w:val="1"/>
                <w:color w:val="auto"/>
              </w:rPr>
              <w:t xml:space="preserve"> Floor</w:t>
            </w:r>
          </w:p>
        </w:tc>
        <w:tc>
          <w:tcPr>
            <w:tcW w:w="1520" w:type="dxa"/>
            <w:vAlign w:val="bottom"/>
          </w:tcPr>
          <w:p>
            <w:pPr>
              <w:spacing w:after="0"/>
              <w:rPr>
                <w:sz w:val="12"/>
                <w:szCs w:val="12"/>
                <w:color w:val="auto"/>
              </w:rPr>
            </w:pPr>
          </w:p>
        </w:tc>
      </w:tr>
      <w:tr>
        <w:trPr>
          <w:trHeight w:val="140"/>
        </w:trPr>
        <w:tc>
          <w:tcPr>
            <w:tcW w:w="1800" w:type="dxa"/>
            <w:vAlign w:val="bottom"/>
          </w:tcPr>
          <w:p>
            <w:pPr>
              <w:spacing w:after="0"/>
              <w:rPr>
                <w:sz w:val="12"/>
                <w:szCs w:val="12"/>
                <w:color w:val="auto"/>
              </w:rPr>
            </w:pPr>
          </w:p>
        </w:tc>
        <w:tc>
          <w:tcPr>
            <w:tcW w:w="3780" w:type="dxa"/>
            <w:vAlign w:val="bottom"/>
          </w:tcPr>
          <w:p>
            <w:pPr>
              <w:jc w:val="center"/>
              <w:ind w:right="35"/>
              <w:spacing w:after="0" w:line="140" w:lineRule="exact"/>
              <w:rPr>
                <w:sz w:val="20"/>
                <w:szCs w:val="20"/>
                <w:color w:val="auto"/>
              </w:rPr>
            </w:pPr>
            <w:r>
              <w:rPr>
                <w:rFonts w:ascii="Arial" w:cs="Arial" w:eastAsia="Arial" w:hAnsi="Arial"/>
                <w:sz w:val="13"/>
                <w:szCs w:val="13"/>
                <w:b w:val="1"/>
                <w:bCs w:val="1"/>
                <w:color w:val="auto"/>
                <w:w w:val="94"/>
              </w:rPr>
              <w:t>New York, New York 10003</w:t>
            </w:r>
          </w:p>
        </w:tc>
        <w:tc>
          <w:tcPr>
            <w:tcW w:w="1520" w:type="dxa"/>
            <w:vAlign w:val="bottom"/>
          </w:tcPr>
          <w:p>
            <w:pPr>
              <w:spacing w:after="0"/>
              <w:rPr>
                <w:sz w:val="12"/>
                <w:szCs w:val="12"/>
                <w:color w:val="auto"/>
              </w:rPr>
            </w:pPr>
          </w:p>
        </w:tc>
      </w:tr>
      <w:tr>
        <w:trPr>
          <w:trHeight w:val="144"/>
        </w:trPr>
        <w:tc>
          <w:tcPr>
            <w:tcW w:w="1800" w:type="dxa"/>
            <w:vAlign w:val="bottom"/>
          </w:tcPr>
          <w:p>
            <w:pPr>
              <w:spacing w:after="0"/>
              <w:rPr>
                <w:sz w:val="12"/>
                <w:szCs w:val="12"/>
                <w:color w:val="auto"/>
              </w:rPr>
            </w:pPr>
          </w:p>
        </w:tc>
        <w:tc>
          <w:tcPr>
            <w:tcW w:w="3780" w:type="dxa"/>
            <w:vAlign w:val="bottom"/>
          </w:tcPr>
          <w:p>
            <w:pPr>
              <w:jc w:val="center"/>
              <w:ind w:right="15"/>
              <w:spacing w:after="0" w:line="144" w:lineRule="exact"/>
              <w:rPr>
                <w:sz w:val="20"/>
                <w:szCs w:val="20"/>
                <w:color w:val="auto"/>
              </w:rPr>
            </w:pPr>
            <w:r>
              <w:rPr>
                <w:rFonts w:ascii="Arial" w:cs="Arial" w:eastAsia="Arial" w:hAnsi="Arial"/>
                <w:sz w:val="13"/>
                <w:szCs w:val="13"/>
                <w:b w:val="1"/>
                <w:bCs w:val="1"/>
                <w:color w:val="auto"/>
                <w:w w:val="92"/>
              </w:rPr>
              <w:t>Tel.: (212) 284 2300</w:t>
            </w:r>
          </w:p>
        </w:tc>
        <w:tc>
          <w:tcPr>
            <w:tcW w:w="1520" w:type="dxa"/>
            <w:vAlign w:val="bottom"/>
          </w:tcPr>
          <w:p>
            <w:pPr>
              <w:spacing w:after="0"/>
              <w:rPr>
                <w:sz w:val="12"/>
                <w:szCs w:val="12"/>
                <w:color w:val="auto"/>
              </w:rPr>
            </w:pPr>
          </w:p>
        </w:tc>
      </w:tr>
      <w:tr>
        <w:trPr>
          <w:trHeight w:val="140"/>
        </w:trPr>
        <w:tc>
          <w:tcPr>
            <w:tcW w:w="1800" w:type="dxa"/>
            <w:vAlign w:val="bottom"/>
          </w:tcPr>
          <w:p>
            <w:pPr>
              <w:spacing w:after="0"/>
              <w:rPr>
                <w:sz w:val="12"/>
                <w:szCs w:val="12"/>
                <w:color w:val="auto"/>
              </w:rPr>
            </w:pPr>
          </w:p>
        </w:tc>
        <w:tc>
          <w:tcPr>
            <w:tcW w:w="3780" w:type="dxa"/>
            <w:vAlign w:val="bottom"/>
          </w:tcPr>
          <w:p>
            <w:pPr>
              <w:jc w:val="center"/>
              <w:ind w:right="35"/>
              <w:spacing w:after="0" w:line="140" w:lineRule="exact"/>
              <w:rPr>
                <w:sz w:val="20"/>
                <w:szCs w:val="20"/>
                <w:color w:val="auto"/>
              </w:rPr>
            </w:pPr>
            <w:r>
              <w:rPr>
                <w:rFonts w:ascii="Arial" w:cs="Arial" w:eastAsia="Arial" w:hAnsi="Arial"/>
                <w:sz w:val="13"/>
                <w:szCs w:val="13"/>
                <w:color w:val="auto"/>
                <w:w w:val="90"/>
              </w:rPr>
              <w:t>(Name, address, including zip code, and telephone number,</w:t>
            </w:r>
          </w:p>
        </w:tc>
        <w:tc>
          <w:tcPr>
            <w:tcW w:w="1520" w:type="dxa"/>
            <w:vAlign w:val="bottom"/>
          </w:tcPr>
          <w:p>
            <w:pPr>
              <w:spacing w:after="0"/>
              <w:rPr>
                <w:sz w:val="12"/>
                <w:szCs w:val="12"/>
                <w:color w:val="auto"/>
              </w:rPr>
            </w:pPr>
          </w:p>
        </w:tc>
      </w:tr>
      <w:tr>
        <w:trPr>
          <w:trHeight w:val="165"/>
        </w:trPr>
        <w:tc>
          <w:tcPr>
            <w:tcW w:w="1800" w:type="dxa"/>
            <w:vAlign w:val="bottom"/>
          </w:tcPr>
          <w:p>
            <w:pPr>
              <w:spacing w:after="0"/>
              <w:rPr>
                <w:sz w:val="14"/>
                <w:szCs w:val="14"/>
                <w:color w:val="auto"/>
              </w:rPr>
            </w:pPr>
          </w:p>
        </w:tc>
        <w:tc>
          <w:tcPr>
            <w:tcW w:w="3780" w:type="dxa"/>
            <w:vAlign w:val="bottom"/>
          </w:tcPr>
          <w:p>
            <w:pPr>
              <w:jc w:val="center"/>
              <w:ind w:right="35"/>
              <w:spacing w:after="0"/>
              <w:rPr>
                <w:sz w:val="20"/>
                <w:szCs w:val="20"/>
                <w:color w:val="auto"/>
              </w:rPr>
            </w:pPr>
            <w:r>
              <w:rPr>
                <w:rFonts w:ascii="Arial" w:cs="Arial" w:eastAsia="Arial" w:hAnsi="Arial"/>
                <w:sz w:val="13"/>
                <w:szCs w:val="13"/>
                <w:color w:val="auto"/>
                <w:w w:val="91"/>
              </w:rPr>
              <w:t>including area code, of agent for service)</w:t>
            </w:r>
          </w:p>
        </w:tc>
        <w:tc>
          <w:tcPr>
            <w:tcW w:w="1520" w:type="dxa"/>
            <w:vAlign w:val="bottom"/>
          </w:tcPr>
          <w:p>
            <w:pPr>
              <w:spacing w:after="0"/>
              <w:rPr>
                <w:sz w:val="14"/>
                <w:szCs w:val="14"/>
                <w:color w:val="auto"/>
              </w:rPr>
            </w:pPr>
          </w:p>
        </w:tc>
      </w:tr>
      <w:tr>
        <w:trPr>
          <w:trHeight w:val="198"/>
        </w:trPr>
        <w:tc>
          <w:tcPr>
            <w:tcW w:w="1800" w:type="dxa"/>
            <w:vAlign w:val="bottom"/>
          </w:tcPr>
          <w:p>
            <w:pPr>
              <w:spacing w:after="0"/>
              <w:rPr>
                <w:sz w:val="17"/>
                <w:szCs w:val="17"/>
                <w:color w:val="auto"/>
              </w:rPr>
            </w:pPr>
          </w:p>
        </w:tc>
        <w:tc>
          <w:tcPr>
            <w:tcW w:w="3780" w:type="dxa"/>
            <w:vAlign w:val="bottom"/>
          </w:tcPr>
          <w:p>
            <w:pPr>
              <w:jc w:val="center"/>
              <w:ind w:right="15"/>
              <w:spacing w:after="0"/>
              <w:rPr>
                <w:sz w:val="20"/>
                <w:szCs w:val="20"/>
                <w:color w:val="auto"/>
              </w:rPr>
            </w:pPr>
            <w:r>
              <w:rPr>
                <w:rFonts w:ascii="Arial" w:cs="Arial" w:eastAsia="Arial" w:hAnsi="Arial"/>
                <w:sz w:val="13"/>
                <w:szCs w:val="13"/>
                <w:b w:val="1"/>
                <w:bCs w:val="1"/>
                <w:i w:val="1"/>
                <w:iCs w:val="1"/>
                <w:color w:val="auto"/>
                <w:w w:val="84"/>
              </w:rPr>
              <w:t>Copies to:</w:t>
            </w:r>
          </w:p>
        </w:tc>
        <w:tc>
          <w:tcPr>
            <w:tcW w:w="1520" w:type="dxa"/>
            <w:vAlign w:val="bottom"/>
          </w:tcPr>
          <w:p>
            <w:pPr>
              <w:spacing w:after="0"/>
              <w:rPr>
                <w:sz w:val="17"/>
                <w:szCs w:val="17"/>
                <w:color w:val="auto"/>
              </w:rPr>
            </w:pPr>
          </w:p>
        </w:tc>
      </w:tr>
    </w:tbl>
    <w:p>
      <w:pPr>
        <w:spacing w:after="0" w:line="100" w:lineRule="exact"/>
        <w:rPr>
          <w:sz w:val="24"/>
          <w:szCs w:val="24"/>
          <w:color w:val="auto"/>
        </w:rPr>
      </w:pPr>
    </w:p>
    <w:tbl>
      <w:tblPr>
        <w:tblLayout w:type="fixed"/>
        <w:tblInd w:w="1580" w:type="dxa"/>
        <w:tblCellMar>
          <w:top w:w="0" w:type="dxa"/>
          <w:left w:w="0" w:type="dxa"/>
          <w:bottom w:w="0" w:type="dxa"/>
          <w:right w:w="0" w:type="dxa"/>
        </w:tblCellMar>
      </w:tblPr>
      <w:tr>
        <w:trPr>
          <w:trHeight w:val="149"/>
        </w:trPr>
        <w:tc>
          <w:tcPr>
            <w:tcW w:w="2180" w:type="dxa"/>
            <w:vAlign w:val="bottom"/>
          </w:tcPr>
          <w:p>
            <w:pPr>
              <w:jc w:val="center"/>
              <w:ind w:right="554"/>
              <w:spacing w:after="0"/>
              <w:rPr>
                <w:sz w:val="20"/>
                <w:szCs w:val="20"/>
                <w:color w:val="auto"/>
              </w:rPr>
            </w:pPr>
            <w:r>
              <w:rPr>
                <w:rFonts w:ascii="Arial" w:cs="Arial" w:eastAsia="Arial" w:hAnsi="Arial"/>
                <w:sz w:val="13"/>
                <w:szCs w:val="13"/>
                <w:b w:val="1"/>
                <w:bCs w:val="1"/>
                <w:color w:val="auto"/>
                <w:w w:val="95"/>
              </w:rPr>
              <w:t>Christian O. Nagler</w:t>
            </w:r>
          </w:p>
        </w:tc>
        <w:tc>
          <w:tcPr>
            <w:tcW w:w="1480" w:type="dxa"/>
            <w:vAlign w:val="bottom"/>
          </w:tcPr>
          <w:p>
            <w:pPr>
              <w:spacing w:after="0"/>
              <w:rPr>
                <w:sz w:val="13"/>
                <w:szCs w:val="13"/>
                <w:color w:val="auto"/>
              </w:rPr>
            </w:pPr>
          </w:p>
        </w:tc>
        <w:tc>
          <w:tcPr>
            <w:tcW w:w="2640" w:type="dxa"/>
            <w:vAlign w:val="bottom"/>
          </w:tcPr>
          <w:p>
            <w:pPr>
              <w:jc w:val="center"/>
              <w:ind w:left="54"/>
              <w:spacing w:after="0"/>
              <w:rPr>
                <w:sz w:val="20"/>
                <w:szCs w:val="20"/>
                <w:color w:val="auto"/>
              </w:rPr>
            </w:pPr>
            <w:r>
              <w:rPr>
                <w:rFonts w:ascii="Arial" w:cs="Arial" w:eastAsia="Arial" w:hAnsi="Arial"/>
                <w:sz w:val="13"/>
                <w:szCs w:val="13"/>
                <w:b w:val="1"/>
                <w:bCs w:val="1"/>
                <w:color w:val="auto"/>
                <w:w w:val="92"/>
              </w:rPr>
              <w:t>Gregg A. Noel</w:t>
            </w:r>
          </w:p>
        </w:tc>
      </w:tr>
      <w:tr>
        <w:trPr>
          <w:trHeight w:val="140"/>
        </w:trPr>
        <w:tc>
          <w:tcPr>
            <w:tcW w:w="2180" w:type="dxa"/>
            <w:vAlign w:val="bottom"/>
          </w:tcPr>
          <w:p>
            <w:pPr>
              <w:jc w:val="center"/>
              <w:ind w:right="554"/>
              <w:spacing w:after="0" w:line="140" w:lineRule="exact"/>
              <w:rPr>
                <w:sz w:val="20"/>
                <w:szCs w:val="20"/>
                <w:color w:val="auto"/>
              </w:rPr>
            </w:pPr>
            <w:r>
              <w:rPr>
                <w:rFonts w:ascii="Arial" w:cs="Arial" w:eastAsia="Arial" w:hAnsi="Arial"/>
                <w:sz w:val="13"/>
                <w:szCs w:val="13"/>
                <w:b w:val="1"/>
                <w:bCs w:val="1"/>
                <w:color w:val="auto"/>
                <w:w w:val="93"/>
              </w:rPr>
              <w:t>Ross M. Leff</w:t>
            </w:r>
          </w:p>
        </w:tc>
        <w:tc>
          <w:tcPr>
            <w:tcW w:w="1480" w:type="dxa"/>
            <w:vAlign w:val="bottom"/>
          </w:tcPr>
          <w:p>
            <w:pPr>
              <w:spacing w:after="0"/>
              <w:rPr>
                <w:sz w:val="12"/>
                <w:szCs w:val="12"/>
                <w:color w:val="auto"/>
              </w:rPr>
            </w:pPr>
          </w:p>
        </w:tc>
        <w:tc>
          <w:tcPr>
            <w:tcW w:w="2640" w:type="dxa"/>
            <w:vAlign w:val="bottom"/>
          </w:tcPr>
          <w:p>
            <w:pPr>
              <w:jc w:val="center"/>
              <w:ind w:left="74"/>
              <w:spacing w:after="0" w:line="140" w:lineRule="exact"/>
              <w:rPr>
                <w:sz w:val="20"/>
                <w:szCs w:val="20"/>
                <w:color w:val="auto"/>
              </w:rPr>
            </w:pPr>
            <w:r>
              <w:rPr>
                <w:rFonts w:ascii="Arial" w:cs="Arial" w:eastAsia="Arial" w:hAnsi="Arial"/>
                <w:sz w:val="13"/>
                <w:szCs w:val="13"/>
                <w:b w:val="1"/>
                <w:bCs w:val="1"/>
                <w:color w:val="auto"/>
                <w:w w:val="95"/>
              </w:rPr>
              <w:t>Michael J. Mies</w:t>
            </w:r>
          </w:p>
        </w:tc>
      </w:tr>
      <w:tr>
        <w:trPr>
          <w:trHeight w:val="140"/>
        </w:trPr>
        <w:tc>
          <w:tcPr>
            <w:tcW w:w="2180" w:type="dxa"/>
            <w:vAlign w:val="bottom"/>
          </w:tcPr>
          <w:p>
            <w:pPr>
              <w:jc w:val="center"/>
              <w:ind w:right="574"/>
              <w:spacing w:after="0" w:line="140" w:lineRule="exact"/>
              <w:rPr>
                <w:sz w:val="20"/>
                <w:szCs w:val="20"/>
                <w:color w:val="auto"/>
              </w:rPr>
            </w:pPr>
            <w:r>
              <w:rPr>
                <w:rFonts w:ascii="Arial" w:cs="Arial" w:eastAsia="Arial" w:hAnsi="Arial"/>
                <w:sz w:val="13"/>
                <w:szCs w:val="13"/>
                <w:b w:val="1"/>
                <w:bCs w:val="1"/>
                <w:color w:val="auto"/>
                <w:w w:val="98"/>
              </w:rPr>
              <w:t>Kirkland &amp; Ellis LLP</w:t>
            </w:r>
          </w:p>
        </w:tc>
        <w:tc>
          <w:tcPr>
            <w:tcW w:w="1480" w:type="dxa"/>
            <w:vAlign w:val="bottom"/>
          </w:tcPr>
          <w:p>
            <w:pPr>
              <w:spacing w:after="0"/>
              <w:rPr>
                <w:sz w:val="12"/>
                <w:szCs w:val="12"/>
                <w:color w:val="auto"/>
              </w:rPr>
            </w:pPr>
          </w:p>
        </w:tc>
        <w:tc>
          <w:tcPr>
            <w:tcW w:w="2640" w:type="dxa"/>
            <w:vAlign w:val="bottom"/>
          </w:tcPr>
          <w:p>
            <w:pPr>
              <w:jc w:val="center"/>
              <w:ind w:left="74"/>
              <w:spacing w:after="0" w:line="140" w:lineRule="exact"/>
              <w:rPr>
                <w:sz w:val="20"/>
                <w:szCs w:val="20"/>
                <w:color w:val="auto"/>
              </w:rPr>
            </w:pPr>
            <w:r>
              <w:rPr>
                <w:rFonts w:ascii="Arial" w:cs="Arial" w:eastAsia="Arial" w:hAnsi="Arial"/>
                <w:sz w:val="13"/>
                <w:szCs w:val="13"/>
                <w:b w:val="1"/>
                <w:bCs w:val="1"/>
                <w:color w:val="auto"/>
                <w:w w:val="94"/>
              </w:rPr>
              <w:t>Skadden, Arps, Slate, Meagher &amp; Flom LLP</w:t>
            </w:r>
          </w:p>
        </w:tc>
      </w:tr>
      <w:tr>
        <w:trPr>
          <w:trHeight w:val="140"/>
        </w:trPr>
        <w:tc>
          <w:tcPr>
            <w:tcW w:w="2180" w:type="dxa"/>
            <w:vAlign w:val="bottom"/>
          </w:tcPr>
          <w:p>
            <w:pPr>
              <w:jc w:val="center"/>
              <w:ind w:right="574"/>
              <w:spacing w:after="0" w:line="140" w:lineRule="exact"/>
              <w:rPr>
                <w:sz w:val="20"/>
                <w:szCs w:val="20"/>
                <w:color w:val="auto"/>
              </w:rPr>
            </w:pPr>
            <w:r>
              <w:rPr>
                <w:rFonts w:ascii="Arial" w:cs="Arial" w:eastAsia="Arial" w:hAnsi="Arial"/>
                <w:sz w:val="13"/>
                <w:szCs w:val="13"/>
                <w:b w:val="1"/>
                <w:bCs w:val="1"/>
                <w:color w:val="auto"/>
                <w:w w:val="91"/>
              </w:rPr>
              <w:t>601 Lexington Avenue</w:t>
            </w:r>
          </w:p>
        </w:tc>
        <w:tc>
          <w:tcPr>
            <w:tcW w:w="1480" w:type="dxa"/>
            <w:vAlign w:val="bottom"/>
          </w:tcPr>
          <w:p>
            <w:pPr>
              <w:spacing w:after="0"/>
              <w:rPr>
                <w:sz w:val="12"/>
                <w:szCs w:val="12"/>
                <w:color w:val="auto"/>
              </w:rPr>
            </w:pPr>
          </w:p>
        </w:tc>
        <w:tc>
          <w:tcPr>
            <w:tcW w:w="2640" w:type="dxa"/>
            <w:vAlign w:val="bottom"/>
          </w:tcPr>
          <w:p>
            <w:pPr>
              <w:jc w:val="center"/>
              <w:ind w:left="74"/>
              <w:spacing w:after="0" w:line="140" w:lineRule="exact"/>
              <w:rPr>
                <w:sz w:val="20"/>
                <w:szCs w:val="20"/>
                <w:color w:val="auto"/>
              </w:rPr>
            </w:pPr>
            <w:r>
              <w:rPr>
                <w:rFonts w:ascii="Arial" w:cs="Arial" w:eastAsia="Arial" w:hAnsi="Arial"/>
                <w:sz w:val="13"/>
                <w:szCs w:val="13"/>
                <w:b w:val="1"/>
                <w:bCs w:val="1"/>
                <w:color w:val="auto"/>
                <w:w w:val="90"/>
              </w:rPr>
              <w:t>525 University Avenue, Suite 1400</w:t>
            </w:r>
          </w:p>
        </w:tc>
      </w:tr>
      <w:tr>
        <w:trPr>
          <w:trHeight w:val="140"/>
        </w:trPr>
        <w:tc>
          <w:tcPr>
            <w:tcW w:w="2180" w:type="dxa"/>
            <w:vAlign w:val="bottom"/>
          </w:tcPr>
          <w:p>
            <w:pPr>
              <w:jc w:val="center"/>
              <w:ind w:right="574"/>
              <w:spacing w:after="0" w:line="140" w:lineRule="exact"/>
              <w:rPr>
                <w:sz w:val="20"/>
                <w:szCs w:val="20"/>
                <w:color w:val="auto"/>
              </w:rPr>
            </w:pPr>
            <w:r>
              <w:rPr>
                <w:rFonts w:ascii="Arial" w:cs="Arial" w:eastAsia="Arial" w:hAnsi="Arial"/>
                <w:sz w:val="13"/>
                <w:szCs w:val="13"/>
                <w:b w:val="1"/>
                <w:bCs w:val="1"/>
                <w:color w:val="auto"/>
                <w:w w:val="93"/>
              </w:rPr>
              <w:t>New York, New York 10022</w:t>
            </w:r>
          </w:p>
        </w:tc>
        <w:tc>
          <w:tcPr>
            <w:tcW w:w="1480" w:type="dxa"/>
            <w:vAlign w:val="bottom"/>
          </w:tcPr>
          <w:p>
            <w:pPr>
              <w:spacing w:after="0"/>
              <w:rPr>
                <w:sz w:val="12"/>
                <w:szCs w:val="12"/>
                <w:color w:val="auto"/>
              </w:rPr>
            </w:pPr>
          </w:p>
        </w:tc>
        <w:tc>
          <w:tcPr>
            <w:tcW w:w="2640" w:type="dxa"/>
            <w:vAlign w:val="bottom"/>
          </w:tcPr>
          <w:p>
            <w:pPr>
              <w:jc w:val="center"/>
              <w:ind w:left="74"/>
              <w:spacing w:after="0" w:line="140" w:lineRule="exact"/>
              <w:rPr>
                <w:sz w:val="20"/>
                <w:szCs w:val="20"/>
                <w:color w:val="auto"/>
              </w:rPr>
            </w:pPr>
            <w:r>
              <w:rPr>
                <w:rFonts w:ascii="Arial" w:cs="Arial" w:eastAsia="Arial" w:hAnsi="Arial"/>
                <w:sz w:val="13"/>
                <w:szCs w:val="13"/>
                <w:b w:val="1"/>
                <w:bCs w:val="1"/>
                <w:color w:val="auto"/>
                <w:w w:val="94"/>
              </w:rPr>
              <w:t>Palo Alto, California 94301</w:t>
            </w:r>
          </w:p>
        </w:tc>
      </w:tr>
      <w:tr>
        <w:trPr>
          <w:trHeight w:val="140"/>
        </w:trPr>
        <w:tc>
          <w:tcPr>
            <w:tcW w:w="2180" w:type="dxa"/>
            <w:vAlign w:val="bottom"/>
          </w:tcPr>
          <w:p>
            <w:pPr>
              <w:jc w:val="center"/>
              <w:ind w:right="574"/>
              <w:spacing w:after="0" w:line="140" w:lineRule="exact"/>
              <w:rPr>
                <w:sz w:val="20"/>
                <w:szCs w:val="20"/>
                <w:color w:val="auto"/>
              </w:rPr>
            </w:pPr>
            <w:r>
              <w:rPr>
                <w:rFonts w:ascii="Arial" w:cs="Arial" w:eastAsia="Arial" w:hAnsi="Arial"/>
                <w:sz w:val="13"/>
                <w:szCs w:val="13"/>
                <w:b w:val="1"/>
                <w:bCs w:val="1"/>
                <w:color w:val="auto"/>
                <w:w w:val="92"/>
              </w:rPr>
              <w:t>Tel: (212) 446 4800</w:t>
            </w:r>
          </w:p>
        </w:tc>
        <w:tc>
          <w:tcPr>
            <w:tcW w:w="1480" w:type="dxa"/>
            <w:vAlign w:val="bottom"/>
          </w:tcPr>
          <w:p>
            <w:pPr>
              <w:spacing w:after="0"/>
              <w:rPr>
                <w:sz w:val="12"/>
                <w:szCs w:val="12"/>
                <w:color w:val="auto"/>
              </w:rPr>
            </w:pPr>
          </w:p>
        </w:tc>
        <w:tc>
          <w:tcPr>
            <w:tcW w:w="2640" w:type="dxa"/>
            <w:vAlign w:val="bottom"/>
          </w:tcPr>
          <w:p>
            <w:pPr>
              <w:jc w:val="center"/>
              <w:ind w:left="74"/>
              <w:spacing w:after="0" w:line="140" w:lineRule="exact"/>
              <w:rPr>
                <w:sz w:val="20"/>
                <w:szCs w:val="20"/>
                <w:color w:val="auto"/>
              </w:rPr>
            </w:pPr>
            <w:r>
              <w:rPr>
                <w:rFonts w:ascii="Arial" w:cs="Arial" w:eastAsia="Arial" w:hAnsi="Arial"/>
                <w:sz w:val="13"/>
                <w:szCs w:val="13"/>
                <w:b w:val="1"/>
                <w:bCs w:val="1"/>
                <w:color w:val="auto"/>
                <w:w w:val="92"/>
              </w:rPr>
              <w:t>Tel: (650) 470 4500</w:t>
            </w:r>
          </w:p>
        </w:tc>
      </w:tr>
      <w:tr>
        <w:trPr>
          <w:trHeight w:val="169"/>
        </w:trPr>
        <w:tc>
          <w:tcPr>
            <w:tcW w:w="2180" w:type="dxa"/>
            <w:vAlign w:val="bottom"/>
          </w:tcPr>
          <w:p>
            <w:pPr>
              <w:jc w:val="center"/>
              <w:ind w:right="534"/>
              <w:spacing w:after="0"/>
              <w:rPr>
                <w:sz w:val="20"/>
                <w:szCs w:val="20"/>
                <w:color w:val="auto"/>
              </w:rPr>
            </w:pPr>
            <w:r>
              <w:rPr>
                <w:rFonts w:ascii="Arial" w:cs="Arial" w:eastAsia="Arial" w:hAnsi="Arial"/>
                <w:sz w:val="13"/>
                <w:szCs w:val="13"/>
                <w:b w:val="1"/>
                <w:bCs w:val="1"/>
                <w:color w:val="auto"/>
                <w:w w:val="92"/>
              </w:rPr>
              <w:t>Fax: (212) 446 4900</w:t>
            </w:r>
          </w:p>
        </w:tc>
        <w:tc>
          <w:tcPr>
            <w:tcW w:w="1480" w:type="dxa"/>
            <w:vAlign w:val="bottom"/>
          </w:tcPr>
          <w:p>
            <w:pPr>
              <w:spacing w:after="0"/>
              <w:rPr>
                <w:sz w:val="14"/>
                <w:szCs w:val="14"/>
                <w:color w:val="auto"/>
              </w:rPr>
            </w:pPr>
          </w:p>
        </w:tc>
        <w:tc>
          <w:tcPr>
            <w:tcW w:w="2640" w:type="dxa"/>
            <w:vAlign w:val="bottom"/>
          </w:tcPr>
          <w:p>
            <w:pPr>
              <w:jc w:val="center"/>
              <w:ind w:left="114"/>
              <w:spacing w:after="0"/>
              <w:rPr>
                <w:sz w:val="20"/>
                <w:szCs w:val="20"/>
                <w:color w:val="auto"/>
              </w:rPr>
            </w:pPr>
            <w:r>
              <w:rPr>
                <w:rFonts w:ascii="Arial" w:cs="Arial" w:eastAsia="Arial" w:hAnsi="Arial"/>
                <w:sz w:val="13"/>
                <w:szCs w:val="13"/>
                <w:b w:val="1"/>
                <w:bCs w:val="1"/>
                <w:color w:val="auto"/>
                <w:w w:val="92"/>
              </w:rPr>
              <w:t>Fax: (650) 470 4570</w:t>
            </w:r>
          </w:p>
        </w:tc>
      </w:tr>
      <w:tr>
        <w:trPr>
          <w:trHeight w:val="43"/>
        </w:trPr>
        <w:tc>
          <w:tcPr>
            <w:tcW w:w="2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640" w:type="dxa"/>
            <w:vAlign w:val="bottom"/>
          </w:tcPr>
          <w:p>
            <w:pPr>
              <w:spacing w:after="0"/>
              <w:rPr>
                <w:sz w:val="3"/>
                <w:szCs w:val="3"/>
                <w:color w:val="auto"/>
              </w:rPr>
            </w:pPr>
          </w:p>
        </w:tc>
      </w:tr>
    </w:tbl>
    <w:p>
      <w:pPr>
        <w:spacing w:after="0" w:line="101" w:lineRule="exact"/>
        <w:rPr>
          <w:sz w:val="24"/>
          <w:szCs w:val="24"/>
          <w:color w:val="auto"/>
        </w:rPr>
      </w:pPr>
    </w:p>
    <w:p>
      <w:pPr>
        <w:ind w:left="32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the effective date of this registration statement.</w:t>
      </w:r>
    </w:p>
    <w:p>
      <w:pPr>
        <w:spacing w:after="0" w:line="75" w:lineRule="exact"/>
        <w:rPr>
          <w:sz w:val="24"/>
          <w:szCs w:val="24"/>
          <w:color w:val="auto"/>
        </w:rPr>
      </w:pPr>
    </w:p>
    <w:p>
      <w:pPr>
        <w:ind w:left="320" w:right="419"/>
        <w:spacing w:after="0" w:line="167"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1" w:lineRule="exact"/>
        <w:rPr>
          <w:sz w:val="24"/>
          <w:szCs w:val="24"/>
          <w:color w:val="auto"/>
        </w:rPr>
      </w:pPr>
    </w:p>
    <w:p>
      <w:pPr>
        <w:ind w:left="320" w:right="519"/>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0" w:lineRule="exact"/>
        <w:rPr>
          <w:sz w:val="24"/>
          <w:szCs w:val="24"/>
          <w:color w:val="auto"/>
        </w:rPr>
      </w:pPr>
    </w:p>
    <w:p>
      <w:pPr>
        <w:ind w:left="320" w:right="879"/>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1" w:lineRule="exact"/>
        <w:rPr>
          <w:sz w:val="24"/>
          <w:szCs w:val="24"/>
          <w:color w:val="auto"/>
        </w:rPr>
      </w:pPr>
    </w:p>
    <w:p>
      <w:pPr>
        <w:ind w:left="320" w:right="859"/>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1" w:lineRule="exact"/>
        <w:rPr>
          <w:sz w:val="24"/>
          <w:szCs w:val="24"/>
          <w:color w:val="auto"/>
        </w:rPr>
      </w:pPr>
    </w:p>
    <w:p>
      <w:pPr>
        <w:ind w:left="320" w:right="379"/>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p>
      <w:pPr>
        <w:ind w:left="320"/>
        <w:spacing w:after="0" w:line="150" w:lineRule="exact"/>
        <w:tabs>
          <w:tab w:leader="none" w:pos="2420" w:val="left"/>
          <w:tab w:leader="none" w:pos="4560" w:val="left"/>
          <w:tab w:leader="none" w:pos="66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60" w:lineRule="exact"/>
        <w:rPr>
          <w:sz w:val="24"/>
          <w:szCs w:val="24"/>
          <w:color w:val="auto"/>
        </w:rPr>
      </w:pPr>
    </w:p>
    <w:p>
      <w:pPr>
        <w:ind w:left="67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 w:lineRule="exact"/>
        <w:rPr>
          <w:sz w:val="24"/>
          <w:szCs w:val="24"/>
          <w:color w:val="auto"/>
        </w:rPr>
      </w:pPr>
    </w:p>
    <w:p>
      <w:pPr>
        <w:ind w:left="320" w:right="459"/>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45720</wp:posOffset>
            </wp:positionV>
            <wp:extent cx="53193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19395" cy="7620"/>
                    </a:xfrm>
                    <a:prstGeom prst="rect">
                      <a:avLst/>
                    </a:prstGeom>
                    <a:noFill/>
                  </pic:spPr>
                </pic:pic>
              </a:graphicData>
            </a:graphic>
          </wp:anchor>
        </w:drawing>
      </w:r>
    </w:p>
    <w:p>
      <w:pPr>
        <w:spacing w:after="0" w:line="162" w:lineRule="exact"/>
        <w:rPr>
          <w:sz w:val="24"/>
          <w:szCs w:val="24"/>
          <w:color w:val="auto"/>
        </w:rPr>
      </w:pPr>
    </w:p>
    <w:tbl>
      <w:tblPr>
        <w:tblLayout w:type="fixed"/>
        <w:tblInd w:w="32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Proposed</w:t>
            </w: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Proposed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6"/>
              </w:rPr>
              <w:t>Amount</w:t>
            </w:r>
          </w:p>
        </w:tc>
        <w:tc>
          <w:tcPr>
            <w:tcW w:w="100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rPr>
              <w:t>Maximum</w:t>
            </w:r>
          </w:p>
        </w:tc>
        <w:tc>
          <w:tcPr>
            <w:tcW w:w="110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rPr>
              <w:t>Maximum</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5"/>
              </w:rPr>
              <w:t>Offering Price</w:t>
            </w:r>
          </w:p>
        </w:tc>
        <w:tc>
          <w:tcPr>
            <w:tcW w:w="110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0"/>
              </w:rPr>
              <w:t>Aggregate</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Amount of</w:t>
            </w:r>
          </w:p>
        </w:tc>
        <w:tc>
          <w:tcPr>
            <w:tcW w:w="0" w:type="dxa"/>
            <w:vAlign w:val="bottom"/>
          </w:tcPr>
          <w:p>
            <w:pPr>
              <w:spacing w:after="0"/>
              <w:rPr>
                <w:sz w:val="1"/>
                <w:szCs w:val="1"/>
                <w:color w:val="auto"/>
              </w:rPr>
            </w:pPr>
          </w:p>
        </w:tc>
      </w:tr>
      <w:tr>
        <w:trPr>
          <w:trHeight w:val="125"/>
        </w:trPr>
        <w:tc>
          <w:tcPr>
            <w:tcW w:w="3920" w:type="dxa"/>
            <w:vAlign w:val="bottom"/>
            <w:vMerge w:val="restart"/>
          </w:tcPr>
          <w:p>
            <w:pPr>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260" w:type="dxa"/>
            <w:vAlign w:val="bottom"/>
            <w:vMerge w:val="restart"/>
          </w:tcPr>
          <w:p>
            <w:pPr>
              <w:spacing w:after="0"/>
              <w:rPr>
                <w:sz w:val="10"/>
                <w:szCs w:val="10"/>
                <w:color w:val="auto"/>
              </w:rPr>
            </w:pPr>
          </w:p>
        </w:tc>
        <w:tc>
          <w:tcPr>
            <w:tcW w:w="122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auto"/>
                <w:w w:val="89"/>
              </w:rPr>
              <w:t>Being</w:t>
            </w:r>
          </w:p>
        </w:tc>
        <w:tc>
          <w:tcPr>
            <w:tcW w:w="100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rPr>
              <w:t>Per</w:t>
            </w:r>
          </w:p>
        </w:tc>
        <w:tc>
          <w:tcPr>
            <w:tcW w:w="110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98"/>
              </w:rPr>
              <w:t>Offering</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9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Registered</w:t>
            </w:r>
          </w:p>
        </w:tc>
        <w:tc>
          <w:tcPr>
            <w:tcW w:w="2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2"/>
                <w:szCs w:val="12"/>
                <w:b w:val="1"/>
                <w:bCs w:val="1"/>
                <w:color w:val="auto"/>
                <w:w w:val="87"/>
              </w:rPr>
              <w:t>Security</w:t>
            </w:r>
            <w:r>
              <w:rPr>
                <w:rFonts w:ascii="Arial" w:cs="Arial" w:eastAsia="Arial" w:hAnsi="Arial"/>
                <w:sz w:val="20"/>
                <w:szCs w:val="20"/>
                <w:b w:val="1"/>
                <w:bCs w:val="1"/>
                <w:color w:val="auto"/>
                <w:w w:val="87"/>
                <w:vertAlign w:val="superscript"/>
              </w:rPr>
              <w:t>(1)</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2"/>
                <w:szCs w:val="12"/>
                <w:b w:val="1"/>
                <w:bCs w:val="1"/>
                <w:color w:val="auto"/>
                <w:w w:val="83"/>
              </w:rPr>
              <w:t>Price</w:t>
            </w:r>
            <w:r>
              <w:rPr>
                <w:rFonts w:ascii="Arial" w:cs="Arial" w:eastAsia="Arial" w:hAnsi="Arial"/>
                <w:sz w:val="20"/>
                <w:szCs w:val="20"/>
                <w:b w:val="1"/>
                <w:bCs w:val="1"/>
                <w:color w:val="auto"/>
                <w:w w:val="83"/>
                <w:vertAlign w:val="superscript"/>
              </w:rPr>
              <w:t>(1)</w:t>
            </w:r>
          </w:p>
        </w:tc>
        <w:tc>
          <w:tcPr>
            <w:tcW w:w="2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Registration Fee</w:t>
            </w:r>
          </w:p>
        </w:tc>
        <w:tc>
          <w:tcPr>
            <w:tcW w:w="0" w:type="dxa"/>
            <w:vAlign w:val="bottom"/>
          </w:tcPr>
          <w:p>
            <w:pPr>
              <w:spacing w:after="0"/>
              <w:rPr>
                <w:sz w:val="1"/>
                <w:szCs w:val="1"/>
                <w:color w:val="auto"/>
              </w:rPr>
            </w:pPr>
          </w:p>
        </w:tc>
      </w:tr>
      <w:tr>
        <w:trPr>
          <w:trHeight w:val="178"/>
        </w:trPr>
        <w:tc>
          <w:tcPr>
            <w:tcW w:w="4180" w:type="dxa"/>
            <w:vAlign w:val="bottom"/>
            <w:tcBorders>
              <w:bottom w:val="single" w:sz="8" w:color="auto"/>
            </w:tcBorders>
            <w:gridSpan w:val="2"/>
            <w:shd w:val="clear" w:color="auto" w:fill="CCEEFF"/>
          </w:tcPr>
          <w:p>
            <w:pPr>
              <w:spacing w:after="0" w:line="178" w:lineRule="exact"/>
              <w:rPr>
                <w:sz w:val="20"/>
                <w:szCs w:val="20"/>
                <w:color w:val="auto"/>
              </w:rPr>
            </w:pPr>
            <w:r>
              <w:rPr>
                <w:rFonts w:ascii="Arial" w:cs="Arial" w:eastAsia="Arial" w:hAnsi="Arial"/>
                <w:sz w:val="13"/>
                <w:szCs w:val="13"/>
                <w:color w:val="auto"/>
              </w:rPr>
              <w:t>Class A ordinary shares 0.0001 par value</w:t>
            </w:r>
            <w:r>
              <w:rPr>
                <w:rFonts w:ascii="Arial" w:cs="Arial" w:eastAsia="Arial" w:hAnsi="Arial"/>
                <w:sz w:val="20"/>
                <w:szCs w:val="20"/>
                <w:color w:val="auto"/>
                <w:vertAlign w:val="superscript"/>
              </w:rPr>
              <w:t>(2)(3)</w:t>
            </w:r>
          </w:p>
        </w:tc>
        <w:tc>
          <w:tcPr>
            <w:tcW w:w="1220" w:type="dxa"/>
            <w:vAlign w:val="bottom"/>
            <w:tcBorders>
              <w:bottom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9"/>
              </w:rPr>
              <w:t>14,375,000 shares</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$10.00</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$143,750,000</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spacing w:after="0" w:line="178" w:lineRule="exact"/>
              <w:rPr>
                <w:sz w:val="20"/>
                <w:szCs w:val="20"/>
                <w:color w:val="auto"/>
              </w:rPr>
            </w:pPr>
            <w:r>
              <w:rPr>
                <w:rFonts w:ascii="Arial" w:cs="Arial" w:eastAsia="Arial" w:hAnsi="Arial"/>
                <w:sz w:val="13"/>
                <w:szCs w:val="13"/>
                <w:color w:val="auto"/>
                <w:w w:val="88"/>
              </w:rPr>
              <w:t>$18,659</w:t>
            </w:r>
            <w:r>
              <w:rPr>
                <w:rFonts w:ascii="Arial" w:cs="Arial" w:eastAsia="Arial" w:hAnsi="Arial"/>
                <w:sz w:val="20"/>
                <w:szCs w:val="20"/>
                <w:color w:val="auto"/>
                <w:w w:val="88"/>
                <w:vertAlign w:val="superscript"/>
              </w:rPr>
              <w:t>(4)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4817745</wp:posOffset>
            </wp:positionH>
            <wp:positionV relativeFrom="paragraph">
              <wp:posOffset>-132080</wp:posOffset>
            </wp:positionV>
            <wp:extent cx="1479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955" cy="762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-132080</wp:posOffset>
            </wp:positionV>
            <wp:extent cx="1479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955" cy="762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-132080</wp:posOffset>
            </wp:positionV>
            <wp:extent cx="1549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940" cy="762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-132080</wp:posOffset>
            </wp:positionV>
            <wp:extent cx="1625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560" cy="7620"/>
                    </a:xfrm>
                    <a:prstGeom prst="rect">
                      <a:avLst/>
                    </a:prstGeom>
                    <a:noFill/>
                  </pic:spPr>
                </pic:pic>
              </a:graphicData>
            </a:graphic>
          </wp:anchor>
        </w:drawing>
      </w:r>
    </w:p>
    <w:p>
      <w:pPr>
        <w:spacing w:after="0" w:line="1" w:lineRule="exact"/>
        <w:rPr>
          <w:sz w:val="24"/>
          <w:szCs w:val="24"/>
          <w:color w:val="auto"/>
        </w:rPr>
      </w:pPr>
    </w:p>
    <w:p>
      <w:pPr>
        <w:ind w:left="620" w:hanging="304"/>
        <w:spacing w:after="0"/>
        <w:tabs>
          <w:tab w:leader="none" w:pos="62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w:t>
      </w:r>
    </w:p>
    <w:p>
      <w:pPr>
        <w:ind w:left="620" w:hanging="304"/>
        <w:spacing w:after="0" w:line="198" w:lineRule="auto"/>
        <w:tabs>
          <w:tab w:leader="none" w:pos="62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1,875,000 Class A ordinary shares, which may be issued upon exercise of a 45-day option granted to the underwriters to cover over allotments, if any.</w:t>
      </w:r>
    </w:p>
    <w:p>
      <w:pPr>
        <w:ind w:left="620" w:right="359" w:hanging="304"/>
        <w:spacing w:after="0" w:line="198" w:lineRule="auto"/>
        <w:tabs>
          <w:tab w:leader="none" w:pos="6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Pursuant to Rule 416, there are also being registered an indeterminable number of additional securities as may be issued to prevent dilution resulting from share splits, share dividends or similar transactions.</w:t>
      </w:r>
    </w:p>
    <w:p>
      <w:pPr>
        <w:ind w:left="620" w:hanging="304"/>
        <w:spacing w:after="0"/>
        <w:tabs>
          <w:tab w:leader="none" w:pos="6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Previously paid.</w:t>
      </w:r>
    </w:p>
    <w:p>
      <w:pPr>
        <w:spacing w:after="0" w:line="24" w:lineRule="exact"/>
        <w:rPr>
          <w:sz w:val="24"/>
          <w:szCs w:val="24"/>
          <w:color w:val="auto"/>
        </w:rPr>
      </w:pPr>
    </w:p>
    <w:p>
      <w:pPr>
        <w:ind w:left="320" w:right="479"/>
        <w:spacing w:after="0" w:line="312"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-153670</wp:posOffset>
            </wp:positionH>
            <wp:positionV relativeFrom="paragraph">
              <wp:posOffset>263525</wp:posOffset>
            </wp:positionV>
            <wp:extent cx="60280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8055" cy="14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100965</wp:posOffset>
            </wp:positionV>
            <wp:extent cx="53193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9395" cy="762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145415</wp:posOffset>
            </wp:positionV>
            <wp:extent cx="531939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9395" cy="2222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 w:name="page2"/>
    <w:bookmarkEnd w:id="1"/>
    <w:p>
      <w:pPr>
        <w:ind w:left="84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8" w:lineRule="exact"/>
        <w:rPr>
          <w:sz w:val="20"/>
          <w:szCs w:val="20"/>
          <w:color w:val="auto"/>
        </w:rPr>
      </w:pPr>
    </w:p>
    <w:p>
      <w:pPr>
        <w:ind w:left="840" w:right="920"/>
        <w:spacing w:after="0" w:line="246" w:lineRule="auto"/>
        <w:rPr>
          <w:sz w:val="20"/>
          <w:szCs w:val="20"/>
          <w:color w:val="auto"/>
        </w:rPr>
      </w:pPr>
      <w:r>
        <w:rPr>
          <w:rFonts w:ascii="Arial" w:cs="Arial" w:eastAsia="Arial" w:hAnsi="Arial"/>
          <w:sz w:val="14"/>
          <w:szCs w:val="14"/>
          <w:color w:val="D81E06"/>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53" w:lineRule="exact"/>
        <w:rPr>
          <w:sz w:val="20"/>
          <w:szCs w:val="20"/>
          <w:color w:val="auto"/>
        </w:rPr>
      </w:pPr>
    </w:p>
    <w:p>
      <w:pPr>
        <w:jc w:val="right"/>
        <w:ind w:right="840"/>
        <w:spacing w:after="0"/>
        <w:rPr>
          <w:sz w:val="20"/>
          <w:szCs w:val="20"/>
          <w:color w:val="auto"/>
        </w:rPr>
      </w:pPr>
      <w:r>
        <w:rPr>
          <w:rFonts w:ascii="Arial" w:cs="Arial" w:eastAsia="Arial" w:hAnsi="Arial"/>
          <w:sz w:val="15"/>
          <w:szCs w:val="15"/>
          <w:b w:val="1"/>
          <w:bCs w:val="1"/>
          <w:color w:val="FC0014"/>
        </w:rPr>
        <w:t>SUBJECT TO COMPLETION, DATED JULY 29, 2020</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PRELIMINARY PROSPECTUS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$125,000,000</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ARYA Sciences Acquisition Corp III</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12,500,000 Class A Ordinary Shares</w:t>
      </w:r>
    </w:p>
    <w:p>
      <w:pPr>
        <w:spacing w:after="0" w:line="101" w:lineRule="exact"/>
        <w:rPr>
          <w:sz w:val="20"/>
          <w:szCs w:val="20"/>
          <w:color w:val="auto"/>
        </w:rPr>
      </w:pPr>
    </w:p>
    <w:p>
      <w:pPr>
        <w:ind w:left="840" w:right="940"/>
        <w:spacing w:after="0" w:line="228" w:lineRule="auto"/>
        <w:rPr>
          <w:sz w:val="20"/>
          <w:szCs w:val="20"/>
          <w:color w:val="auto"/>
        </w:rPr>
      </w:pPr>
      <w:r>
        <w:rPr>
          <w:rFonts w:ascii="Arial" w:cs="Arial" w:eastAsia="Arial" w:hAnsi="Arial"/>
          <w:sz w:val="14"/>
          <w:szCs w:val="14"/>
          <w:color w:val="auto"/>
        </w:rPr>
        <w:t>ARYA Sciences Acquisition Corp III is a newly organized blank check company incorporated as a Cayman Islands exempted company and formed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w:t>
      </w:r>
    </w:p>
    <w:p>
      <w:pPr>
        <w:spacing w:after="0" w:line="96" w:lineRule="exact"/>
        <w:rPr>
          <w:sz w:val="20"/>
          <w:szCs w:val="20"/>
          <w:color w:val="auto"/>
        </w:rPr>
      </w:pPr>
    </w:p>
    <w:p>
      <w:pPr>
        <w:ind w:left="840" w:right="860"/>
        <w:spacing w:after="0" w:line="228" w:lineRule="auto"/>
        <w:rPr>
          <w:sz w:val="20"/>
          <w:szCs w:val="20"/>
          <w:color w:val="auto"/>
        </w:rPr>
      </w:pPr>
      <w:r>
        <w:rPr>
          <w:rFonts w:ascii="Arial" w:cs="Arial" w:eastAsia="Arial" w:hAnsi="Arial"/>
          <w:sz w:val="14"/>
          <w:szCs w:val="14"/>
          <w:color w:val="auto"/>
        </w:rPr>
        <w:t>This is an initial public offering of our Class A ordinary shares, par value $0.0001 per share, which we refer to as our public shares, at an initial public offering price per share of $10.00. The underwriters have a 45-day option from the date of this prospectus to purchase up to 1,875,000 additional public shares to cover over-allotments, if any. Unlike other initial public offerings of special purpose acquisition companies (“SPAC IPOs”), investors in this offering will not receive warrants that would become exercisable following completion of our initial business combination.</w:t>
      </w:r>
    </w:p>
    <w:p>
      <w:pPr>
        <w:spacing w:after="0" w:line="85" w:lineRule="exact"/>
        <w:rPr>
          <w:sz w:val="20"/>
          <w:szCs w:val="20"/>
          <w:color w:val="auto"/>
        </w:rPr>
      </w:pPr>
    </w:p>
    <w:p>
      <w:pPr>
        <w:ind w:left="840" w:right="1060"/>
        <w:spacing w:after="0" w:line="229" w:lineRule="auto"/>
        <w:rPr>
          <w:sz w:val="20"/>
          <w:szCs w:val="20"/>
          <w:color w:val="auto"/>
        </w:rPr>
      </w:pPr>
      <w:r>
        <w:rPr>
          <w:rFonts w:ascii="Arial" w:cs="Arial" w:eastAsia="Arial" w:hAnsi="Arial"/>
          <w:sz w:val="14"/>
          <w:szCs w:val="14"/>
          <w:color w:val="auto"/>
        </w:rPr>
        <w:t>We will provide our public shareholders with the opportunity to redeem all or a portion of their Class A ordinary shares upon the completion of our initial business combination, subject to the limitations as described herein. If we do not consummate an initial business combination within 24 months from the closing of this offering, we will redeem 100% of the public shares for cash, subject to applicable law and certain conditions as described herein.</w:t>
      </w:r>
    </w:p>
    <w:p>
      <w:pPr>
        <w:spacing w:after="0" w:line="95" w:lineRule="exact"/>
        <w:rPr>
          <w:sz w:val="20"/>
          <w:szCs w:val="20"/>
          <w:color w:val="auto"/>
        </w:rPr>
      </w:pPr>
    </w:p>
    <w:p>
      <w:pPr>
        <w:ind w:left="840" w:right="880"/>
        <w:spacing w:after="0" w:line="273" w:lineRule="auto"/>
        <w:rPr>
          <w:sz w:val="20"/>
          <w:szCs w:val="20"/>
          <w:color w:val="auto"/>
        </w:rPr>
      </w:pPr>
      <w:r>
        <w:rPr>
          <w:rFonts w:ascii="Arial" w:cs="Arial" w:eastAsia="Arial" w:hAnsi="Arial"/>
          <w:sz w:val="12"/>
          <w:szCs w:val="12"/>
          <w:color w:val="auto"/>
        </w:rPr>
        <w:t>Our sponsor, ARYA Sciences Holdings III, has agreed to purchase 450,000 Class A ordinary shares (or 487,500 Class A ordinary shares if the underwriters’ over-allotment option is exercised in full), at a price of $10.00 per share in a private placement to occur concurrently with the closing of this offering for an aggregate purchase price of $4,500,000 (or $4,875,000 if the over-allotment option is exercised in full) that will close simultaneously with the closing of this offering. The private placement shares are identical to the Class A ordinary shares sold in this offering, subject to certain limited exceptions as described in this prospectus.</w:t>
      </w:r>
    </w:p>
    <w:p>
      <w:pPr>
        <w:spacing w:after="0" w:line="76" w:lineRule="exact"/>
        <w:rPr>
          <w:sz w:val="20"/>
          <w:szCs w:val="20"/>
          <w:color w:val="auto"/>
        </w:rPr>
      </w:pPr>
    </w:p>
    <w:p>
      <w:pPr>
        <w:ind w:left="840" w:right="960"/>
        <w:spacing w:after="0" w:line="229" w:lineRule="auto"/>
        <w:rPr>
          <w:sz w:val="20"/>
          <w:szCs w:val="20"/>
          <w:color w:val="auto"/>
        </w:rPr>
      </w:pPr>
      <w:r>
        <w:rPr>
          <w:rFonts w:ascii="Arial" w:cs="Arial" w:eastAsia="Arial" w:hAnsi="Arial"/>
          <w:sz w:val="14"/>
          <w:szCs w:val="14"/>
          <w:color w:val="auto"/>
        </w:rPr>
        <w:t>Our initial shareholders currently own 3,593,750 Class B ordinary shares (up to 468,750 of which are subject to forfeiture) which will automatically convert into Class A ordinary shares at the time of our initial business combination as described herein. Prior to the completion of our initial business combination, only holders of our Class B ordinary shares will be entitled to vote on the election of directors.</w:t>
      </w:r>
    </w:p>
    <w:p>
      <w:pPr>
        <w:spacing w:after="0" w:line="84" w:lineRule="exact"/>
        <w:rPr>
          <w:sz w:val="20"/>
          <w:szCs w:val="20"/>
          <w:color w:val="auto"/>
        </w:rPr>
      </w:pPr>
    </w:p>
    <w:p>
      <w:pPr>
        <w:ind w:left="840" w:right="920"/>
        <w:spacing w:after="0" w:line="227" w:lineRule="auto"/>
        <w:rPr>
          <w:sz w:val="20"/>
          <w:szCs w:val="20"/>
          <w:color w:val="auto"/>
        </w:rPr>
      </w:pPr>
      <w:r>
        <w:rPr>
          <w:rFonts w:ascii="Arial" w:cs="Arial" w:eastAsia="Arial" w:hAnsi="Arial"/>
          <w:sz w:val="14"/>
          <w:szCs w:val="14"/>
          <w:color w:val="auto"/>
        </w:rPr>
        <w:t>Our sponsor has indicated an interest to purchase up to an aggregate of $25,000,000 of our ordinary shares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96" w:lineRule="exact"/>
        <w:rPr>
          <w:sz w:val="20"/>
          <w:szCs w:val="20"/>
          <w:color w:val="auto"/>
        </w:rPr>
      </w:pPr>
    </w:p>
    <w:p>
      <w:pPr>
        <w:ind w:left="840" w:right="1100"/>
        <w:spacing w:after="0" w:line="234" w:lineRule="auto"/>
        <w:rPr>
          <w:sz w:val="20"/>
          <w:szCs w:val="20"/>
          <w:color w:val="auto"/>
        </w:rPr>
      </w:pPr>
      <w:r>
        <w:rPr>
          <w:rFonts w:ascii="Arial" w:cs="Arial" w:eastAsia="Arial" w:hAnsi="Arial"/>
          <w:sz w:val="14"/>
          <w:szCs w:val="14"/>
          <w:color w:val="auto"/>
        </w:rPr>
        <w:t>Currently, there is no public market for our Class A ordinary shares. We intend to apply to have our public shares listed on The Nasdaq Capital Market, or Nasdaq, under the symbol “ARYA.”</w:t>
      </w:r>
    </w:p>
    <w:p>
      <w:pPr>
        <w:spacing w:after="0" w:line="54" w:lineRule="exact"/>
        <w:rPr>
          <w:sz w:val="20"/>
          <w:szCs w:val="20"/>
          <w:color w:val="auto"/>
        </w:rPr>
      </w:pPr>
    </w:p>
    <w:p>
      <w:pPr>
        <w:jc w:val="both"/>
        <w:ind w:left="840" w:right="980"/>
        <w:spacing w:after="0" w:line="233"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We are an “emerging growth company” and “smaller reporting company” under applicable federal securities laws and will be subject to reduced public company reporting requirements. Investing in our securities involves a high degree of risk. See “Risk Factors” beginning on page </w:t>
      </w:r>
      <w:hyperlink w:anchor="page32">
        <w:r>
          <w:rPr>
            <w:rFonts w:ascii="Arial" w:cs="Arial" w:eastAsia="Arial" w:hAnsi="Arial"/>
            <w:sz w:val="14"/>
            <w:szCs w:val="14"/>
            <w:b w:val="1"/>
            <w:bCs w:val="1"/>
            <w:u w:val="single" w:color="auto"/>
            <w:color w:val="0000EE"/>
          </w:rPr>
          <w:t>29</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for a discussion of information that should be considered in connection with an investment in our securities. Investors will not be entitled to protections normally afforded to investors in Rule 419 blank check offerings.</w:t>
      </w:r>
    </w:p>
    <w:p>
      <w:pPr>
        <w:spacing w:after="0" w:line="61" w:lineRule="exact"/>
        <w:rPr>
          <w:sz w:val="20"/>
          <w:szCs w:val="20"/>
          <w:color w:val="auto"/>
        </w:rPr>
      </w:pPr>
    </w:p>
    <w:p>
      <w:pPr>
        <w:ind w:left="840" w:right="1160"/>
        <w:spacing w:after="0" w:line="231" w:lineRule="auto"/>
        <w:rPr>
          <w:sz w:val="20"/>
          <w:szCs w:val="20"/>
          <w:color w:val="auto"/>
        </w:rPr>
      </w:pPr>
      <w:r>
        <w:rPr>
          <w:rFonts w:ascii="Arial" w:cs="Arial" w:eastAsia="Arial" w:hAnsi="Arial"/>
          <w:sz w:val="14"/>
          <w:szCs w:val="14"/>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48895</wp:posOffset>
            </wp:positionV>
            <wp:extent cx="49644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186"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Per Share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2"/>
                <w:szCs w:val="12"/>
                <w:b w:val="1"/>
                <w:bCs w:val="1"/>
                <w:color w:val="auto"/>
              </w:rPr>
              <w:t>Total</w:t>
            </w:r>
          </w:p>
        </w:tc>
      </w:tr>
      <w:tr>
        <w:trPr>
          <w:trHeight w:val="34"/>
        </w:trPr>
        <w:tc>
          <w:tcPr>
            <w:tcW w:w="6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$10.00</w:t>
            </w:r>
          </w:p>
        </w:tc>
        <w:tc>
          <w:tcPr>
            <w:tcW w:w="11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$125,000,000</w:t>
            </w:r>
          </w:p>
        </w:tc>
      </w:tr>
      <w:tr>
        <w:trPr>
          <w:trHeight w:val="198"/>
        </w:trPr>
        <w:tc>
          <w:tcPr>
            <w:tcW w:w="6040" w:type="dxa"/>
            <w:vAlign w:val="bottom"/>
          </w:tcPr>
          <w:p>
            <w:pPr>
              <w:spacing w:after="0" w:line="198"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2"/>
                <w:szCs w:val="22"/>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0.55</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5"/>
              <w:spacing w:after="0"/>
              <w:rPr>
                <w:sz w:val="20"/>
                <w:szCs w:val="20"/>
                <w:color w:val="auto"/>
              </w:rPr>
            </w:pPr>
            <w:r>
              <w:rPr>
                <w:rFonts w:ascii="Arial" w:cs="Arial" w:eastAsia="Arial" w:hAnsi="Arial"/>
                <w:sz w:val="14"/>
                <w:szCs w:val="14"/>
                <w:color w:val="auto"/>
              </w:rPr>
              <w:t>6,875,000</w:t>
            </w:r>
          </w:p>
        </w:tc>
      </w:tr>
      <w:tr>
        <w:trPr>
          <w:trHeight w:val="175"/>
        </w:trPr>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9.45</w:t>
            </w:r>
          </w:p>
        </w:tc>
        <w:tc>
          <w:tcPr>
            <w:tcW w:w="1180" w:type="dxa"/>
            <w:vAlign w:val="bottom"/>
            <w:tcBorders>
              <w:bottom w:val="single" w:sz="8" w:color="auto"/>
            </w:tcBorders>
            <w:gridSpan w:val="3"/>
            <w:shd w:val="clear" w:color="auto" w:fill="CCEEFF"/>
          </w:tcPr>
          <w:p>
            <w:pPr>
              <w:ind w:left="260"/>
              <w:spacing w:after="0"/>
              <w:rPr>
                <w:sz w:val="20"/>
                <w:szCs w:val="20"/>
                <w:color w:val="auto"/>
              </w:rPr>
            </w:pPr>
            <w:r>
              <w:rPr>
                <w:rFonts w:ascii="Arial" w:cs="Arial" w:eastAsia="Arial" w:hAnsi="Arial"/>
                <w:sz w:val="14"/>
                <w:szCs w:val="14"/>
                <w:color w:val="auto"/>
              </w:rPr>
              <w:t>$118,125,000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-391160</wp:posOffset>
            </wp:positionV>
            <wp:extent cx="1625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560" cy="762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-391160</wp:posOffset>
            </wp:positionV>
            <wp:extent cx="812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280" cy="7620"/>
                    </a:xfrm>
                    <a:prstGeom prst="rect">
                      <a:avLst/>
                    </a:prstGeom>
                    <a:noFill/>
                  </pic:spPr>
                </pic:pic>
              </a:graphicData>
            </a:graphic>
          </wp:anchor>
        </w:drawing>
      </w:r>
    </w:p>
    <w:p>
      <w:pPr>
        <w:spacing w:after="0" w:line="21" w:lineRule="exact"/>
        <w:rPr>
          <w:sz w:val="20"/>
          <w:szCs w:val="20"/>
          <w:color w:val="auto"/>
        </w:rPr>
      </w:pPr>
    </w:p>
    <w:p>
      <w:pPr>
        <w:ind w:left="1140" w:right="1160" w:hanging="305"/>
        <w:spacing w:after="0" w:line="227" w:lineRule="auto"/>
        <w:tabs>
          <w:tab w:leader="none" w:pos="1140"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Includes $0.35 per share, or $4,375,000 in the aggregate (or $5,031,250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beginning on page </w:t>
      </w:r>
      <w:hyperlink w:anchor="page135">
        <w:r>
          <w:rPr>
            <w:rFonts w:ascii="Arial" w:cs="Arial" w:eastAsia="Arial" w:hAnsi="Arial"/>
            <w:sz w:val="11"/>
            <w:szCs w:val="11"/>
            <w:u w:val="single" w:color="auto"/>
            <w:color w:val="0000EE"/>
          </w:rPr>
          <w:t>132</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for a description of compensation and other items of value payable to the underwriters.</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Of the proceeds we receive from this offering and the sale of the private placement shares described in this prospectus,</w:t>
      </w:r>
    </w:p>
    <w:p>
      <w:pPr>
        <w:ind w:left="840" w:right="860"/>
        <w:spacing w:after="0" w:line="306" w:lineRule="auto"/>
        <w:rPr>
          <w:sz w:val="20"/>
          <w:szCs w:val="20"/>
          <w:color w:val="auto"/>
        </w:rPr>
      </w:pPr>
      <w:r>
        <w:rPr>
          <w:rFonts w:ascii="Arial" w:cs="Arial" w:eastAsia="Arial" w:hAnsi="Arial"/>
          <w:sz w:val="12"/>
          <w:szCs w:val="12"/>
          <w:color w:val="auto"/>
        </w:rPr>
        <w:t>$125.0 million, or $143.75 million if the underwriters’ over-allotment option is exercised in full ($10.00 per share in either case), will be deposited into a trust account located in the United States with Continental Stock Transfer &amp; Trust Company acting as trustee.</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underwriters are offering the shares for sale on a firm commitment basis. The underwriters expect to deliver the shares to the</w:t>
      </w:r>
    </w:p>
    <w:tbl>
      <w:tblPr>
        <w:tblLayout w:type="fixed"/>
        <w:tblInd w:w="0" w:type="dxa"/>
        <w:tblCellMar>
          <w:top w:w="0" w:type="dxa"/>
          <w:left w:w="0" w:type="dxa"/>
          <w:bottom w:w="0" w:type="dxa"/>
          <w:right w:w="0" w:type="dxa"/>
        </w:tblCellMar>
      </w:tblPr>
      <w:tr>
        <w:trPr>
          <w:trHeight w:val="173"/>
        </w:trPr>
        <w:tc>
          <w:tcPr>
            <w:tcW w:w="2260" w:type="dxa"/>
            <w:vAlign w:val="bottom"/>
          </w:tcPr>
          <w:p>
            <w:pPr>
              <w:ind w:left="840"/>
              <w:spacing w:after="0"/>
              <w:rPr>
                <w:sz w:val="20"/>
                <w:szCs w:val="20"/>
                <w:color w:val="auto"/>
              </w:rPr>
            </w:pPr>
            <w:r>
              <w:rPr>
                <w:rFonts w:ascii="Arial" w:cs="Arial" w:eastAsia="Arial" w:hAnsi="Arial"/>
                <w:sz w:val="14"/>
                <w:szCs w:val="14"/>
                <w:color w:val="auto"/>
                <w:w w:val="97"/>
              </w:rPr>
              <w:t>purchasers on or about</w:t>
            </w:r>
          </w:p>
        </w:tc>
        <w:tc>
          <w:tcPr>
            <w:tcW w:w="1220" w:type="dxa"/>
            <w:vAlign w:val="bottom"/>
          </w:tcPr>
          <w:p>
            <w:pPr>
              <w:jc w:val="right"/>
              <w:ind w:right="172"/>
              <w:spacing w:after="0"/>
              <w:rPr>
                <w:sz w:val="20"/>
                <w:szCs w:val="20"/>
                <w:color w:val="auto"/>
              </w:rPr>
            </w:pPr>
            <w:r>
              <w:rPr>
                <w:rFonts w:ascii="Arial" w:cs="Arial" w:eastAsia="Arial" w:hAnsi="Arial"/>
                <w:sz w:val="14"/>
                <w:szCs w:val="14"/>
                <w:color w:val="auto"/>
              </w:rPr>
              <w:t>, 2020.</w:t>
            </w:r>
          </w:p>
        </w:tc>
        <w:tc>
          <w:tcPr>
            <w:tcW w:w="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020" w:type="dxa"/>
            <w:vAlign w:val="bottom"/>
          </w:tcPr>
          <w:p>
            <w:pPr>
              <w:spacing w:after="0"/>
              <w:rPr>
                <w:sz w:val="15"/>
                <w:szCs w:val="15"/>
                <w:color w:val="auto"/>
              </w:rPr>
            </w:pPr>
          </w:p>
        </w:tc>
      </w:tr>
      <w:tr>
        <w:trPr>
          <w:trHeight w:val="277"/>
        </w:trPr>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Arial" w:cs="Arial" w:eastAsia="Arial" w:hAnsi="Arial"/>
                <w:sz w:val="15"/>
                <w:szCs w:val="15"/>
                <w:i w:val="1"/>
                <w:iCs w:val="1"/>
                <w:color w:val="auto"/>
              </w:rPr>
              <w:t>Joint Book-Running Managers</w:t>
            </w:r>
          </w:p>
        </w:tc>
      </w:tr>
      <w:tr>
        <w:trPr>
          <w:trHeight w:val="427"/>
        </w:trPr>
        <w:tc>
          <w:tcPr>
            <w:tcW w:w="2260" w:type="dxa"/>
            <w:vAlign w:val="bottom"/>
          </w:tcPr>
          <w:p>
            <w:pPr>
              <w:spacing w:after="0"/>
              <w:rPr>
                <w:sz w:val="24"/>
                <w:szCs w:val="24"/>
                <w:color w:val="auto"/>
              </w:rPr>
            </w:pPr>
          </w:p>
        </w:tc>
        <w:tc>
          <w:tcPr>
            <w:tcW w:w="1220" w:type="dxa"/>
            <w:vAlign w:val="bottom"/>
          </w:tcPr>
          <w:p>
            <w:pPr>
              <w:jc w:val="right"/>
              <w:ind w:right="192"/>
              <w:spacing w:after="0"/>
              <w:rPr>
                <w:sz w:val="20"/>
                <w:szCs w:val="20"/>
                <w:color w:val="auto"/>
              </w:rPr>
            </w:pPr>
            <w:r>
              <w:rPr>
                <w:rFonts w:ascii="Arial" w:cs="Arial" w:eastAsia="Arial" w:hAnsi="Arial"/>
                <w:sz w:val="22"/>
                <w:szCs w:val="22"/>
                <w:b w:val="1"/>
                <w:bCs w:val="1"/>
                <w:color w:val="auto"/>
              </w:rPr>
              <w:t>Jefferies</w:t>
            </w:r>
          </w:p>
        </w:tc>
        <w:tc>
          <w:tcPr>
            <w:tcW w:w="520" w:type="dxa"/>
            <w:vAlign w:val="bottom"/>
          </w:tcPr>
          <w:p>
            <w:pPr>
              <w:spacing w:after="0"/>
              <w:rPr>
                <w:sz w:val="24"/>
                <w:szCs w:val="24"/>
                <w:color w:val="auto"/>
              </w:rPr>
            </w:pPr>
          </w:p>
        </w:tc>
        <w:tc>
          <w:tcPr>
            <w:tcW w:w="5500" w:type="dxa"/>
            <w:vAlign w:val="bottom"/>
            <w:gridSpan w:val="2"/>
          </w:tcPr>
          <w:p>
            <w:pPr>
              <w:ind w:left="1380"/>
              <w:spacing w:after="0"/>
              <w:rPr>
                <w:sz w:val="20"/>
                <w:szCs w:val="20"/>
                <w:color w:val="auto"/>
              </w:rPr>
            </w:pPr>
            <w:r>
              <w:rPr>
                <w:rFonts w:ascii="Arial" w:cs="Arial" w:eastAsia="Arial" w:hAnsi="Arial"/>
                <w:sz w:val="22"/>
                <w:szCs w:val="22"/>
                <w:b w:val="1"/>
                <w:bCs w:val="1"/>
                <w:color w:val="auto"/>
              </w:rPr>
              <w:t>Goldman Sachs &amp; Co. LLC</w:t>
            </w:r>
          </w:p>
        </w:tc>
      </w:tr>
      <w:tr>
        <w:trPr>
          <w:trHeight w:val="99"/>
        </w:trPr>
        <w:tc>
          <w:tcPr>
            <w:tcW w:w="2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r>
      <w:tr>
        <w:trPr>
          <w:trHeight w:val="216"/>
        </w:trPr>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0" w:type="dxa"/>
            <w:vAlign w:val="bottom"/>
            <w:gridSpan w:val="2"/>
          </w:tcPr>
          <w:p>
            <w:pPr>
              <w:jc w:val="right"/>
              <w:ind w:right="171"/>
              <w:spacing w:after="0"/>
              <w:rPr>
                <w:sz w:val="20"/>
                <w:szCs w:val="20"/>
                <w:color w:val="auto"/>
              </w:rPr>
            </w:pPr>
            <w:r>
              <w:rPr>
                <w:rFonts w:ascii="Arial" w:cs="Arial" w:eastAsia="Arial" w:hAnsi="Arial"/>
                <w:sz w:val="13"/>
                <w:szCs w:val="13"/>
                <w:color w:val="auto"/>
              </w:rPr>
              <w:t>, 2020</w:t>
            </w:r>
          </w:p>
        </w:tc>
        <w:tc>
          <w:tcPr>
            <w:tcW w:w="4020" w:type="dxa"/>
            <w:vAlign w:val="bottom"/>
          </w:tcPr>
          <w:p>
            <w:pPr>
              <w:spacing w:after="0"/>
              <w:rPr>
                <w:sz w:val="18"/>
                <w:szCs w:val="18"/>
                <w:color w:val="auto"/>
              </w:rPr>
            </w:pPr>
          </w:p>
        </w:tc>
      </w:tr>
      <w:tr>
        <w:trPr>
          <w:trHeight w:val="140"/>
        </w:trPr>
        <w:tc>
          <w:tcPr>
            <w:tcW w:w="2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r>
    </w:tbl>
    <w:p>
      <w:pPr>
        <w:sectPr>
          <w:pgSz w:w="11900" w:h="16838" w:orient="portrait"/>
          <w:cols w:equalWidth="0" w:num="1">
            <w:col w:w="9500"/>
          </w:cols>
          <w:pgMar w:left="1200" w:top="248" w:right="1199" w:bottom="1440" w:gutter="0" w:footer="0" w:header="0"/>
        </w:sectPr>
      </w:pPr>
    </w:p>
    <w:bookmarkStart w:id="2" w:name="page3"/>
    <w:bookmarkEnd w:id="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109220</wp:posOffset>
            </wp:positionV>
            <wp:extent cx="49644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2"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gridSpan w:val="3"/>
          </w:tcPr>
          <w:p>
            <w:pPr>
              <w:jc w:val="center"/>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69"/>
        </w:trPr>
        <w:tc>
          <w:tcPr>
            <w:tcW w:w="940" w:type="dxa"/>
            <w:vAlign w:val="bottom"/>
            <w:tcBorders>
              <w:bottom w:val="single" w:sz="8" w:color="CCEEFF"/>
            </w:tcBorders>
          </w:tcPr>
          <w:p>
            <w:pPr>
              <w:spacing w:after="0"/>
              <w:rPr>
                <w:sz w:val="5"/>
                <w:szCs w:val="5"/>
                <w:color w:val="auto"/>
              </w:rPr>
            </w:pPr>
          </w:p>
        </w:tc>
        <w:tc>
          <w:tcPr>
            <w:tcW w:w="55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7520" w:type="dxa"/>
            <w:vAlign w:val="bottom"/>
            <w:gridSpan w:val="3"/>
            <w:shd w:val="clear" w:color="auto" w:fill="CCEEFF"/>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SUMMARY</w:t>
              </w:r>
            </w:hyperlink>
          </w:p>
        </w:tc>
        <w:tc>
          <w:tcPr>
            <w:tcW w:w="300" w:type="dxa"/>
            <w:vAlign w:val="bottom"/>
            <w:gridSpan w:val="3"/>
            <w:shd w:val="clear" w:color="auto" w:fill="CCEEFF"/>
          </w:tcPr>
          <w:p>
            <w:pPr>
              <w:jc w:val="right"/>
              <w:ind w:right="60"/>
              <w:spacing w:after="0"/>
              <w:rPr>
                <w:rFonts w:ascii="Arial" w:cs="Arial" w:eastAsia="Arial" w:hAnsi="Arial"/>
                <w:sz w:val="15"/>
                <w:szCs w:val="15"/>
                <w:color w:val="0000EE"/>
              </w:rPr>
            </w:pPr>
            <w:hyperlink w:anchor="page4">
              <w:r>
                <w:rPr>
                  <w:rFonts w:ascii="Arial" w:cs="Arial" w:eastAsia="Arial" w:hAnsi="Arial"/>
                  <w:sz w:val="15"/>
                  <w:szCs w:val="15"/>
                  <w:color w:val="0000EE"/>
                </w:rPr>
                <w:t>1</w:t>
              </w:r>
            </w:hyperlink>
          </w:p>
        </w:tc>
        <w:tc>
          <w:tcPr>
            <w:tcW w:w="0" w:type="dxa"/>
            <w:vAlign w:val="bottom"/>
          </w:tcPr>
          <w:p>
            <w:pPr>
              <w:spacing w:after="0"/>
              <w:rPr>
                <w:sz w:val="1"/>
                <w:szCs w:val="1"/>
                <w:color w:val="auto"/>
              </w:rPr>
            </w:pPr>
          </w:p>
        </w:tc>
      </w:tr>
      <w:tr>
        <w:trPr>
          <w:trHeight w:val="61"/>
        </w:trPr>
        <w:tc>
          <w:tcPr>
            <w:tcW w:w="940" w:type="dxa"/>
            <w:vAlign w:val="bottom"/>
            <w:tcBorders>
              <w:top w:val="single" w:sz="8" w:color="CCEEFF"/>
            </w:tcBorders>
            <w:shd w:val="clear" w:color="auto" w:fill="CCEEFF"/>
          </w:tcPr>
          <w:p>
            <w:pPr>
              <w:spacing w:after="0"/>
              <w:rPr>
                <w:sz w:val="5"/>
                <w:szCs w:val="5"/>
                <w:color w:val="auto"/>
              </w:rPr>
            </w:pPr>
          </w:p>
        </w:tc>
        <w:tc>
          <w:tcPr>
            <w:tcW w:w="55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SUMMARY FINANCIAL DATA</w:t>
              </w:r>
            </w:hyperlink>
          </w:p>
        </w:tc>
        <w:tc>
          <w:tcPr>
            <w:tcW w:w="240" w:type="dxa"/>
            <w:vAlign w:val="bottom"/>
            <w:gridSpan w:val="2"/>
          </w:tcPr>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28</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RISK FACTORS</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29</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CAUTIONARY NOTE REGARDING FORWARD-LOOKING STATEMENTS</w:t>
              </w:r>
            </w:hyperlink>
          </w:p>
        </w:tc>
        <w:tc>
          <w:tcPr>
            <w:tcW w:w="240" w:type="dxa"/>
            <w:vAlign w:val="bottom"/>
            <w:gridSpan w:val="2"/>
          </w:tcPr>
          <w:p>
            <w:pPr>
              <w:jc w:val="right"/>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58</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USE OF PROCEEDS</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59</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DIVIDEND POLICY</w:t>
              </w:r>
            </w:hyperlink>
          </w:p>
        </w:tc>
        <w:tc>
          <w:tcPr>
            <w:tcW w:w="240" w:type="dxa"/>
            <w:vAlign w:val="bottom"/>
            <w:gridSpan w:val="2"/>
          </w:tcPr>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62</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DILUTION</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63</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CAPITALIZATION</w:t>
              </w:r>
            </w:hyperlink>
          </w:p>
        </w:tc>
        <w:tc>
          <w:tcPr>
            <w:tcW w:w="240" w:type="dxa"/>
            <w:vAlign w:val="bottom"/>
            <w:gridSpan w:val="2"/>
          </w:tcPr>
          <w:p>
            <w:pPr>
              <w:jc w:val="right"/>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65</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520" w:type="dxa"/>
            <w:vAlign w:val="bottom"/>
            <w:gridSpan w:val="3"/>
            <w:shd w:val="clear" w:color="auto" w:fill="CCEEFF"/>
          </w:tcPr>
          <w:p>
            <w:pPr>
              <w:spacing w:after="0"/>
              <w:rPr>
                <w:rFonts w:ascii="Arial" w:cs="Arial" w:eastAsia="Arial" w:hAnsi="Arial"/>
                <w:sz w:val="15"/>
                <w:szCs w:val="15"/>
                <w:color w:val="0000EE"/>
              </w:rPr>
            </w:pPr>
            <w:hyperlink w:anchor="page69">
              <w:r>
                <w:rPr>
                  <w:rFonts w:ascii="Arial" w:cs="Arial" w:eastAsia="Arial" w:hAnsi="Arial"/>
                  <w:sz w:val="15"/>
                  <w:szCs w:val="15"/>
                  <w:color w:val="0000EE"/>
                </w:rPr>
                <w:t>MANAGEMENT’S DISCUSSION AND ANALYSIS OF FINANCIAL CONDITION AND RESULTS OF</w:t>
              </w:r>
            </w:hyperlink>
          </w:p>
        </w:tc>
        <w:tc>
          <w:tcPr>
            <w:tcW w:w="240" w:type="dxa"/>
            <w:vAlign w:val="bottom"/>
            <w:gridSpan w:val="2"/>
            <w:vMerge w:val="restart"/>
            <w:shd w:val="clear" w:color="auto" w:fill="CCEEFF"/>
          </w:tcPr>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460" w:type="dxa"/>
            <w:vAlign w:val="bottom"/>
            <w:tcBorders>
              <w:top w:val="single" w:sz="8" w:color="0000EE"/>
            </w:tcBorders>
            <w:gridSpan w:val="2"/>
            <w:shd w:val="clear" w:color="auto" w:fill="CCEEFF"/>
          </w:tcPr>
          <w:p>
            <w:pPr>
              <w:spacing w:after="0" w:line="143" w:lineRule="exact"/>
              <w:rPr>
                <w:rFonts w:ascii="Arial" w:cs="Arial" w:eastAsia="Arial" w:hAnsi="Arial"/>
                <w:sz w:val="15"/>
                <w:szCs w:val="15"/>
                <w:color w:val="0000EE"/>
              </w:rPr>
            </w:pPr>
            <w:hyperlink w:anchor="page69">
              <w:r>
                <w:rPr>
                  <w:rFonts w:ascii="Arial" w:cs="Arial" w:eastAsia="Arial" w:hAnsi="Arial"/>
                  <w:sz w:val="15"/>
                  <w:szCs w:val="15"/>
                  <w:color w:val="0000EE"/>
                </w:rPr>
                <w:t>OPERATIONS</w:t>
              </w:r>
            </w:hyperlink>
          </w:p>
        </w:tc>
        <w:tc>
          <w:tcPr>
            <w:tcW w:w="10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gridSpan w:val="2"/>
            <w:vMerge w:val="continue"/>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940" w:type="dxa"/>
            <w:vAlign w:val="bottom"/>
            <w:tcBorders>
              <w:top w:val="single" w:sz="8" w:color="0000EE"/>
            </w:tcBorders>
            <w:shd w:val="clear" w:color="auto" w:fill="CCEEFF"/>
          </w:tcPr>
          <w:p>
            <w:pPr>
              <w:spacing w:after="0"/>
              <w:rPr>
                <w:sz w:val="5"/>
                <w:szCs w:val="5"/>
                <w:color w:val="auto"/>
              </w:rPr>
            </w:pPr>
          </w:p>
        </w:tc>
        <w:tc>
          <w:tcPr>
            <w:tcW w:w="55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PROPOSED BUSINESS</w:t>
              </w:r>
            </w:hyperlink>
          </w:p>
        </w:tc>
        <w:tc>
          <w:tcPr>
            <w:tcW w:w="240" w:type="dxa"/>
            <w:vAlign w:val="bottom"/>
            <w:gridSpan w:val="2"/>
          </w:tcPr>
          <w:p>
            <w:pPr>
              <w:jc w:val="right"/>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71</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MANAGEMENT</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96</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108">
              <w:r>
                <w:rPr>
                  <w:rFonts w:ascii="Arial" w:cs="Arial" w:eastAsia="Arial" w:hAnsi="Arial"/>
                  <w:sz w:val="15"/>
                  <w:szCs w:val="15"/>
                  <w:u w:val="single" w:color="auto"/>
                  <w:color w:val="0000EE"/>
                </w:rPr>
                <w:t>PRINCIPAL SHAREHOLDERS</w:t>
              </w:r>
            </w:hyperlink>
          </w:p>
        </w:tc>
        <w:tc>
          <w:tcPr>
            <w:tcW w:w="240" w:type="dxa"/>
            <w:vAlign w:val="bottom"/>
            <w:gridSpan w:val="2"/>
          </w:tcPr>
          <w:p>
            <w:pPr>
              <w:jc w:val="right"/>
              <w:spacing w:after="0"/>
              <w:rPr>
                <w:rFonts w:ascii="Arial" w:cs="Arial" w:eastAsia="Arial" w:hAnsi="Arial"/>
                <w:sz w:val="15"/>
                <w:szCs w:val="15"/>
                <w:u w:val="single" w:color="auto"/>
                <w:color w:val="0000EE"/>
                <w:w w:val="87"/>
              </w:rPr>
            </w:pPr>
            <w:hyperlink w:anchor="page108">
              <w:r>
                <w:rPr>
                  <w:rFonts w:ascii="Arial" w:cs="Arial" w:eastAsia="Arial" w:hAnsi="Arial"/>
                  <w:sz w:val="15"/>
                  <w:szCs w:val="15"/>
                  <w:u w:val="single" w:color="auto"/>
                  <w:color w:val="0000EE"/>
                  <w:w w:val="87"/>
                </w:rPr>
                <w:t>105</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110">
              <w:r>
                <w:rPr>
                  <w:rFonts w:ascii="Arial" w:cs="Arial" w:eastAsia="Arial" w:hAnsi="Arial"/>
                  <w:sz w:val="15"/>
                  <w:szCs w:val="15"/>
                  <w:u w:val="single" w:color="auto"/>
                  <w:color w:val="0000EE"/>
                </w:rPr>
                <w:t>CERTAIN RELATIONSHIPS AND RELATED PARTY TRANSACTIONS</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w w:val="87"/>
              </w:rPr>
            </w:pPr>
            <w:hyperlink w:anchor="page110">
              <w:r>
                <w:rPr>
                  <w:rFonts w:ascii="Arial" w:cs="Arial" w:eastAsia="Arial" w:hAnsi="Arial"/>
                  <w:sz w:val="15"/>
                  <w:szCs w:val="15"/>
                  <w:u w:val="single" w:color="auto"/>
                  <w:color w:val="0000EE"/>
                  <w:w w:val="87"/>
                </w:rPr>
                <w:t>107</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112">
              <w:r>
                <w:rPr>
                  <w:rFonts w:ascii="Arial" w:cs="Arial" w:eastAsia="Arial" w:hAnsi="Arial"/>
                  <w:sz w:val="15"/>
                  <w:szCs w:val="15"/>
                  <w:u w:val="single" w:color="auto"/>
                  <w:color w:val="0000EE"/>
                </w:rPr>
                <w:t>DESCRIPTION OF SECURITIES</w:t>
              </w:r>
            </w:hyperlink>
          </w:p>
        </w:tc>
        <w:tc>
          <w:tcPr>
            <w:tcW w:w="240" w:type="dxa"/>
            <w:vAlign w:val="bottom"/>
            <w:gridSpan w:val="2"/>
          </w:tcPr>
          <w:p>
            <w:pPr>
              <w:jc w:val="right"/>
              <w:spacing w:after="0"/>
              <w:rPr>
                <w:rFonts w:ascii="Arial" w:cs="Arial" w:eastAsia="Arial" w:hAnsi="Arial"/>
                <w:sz w:val="15"/>
                <w:szCs w:val="15"/>
                <w:u w:val="single" w:color="auto"/>
                <w:color w:val="0000EE"/>
                <w:w w:val="87"/>
              </w:rPr>
            </w:pPr>
            <w:hyperlink w:anchor="page112">
              <w:r>
                <w:rPr>
                  <w:rFonts w:ascii="Arial" w:cs="Arial" w:eastAsia="Arial" w:hAnsi="Arial"/>
                  <w:sz w:val="15"/>
                  <w:szCs w:val="15"/>
                  <w:u w:val="single" w:color="auto"/>
                  <w:color w:val="0000EE"/>
                  <w:w w:val="87"/>
                </w:rPr>
                <w:t>109</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127">
              <w:r>
                <w:rPr>
                  <w:rFonts w:ascii="Arial" w:cs="Arial" w:eastAsia="Arial" w:hAnsi="Arial"/>
                  <w:sz w:val="15"/>
                  <w:szCs w:val="15"/>
                  <w:u w:val="single" w:color="auto"/>
                  <w:color w:val="0000EE"/>
                </w:rPr>
                <w:t>TAXATION</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w w:val="87"/>
              </w:rPr>
            </w:pPr>
            <w:hyperlink w:anchor="page127">
              <w:r>
                <w:rPr>
                  <w:rFonts w:ascii="Arial" w:cs="Arial" w:eastAsia="Arial" w:hAnsi="Arial"/>
                  <w:sz w:val="15"/>
                  <w:szCs w:val="15"/>
                  <w:u w:val="single" w:color="auto"/>
                  <w:color w:val="0000EE"/>
                  <w:w w:val="87"/>
                </w:rPr>
                <w:t>124</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135">
              <w:r>
                <w:rPr>
                  <w:rFonts w:ascii="Arial" w:cs="Arial" w:eastAsia="Arial" w:hAnsi="Arial"/>
                  <w:sz w:val="15"/>
                  <w:szCs w:val="15"/>
                  <w:u w:val="single" w:color="auto"/>
                  <w:color w:val="0000EE"/>
                </w:rPr>
                <w:t>UNDERWRITING</w:t>
              </w:r>
            </w:hyperlink>
          </w:p>
        </w:tc>
        <w:tc>
          <w:tcPr>
            <w:tcW w:w="240" w:type="dxa"/>
            <w:vAlign w:val="bottom"/>
            <w:gridSpan w:val="2"/>
          </w:tcPr>
          <w:p>
            <w:pPr>
              <w:jc w:val="right"/>
              <w:spacing w:after="0"/>
              <w:rPr>
                <w:rFonts w:ascii="Arial" w:cs="Arial" w:eastAsia="Arial" w:hAnsi="Arial"/>
                <w:sz w:val="15"/>
                <w:szCs w:val="15"/>
                <w:u w:val="single" w:color="auto"/>
                <w:color w:val="0000EE"/>
                <w:w w:val="87"/>
              </w:rPr>
            </w:pPr>
            <w:hyperlink w:anchor="page135">
              <w:r>
                <w:rPr>
                  <w:rFonts w:ascii="Arial" w:cs="Arial" w:eastAsia="Arial" w:hAnsi="Arial"/>
                  <w:sz w:val="15"/>
                  <w:szCs w:val="15"/>
                  <w:u w:val="single" w:color="auto"/>
                  <w:color w:val="0000EE"/>
                  <w:w w:val="87"/>
                </w:rPr>
                <w:t>132</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LEGAL MATTERS</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w w:val="87"/>
              </w:rPr>
            </w:pPr>
            <w:hyperlink w:anchor="page143">
              <w:r>
                <w:rPr>
                  <w:rFonts w:ascii="Arial" w:cs="Arial" w:eastAsia="Arial" w:hAnsi="Arial"/>
                  <w:sz w:val="15"/>
                  <w:szCs w:val="15"/>
                  <w:u w:val="single" w:color="auto"/>
                  <w:color w:val="0000EE"/>
                  <w:w w:val="87"/>
                </w:rPr>
                <w:t>140</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EXPERTS</w:t>
              </w:r>
            </w:hyperlink>
          </w:p>
        </w:tc>
        <w:tc>
          <w:tcPr>
            <w:tcW w:w="240" w:type="dxa"/>
            <w:vAlign w:val="bottom"/>
            <w:gridSpan w:val="2"/>
          </w:tcPr>
          <w:p>
            <w:pPr>
              <w:jc w:val="right"/>
              <w:spacing w:after="0"/>
              <w:rPr>
                <w:rFonts w:ascii="Arial" w:cs="Arial" w:eastAsia="Arial" w:hAnsi="Arial"/>
                <w:sz w:val="15"/>
                <w:szCs w:val="15"/>
                <w:u w:val="single" w:color="auto"/>
                <w:color w:val="0000EE"/>
                <w:w w:val="87"/>
              </w:rPr>
            </w:pPr>
            <w:hyperlink w:anchor="page143">
              <w:r>
                <w:rPr>
                  <w:rFonts w:ascii="Arial" w:cs="Arial" w:eastAsia="Arial" w:hAnsi="Arial"/>
                  <w:sz w:val="15"/>
                  <w:szCs w:val="15"/>
                  <w:u w:val="single" w:color="auto"/>
                  <w:color w:val="0000EE"/>
                  <w:w w:val="87"/>
                </w:rPr>
                <w:t>140</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520" w:type="dxa"/>
            <w:vAlign w:val="bottom"/>
            <w:tcBorders>
              <w:bottom w:val="single" w:sz="8" w:color="CCEEFF"/>
            </w:tcBorders>
            <w:gridSpan w:val="3"/>
            <w:shd w:val="clear" w:color="auto" w:fill="CCEEFF"/>
          </w:tcPr>
          <w:p>
            <w:pPr>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WHERE YOU CAN FIND ADDITIONAL INFORMATION</w:t>
              </w:r>
            </w:hyperlink>
          </w:p>
        </w:tc>
        <w:tc>
          <w:tcPr>
            <w:tcW w:w="240" w:type="dxa"/>
            <w:vAlign w:val="bottom"/>
            <w:tcBorders>
              <w:bottom w:val="single" w:sz="8" w:color="CCEEFF"/>
            </w:tcBorders>
            <w:gridSpan w:val="2"/>
            <w:shd w:val="clear" w:color="auto" w:fill="CCEEFF"/>
          </w:tcPr>
          <w:p>
            <w:pPr>
              <w:jc w:val="right"/>
              <w:spacing w:after="0"/>
              <w:rPr>
                <w:rFonts w:ascii="Arial" w:cs="Arial" w:eastAsia="Arial" w:hAnsi="Arial"/>
                <w:sz w:val="15"/>
                <w:szCs w:val="15"/>
                <w:u w:val="single" w:color="auto"/>
                <w:color w:val="0000EE"/>
                <w:w w:val="87"/>
              </w:rPr>
            </w:pPr>
            <w:hyperlink w:anchor="page143">
              <w:r>
                <w:rPr>
                  <w:rFonts w:ascii="Arial" w:cs="Arial" w:eastAsia="Arial" w:hAnsi="Arial"/>
                  <w:sz w:val="15"/>
                  <w:szCs w:val="15"/>
                  <w:u w:val="single" w:color="auto"/>
                  <w:color w:val="0000EE"/>
                  <w:w w:val="87"/>
                </w:rPr>
                <w:t>140</w:t>
              </w:r>
            </w:hyperlink>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520" w:type="dxa"/>
            <w:vAlign w:val="bottom"/>
            <w:tcBorders>
              <w:bottom w:val="single" w:sz="8" w:color="auto"/>
            </w:tcBorders>
            <w:gridSpan w:val="3"/>
          </w:tcPr>
          <w:p>
            <w:pPr>
              <w:spacing w:after="0"/>
              <w:rPr>
                <w:rFonts w:ascii="Arial" w:cs="Arial" w:eastAsia="Arial" w:hAnsi="Arial"/>
                <w:sz w:val="15"/>
                <w:szCs w:val="15"/>
                <w:u w:val="single" w:color="auto"/>
                <w:color w:val="0000EE"/>
              </w:rPr>
            </w:pPr>
            <w:hyperlink w:anchor="page144">
              <w:r>
                <w:rPr>
                  <w:rFonts w:ascii="Arial" w:cs="Arial" w:eastAsia="Arial" w:hAnsi="Arial"/>
                  <w:sz w:val="15"/>
                  <w:szCs w:val="15"/>
                  <w:u w:val="single" w:color="auto"/>
                  <w:color w:val="0000EE"/>
                </w:rPr>
                <w:t>INDEX TO FINANCIAL STATEMENTS</w:t>
              </w:r>
            </w:hyperlink>
          </w:p>
        </w:tc>
        <w:tc>
          <w:tcPr>
            <w:tcW w:w="300" w:type="dxa"/>
            <w:vAlign w:val="bottom"/>
            <w:tcBorders>
              <w:bottom w:val="single" w:sz="8" w:color="auto"/>
            </w:tcBorders>
            <w:gridSpan w:val="3"/>
          </w:tcPr>
          <w:p>
            <w:pPr>
              <w:jc w:val="center"/>
              <w:spacing w:after="0"/>
              <w:rPr>
                <w:rFonts w:ascii="Arial" w:cs="Arial" w:eastAsia="Arial" w:hAnsi="Arial"/>
                <w:sz w:val="15"/>
                <w:szCs w:val="15"/>
                <w:u w:val="single" w:color="auto"/>
                <w:color w:val="0000EE"/>
                <w:w w:val="97"/>
              </w:rPr>
            </w:pPr>
            <w:hyperlink w:anchor="page144">
              <w:r>
                <w:rPr>
                  <w:rFonts w:ascii="Arial" w:cs="Arial" w:eastAsia="Arial" w:hAnsi="Arial"/>
                  <w:sz w:val="15"/>
                  <w:szCs w:val="15"/>
                  <w:u w:val="single" w:color="auto"/>
                  <w:color w:val="0000EE"/>
                  <w:w w:val="97"/>
                </w:rPr>
                <w:t>F-1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-3641725</wp:posOffset>
            </wp:positionV>
            <wp:extent cx="889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0" cy="7620"/>
                    </a:xfrm>
                    <a:prstGeom prst="rect">
                      <a:avLst/>
                    </a:prstGeom>
                    <a:noFill/>
                  </pic:spPr>
                </pic:pic>
              </a:graphicData>
            </a:graphic>
          </wp:anchor>
        </w:drawing>
      </w:r>
    </w:p>
    <w:p>
      <w:pPr>
        <w:spacing w:after="0" w:line="108" w:lineRule="exact"/>
        <w:rPr>
          <w:sz w:val="20"/>
          <w:szCs w:val="20"/>
          <w:color w:val="auto"/>
        </w:rPr>
      </w:pPr>
    </w:p>
    <w:p>
      <w:pPr>
        <w:ind w:left="600" w:right="639"/>
        <w:spacing w:after="0" w:line="255" w:lineRule="auto"/>
        <w:rPr>
          <w:sz w:val="20"/>
          <w:szCs w:val="20"/>
          <w:color w:val="auto"/>
        </w:rPr>
      </w:pPr>
      <w:r>
        <w:rPr>
          <w:rFonts w:ascii="Arial" w:cs="Arial" w:eastAsia="Arial" w:hAnsi="Arial"/>
          <w:sz w:val="14"/>
          <w:szCs w:val="14"/>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 w:name="page4"/>
    <w:bookmarkEnd w:id="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479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1735" cy="547941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SUMMARY</w:t>
      </w:r>
    </w:p>
    <w:p>
      <w:pPr>
        <w:spacing w:after="0" w:line="128" w:lineRule="exact"/>
        <w:rPr>
          <w:sz w:val="20"/>
          <w:szCs w:val="20"/>
          <w:color w:val="auto"/>
        </w:rPr>
      </w:pPr>
    </w:p>
    <w:p>
      <w:pPr>
        <w:jc w:val="both"/>
        <w:ind w:left="800" w:right="979"/>
        <w:spacing w:after="0" w:line="241" w:lineRule="auto"/>
        <w:rPr>
          <w:sz w:val="20"/>
          <w:szCs w:val="20"/>
          <w:color w:val="auto"/>
        </w:rPr>
      </w:pPr>
      <w:r>
        <w:rPr>
          <w:rFonts w:ascii="Arial" w:cs="Arial" w:eastAsia="Arial" w:hAnsi="Arial"/>
          <w:sz w:val="15"/>
          <w:szCs w:val="15"/>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Unless otherwise stated in this prospectus or the context otherwise requires, references to:</w:t>
      </w:r>
    </w:p>
    <w:p>
      <w:pPr>
        <w:spacing w:after="0" w:line="83" w:lineRule="exact"/>
        <w:rPr>
          <w:sz w:val="20"/>
          <w:szCs w:val="20"/>
          <w:color w:val="auto"/>
        </w:rPr>
      </w:pPr>
    </w:p>
    <w:p>
      <w:pPr>
        <w:ind w:left="1300" w:right="859"/>
        <w:spacing w:after="0" w:line="236" w:lineRule="auto"/>
        <w:rPr>
          <w:sz w:val="20"/>
          <w:szCs w:val="20"/>
          <w:color w:val="auto"/>
        </w:rPr>
      </w:pPr>
      <w:r>
        <w:rPr>
          <w:rFonts w:ascii="Arial" w:cs="Arial" w:eastAsia="Arial" w:hAnsi="Arial"/>
          <w:sz w:val="15"/>
          <w:szCs w:val="15"/>
          <w:color w:val="auto"/>
        </w:rPr>
        <w:t>“Companies Law” are to the Companies Law (2020 Revision) of the Cayman Islands as the same may be amended from time to time;</w:t>
      </w:r>
    </w:p>
    <w:p>
      <w:pPr>
        <w:spacing w:after="0" w:line="80" w:lineRule="exact"/>
        <w:rPr>
          <w:sz w:val="20"/>
          <w:szCs w:val="20"/>
          <w:color w:val="auto"/>
        </w:rPr>
      </w:pPr>
    </w:p>
    <w:p>
      <w:pPr>
        <w:ind w:left="1300" w:right="1239"/>
        <w:spacing w:after="0" w:line="236" w:lineRule="auto"/>
        <w:rPr>
          <w:sz w:val="20"/>
          <w:szCs w:val="20"/>
          <w:color w:val="auto"/>
        </w:rPr>
      </w:pPr>
      <w:r>
        <w:rPr>
          <w:rFonts w:ascii="Arial" w:cs="Arial" w:eastAsia="Arial" w:hAnsi="Arial"/>
          <w:sz w:val="15"/>
          <w:szCs w:val="15"/>
          <w:color w:val="auto"/>
        </w:rPr>
        <w:t>“company,” “we,” “us,” “our,” or “our company” are to ARYA Sciences Acquisition Corp III, a Cayman Islands exempted company;</w:t>
      </w:r>
    </w:p>
    <w:p>
      <w:pPr>
        <w:spacing w:after="0" w:line="80" w:lineRule="exact"/>
        <w:rPr>
          <w:sz w:val="20"/>
          <w:szCs w:val="20"/>
          <w:color w:val="auto"/>
        </w:rPr>
      </w:pPr>
    </w:p>
    <w:p>
      <w:pPr>
        <w:ind w:left="1300" w:right="1359"/>
        <w:spacing w:after="0" w:line="236" w:lineRule="auto"/>
        <w:rPr>
          <w:sz w:val="20"/>
          <w:szCs w:val="20"/>
          <w:color w:val="auto"/>
        </w:rPr>
      </w:pPr>
      <w:r>
        <w:rPr>
          <w:rFonts w:ascii="Arial" w:cs="Arial" w:eastAsia="Arial" w:hAnsi="Arial"/>
          <w:sz w:val="15"/>
          <w:szCs w:val="15"/>
          <w:color w:val="auto"/>
        </w:rPr>
        <w:t>“founders” are to Joseph Edelman, Adam Stone, Michael Altman and Konstantin Poukalov, senior executives of Perceptive Advisors;</w:t>
      </w:r>
    </w:p>
    <w:p>
      <w:pPr>
        <w:spacing w:after="0" w:line="80" w:lineRule="exact"/>
        <w:rPr>
          <w:sz w:val="20"/>
          <w:szCs w:val="20"/>
          <w:color w:val="auto"/>
        </w:rPr>
      </w:pPr>
    </w:p>
    <w:p>
      <w:pPr>
        <w:ind w:left="1300" w:right="919"/>
        <w:spacing w:after="0" w:line="231" w:lineRule="auto"/>
        <w:rPr>
          <w:sz w:val="20"/>
          <w:szCs w:val="20"/>
          <w:color w:val="auto"/>
        </w:rPr>
      </w:pPr>
      <w:r>
        <w:rPr>
          <w:rFonts w:ascii="Arial" w:cs="Arial" w:eastAsia="Arial" w:hAnsi="Arial"/>
          <w:sz w:val="15"/>
          <w:szCs w:val="15"/>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81" w:lineRule="exact"/>
        <w:rPr>
          <w:sz w:val="20"/>
          <w:szCs w:val="20"/>
          <w:color w:val="auto"/>
        </w:rPr>
      </w:pPr>
    </w:p>
    <w:p>
      <w:pPr>
        <w:ind w:left="1300" w:right="879"/>
        <w:spacing w:after="0" w:line="236" w:lineRule="auto"/>
        <w:rPr>
          <w:sz w:val="20"/>
          <w:szCs w:val="20"/>
          <w:color w:val="auto"/>
        </w:rPr>
      </w:pPr>
      <w:r>
        <w:rPr>
          <w:rFonts w:ascii="Arial" w:cs="Arial" w:eastAsia="Arial" w:hAnsi="Arial"/>
          <w:sz w:val="15"/>
          <w:szCs w:val="15"/>
          <w:color w:val="auto"/>
        </w:rPr>
        <w:t>“initial shareholders” are to our sponsor and each other holder of founder shares upon the consummation of this offering;</w:t>
      </w:r>
    </w:p>
    <w:p>
      <w:pPr>
        <w:spacing w:after="0" w:line="80" w:lineRule="exact"/>
        <w:rPr>
          <w:sz w:val="20"/>
          <w:szCs w:val="20"/>
          <w:color w:val="auto"/>
        </w:rPr>
      </w:pPr>
    </w:p>
    <w:p>
      <w:pPr>
        <w:ind w:left="1300" w:right="779"/>
        <w:spacing w:after="0" w:line="236" w:lineRule="auto"/>
        <w:rPr>
          <w:sz w:val="20"/>
          <w:szCs w:val="20"/>
          <w:color w:val="auto"/>
        </w:rPr>
      </w:pPr>
      <w:r>
        <w:rPr>
          <w:rFonts w:ascii="Arial" w:cs="Arial" w:eastAsia="Arial" w:hAnsi="Arial"/>
          <w:sz w:val="15"/>
          <w:szCs w:val="15"/>
          <w:color w:val="auto"/>
        </w:rPr>
        <w:t>“management” or “our management team” are to our executive officers and directors (including our director nominees who will become directors at the consummation of this offering);</w:t>
      </w:r>
    </w:p>
    <w:p>
      <w:pPr>
        <w:spacing w:after="0" w:line="80" w:lineRule="exact"/>
        <w:rPr>
          <w:sz w:val="20"/>
          <w:szCs w:val="20"/>
          <w:color w:val="auto"/>
        </w:rPr>
      </w:pPr>
    </w:p>
    <w:p>
      <w:pPr>
        <w:ind w:left="1300" w:right="2159"/>
        <w:spacing w:after="0" w:line="381" w:lineRule="auto"/>
        <w:rPr>
          <w:sz w:val="20"/>
          <w:szCs w:val="20"/>
          <w:color w:val="auto"/>
        </w:rPr>
      </w:pPr>
      <w:r>
        <w:rPr>
          <w:rFonts w:ascii="Arial" w:cs="Arial" w:eastAsia="Arial" w:hAnsi="Arial"/>
          <w:sz w:val="14"/>
          <w:szCs w:val="14"/>
          <w:color w:val="auto"/>
        </w:rPr>
        <w:t>“ordinary shares” are to our Class A ordinary shares and our Class B ordinary shares; “Perceptive Advisors” are to Perceptive Advisors, LLC, an affiliate of our sponsor;</w:t>
      </w:r>
    </w:p>
    <w:p>
      <w:pPr>
        <w:spacing w:after="0" w:line="1" w:lineRule="exact"/>
        <w:rPr>
          <w:sz w:val="20"/>
          <w:szCs w:val="20"/>
          <w:color w:val="auto"/>
        </w:rPr>
      </w:pPr>
    </w:p>
    <w:p>
      <w:pPr>
        <w:ind w:left="1300" w:right="859"/>
        <w:spacing w:after="0" w:line="231" w:lineRule="auto"/>
        <w:rPr>
          <w:sz w:val="20"/>
          <w:szCs w:val="20"/>
          <w:color w:val="auto"/>
        </w:rPr>
      </w:pPr>
      <w:r>
        <w:rPr>
          <w:rFonts w:ascii="Arial" w:cs="Arial" w:eastAsia="Arial" w:hAnsi="Arial"/>
          <w:sz w:val="15"/>
          <w:szCs w:val="15"/>
          <w:color w:val="auto"/>
        </w:rPr>
        <w:t>“private placement shares” are to the Class A ordinary shares to be issued to our sponsor in a private placement simultaneously with the closing of this offering (which private placement shares are identical to the shares sold in this offering, subject to certain limited exceptions as described in this prospectus) and upon conversion of working capital loans;</w:t>
      </w:r>
    </w:p>
    <w:p>
      <w:pPr>
        <w:spacing w:after="0" w:line="81" w:lineRule="exact"/>
        <w:rPr>
          <w:sz w:val="20"/>
          <w:szCs w:val="20"/>
          <w:color w:val="auto"/>
        </w:rPr>
      </w:pPr>
    </w:p>
    <w:p>
      <w:pPr>
        <w:jc w:val="both"/>
        <w:ind w:left="1300" w:right="799"/>
        <w:spacing w:after="0" w:line="231" w:lineRule="auto"/>
        <w:rPr>
          <w:sz w:val="20"/>
          <w:szCs w:val="20"/>
          <w:color w:val="auto"/>
        </w:rPr>
      </w:pPr>
      <w:r>
        <w:rPr>
          <w:rFonts w:ascii="Arial" w:cs="Arial" w:eastAsia="Arial" w:hAnsi="Arial"/>
          <w:sz w:val="15"/>
          <w:szCs w:val="15"/>
          <w:color w:val="auto"/>
        </w:rPr>
        <w:t xml:space="preserve">“public shareholders” are to the holders of our public shares, including our sponsor and management team to the extent our sponsor and/or members of our management team purchase public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our sponsor’s and each member of our management team’s status as a “public shareholder” will only exist with respect to such public shares;</w:t>
      </w:r>
    </w:p>
    <w:p>
      <w:pPr>
        <w:spacing w:after="0" w:line="81" w:lineRule="exact"/>
        <w:rPr>
          <w:sz w:val="20"/>
          <w:szCs w:val="20"/>
          <w:color w:val="auto"/>
        </w:rPr>
      </w:pPr>
    </w:p>
    <w:p>
      <w:pPr>
        <w:jc w:val="both"/>
        <w:ind w:left="1300" w:right="779"/>
        <w:spacing w:after="0" w:line="236" w:lineRule="auto"/>
        <w:rPr>
          <w:sz w:val="20"/>
          <w:szCs w:val="20"/>
          <w:color w:val="auto"/>
        </w:rPr>
      </w:pPr>
      <w:r>
        <w:rPr>
          <w:rFonts w:ascii="Arial" w:cs="Arial" w:eastAsia="Arial" w:hAnsi="Arial"/>
          <w:sz w:val="15"/>
          <w:szCs w:val="15"/>
          <w:color w:val="auto"/>
        </w:rPr>
        <w:t>“public shares” are to our Class A ordinary shares to be sold in this offering (whether they are purchased in this offering or thereafter in the open market); and</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“sponsor” are to ARYA Sciences Holdings III, a Cayman Islands exempted limited company.</w:t>
      </w:r>
    </w:p>
    <w:p>
      <w:pPr>
        <w:spacing w:after="0" w:line="142" w:lineRule="exact"/>
        <w:rPr>
          <w:sz w:val="20"/>
          <w:szCs w:val="20"/>
          <w:color w:val="auto"/>
        </w:rPr>
      </w:pPr>
    </w:p>
    <w:p>
      <w:pPr>
        <w:ind w:left="800" w:right="959"/>
        <w:spacing w:after="0" w:line="230" w:lineRule="auto"/>
        <w:rPr>
          <w:sz w:val="20"/>
          <w:szCs w:val="20"/>
          <w:color w:val="auto"/>
        </w:rPr>
      </w:pPr>
      <w:r>
        <w:rPr>
          <w:rFonts w:ascii="Arial" w:cs="Arial" w:eastAsia="Arial" w:hAnsi="Arial"/>
          <w:sz w:val="15"/>
          <w:szCs w:val="15"/>
          <w:color w:val="auto"/>
        </w:rPr>
        <w:t>Any forfeiture or transfer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39" w:lineRule="exact"/>
        <w:rPr>
          <w:sz w:val="20"/>
          <w:szCs w:val="20"/>
          <w:color w:val="auto"/>
        </w:rPr>
      </w:pPr>
    </w:p>
    <w:p>
      <w:pPr>
        <w:ind w:left="800" w:right="1019"/>
        <w:spacing w:after="0" w:line="236" w:lineRule="auto"/>
        <w:rPr>
          <w:sz w:val="20"/>
          <w:szCs w:val="20"/>
          <w:color w:val="auto"/>
        </w:rPr>
      </w:pPr>
      <w:r>
        <w:rPr>
          <w:rFonts w:ascii="Arial" w:cs="Arial" w:eastAsia="Arial" w:hAnsi="Arial"/>
          <w:sz w:val="15"/>
          <w:szCs w:val="15"/>
          <w:color w:val="auto"/>
        </w:rPr>
        <w:t>Unless we tell you otherwise, the information in this prospectus assumes that the underwriters will not exercise their over-allotment option.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 w:name="page5"/>
    <w:bookmarkEnd w:id="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863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1735" cy="5863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General</w:t>
      </w:r>
    </w:p>
    <w:p>
      <w:pPr>
        <w:spacing w:after="0" w:line="144" w:lineRule="exact"/>
        <w:rPr>
          <w:sz w:val="20"/>
          <w:szCs w:val="20"/>
          <w:color w:val="auto"/>
        </w:rPr>
      </w:pPr>
    </w:p>
    <w:p>
      <w:pPr>
        <w:ind w:left="800" w:right="799"/>
        <w:spacing w:after="0" w:line="246" w:lineRule="auto"/>
        <w:rPr>
          <w:sz w:val="20"/>
          <w:szCs w:val="20"/>
          <w:color w:val="auto"/>
        </w:rPr>
      </w:pPr>
      <w:r>
        <w:rPr>
          <w:rFonts w:ascii="Arial" w:cs="Arial" w:eastAsia="Arial" w:hAnsi="Arial"/>
          <w:sz w:val="14"/>
          <w:szCs w:val="14"/>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34" w:lineRule="exact"/>
        <w:rPr>
          <w:sz w:val="20"/>
          <w:szCs w:val="20"/>
          <w:color w:val="auto"/>
        </w:rPr>
      </w:pPr>
    </w:p>
    <w:p>
      <w:pPr>
        <w:ind w:left="800" w:right="799"/>
        <w:spacing w:after="0" w:line="229" w:lineRule="auto"/>
        <w:rPr>
          <w:sz w:val="20"/>
          <w:szCs w:val="20"/>
          <w:color w:val="auto"/>
        </w:rPr>
      </w:pPr>
      <w:r>
        <w:rPr>
          <w:rFonts w:ascii="Arial" w:cs="Arial" w:eastAsia="Arial" w:hAnsi="Arial"/>
          <w:sz w:val="15"/>
          <w:szCs w:val="15"/>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 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Our Founders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Our sponsor is an affiliate of Perceptive Advisors, a leading life sciences focused investment firm with over</w:t>
      </w:r>
    </w:p>
    <w:p>
      <w:pPr>
        <w:ind w:left="800" w:right="779"/>
        <w:spacing w:after="0" w:line="244" w:lineRule="auto"/>
        <w:rPr>
          <w:sz w:val="20"/>
          <w:szCs w:val="20"/>
          <w:color w:val="auto"/>
        </w:rPr>
      </w:pPr>
      <w:r>
        <w:rPr>
          <w:rFonts w:ascii="Arial" w:cs="Arial" w:eastAsia="Arial" w:hAnsi="Arial"/>
          <w:sz w:val="14"/>
          <w:szCs w:val="14"/>
          <w:color w:val="auto"/>
        </w:rPr>
        <w:t>$7 billion of regulatory assets under management as of December 31, 2019.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 We have not selected any business combination target and we have not, nor has anyone on our behalf, initiated any substantive discussions, directly or indirectly, with any business combination target.</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Our Board of Directors and Management</w:t>
      </w:r>
    </w:p>
    <w:p>
      <w:pPr>
        <w:spacing w:after="0" w:line="155" w:lineRule="exact"/>
        <w:rPr>
          <w:sz w:val="20"/>
          <w:szCs w:val="20"/>
          <w:color w:val="auto"/>
        </w:rPr>
      </w:pPr>
    </w:p>
    <w:p>
      <w:pPr>
        <w:ind w:left="800" w:right="799"/>
        <w:spacing w:after="0" w:line="246" w:lineRule="auto"/>
        <w:rPr>
          <w:sz w:val="20"/>
          <w:szCs w:val="20"/>
          <w:color w:val="auto"/>
        </w:rPr>
      </w:pPr>
      <w:r>
        <w:rPr>
          <w:rFonts w:ascii="Arial" w:cs="Arial" w:eastAsia="Arial" w:hAnsi="Arial"/>
          <w:sz w:val="14"/>
          <w:szCs w:val="14"/>
          <w:color w:val="auto"/>
        </w:rPr>
        <w:t>Joseph Edelman serves as the Chairman of our board of directors. Mr. Edelman is Founder, Chief Executive Officer 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SanDiego.</w:t>
      </w:r>
    </w:p>
    <w:p>
      <w:pPr>
        <w:spacing w:after="0" w:line="134" w:lineRule="exact"/>
        <w:rPr>
          <w:sz w:val="20"/>
          <w:szCs w:val="20"/>
          <w:color w:val="auto"/>
        </w:rPr>
      </w:pPr>
    </w:p>
    <w:p>
      <w:pPr>
        <w:ind w:left="800" w:right="939"/>
        <w:spacing w:after="0" w:line="254" w:lineRule="auto"/>
        <w:rPr>
          <w:sz w:val="20"/>
          <w:szCs w:val="20"/>
          <w:color w:val="auto"/>
        </w:rPr>
      </w:pPr>
      <w:r>
        <w:rPr>
          <w:rFonts w:ascii="Arial" w:cs="Arial" w:eastAsia="Arial" w:hAnsi="Arial"/>
          <w:sz w:val="14"/>
          <w:szCs w:val="14"/>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 w:name="page6"/>
    <w:bookmarkEnd w:id="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871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1735" cy="58712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0" w:right="779"/>
        <w:spacing w:after="0" w:line="229" w:lineRule="auto"/>
        <w:rPr>
          <w:sz w:val="20"/>
          <w:szCs w:val="20"/>
          <w:color w:val="auto"/>
        </w:rPr>
      </w:pPr>
      <w:r>
        <w:rPr>
          <w:rFonts w:ascii="Arial" w:cs="Arial" w:eastAsia="Arial" w:hAnsi="Arial"/>
          <w:sz w:val="15"/>
          <w:szCs w:val="15"/>
          <w:color w:val="auto"/>
        </w:rPr>
        <w:t>Acquisition Corp II (Nasdaq: ARYB) as well as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141" w:lineRule="exact"/>
        <w:rPr>
          <w:sz w:val="20"/>
          <w:szCs w:val="20"/>
          <w:color w:val="auto"/>
        </w:rPr>
      </w:pPr>
    </w:p>
    <w:p>
      <w:pPr>
        <w:ind w:left="800" w:right="839"/>
        <w:spacing w:after="0" w:line="229" w:lineRule="auto"/>
        <w:rPr>
          <w:sz w:val="20"/>
          <w:szCs w:val="20"/>
          <w:color w:val="auto"/>
        </w:rPr>
      </w:pPr>
      <w:r>
        <w:rPr>
          <w:rFonts w:ascii="Arial" w:cs="Arial" w:eastAsia="Arial" w:hAnsi="Arial"/>
          <w:sz w:val="15"/>
          <w:szCs w:val="15"/>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directors of ARYA Sciences Acquisition Corp II (Nasdaq: ARYB). Prior to joining Perceptive Advisors, Mr. Altman was a trader and analyst at First New York Securities from 2005 to 2007. Mr. Altman graduated from the University of Vermont with a BS in Business Administration.</w:t>
      </w:r>
    </w:p>
    <w:p>
      <w:pPr>
        <w:spacing w:after="0" w:line="126" w:lineRule="exact"/>
        <w:rPr>
          <w:sz w:val="20"/>
          <w:szCs w:val="20"/>
          <w:color w:val="auto"/>
        </w:rPr>
      </w:pPr>
    </w:p>
    <w:p>
      <w:pPr>
        <w:ind w:left="800" w:right="779"/>
        <w:spacing w:after="0" w:line="228" w:lineRule="auto"/>
        <w:rPr>
          <w:sz w:val="20"/>
          <w:szCs w:val="20"/>
          <w:color w:val="auto"/>
        </w:rPr>
      </w:pPr>
      <w:r>
        <w:rPr>
          <w:rFonts w:ascii="Arial" w:cs="Arial" w:eastAsia="Arial" w:hAnsi="Arial"/>
          <w:sz w:val="15"/>
          <w:szCs w:val="15"/>
          <w:color w:val="auto"/>
        </w:rPr>
        <w:t>Konstantin Poukalov, our Chief Business Officer, joined Perceptive Advisors in 2019 and is a Managing Director at 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40" w:lineRule="exact"/>
        <w:rPr>
          <w:sz w:val="20"/>
          <w:szCs w:val="20"/>
          <w:color w:val="auto"/>
        </w:rPr>
      </w:pPr>
    </w:p>
    <w:p>
      <w:pPr>
        <w:ind w:left="800" w:right="799"/>
        <w:spacing w:after="0" w:line="245" w:lineRule="auto"/>
        <w:rPr>
          <w:sz w:val="20"/>
          <w:szCs w:val="20"/>
          <w:color w:val="auto"/>
        </w:rPr>
      </w:pPr>
      <w:r>
        <w:rPr>
          <w:rFonts w:ascii="Arial" w:cs="Arial" w:eastAsia="Arial" w:hAnsi="Arial"/>
          <w:sz w:val="14"/>
          <w:szCs w:val="14"/>
          <w:color w:val="auto"/>
        </w:rPr>
        <w:t>Dr. Todd Wider has agreed to serve on our board of directors. Dr. Wider is an active, honorary member of the medical 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34" w:lineRule="exact"/>
        <w:rPr>
          <w:sz w:val="20"/>
          <w:szCs w:val="20"/>
          <w:color w:val="auto"/>
        </w:rPr>
      </w:pPr>
    </w:p>
    <w:p>
      <w:pPr>
        <w:ind w:left="800" w:right="819"/>
        <w:spacing w:after="0" w:line="218" w:lineRule="auto"/>
        <w:rPr>
          <w:sz w:val="20"/>
          <w:szCs w:val="20"/>
          <w:color w:val="auto"/>
        </w:rPr>
      </w:pPr>
      <w:r>
        <w:rPr>
          <w:rFonts w:ascii="Arial" w:cs="Arial" w:eastAsia="Arial" w:hAnsi="Arial"/>
          <w:sz w:val="15"/>
          <w:szCs w:val="15"/>
          <w:color w:val="auto"/>
        </w:rPr>
        <w:t>Bradley L. Campbell has agreed to serve on our board of directors. He has nearly 20 years of experience in the orphan drug industry and has served on the board of directors of Amicus Therapeutics, Inc. (Nasdaq: FOLD) (“Amicus”) since June 2018 and as President and Chief Operating Officer of Amicus since January 2015. In this capacity, Mr. Campbell leads the global commercial organization responsible for the commercialization of Galafold</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 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 w:name="page7"/>
    <w:bookmarkEnd w:id="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383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1735" cy="53835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0" w:right="859"/>
        <w:spacing w:after="0" w:line="231" w:lineRule="auto"/>
        <w:rPr>
          <w:sz w:val="20"/>
          <w:szCs w:val="20"/>
          <w:color w:val="auto"/>
        </w:rPr>
      </w:pPr>
      <w:r>
        <w:rPr>
          <w:rFonts w:ascii="Arial" w:cs="Arial" w:eastAsia="Arial" w:hAnsi="Arial"/>
          <w:sz w:val="15"/>
          <w:szCs w:val="15"/>
          <w:color w:val="auto"/>
        </w:rPr>
        <w:t>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39" w:lineRule="exact"/>
        <w:rPr>
          <w:sz w:val="20"/>
          <w:szCs w:val="20"/>
          <w:color w:val="auto"/>
        </w:rPr>
      </w:pPr>
    </w:p>
    <w:p>
      <w:pPr>
        <w:ind w:left="800" w:right="779"/>
        <w:spacing w:after="0" w:line="228" w:lineRule="auto"/>
        <w:rPr>
          <w:sz w:val="20"/>
          <w:szCs w:val="20"/>
          <w:color w:val="auto"/>
        </w:rPr>
      </w:pPr>
      <w:r>
        <w:rPr>
          <w:rFonts w:ascii="Arial" w:cs="Arial" w:eastAsia="Arial" w:hAnsi="Arial"/>
          <w:sz w:val="15"/>
          <w:szCs w:val="15"/>
          <w:color w:val="auto"/>
        </w:rPr>
        <w:t>Saqib Islam has agreed to serve on our board of directors. Mr. Islam has served as the Chief Executive Officer and director of SpringWorks Therapeutics, Inc. (Nasdaq: SWTX)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27" w:lineRule="exact"/>
        <w:rPr>
          <w:sz w:val="20"/>
          <w:szCs w:val="20"/>
          <w:color w:val="auto"/>
        </w:rPr>
      </w:pPr>
    </w:p>
    <w:p>
      <w:pPr>
        <w:ind w:left="800" w:right="919"/>
        <w:spacing w:after="0" w:line="233" w:lineRule="auto"/>
        <w:rPr>
          <w:sz w:val="20"/>
          <w:szCs w:val="20"/>
          <w:color w:val="auto"/>
        </w:rPr>
      </w:pPr>
      <w:r>
        <w:rPr>
          <w:rFonts w:ascii="Arial" w:cs="Arial" w:eastAsia="Arial" w:hAnsi="Arial"/>
          <w:sz w:val="15"/>
          <w:szCs w:val="15"/>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Experience with Special Purpose Acquisition Vehicles</w:t>
      </w:r>
    </w:p>
    <w:p>
      <w:pPr>
        <w:spacing w:after="0" w:line="144" w:lineRule="exact"/>
        <w:rPr>
          <w:sz w:val="20"/>
          <w:szCs w:val="20"/>
          <w:color w:val="auto"/>
        </w:rPr>
      </w:pPr>
    </w:p>
    <w:p>
      <w:pPr>
        <w:ind w:left="800" w:right="959"/>
        <w:spacing w:after="0" w:line="230" w:lineRule="auto"/>
        <w:rPr>
          <w:sz w:val="20"/>
          <w:szCs w:val="20"/>
          <w:color w:val="auto"/>
        </w:rPr>
      </w:pPr>
      <w:r>
        <w:rPr>
          <w:rFonts w:ascii="Arial" w:cs="Arial" w:eastAsia="Arial" w:hAnsi="Arial"/>
          <w:sz w:val="15"/>
          <w:szCs w:val="15"/>
          <w:color w:val="auto"/>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spacing w:after="0" w:line="139" w:lineRule="exact"/>
        <w:rPr>
          <w:sz w:val="20"/>
          <w:szCs w:val="20"/>
          <w:color w:val="auto"/>
        </w:rPr>
      </w:pPr>
    </w:p>
    <w:p>
      <w:pPr>
        <w:ind w:left="800" w:right="859"/>
        <w:spacing w:after="0" w:line="230" w:lineRule="auto"/>
        <w:rPr>
          <w:sz w:val="20"/>
          <w:szCs w:val="20"/>
          <w:color w:val="auto"/>
        </w:rPr>
      </w:pPr>
      <w:r>
        <w:rPr>
          <w:rFonts w:ascii="Arial" w:cs="Arial" w:eastAsia="Arial" w:hAnsi="Arial"/>
          <w:sz w:val="15"/>
          <w:szCs w:val="15"/>
          <w:color w:val="auto"/>
        </w:rPr>
        <w:t>Further, Mr. Edelman is the Chairman of the board of directors of ARYA Sciences Acquisition Corp II, Mr. Stone is the Chief Executive Officer of ARYA Sciences Acquisition Corp II, Mr. Altman is the Chief Financial Officer of ARYA Sciences Acquisition Corp II and Mr. Poukalov is the Chief Business Officer of ARYA Sciences Acquisition Corp II. ARYA Sciences Acquisition Corp II is a special purpose acquisition company formed for substantially similar purposes as our company.</w:t>
      </w:r>
    </w:p>
    <w:p>
      <w:pPr>
        <w:spacing w:after="0" w:line="139" w:lineRule="exact"/>
        <w:rPr>
          <w:sz w:val="20"/>
          <w:szCs w:val="20"/>
          <w:color w:val="auto"/>
        </w:rPr>
      </w:pPr>
    </w:p>
    <w:p>
      <w:pPr>
        <w:ind w:left="800" w:right="859"/>
        <w:spacing w:after="0" w:line="229" w:lineRule="auto"/>
        <w:rPr>
          <w:sz w:val="20"/>
          <w:szCs w:val="20"/>
          <w:color w:val="auto"/>
        </w:rPr>
      </w:pPr>
      <w:r>
        <w:rPr>
          <w:rFonts w:ascii="Arial" w:cs="Arial" w:eastAsia="Arial" w:hAnsi="Arial"/>
          <w:sz w:val="15"/>
          <w:szCs w:val="15"/>
          <w:color w:val="auto"/>
        </w:rPr>
        <w:t>Our founders and our directors and officers, Perceptive Advisors, or its affiliates expect in the future to become affiliated with other public special public acquisition companies that may have acquisition objectives that are similar to ours. See “Risk Factors—Our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29" w:lineRule="exact"/>
        <w:rPr>
          <w:sz w:val="20"/>
          <w:szCs w:val="20"/>
          <w:color w:val="auto"/>
        </w:rPr>
      </w:pPr>
    </w:p>
    <w:p>
      <w:pPr>
        <w:ind w:left="800" w:right="859"/>
        <w:spacing w:after="0" w:line="248" w:lineRule="auto"/>
        <w:rPr>
          <w:sz w:val="20"/>
          <w:szCs w:val="20"/>
          <w:color w:val="auto"/>
        </w:rPr>
      </w:pPr>
      <w:r>
        <w:rPr>
          <w:rFonts w:ascii="Arial" w:cs="Arial" w:eastAsia="Arial" w:hAnsi="Arial"/>
          <w:sz w:val="14"/>
          <w:szCs w:val="14"/>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 w:name="page8"/>
    <w:bookmarkEnd w:id="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826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1735" cy="582676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Industry Opportunity</w:t>
      </w:r>
    </w:p>
    <w:p>
      <w:pPr>
        <w:spacing w:after="0" w:line="144" w:lineRule="exact"/>
        <w:rPr>
          <w:sz w:val="20"/>
          <w:szCs w:val="20"/>
          <w:color w:val="auto"/>
        </w:rPr>
      </w:pPr>
    </w:p>
    <w:p>
      <w:pPr>
        <w:ind w:left="800" w:right="799"/>
        <w:spacing w:after="0" w:line="229" w:lineRule="auto"/>
        <w:rPr>
          <w:sz w:val="20"/>
          <w:szCs w:val="20"/>
          <w:color w:val="auto"/>
        </w:rPr>
      </w:pPr>
      <w:r>
        <w:rPr>
          <w:rFonts w:ascii="Arial" w:cs="Arial" w:eastAsia="Arial" w:hAnsi="Arial"/>
          <w:sz w:val="15"/>
          <w:szCs w:val="15"/>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Current Life Sciences IPO Market</w:t>
      </w:r>
    </w:p>
    <w:p>
      <w:pPr>
        <w:spacing w:after="0" w:line="144" w:lineRule="exact"/>
        <w:rPr>
          <w:sz w:val="20"/>
          <w:szCs w:val="20"/>
          <w:color w:val="auto"/>
        </w:rPr>
      </w:pPr>
    </w:p>
    <w:p>
      <w:pPr>
        <w:ind w:left="800" w:right="799"/>
        <w:spacing w:after="0" w:line="230" w:lineRule="auto"/>
        <w:rPr>
          <w:sz w:val="20"/>
          <w:szCs w:val="20"/>
          <w:color w:val="auto"/>
        </w:rPr>
      </w:pPr>
      <w:r>
        <w:rPr>
          <w:rFonts w:ascii="Arial" w:cs="Arial" w:eastAsia="Arial" w:hAnsi="Arial"/>
          <w:sz w:val="15"/>
          <w:szCs w:val="15"/>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139" w:lineRule="exact"/>
        <w:rPr>
          <w:sz w:val="20"/>
          <w:szCs w:val="20"/>
          <w:color w:val="auto"/>
        </w:rPr>
      </w:pPr>
    </w:p>
    <w:p>
      <w:pPr>
        <w:ind w:left="800" w:right="779"/>
        <w:spacing w:after="0" w:line="229" w:lineRule="auto"/>
        <w:rPr>
          <w:sz w:val="20"/>
          <w:szCs w:val="20"/>
          <w:color w:val="auto"/>
        </w:rPr>
      </w:pPr>
      <w:r>
        <w:rPr>
          <w:rFonts w:ascii="Arial" w:cs="Arial" w:eastAsia="Arial" w:hAnsi="Arial"/>
          <w:sz w:val="15"/>
          <w:szCs w:val="15"/>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41" w:lineRule="exact"/>
        <w:rPr>
          <w:sz w:val="20"/>
          <w:szCs w:val="20"/>
          <w:color w:val="auto"/>
        </w:rPr>
      </w:pPr>
    </w:p>
    <w:p>
      <w:pPr>
        <w:ind w:left="800" w:right="879"/>
        <w:spacing w:after="0" w:line="229" w:lineRule="auto"/>
        <w:rPr>
          <w:sz w:val="20"/>
          <w:szCs w:val="20"/>
          <w:color w:val="auto"/>
        </w:rPr>
      </w:pPr>
      <w:r>
        <w:rPr>
          <w:rFonts w:ascii="Arial" w:cs="Arial" w:eastAsia="Arial" w:hAnsi="Arial"/>
          <w:sz w:val="15"/>
          <w:szCs w:val="15"/>
          <w:color w:val="auto"/>
        </w:rPr>
        <w:t>We believe that life sciences and medical technology companies, at a certain stage in their development, will see material benefits from being publicly-traded, including greater access to capital, more liquid securities and increased customer awareness. An acquisition by a special purpose acquisition company with a management team that is well-known to, and respected by, life sciences founders, their current third-party investors and their management teams, we believe, can provide a more transparent and efficient mechanism to bring a private healthcare company to the public markets.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Acquisition Strategy</w:t>
      </w:r>
    </w:p>
    <w:p>
      <w:pPr>
        <w:spacing w:after="0" w:line="155" w:lineRule="exact"/>
        <w:rPr>
          <w:sz w:val="20"/>
          <w:szCs w:val="20"/>
          <w:color w:val="auto"/>
        </w:rPr>
      </w:pPr>
    </w:p>
    <w:p>
      <w:pPr>
        <w:ind w:left="800" w:right="779"/>
        <w:spacing w:after="0" w:line="229" w:lineRule="auto"/>
        <w:rPr>
          <w:sz w:val="20"/>
          <w:szCs w:val="20"/>
          <w:color w:val="auto"/>
        </w:rPr>
      </w:pPr>
      <w:r>
        <w:rPr>
          <w:rFonts w:ascii="Arial" w:cs="Arial" w:eastAsia="Arial" w:hAnsi="Arial"/>
          <w:sz w:val="15"/>
          <w:szCs w:val="15"/>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126" w:lineRule="exact"/>
        <w:rPr>
          <w:sz w:val="20"/>
          <w:szCs w:val="20"/>
          <w:color w:val="auto"/>
        </w:rPr>
      </w:pPr>
    </w:p>
    <w:p>
      <w:pPr>
        <w:jc w:val="both"/>
        <w:ind w:left="800" w:right="939"/>
        <w:spacing w:after="0" w:line="233" w:lineRule="auto"/>
        <w:rPr>
          <w:sz w:val="20"/>
          <w:szCs w:val="20"/>
          <w:color w:val="auto"/>
        </w:rPr>
      </w:pPr>
      <w:r>
        <w:rPr>
          <w:rFonts w:ascii="Arial" w:cs="Arial" w:eastAsia="Arial" w:hAnsi="Arial"/>
          <w:sz w:val="15"/>
          <w:szCs w:val="15"/>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79" w:lineRule="exact"/>
        <w:rPr>
          <w:sz w:val="20"/>
          <w:szCs w:val="20"/>
          <w:color w:val="auto"/>
        </w:rPr>
      </w:pPr>
    </w:p>
    <w:p>
      <w:pPr>
        <w:ind w:left="1300" w:right="1239"/>
        <w:spacing w:after="0" w:line="236" w:lineRule="auto"/>
        <w:rPr>
          <w:sz w:val="20"/>
          <w:szCs w:val="20"/>
          <w:color w:val="auto"/>
        </w:rPr>
      </w:pPr>
      <w:r>
        <w:rPr>
          <w:rFonts w:ascii="Arial" w:cs="Arial" w:eastAsia="Arial" w:hAnsi="Arial"/>
          <w:sz w:val="15"/>
          <w:szCs w:val="15"/>
          <w:color w:val="auto"/>
        </w:rPr>
        <w:t>have a scientific or other competitive advantage in the markets in which they operate and which can benefit from access to additional capital as well as our industry relationships and expertise;</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are ready to be public, with strong management, corporate governance and reporting policies in place;</w:t>
      </w:r>
    </w:p>
    <w:p>
      <w:pPr>
        <w:spacing w:after="0" w:line="83" w:lineRule="exact"/>
        <w:rPr>
          <w:sz w:val="20"/>
          <w:szCs w:val="20"/>
          <w:color w:val="auto"/>
        </w:rPr>
      </w:pPr>
    </w:p>
    <w:p>
      <w:pPr>
        <w:ind w:left="1300" w:right="919"/>
        <w:spacing w:after="0" w:line="236" w:lineRule="auto"/>
        <w:rPr>
          <w:sz w:val="20"/>
          <w:szCs w:val="20"/>
          <w:color w:val="auto"/>
        </w:rPr>
      </w:pPr>
      <w:r>
        <w:rPr>
          <w:rFonts w:ascii="Arial" w:cs="Arial" w:eastAsia="Arial" w:hAnsi="Arial"/>
          <w:sz w:val="15"/>
          <w:szCs w:val="15"/>
          <w:color w:val="auto"/>
        </w:rPr>
        <w:t>will likely be well received by public investors and are expected to have good access to the public capital markets;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 w:name="page9"/>
    <w:bookmarkEnd w:id="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944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1735" cy="594487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have significant embedded and/or underexploited growth opportunities;</w:t>
      </w:r>
    </w:p>
    <w:p>
      <w:pPr>
        <w:spacing w:after="0" w:line="83" w:lineRule="exact"/>
        <w:rPr>
          <w:sz w:val="20"/>
          <w:szCs w:val="20"/>
          <w:color w:val="auto"/>
        </w:rPr>
      </w:pPr>
    </w:p>
    <w:p>
      <w:pPr>
        <w:ind w:left="1300" w:right="859"/>
        <w:spacing w:after="0" w:line="236" w:lineRule="auto"/>
        <w:rPr>
          <w:sz w:val="20"/>
          <w:szCs w:val="20"/>
          <w:color w:val="auto"/>
        </w:rPr>
      </w:pPr>
      <w:r>
        <w:rPr>
          <w:rFonts w:ascii="Arial" w:cs="Arial" w:eastAsia="Arial" w:hAnsi="Arial"/>
          <w:sz w:val="15"/>
          <w:szCs w:val="15"/>
          <w:color w:val="auto"/>
        </w:rPr>
        <w:t>exhibit unrecognized value or other characteristics that we believe have been misevaluated by the market based on our rigorous analysis and scientific and business due diligence review; and</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will offer attractive risk-adjusted equity returns for our shareholders.</w:t>
      </w:r>
    </w:p>
    <w:p>
      <w:pPr>
        <w:spacing w:after="0" w:line="142" w:lineRule="exact"/>
        <w:rPr>
          <w:sz w:val="20"/>
          <w:szCs w:val="20"/>
          <w:color w:val="auto"/>
        </w:rPr>
      </w:pPr>
    </w:p>
    <w:p>
      <w:pPr>
        <w:ind w:left="800" w:right="819"/>
        <w:spacing w:after="0" w:line="231" w:lineRule="auto"/>
        <w:rPr>
          <w:sz w:val="20"/>
          <w:szCs w:val="20"/>
          <w:color w:val="auto"/>
        </w:rPr>
      </w:pPr>
      <w:r>
        <w:rPr>
          <w:rFonts w:ascii="Arial" w:cs="Arial" w:eastAsia="Arial" w:hAnsi="Arial"/>
          <w:sz w:val="15"/>
          <w:szCs w:val="15"/>
          <w:color w:val="auto"/>
        </w:rPr>
        <w:t>We intend to focus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Initial Business Combination</w:t>
      </w:r>
    </w:p>
    <w:p>
      <w:pPr>
        <w:spacing w:after="0" w:line="155" w:lineRule="exact"/>
        <w:rPr>
          <w:sz w:val="20"/>
          <w:szCs w:val="20"/>
          <w:color w:val="auto"/>
        </w:rPr>
      </w:pPr>
    </w:p>
    <w:p>
      <w:pPr>
        <w:ind w:left="800" w:right="799"/>
        <w:spacing w:after="0" w:line="227" w:lineRule="auto"/>
        <w:rPr>
          <w:sz w:val="20"/>
          <w:szCs w:val="20"/>
          <w:color w:val="auto"/>
        </w:rPr>
      </w:pPr>
      <w:r>
        <w:rPr>
          <w:rFonts w:ascii="Arial" w:cs="Arial" w:eastAsia="Arial" w:hAnsi="Arial"/>
          <w:sz w:val="15"/>
          <w:szCs w:val="15"/>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the Financial Industry Regulatory Authority, Inc., or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34" w:lineRule="exact"/>
        <w:rPr>
          <w:sz w:val="20"/>
          <w:szCs w:val="20"/>
          <w:color w:val="auto"/>
        </w:rPr>
      </w:pPr>
    </w:p>
    <w:p>
      <w:pPr>
        <w:ind w:left="800" w:right="799"/>
        <w:spacing w:after="0" w:line="227" w:lineRule="auto"/>
        <w:rPr>
          <w:sz w:val="20"/>
          <w:szCs w:val="20"/>
          <w:color w:val="auto"/>
        </w:rPr>
      </w:pPr>
      <w:r>
        <w:rPr>
          <w:rFonts w:ascii="Arial" w:cs="Arial" w:eastAsia="Arial" w:hAnsi="Arial"/>
          <w:sz w:val="15"/>
          <w:szCs w:val="15"/>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 w:name="page10"/>
    <w:bookmarkEnd w:id="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494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1735" cy="54946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0" w:right="839"/>
        <w:spacing w:after="0" w:line="250" w:lineRule="auto"/>
        <w:rPr>
          <w:sz w:val="20"/>
          <w:szCs w:val="20"/>
          <w:color w:val="auto"/>
        </w:rPr>
      </w:pPr>
      <w:r>
        <w:rPr>
          <w:rFonts w:ascii="Arial" w:cs="Arial" w:eastAsia="Arial" w:hAnsi="Arial"/>
          <w:sz w:val="14"/>
          <w:szCs w:val="14"/>
          <w:color w:val="auto"/>
        </w:rPr>
        <w:t>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32" w:lineRule="exact"/>
        <w:rPr>
          <w:sz w:val="20"/>
          <w:szCs w:val="20"/>
          <w:color w:val="auto"/>
        </w:rPr>
      </w:pPr>
    </w:p>
    <w:p>
      <w:pPr>
        <w:ind w:left="800" w:right="799"/>
        <w:spacing w:after="0" w:line="245" w:lineRule="auto"/>
        <w:rPr>
          <w:sz w:val="20"/>
          <w:szCs w:val="20"/>
          <w:color w:val="auto"/>
        </w:rPr>
      </w:pPr>
      <w:r>
        <w:rPr>
          <w:rFonts w:ascii="Arial" w:cs="Arial" w:eastAsia="Arial" w:hAnsi="Arial"/>
          <w:sz w:val="14"/>
          <w:szCs w:val="14"/>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Other Considerations</w:t>
      </w:r>
    </w:p>
    <w:p>
      <w:pPr>
        <w:spacing w:after="0" w:line="155" w:lineRule="exact"/>
        <w:rPr>
          <w:sz w:val="20"/>
          <w:szCs w:val="20"/>
          <w:color w:val="auto"/>
        </w:rPr>
      </w:pPr>
    </w:p>
    <w:p>
      <w:pPr>
        <w:ind w:left="800" w:right="779"/>
        <w:spacing w:after="0" w:line="229" w:lineRule="auto"/>
        <w:rPr>
          <w:sz w:val="20"/>
          <w:szCs w:val="20"/>
          <w:color w:val="auto"/>
        </w:rPr>
      </w:pPr>
      <w:r>
        <w:rPr>
          <w:rFonts w:ascii="Arial" w:cs="Arial" w:eastAsia="Arial" w:hAnsi="Arial"/>
          <w:sz w:val="15"/>
          <w:szCs w:val="15"/>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28" w:lineRule="exact"/>
        <w:rPr>
          <w:sz w:val="20"/>
          <w:szCs w:val="20"/>
          <w:color w:val="auto"/>
        </w:rPr>
      </w:pPr>
    </w:p>
    <w:p>
      <w:pPr>
        <w:ind w:left="800" w:right="819"/>
        <w:spacing w:after="0" w:line="247" w:lineRule="auto"/>
        <w:rPr>
          <w:sz w:val="20"/>
          <w:szCs w:val="20"/>
          <w:color w:val="auto"/>
        </w:rPr>
      </w:pPr>
      <w:r>
        <w:rPr>
          <w:rFonts w:ascii="Arial" w:cs="Arial" w:eastAsia="Arial" w:hAnsi="Arial"/>
          <w:sz w:val="14"/>
          <w:szCs w:val="14"/>
          <w:color w:val="auto"/>
        </w:rPr>
        <w:t>Affiliates of Perceptive Advisors and members of our board of directors will directly or indirectly own founder shares and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134" w:lineRule="exact"/>
        <w:rPr>
          <w:sz w:val="20"/>
          <w:szCs w:val="20"/>
          <w:color w:val="auto"/>
        </w:rPr>
      </w:pPr>
    </w:p>
    <w:p>
      <w:pPr>
        <w:ind w:left="800" w:right="779"/>
        <w:spacing w:after="0" w:line="228" w:lineRule="auto"/>
        <w:rPr>
          <w:sz w:val="20"/>
          <w:szCs w:val="20"/>
          <w:color w:val="auto"/>
        </w:rPr>
      </w:pPr>
      <w:r>
        <w:rPr>
          <w:rFonts w:ascii="Arial" w:cs="Arial" w:eastAsia="Arial" w:hAnsi="Arial"/>
          <w:sz w:val="15"/>
          <w:szCs w:val="15"/>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39" w:lineRule="exact"/>
        <w:rPr>
          <w:sz w:val="20"/>
          <w:szCs w:val="20"/>
          <w:color w:val="auto"/>
        </w:rPr>
      </w:pPr>
    </w:p>
    <w:p>
      <w:pPr>
        <w:ind w:left="800" w:right="879"/>
        <w:spacing w:after="0" w:line="231" w:lineRule="auto"/>
        <w:rPr>
          <w:sz w:val="20"/>
          <w:szCs w:val="20"/>
          <w:color w:val="auto"/>
        </w:rPr>
      </w:pPr>
      <w:r>
        <w:rPr>
          <w:rFonts w:ascii="Arial" w:cs="Arial" w:eastAsia="Arial" w:hAnsi="Arial"/>
          <w:sz w:val="15"/>
          <w:szCs w:val="15"/>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 w:name="page11"/>
    <w:bookmarkEnd w:id="1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826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1735" cy="58267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0" w:right="839"/>
        <w:spacing w:after="0" w:line="230" w:lineRule="auto"/>
        <w:rPr>
          <w:sz w:val="20"/>
          <w:szCs w:val="20"/>
          <w:color w:val="auto"/>
        </w:rPr>
      </w:pPr>
      <w:r>
        <w:rPr>
          <w:rFonts w:ascii="Arial" w:cs="Arial" w:eastAsia="Arial" w:hAnsi="Arial"/>
          <w:sz w:val="15"/>
          <w:szCs w:val="15"/>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39" w:lineRule="exact"/>
        <w:rPr>
          <w:sz w:val="20"/>
          <w:szCs w:val="20"/>
          <w:color w:val="auto"/>
        </w:rPr>
      </w:pPr>
    </w:p>
    <w:p>
      <w:pPr>
        <w:ind w:left="800" w:right="779"/>
        <w:spacing w:after="0" w:line="227" w:lineRule="auto"/>
        <w:rPr>
          <w:sz w:val="20"/>
          <w:szCs w:val="20"/>
          <w:color w:val="auto"/>
        </w:rPr>
      </w:pPr>
      <w:r>
        <w:rPr>
          <w:rFonts w:ascii="Arial" w:cs="Arial" w:eastAsia="Arial" w:hAnsi="Arial"/>
          <w:sz w:val="15"/>
          <w:szCs w:val="15"/>
          <w:color w:val="auto"/>
        </w:rPr>
        <w:t>In addition, certain of our founders, officers and directors presently have, and any of them in the future may have additional, fiduciary and contractual duties to other entities, including without limitation, ARYA Sciences Acquisition Corp II 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II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 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However, we do not expect these duties to materially affect our ability to complete our initial business combination.</w:t>
      </w:r>
    </w:p>
    <w:p>
      <w:pPr>
        <w:spacing w:after="0" w:line="141" w:lineRule="exact"/>
        <w:rPr>
          <w:sz w:val="20"/>
          <w:szCs w:val="20"/>
          <w:color w:val="auto"/>
        </w:rPr>
      </w:pPr>
    </w:p>
    <w:p>
      <w:pPr>
        <w:ind w:left="800" w:right="819"/>
        <w:spacing w:after="0" w:line="227" w:lineRule="auto"/>
        <w:rPr>
          <w:sz w:val="20"/>
          <w:szCs w:val="20"/>
          <w:color w:val="auto"/>
        </w:rPr>
      </w:pPr>
      <w:r>
        <w:rPr>
          <w:rFonts w:ascii="Arial" w:cs="Arial" w:eastAsia="Arial" w:hAnsi="Arial"/>
          <w:sz w:val="15"/>
          <w:szCs w:val="15"/>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company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147" w:lineRule="exact"/>
        <w:rPr>
          <w:sz w:val="20"/>
          <w:szCs w:val="20"/>
          <w:color w:val="auto"/>
        </w:rPr>
      </w:pPr>
    </w:p>
    <w:p>
      <w:pPr>
        <w:ind w:left="800" w:right="1339"/>
        <w:spacing w:after="0" w:line="236" w:lineRule="auto"/>
        <w:rPr>
          <w:sz w:val="20"/>
          <w:szCs w:val="20"/>
          <w:color w:val="auto"/>
        </w:rPr>
      </w:pPr>
      <w:r>
        <w:rPr>
          <w:rFonts w:ascii="Arial" w:cs="Arial" w:eastAsia="Arial" w:hAnsi="Arial"/>
          <w:sz w:val="15"/>
          <w:szCs w:val="15"/>
          <w:color w:val="auto"/>
        </w:rPr>
        <w:t>Unlike other SPAC IPOs, investors in this offering will not receive warrants that would become exercisable following completion of our initial business combination.</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Corporate Information</w:t>
      </w:r>
    </w:p>
    <w:p>
      <w:pPr>
        <w:spacing w:after="0" w:line="4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Our executive offices are located at 51 Astor Place, 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New York 10003. We maintain a</w:t>
      </w:r>
    </w:p>
    <w:p>
      <w:pPr>
        <w:ind w:left="800" w:right="939"/>
        <w:spacing w:after="0" w:line="233" w:lineRule="auto"/>
        <w:rPr>
          <w:sz w:val="20"/>
          <w:szCs w:val="20"/>
          <w:color w:val="auto"/>
        </w:rPr>
      </w:pPr>
      <w:r>
        <w:rPr>
          <w:rFonts w:ascii="Arial" w:cs="Arial" w:eastAsia="Arial" w:hAnsi="Arial"/>
          <w:sz w:val="15"/>
          <w:szCs w:val="15"/>
          <w:color w:val="auto"/>
        </w:rPr>
        <w:t>corporate website at . The information contained on or accessible through our corporate website or any other website that we may maintain is not part of this prospectus or the registration statement of which this prospectus is a part.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 w:name="page12"/>
    <w:bookmarkEnd w:id="1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4733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1735" cy="4733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0" w:right="799"/>
        <w:spacing w:after="0" w:line="228" w:lineRule="auto"/>
        <w:rPr>
          <w:sz w:val="20"/>
          <w:szCs w:val="20"/>
          <w:color w:val="auto"/>
        </w:rPr>
      </w:pPr>
      <w:r>
        <w:rPr>
          <w:rFonts w:ascii="Arial" w:cs="Arial" w:eastAsia="Arial" w:hAnsi="Arial"/>
          <w:sz w:val="15"/>
          <w:szCs w:val="15"/>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39" w:lineRule="exact"/>
        <w:rPr>
          <w:sz w:val="20"/>
          <w:szCs w:val="20"/>
          <w:color w:val="auto"/>
        </w:rPr>
      </w:pPr>
    </w:p>
    <w:p>
      <w:pPr>
        <w:ind w:left="800" w:right="799"/>
        <w:spacing w:after="0" w:line="228" w:lineRule="auto"/>
        <w:rPr>
          <w:sz w:val="20"/>
          <w:szCs w:val="20"/>
          <w:color w:val="auto"/>
        </w:rPr>
      </w:pPr>
      <w:r>
        <w:rPr>
          <w:rFonts w:ascii="Arial" w:cs="Arial" w:eastAsia="Arial" w:hAnsi="Arial"/>
          <w:sz w:val="15"/>
          <w:szCs w:val="15"/>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0" w:lineRule="exact"/>
        <w:rPr>
          <w:sz w:val="20"/>
          <w:szCs w:val="20"/>
          <w:color w:val="auto"/>
        </w:rPr>
      </w:pPr>
    </w:p>
    <w:p>
      <w:pPr>
        <w:ind w:left="800" w:right="839"/>
        <w:spacing w:after="0" w:line="230" w:lineRule="auto"/>
        <w:rPr>
          <w:sz w:val="20"/>
          <w:szCs w:val="20"/>
          <w:color w:val="auto"/>
        </w:rPr>
      </w:pPr>
      <w:r>
        <w:rPr>
          <w:rFonts w:ascii="Arial" w:cs="Arial" w:eastAsia="Arial" w:hAnsi="Arial"/>
          <w:sz w:val="15"/>
          <w:szCs w:val="15"/>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9" w:lineRule="exact"/>
        <w:rPr>
          <w:sz w:val="20"/>
          <w:szCs w:val="20"/>
          <w:color w:val="auto"/>
        </w:rPr>
      </w:pPr>
    </w:p>
    <w:p>
      <w:pPr>
        <w:ind w:left="800" w:right="899"/>
        <w:spacing w:after="0" w:line="247" w:lineRule="auto"/>
        <w:rPr>
          <w:sz w:val="20"/>
          <w:szCs w:val="20"/>
          <w:color w:val="auto"/>
        </w:rPr>
      </w:pPr>
      <w:r>
        <w:rPr>
          <w:rFonts w:ascii="Arial" w:cs="Arial" w:eastAsia="Arial" w:hAnsi="Arial"/>
          <w:sz w:val="14"/>
          <w:szCs w:val="14"/>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34" w:lineRule="exact"/>
        <w:rPr>
          <w:sz w:val="20"/>
          <w:szCs w:val="20"/>
          <w:color w:val="auto"/>
        </w:rPr>
      </w:pPr>
    </w:p>
    <w:p>
      <w:pPr>
        <w:ind w:left="800" w:right="799"/>
        <w:spacing w:after="0" w:line="247" w:lineRule="auto"/>
        <w:rPr>
          <w:sz w:val="20"/>
          <w:szCs w:val="20"/>
          <w:color w:val="auto"/>
        </w:rPr>
      </w:pPr>
      <w:r>
        <w:rPr>
          <w:rFonts w:ascii="Arial" w:cs="Arial" w:eastAsia="Arial" w:hAnsi="Arial"/>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 w:name="page13"/>
    <w:bookmarkEnd w:id="1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6085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1735" cy="60852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pacing w:after="0" w:line="144" w:lineRule="exact"/>
        <w:rPr>
          <w:sz w:val="20"/>
          <w:szCs w:val="20"/>
          <w:color w:val="auto"/>
        </w:rPr>
      </w:pPr>
    </w:p>
    <w:p>
      <w:pPr>
        <w:ind w:left="800" w:right="799"/>
        <w:spacing w:after="0" w:line="248" w:lineRule="auto"/>
        <w:rPr>
          <w:sz w:val="20"/>
          <w:szCs w:val="20"/>
          <w:color w:val="auto"/>
        </w:rPr>
      </w:pPr>
      <w:r>
        <w:rPr>
          <w:rFonts w:ascii="Arial" w:cs="Arial" w:eastAsia="Arial" w:hAnsi="Arial"/>
          <w:sz w:val="14"/>
          <w:szCs w:val="14"/>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89"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2420" w:type="dxa"/>
            <w:vAlign w:val="bottom"/>
          </w:tcPr>
          <w:p>
            <w:pPr>
              <w:spacing w:after="0"/>
              <w:rPr>
                <w:sz w:val="20"/>
                <w:szCs w:val="20"/>
                <w:color w:val="auto"/>
              </w:rPr>
            </w:pPr>
            <w:r>
              <w:rPr>
                <w:rFonts w:ascii="Arial" w:cs="Arial" w:eastAsia="Arial" w:hAnsi="Arial"/>
                <w:sz w:val="15"/>
                <w:szCs w:val="15"/>
                <w:b w:val="1"/>
                <w:bCs w:val="1"/>
                <w:color w:val="auto"/>
              </w:rPr>
              <w:t>Security offered</w:t>
            </w:r>
          </w:p>
        </w:tc>
        <w:tc>
          <w:tcPr>
            <w:tcW w:w="5000" w:type="dxa"/>
            <w:vAlign w:val="bottom"/>
          </w:tcPr>
          <w:p>
            <w:pPr>
              <w:ind w:left="1300"/>
              <w:spacing w:after="0"/>
              <w:rPr>
                <w:sz w:val="20"/>
                <w:szCs w:val="20"/>
                <w:color w:val="auto"/>
              </w:rPr>
            </w:pPr>
            <w:r>
              <w:rPr>
                <w:rFonts w:ascii="Arial" w:cs="Arial" w:eastAsia="Arial" w:hAnsi="Arial"/>
                <w:sz w:val="15"/>
                <w:szCs w:val="15"/>
                <w:color w:val="auto"/>
              </w:rPr>
              <w:t>12,500,000 Class A ordinary shares (or 14,375,000</w:t>
            </w:r>
          </w:p>
        </w:tc>
      </w:tr>
      <w:tr>
        <w:trPr>
          <w:trHeight w:val="163"/>
        </w:trPr>
        <w:tc>
          <w:tcPr>
            <w:tcW w:w="2420" w:type="dxa"/>
            <w:vAlign w:val="bottom"/>
          </w:tcPr>
          <w:p>
            <w:pPr>
              <w:spacing w:after="0"/>
              <w:rPr>
                <w:sz w:val="14"/>
                <w:szCs w:val="14"/>
                <w:color w:val="auto"/>
              </w:rPr>
            </w:pPr>
          </w:p>
        </w:tc>
        <w:tc>
          <w:tcPr>
            <w:tcW w:w="5000" w:type="dxa"/>
            <w:vAlign w:val="bottom"/>
          </w:tcPr>
          <w:p>
            <w:pPr>
              <w:ind w:left="1300"/>
              <w:spacing w:after="0" w:line="163" w:lineRule="exact"/>
              <w:rPr>
                <w:sz w:val="20"/>
                <w:szCs w:val="20"/>
                <w:color w:val="auto"/>
              </w:rPr>
            </w:pPr>
            <w:r>
              <w:rPr>
                <w:rFonts w:ascii="Arial" w:cs="Arial" w:eastAsia="Arial" w:hAnsi="Arial"/>
                <w:sz w:val="15"/>
                <w:szCs w:val="15"/>
                <w:color w:val="auto"/>
              </w:rPr>
              <w:t>Class A ordinary shares if the underwriters’ over-</w:t>
            </w:r>
          </w:p>
        </w:tc>
      </w:tr>
      <w:tr>
        <w:trPr>
          <w:trHeight w:val="177"/>
        </w:trPr>
        <w:tc>
          <w:tcPr>
            <w:tcW w:w="2420" w:type="dxa"/>
            <w:vAlign w:val="bottom"/>
          </w:tcPr>
          <w:p>
            <w:pPr>
              <w:spacing w:after="0"/>
              <w:rPr>
                <w:sz w:val="15"/>
                <w:szCs w:val="15"/>
                <w:color w:val="auto"/>
              </w:rPr>
            </w:pPr>
          </w:p>
        </w:tc>
        <w:tc>
          <w:tcPr>
            <w:tcW w:w="5000" w:type="dxa"/>
            <w:vAlign w:val="bottom"/>
          </w:tcPr>
          <w:p>
            <w:pPr>
              <w:ind w:left="1300"/>
              <w:spacing w:after="0"/>
              <w:rPr>
                <w:sz w:val="20"/>
                <w:szCs w:val="20"/>
                <w:color w:val="auto"/>
              </w:rPr>
            </w:pPr>
            <w:r>
              <w:rPr>
                <w:rFonts w:ascii="Arial" w:cs="Arial" w:eastAsia="Arial" w:hAnsi="Arial"/>
                <w:sz w:val="15"/>
                <w:szCs w:val="15"/>
                <w:color w:val="auto"/>
                <w:w w:val="97"/>
              </w:rPr>
              <w:t>allotment option is exercised in full), at $10.00 per share.</w:t>
            </w:r>
          </w:p>
        </w:tc>
      </w:tr>
    </w:tbl>
    <w:p>
      <w:pPr>
        <w:spacing w:after="0" w:line="96" w:lineRule="exact"/>
        <w:rPr>
          <w:sz w:val="20"/>
          <w:szCs w:val="20"/>
          <w:color w:val="auto"/>
        </w:rPr>
      </w:pPr>
    </w:p>
    <w:p>
      <w:pPr>
        <w:sectPr>
          <w:pgSz w:w="11900" w:h="16838" w:orient="portrait"/>
          <w:cols w:equalWidth="0" w:num="1">
            <w:col w:w="9019"/>
          </w:cols>
          <w:pgMar w:left="1440" w:top="248" w:right="1440" w:bottom="1440" w:gutter="0" w:footer="0" w:header="0"/>
        </w:sectPr>
      </w:pPr>
    </w:p>
    <w:p>
      <w:pPr>
        <w:ind w:left="800"/>
        <w:spacing w:after="0"/>
        <w:rPr>
          <w:sz w:val="20"/>
          <w:szCs w:val="20"/>
          <w:color w:val="auto"/>
        </w:rPr>
      </w:pPr>
      <w:r>
        <w:rPr>
          <w:rFonts w:ascii="Arial" w:cs="Arial" w:eastAsia="Arial" w:hAnsi="Arial"/>
          <w:sz w:val="15"/>
          <w:szCs w:val="15"/>
          <w:b w:val="1"/>
          <w:bCs w:val="1"/>
          <w:color w:val="auto"/>
        </w:rPr>
        <w:t>Proposed Nasdaq symbol</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Ordinary shares:</w:t>
      </w:r>
    </w:p>
    <w:p>
      <w:pPr>
        <w:spacing w:after="0" w:line="118" w:lineRule="exact"/>
        <w:rPr>
          <w:sz w:val="20"/>
          <w:szCs w:val="20"/>
          <w:color w:val="auto"/>
        </w:rPr>
      </w:pPr>
    </w:p>
    <w:p>
      <w:pPr>
        <w:ind w:left="960" w:right="20"/>
        <w:spacing w:after="0" w:line="459" w:lineRule="auto"/>
        <w:rPr>
          <w:sz w:val="20"/>
          <w:szCs w:val="20"/>
          <w:color w:val="auto"/>
        </w:rPr>
      </w:pPr>
      <w:r>
        <w:rPr>
          <w:rFonts w:ascii="Arial" w:cs="Arial" w:eastAsia="Arial" w:hAnsi="Arial"/>
          <w:sz w:val="14"/>
          <w:szCs w:val="14"/>
          <w:b w:val="1"/>
          <w:bCs w:val="1"/>
          <w:color w:val="auto"/>
        </w:rPr>
        <w:t>Number outstanding before this offering Number outstanding after this offering</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Founder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Class A ordinary shares: “ARYA”</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3,593,750</w:t>
      </w:r>
      <w:r>
        <w:rPr>
          <w:rFonts w:ascii="Arial" w:cs="Arial" w:eastAsia="Arial" w:hAnsi="Arial"/>
          <w:sz w:val="24"/>
          <w:szCs w:val="24"/>
          <w:color w:val="auto"/>
          <w:vertAlign w:val="superscript"/>
        </w:rPr>
        <w:t>(1)(2)</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16,075,000</w:t>
      </w:r>
      <w:r>
        <w:rPr>
          <w:rFonts w:ascii="Arial" w:cs="Arial" w:eastAsia="Arial" w:hAnsi="Arial"/>
          <w:sz w:val="12"/>
          <w:szCs w:val="12"/>
          <w:color w:val="auto"/>
        </w:rPr>
        <w:t>(1)(3)(4)(5)</w:t>
      </w:r>
    </w:p>
    <w:p>
      <w:pPr>
        <w:spacing w:after="0" w:line="96" w:lineRule="exact"/>
        <w:rPr>
          <w:sz w:val="20"/>
          <w:szCs w:val="20"/>
          <w:color w:val="auto"/>
        </w:rPr>
      </w:pPr>
    </w:p>
    <w:p>
      <w:pPr>
        <w:ind w:right="819"/>
        <w:spacing w:after="0" w:line="229" w:lineRule="auto"/>
        <w:rPr>
          <w:sz w:val="20"/>
          <w:szCs w:val="20"/>
          <w:color w:val="auto"/>
        </w:rPr>
      </w:pPr>
      <w:r>
        <w:rPr>
          <w:rFonts w:ascii="Arial" w:cs="Arial" w:eastAsia="Arial" w:hAnsi="Arial"/>
          <w:sz w:val="15"/>
          <w:szCs w:val="15"/>
          <w:color w:val="auto"/>
        </w:rPr>
        <w:t>On April 2, 2020, we issued to our sponsor 3,593,750 founder shares in exchange for a capital contribution of $25,000, or approximately $0.007 per share. In July 2020, our sponsor transferred 30,000 founder shares to each of Bradley L. Campbell, Saqib Islam and Todd Wider. Such shares will not be subject to forfeiture in the event the underwriters’ over-allotment option is not exercised.</w:t>
      </w:r>
    </w:p>
    <w:p>
      <w:pPr>
        <w:spacing w:after="0" w:line="79" w:lineRule="exact"/>
        <w:rPr>
          <w:sz w:val="20"/>
          <w:szCs w:val="20"/>
          <w:color w:val="auto"/>
        </w:rPr>
      </w:pPr>
    </w:p>
    <w:p>
      <w:pPr>
        <w:ind w:right="799"/>
        <w:spacing w:after="0" w:line="244" w:lineRule="auto"/>
        <w:rPr>
          <w:sz w:val="20"/>
          <w:szCs w:val="20"/>
          <w:color w:val="auto"/>
        </w:rPr>
      </w:pPr>
      <w:r>
        <w:rPr>
          <w:rFonts w:ascii="Arial" w:cs="Arial" w:eastAsia="Arial" w:hAnsi="Arial"/>
          <w:sz w:val="14"/>
          <w:szCs w:val="14"/>
          <w:color w:val="auto"/>
        </w:rPr>
        <w:t>Prior to the initial investment in the company of $25,000 by the sponsor, the company had no assets, tangible or intangible. 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ownership of our initial shareholders (and their permitted transferees), on an as-converted basis, at 20% of our issued and outstanding ordinary shares (excluding the private placement shares) upon the consummation of this offering. Up to 468,750 founder shares held by our sponsor are subject to forfeiture, depending on the extent to which the underwriter’s over-allotment option is exercised.</w:t>
      </w:r>
    </w:p>
    <w:p>
      <w:pPr>
        <w:spacing w:after="0" w:line="200" w:lineRule="exact"/>
        <w:rPr>
          <w:sz w:val="20"/>
          <w:szCs w:val="20"/>
          <w:color w:val="auto"/>
        </w:rPr>
      </w:pPr>
    </w:p>
    <w:p>
      <w:pPr>
        <w:sectPr>
          <w:pgSz w:w="11900" w:h="16838" w:orient="portrait"/>
          <w:cols w:equalWidth="0" w:num="2">
            <w:col w:w="3800" w:space="720"/>
            <w:col w:w="4499"/>
          </w:cols>
          <w:pgMar w:left="1440" w:top="248" w:right="1440" w:bottom="1440" w:gutter="0" w:footer="0" w:header="0"/>
          <w:type w:val="continuous"/>
        </w:sectPr>
      </w:pPr>
    </w:p>
    <w:p>
      <w:pPr>
        <w:spacing w:after="0" w:line="112" w:lineRule="exact"/>
        <w:rPr>
          <w:sz w:val="20"/>
          <w:szCs w:val="20"/>
          <w:color w:val="auto"/>
        </w:rPr>
      </w:pPr>
    </w:p>
    <w:p>
      <w:pPr>
        <w:ind w:left="940" w:right="899" w:hanging="143"/>
        <w:spacing w:after="0" w:line="194" w:lineRule="auto"/>
        <w:tabs>
          <w:tab w:leader="none" w:pos="940" w:val="left"/>
        </w:tabs>
        <w:numPr>
          <w:ilvl w:val="0"/>
          <w:numId w:val="3"/>
        </w:numPr>
        <w:rPr>
          <w:rFonts w:ascii="Arial" w:cs="Arial" w:eastAsia="Arial" w:hAnsi="Arial"/>
          <w:sz w:val="17"/>
          <w:szCs w:val="17"/>
          <w:color w:val="auto"/>
          <w:vertAlign w:val="superscript"/>
        </w:rPr>
      </w:pPr>
      <w:r>
        <w:rPr>
          <w:rFonts w:ascii="Arial" w:cs="Arial" w:eastAsia="Arial" w:hAnsi="Arial"/>
          <w:sz w:val="11"/>
          <w:szCs w:val="11"/>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spacing w:after="0" w:line="14" w:lineRule="exact"/>
        <w:rPr>
          <w:rFonts w:ascii="Arial" w:cs="Arial" w:eastAsia="Arial" w:hAnsi="Arial"/>
          <w:sz w:val="17"/>
          <w:szCs w:val="17"/>
          <w:color w:val="auto"/>
          <w:vertAlign w:val="superscript"/>
        </w:rPr>
      </w:pPr>
    </w:p>
    <w:p>
      <w:pPr>
        <w:ind w:left="940" w:hanging="143"/>
        <w:spacing w:after="0"/>
        <w:tabs>
          <w:tab w:leader="none" w:pos="940" w:val="left"/>
        </w:tabs>
        <w:numPr>
          <w:ilvl w:val="0"/>
          <w:numId w:val="3"/>
        </w:numPr>
        <w:rPr>
          <w:rFonts w:ascii="Arial" w:cs="Arial" w:eastAsia="Arial" w:hAnsi="Arial"/>
          <w:sz w:val="17"/>
          <w:szCs w:val="17"/>
          <w:color w:val="auto"/>
          <w:vertAlign w:val="superscript"/>
        </w:rPr>
      </w:pPr>
      <w:r>
        <w:rPr>
          <w:rFonts w:ascii="Arial" w:cs="Arial" w:eastAsia="Arial" w:hAnsi="Arial"/>
          <w:sz w:val="11"/>
          <w:szCs w:val="11"/>
          <w:color w:val="auto"/>
        </w:rPr>
        <w:t>Includes up to 468,750 founder shares that are subject to forfeiture.</w:t>
      </w:r>
    </w:p>
    <w:p>
      <w:pPr>
        <w:spacing w:after="0" w:line="49" w:lineRule="exact"/>
        <w:rPr>
          <w:rFonts w:ascii="Arial" w:cs="Arial" w:eastAsia="Arial" w:hAnsi="Arial"/>
          <w:sz w:val="17"/>
          <w:szCs w:val="17"/>
          <w:color w:val="auto"/>
          <w:vertAlign w:val="superscript"/>
        </w:rPr>
      </w:pPr>
    </w:p>
    <w:p>
      <w:pPr>
        <w:ind w:left="940" w:hanging="143"/>
        <w:spacing w:after="0" w:line="196" w:lineRule="auto"/>
        <w:tabs>
          <w:tab w:leader="none" w:pos="940" w:val="left"/>
        </w:tabs>
        <w:numPr>
          <w:ilvl w:val="0"/>
          <w:numId w:val="3"/>
        </w:numPr>
        <w:rPr>
          <w:rFonts w:ascii="Arial" w:cs="Arial" w:eastAsia="Arial" w:hAnsi="Arial"/>
          <w:sz w:val="17"/>
          <w:szCs w:val="17"/>
          <w:color w:val="auto"/>
          <w:vertAlign w:val="superscript"/>
        </w:rPr>
      </w:pPr>
      <w:r>
        <w:rPr>
          <w:rFonts w:ascii="Arial" w:cs="Arial" w:eastAsia="Arial" w:hAnsi="Arial"/>
          <w:sz w:val="11"/>
          <w:szCs w:val="11"/>
          <w:color w:val="auto"/>
        </w:rPr>
        <w:t>Assumes no exercise of the underwriters’ over allotment option.</w:t>
      </w:r>
    </w:p>
    <w:p>
      <w:pPr>
        <w:spacing w:after="0" w:line="79" w:lineRule="exact"/>
        <w:rPr>
          <w:rFonts w:ascii="Arial" w:cs="Arial" w:eastAsia="Arial" w:hAnsi="Arial"/>
          <w:sz w:val="17"/>
          <w:szCs w:val="17"/>
          <w:color w:val="auto"/>
          <w:vertAlign w:val="superscript"/>
        </w:rPr>
      </w:pPr>
    </w:p>
    <w:p>
      <w:pPr>
        <w:ind w:left="940" w:right="1019" w:hanging="143"/>
        <w:spacing w:after="0" w:line="183" w:lineRule="auto"/>
        <w:tabs>
          <w:tab w:leader="none" w:pos="940" w:val="left"/>
        </w:tabs>
        <w:numPr>
          <w:ilvl w:val="0"/>
          <w:numId w:val="3"/>
        </w:numPr>
        <w:rPr>
          <w:rFonts w:ascii="Arial" w:cs="Arial" w:eastAsia="Arial" w:hAnsi="Arial"/>
          <w:sz w:val="17"/>
          <w:szCs w:val="17"/>
          <w:color w:val="auto"/>
          <w:vertAlign w:val="superscript"/>
        </w:rPr>
      </w:pPr>
      <w:r>
        <w:rPr>
          <w:rFonts w:ascii="Arial" w:cs="Arial" w:eastAsia="Arial" w:hAnsi="Arial"/>
          <w:sz w:val="11"/>
          <w:szCs w:val="11"/>
          <w:color w:val="auto"/>
        </w:rPr>
        <w:t>Includes 12,500,000 public shares, 450,000 private placement shares and 3,125,000 founder shares, assuming 468,750 founder shares have been forfeited.</w:t>
      </w:r>
    </w:p>
    <w:p>
      <w:pPr>
        <w:spacing w:after="0" w:line="80" w:lineRule="exact"/>
        <w:rPr>
          <w:rFonts w:ascii="Arial" w:cs="Arial" w:eastAsia="Arial" w:hAnsi="Arial"/>
          <w:sz w:val="17"/>
          <w:szCs w:val="17"/>
          <w:color w:val="auto"/>
          <w:vertAlign w:val="superscript"/>
        </w:rPr>
      </w:pPr>
    </w:p>
    <w:p>
      <w:pPr>
        <w:ind w:left="940" w:right="939" w:hanging="143"/>
        <w:spacing w:after="0" w:line="183" w:lineRule="auto"/>
        <w:tabs>
          <w:tab w:leader="none" w:pos="940" w:val="left"/>
        </w:tabs>
        <w:numPr>
          <w:ilvl w:val="0"/>
          <w:numId w:val="3"/>
        </w:numPr>
        <w:rPr>
          <w:rFonts w:ascii="Arial" w:cs="Arial" w:eastAsia="Arial" w:hAnsi="Arial"/>
          <w:sz w:val="17"/>
          <w:szCs w:val="17"/>
          <w:color w:val="auto"/>
          <w:vertAlign w:val="superscript"/>
        </w:rPr>
      </w:pPr>
      <w:r>
        <w:rPr>
          <w:rFonts w:ascii="Arial" w:cs="Arial" w:eastAsia="Arial" w:hAnsi="Arial"/>
          <w:sz w:val="11"/>
          <w:szCs w:val="11"/>
          <w:color w:val="auto"/>
        </w:rPr>
        <w:t>Unlike other SPAC IPOs, investors in this offering will not receive warrants that would become exercisable following completion of our initial business combination.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3" w:name="page14"/>
    <w:bookmarkEnd w:id="1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671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1735" cy="5671820"/>
                    </a:xfrm>
                    <a:prstGeom prst="rect">
                      <a:avLst/>
                    </a:prstGeom>
                    <a:noFill/>
                  </pic:spPr>
                </pic:pic>
              </a:graphicData>
            </a:graphic>
          </wp:anchor>
        </w:drawing>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The founder shares are identical to the Class A ordinary</w:t>
      </w:r>
    </w:p>
    <w:p>
      <w:pPr>
        <w:ind w:left="4520"/>
        <w:spacing w:after="0"/>
        <w:rPr>
          <w:sz w:val="20"/>
          <w:szCs w:val="20"/>
          <w:color w:val="auto"/>
        </w:rPr>
      </w:pPr>
      <w:r>
        <w:rPr>
          <w:rFonts w:ascii="Arial" w:cs="Arial" w:eastAsia="Arial" w:hAnsi="Arial"/>
          <w:sz w:val="15"/>
          <w:szCs w:val="15"/>
          <w:color w:val="auto"/>
        </w:rPr>
        <w:t>shares being sold in this offering, except that:</w:t>
      </w:r>
    </w:p>
    <w:p>
      <w:pPr>
        <w:spacing w:after="0" w:line="74" w:lineRule="exact"/>
        <w:rPr>
          <w:sz w:val="20"/>
          <w:szCs w:val="20"/>
          <w:color w:val="auto"/>
        </w:rPr>
      </w:pPr>
    </w:p>
    <w:p>
      <w:pPr>
        <w:ind w:left="4520"/>
        <w:spacing w:after="0"/>
        <w:tabs>
          <w:tab w:leader="none" w:pos="4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only holders of the founder shares have the right to</w:t>
      </w:r>
    </w:p>
    <w:p>
      <w:pPr>
        <w:ind w:left="4820"/>
        <w:spacing w:after="0" w:line="226" w:lineRule="auto"/>
        <w:rPr>
          <w:sz w:val="20"/>
          <w:szCs w:val="20"/>
          <w:color w:val="auto"/>
        </w:rPr>
      </w:pPr>
      <w:r>
        <w:rPr>
          <w:rFonts w:ascii="Arial" w:cs="Arial" w:eastAsia="Arial" w:hAnsi="Arial"/>
          <w:sz w:val="15"/>
          <w:szCs w:val="15"/>
          <w:color w:val="auto"/>
        </w:rPr>
        <w:t>vote on the election of directors prior to the</w:t>
      </w:r>
    </w:p>
    <w:p>
      <w:pPr>
        <w:ind w:left="4820"/>
        <w:spacing w:after="0" w:line="227" w:lineRule="auto"/>
        <w:rPr>
          <w:sz w:val="20"/>
          <w:szCs w:val="20"/>
          <w:color w:val="auto"/>
        </w:rPr>
      </w:pPr>
      <w:r>
        <w:rPr>
          <w:rFonts w:ascii="Arial" w:cs="Arial" w:eastAsia="Arial" w:hAnsi="Arial"/>
          <w:sz w:val="15"/>
          <w:szCs w:val="15"/>
          <w:color w:val="auto"/>
        </w:rPr>
        <w:t>completion of our initial business combination and</w:t>
      </w:r>
    </w:p>
    <w:p>
      <w:pPr>
        <w:ind w:left="4820"/>
        <w:spacing w:after="0" w:line="226" w:lineRule="auto"/>
        <w:rPr>
          <w:sz w:val="20"/>
          <w:szCs w:val="20"/>
          <w:color w:val="auto"/>
        </w:rPr>
      </w:pPr>
      <w:r>
        <w:rPr>
          <w:rFonts w:ascii="Arial" w:cs="Arial" w:eastAsia="Arial" w:hAnsi="Arial"/>
          <w:sz w:val="15"/>
          <w:szCs w:val="15"/>
          <w:color w:val="auto"/>
        </w:rPr>
        <w:t>holders of a majority of our founder shares may</w:t>
      </w:r>
    </w:p>
    <w:p>
      <w:pPr>
        <w:ind w:left="4820"/>
        <w:spacing w:after="0" w:line="227" w:lineRule="auto"/>
        <w:rPr>
          <w:sz w:val="20"/>
          <w:szCs w:val="20"/>
          <w:color w:val="auto"/>
        </w:rPr>
      </w:pPr>
      <w:r>
        <w:rPr>
          <w:rFonts w:ascii="Arial" w:cs="Arial" w:eastAsia="Arial" w:hAnsi="Arial"/>
          <w:sz w:val="15"/>
          <w:szCs w:val="15"/>
          <w:color w:val="auto"/>
        </w:rPr>
        <w:t>remove a member of the board of directors for any</w:t>
      </w:r>
    </w:p>
    <w:p>
      <w:pPr>
        <w:ind w:left="4820"/>
        <w:spacing w:after="0"/>
        <w:rPr>
          <w:sz w:val="20"/>
          <w:szCs w:val="20"/>
          <w:color w:val="auto"/>
        </w:rPr>
      </w:pPr>
      <w:r>
        <w:rPr>
          <w:rFonts w:ascii="Arial" w:cs="Arial" w:eastAsia="Arial" w:hAnsi="Arial"/>
          <w:sz w:val="15"/>
          <w:szCs w:val="15"/>
          <w:color w:val="auto"/>
        </w:rPr>
        <w:t>reason;</w:t>
      </w:r>
    </w:p>
    <w:p>
      <w:pPr>
        <w:spacing w:after="0" w:line="74" w:lineRule="exact"/>
        <w:rPr>
          <w:sz w:val="20"/>
          <w:szCs w:val="20"/>
          <w:color w:val="auto"/>
        </w:rPr>
      </w:pPr>
    </w:p>
    <w:p>
      <w:pPr>
        <w:ind w:left="4520"/>
        <w:spacing w:after="0"/>
        <w:tabs>
          <w:tab w:leader="none" w:pos="4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founder shares are subject to certain transfer</w:t>
      </w:r>
    </w:p>
    <w:p>
      <w:pPr>
        <w:ind w:left="4820"/>
        <w:spacing w:after="0"/>
        <w:rPr>
          <w:sz w:val="20"/>
          <w:szCs w:val="20"/>
          <w:color w:val="auto"/>
        </w:rPr>
      </w:pPr>
      <w:r>
        <w:rPr>
          <w:rFonts w:ascii="Arial" w:cs="Arial" w:eastAsia="Arial" w:hAnsi="Arial"/>
          <w:sz w:val="15"/>
          <w:szCs w:val="15"/>
          <w:color w:val="auto"/>
        </w:rPr>
        <w:t>restrictions, as described in more detail below;</w:t>
      </w:r>
    </w:p>
    <w:p>
      <w:pPr>
        <w:spacing w:after="0" w:line="74" w:lineRule="exact"/>
        <w:rPr>
          <w:sz w:val="20"/>
          <w:szCs w:val="20"/>
          <w:color w:val="auto"/>
        </w:rPr>
      </w:pPr>
    </w:p>
    <w:p>
      <w:pPr>
        <w:ind w:left="4520"/>
        <w:spacing w:after="0"/>
        <w:tabs>
          <w:tab w:leader="none" w:pos="4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our sponsor and our management team have</w:t>
      </w:r>
    </w:p>
    <w:p>
      <w:pPr>
        <w:ind w:left="4820"/>
        <w:spacing w:after="0" w:line="226" w:lineRule="auto"/>
        <w:rPr>
          <w:sz w:val="20"/>
          <w:szCs w:val="20"/>
          <w:color w:val="auto"/>
        </w:rPr>
      </w:pPr>
      <w:r>
        <w:rPr>
          <w:rFonts w:ascii="Arial" w:cs="Arial" w:eastAsia="Arial" w:hAnsi="Arial"/>
          <w:sz w:val="15"/>
          <w:szCs w:val="15"/>
          <w:color w:val="auto"/>
        </w:rPr>
        <w:t>entered into an agreement with us, pursuant to</w:t>
      </w:r>
    </w:p>
    <w:p>
      <w:pPr>
        <w:ind w:left="4820"/>
        <w:spacing w:after="0"/>
        <w:rPr>
          <w:sz w:val="20"/>
          <w:szCs w:val="20"/>
          <w:color w:val="auto"/>
        </w:rPr>
      </w:pPr>
      <w:r>
        <w:rPr>
          <w:rFonts w:ascii="Arial" w:cs="Arial" w:eastAsia="Arial" w:hAnsi="Arial"/>
          <w:sz w:val="14"/>
          <w:szCs w:val="14"/>
          <w:color w:val="auto"/>
        </w:rPr>
        <w:t>which they have agreed to (i) waive their redemption</w:t>
      </w:r>
    </w:p>
    <w:p>
      <w:pPr>
        <w:ind w:left="4820"/>
        <w:spacing w:after="0" w:line="229" w:lineRule="auto"/>
        <w:rPr>
          <w:sz w:val="20"/>
          <w:szCs w:val="20"/>
          <w:color w:val="auto"/>
        </w:rPr>
      </w:pPr>
      <w:r>
        <w:rPr>
          <w:rFonts w:ascii="Arial" w:cs="Arial" w:eastAsia="Arial" w:hAnsi="Arial"/>
          <w:sz w:val="15"/>
          <w:szCs w:val="15"/>
          <w:color w:val="auto"/>
        </w:rPr>
        <w:t>rights with respect to any founder shares, private</w:t>
      </w:r>
    </w:p>
    <w:p>
      <w:pPr>
        <w:ind w:left="4820"/>
        <w:spacing w:after="0"/>
        <w:rPr>
          <w:sz w:val="20"/>
          <w:szCs w:val="20"/>
          <w:color w:val="auto"/>
        </w:rPr>
      </w:pPr>
      <w:r>
        <w:rPr>
          <w:rFonts w:ascii="Arial" w:cs="Arial" w:eastAsia="Arial" w:hAnsi="Arial"/>
          <w:sz w:val="14"/>
          <w:szCs w:val="14"/>
          <w:color w:val="auto"/>
        </w:rPr>
        <w:t>placement shares and public shares they hold, (ii) to</w:t>
      </w:r>
    </w:p>
    <w:p>
      <w:pPr>
        <w:ind w:left="4820"/>
        <w:spacing w:after="0" w:line="229" w:lineRule="auto"/>
        <w:rPr>
          <w:sz w:val="20"/>
          <w:szCs w:val="20"/>
          <w:color w:val="auto"/>
        </w:rPr>
      </w:pPr>
      <w:r>
        <w:rPr>
          <w:rFonts w:ascii="Arial" w:cs="Arial" w:eastAsia="Arial" w:hAnsi="Arial"/>
          <w:sz w:val="15"/>
          <w:szCs w:val="15"/>
          <w:color w:val="auto"/>
        </w:rPr>
        <w:t>waive their redemption rights with respect to any</w:t>
      </w:r>
    </w:p>
    <w:p>
      <w:pPr>
        <w:ind w:left="4820"/>
        <w:spacing w:after="0" w:line="226" w:lineRule="auto"/>
        <w:rPr>
          <w:sz w:val="20"/>
          <w:szCs w:val="20"/>
          <w:color w:val="auto"/>
        </w:rPr>
      </w:pPr>
      <w:r>
        <w:rPr>
          <w:rFonts w:ascii="Arial" w:cs="Arial" w:eastAsia="Arial" w:hAnsi="Arial"/>
          <w:sz w:val="15"/>
          <w:szCs w:val="15"/>
          <w:color w:val="auto"/>
        </w:rPr>
        <w:t>founder shares, private placement shares and any</w:t>
      </w:r>
    </w:p>
    <w:p>
      <w:pPr>
        <w:ind w:left="4820"/>
        <w:spacing w:after="0" w:line="227" w:lineRule="auto"/>
        <w:rPr>
          <w:sz w:val="20"/>
          <w:szCs w:val="20"/>
          <w:color w:val="auto"/>
        </w:rPr>
      </w:pPr>
      <w:r>
        <w:rPr>
          <w:rFonts w:ascii="Arial" w:cs="Arial" w:eastAsia="Arial" w:hAnsi="Arial"/>
          <w:sz w:val="15"/>
          <w:szCs w:val="15"/>
          <w:color w:val="auto"/>
        </w:rPr>
        <w:t>public shares purchased during or after this offering</w:t>
      </w:r>
    </w:p>
    <w:p>
      <w:pPr>
        <w:ind w:left="4820"/>
        <w:spacing w:after="0"/>
        <w:rPr>
          <w:sz w:val="20"/>
          <w:szCs w:val="20"/>
          <w:color w:val="auto"/>
        </w:rPr>
      </w:pPr>
      <w:r>
        <w:rPr>
          <w:rFonts w:ascii="Arial" w:cs="Arial" w:eastAsia="Arial" w:hAnsi="Arial"/>
          <w:sz w:val="14"/>
          <w:szCs w:val="14"/>
          <w:color w:val="auto"/>
        </w:rPr>
        <w:t>in connection with a shareholder vote to approve an</w:t>
      </w:r>
    </w:p>
    <w:p>
      <w:pPr>
        <w:ind w:left="4820"/>
        <w:spacing w:after="0" w:line="229" w:lineRule="auto"/>
        <w:rPr>
          <w:sz w:val="20"/>
          <w:szCs w:val="20"/>
          <w:color w:val="auto"/>
        </w:rPr>
      </w:pPr>
      <w:r>
        <w:rPr>
          <w:rFonts w:ascii="Arial" w:cs="Arial" w:eastAsia="Arial" w:hAnsi="Arial"/>
          <w:sz w:val="15"/>
          <w:szCs w:val="15"/>
          <w:color w:val="auto"/>
        </w:rPr>
        <w:t>amendment to our amended and restated</w:t>
      </w:r>
    </w:p>
    <w:p>
      <w:pPr>
        <w:ind w:left="4820"/>
        <w:spacing w:after="0" w:line="226" w:lineRule="auto"/>
        <w:rPr>
          <w:sz w:val="20"/>
          <w:szCs w:val="20"/>
          <w:color w:val="auto"/>
        </w:rPr>
      </w:pPr>
      <w:r>
        <w:rPr>
          <w:rFonts w:ascii="Arial" w:cs="Arial" w:eastAsia="Arial" w:hAnsi="Arial"/>
          <w:sz w:val="15"/>
          <w:szCs w:val="15"/>
          <w:color w:val="auto"/>
        </w:rPr>
        <w:t>memorandum and articles of association (A) that</w:t>
      </w:r>
    </w:p>
    <w:p>
      <w:pPr>
        <w:ind w:left="4820"/>
        <w:spacing w:after="0" w:line="227" w:lineRule="auto"/>
        <w:rPr>
          <w:sz w:val="20"/>
          <w:szCs w:val="20"/>
          <w:color w:val="auto"/>
        </w:rPr>
      </w:pPr>
      <w:r>
        <w:rPr>
          <w:rFonts w:ascii="Arial" w:cs="Arial" w:eastAsia="Arial" w:hAnsi="Arial"/>
          <w:sz w:val="15"/>
          <w:szCs w:val="15"/>
          <w:color w:val="auto"/>
        </w:rPr>
        <w:t>would modify the substance or timing of our</w:t>
      </w:r>
    </w:p>
    <w:p>
      <w:pPr>
        <w:ind w:left="4820"/>
        <w:spacing w:after="0"/>
        <w:rPr>
          <w:sz w:val="20"/>
          <w:szCs w:val="20"/>
          <w:color w:val="auto"/>
        </w:rPr>
      </w:pPr>
      <w:r>
        <w:rPr>
          <w:rFonts w:ascii="Arial" w:cs="Arial" w:eastAsia="Arial" w:hAnsi="Arial"/>
          <w:sz w:val="14"/>
          <w:szCs w:val="14"/>
          <w:color w:val="auto"/>
        </w:rPr>
        <w:t>obligation to provide holders of our Class A ordinary</w:t>
      </w:r>
    </w:p>
    <w:p>
      <w:pPr>
        <w:ind w:left="4820"/>
        <w:spacing w:after="0" w:line="229" w:lineRule="auto"/>
        <w:rPr>
          <w:sz w:val="20"/>
          <w:szCs w:val="20"/>
          <w:color w:val="auto"/>
        </w:rPr>
      </w:pPr>
      <w:r>
        <w:rPr>
          <w:rFonts w:ascii="Arial" w:cs="Arial" w:eastAsia="Arial" w:hAnsi="Arial"/>
          <w:sz w:val="15"/>
          <w:szCs w:val="15"/>
          <w:color w:val="auto"/>
        </w:rPr>
        <w:t>shares the right to have their shares redeemed in</w:t>
      </w:r>
    </w:p>
    <w:p>
      <w:pPr>
        <w:ind w:left="4820"/>
        <w:spacing w:after="0" w:line="226" w:lineRule="auto"/>
        <w:rPr>
          <w:sz w:val="20"/>
          <w:szCs w:val="20"/>
          <w:color w:val="auto"/>
        </w:rPr>
      </w:pPr>
      <w:r>
        <w:rPr>
          <w:rFonts w:ascii="Arial" w:cs="Arial" w:eastAsia="Arial" w:hAnsi="Arial"/>
          <w:sz w:val="15"/>
          <w:szCs w:val="15"/>
          <w:color w:val="auto"/>
        </w:rPr>
        <w:t>connection with our initial business combination or</w:t>
      </w:r>
    </w:p>
    <w:p>
      <w:pPr>
        <w:ind w:left="4820"/>
        <w:spacing w:after="0" w:line="227" w:lineRule="auto"/>
        <w:rPr>
          <w:sz w:val="20"/>
          <w:szCs w:val="20"/>
          <w:color w:val="auto"/>
        </w:rPr>
      </w:pPr>
      <w:r>
        <w:rPr>
          <w:rFonts w:ascii="Arial" w:cs="Arial" w:eastAsia="Arial" w:hAnsi="Arial"/>
          <w:sz w:val="15"/>
          <w:szCs w:val="15"/>
          <w:color w:val="auto"/>
        </w:rPr>
        <w:t>to redeem 100% of our public shares if we do not</w:t>
      </w:r>
    </w:p>
    <w:p>
      <w:pPr>
        <w:ind w:left="4820"/>
        <w:spacing w:after="0" w:line="227" w:lineRule="auto"/>
        <w:rPr>
          <w:sz w:val="20"/>
          <w:szCs w:val="20"/>
          <w:color w:val="auto"/>
        </w:rPr>
      </w:pPr>
      <w:r>
        <w:rPr>
          <w:rFonts w:ascii="Arial" w:cs="Arial" w:eastAsia="Arial" w:hAnsi="Arial"/>
          <w:sz w:val="15"/>
          <w:szCs w:val="15"/>
          <w:color w:val="auto"/>
        </w:rPr>
        <w:t>complete our initial business combination within 24</w:t>
      </w:r>
    </w:p>
    <w:p>
      <w:pPr>
        <w:ind w:left="4820"/>
        <w:spacing w:after="0" w:line="226" w:lineRule="auto"/>
        <w:rPr>
          <w:sz w:val="20"/>
          <w:szCs w:val="20"/>
          <w:color w:val="auto"/>
        </w:rPr>
      </w:pPr>
      <w:r>
        <w:rPr>
          <w:rFonts w:ascii="Arial" w:cs="Arial" w:eastAsia="Arial" w:hAnsi="Arial"/>
          <w:sz w:val="15"/>
          <w:szCs w:val="15"/>
          <w:color w:val="auto"/>
        </w:rPr>
        <w:t>months from the closing of this offering or (B) with</w:t>
      </w:r>
    </w:p>
    <w:p>
      <w:pPr>
        <w:ind w:left="4820"/>
        <w:spacing w:after="0" w:line="227" w:lineRule="auto"/>
        <w:rPr>
          <w:sz w:val="20"/>
          <w:szCs w:val="20"/>
          <w:color w:val="auto"/>
        </w:rPr>
      </w:pPr>
      <w:r>
        <w:rPr>
          <w:rFonts w:ascii="Arial" w:cs="Arial" w:eastAsia="Arial" w:hAnsi="Arial"/>
          <w:sz w:val="15"/>
          <w:szCs w:val="15"/>
          <w:color w:val="auto"/>
        </w:rPr>
        <w:t>respect to any other provision relating to the rights</w:t>
      </w:r>
    </w:p>
    <w:p>
      <w:pPr>
        <w:ind w:left="4820"/>
        <w:spacing w:after="0" w:line="227" w:lineRule="auto"/>
        <w:rPr>
          <w:sz w:val="20"/>
          <w:szCs w:val="20"/>
          <w:color w:val="auto"/>
        </w:rPr>
      </w:pPr>
      <w:r>
        <w:rPr>
          <w:rFonts w:ascii="Arial" w:cs="Arial" w:eastAsia="Arial" w:hAnsi="Arial"/>
          <w:sz w:val="15"/>
          <w:szCs w:val="15"/>
          <w:color w:val="auto"/>
        </w:rPr>
        <w:t>of holders of our Class A ordinary shares and</w:t>
      </w:r>
    </w:p>
    <w:p>
      <w:pPr>
        <w:ind w:left="4820"/>
        <w:spacing w:after="0"/>
        <w:rPr>
          <w:sz w:val="20"/>
          <w:szCs w:val="20"/>
          <w:color w:val="auto"/>
        </w:rPr>
      </w:pPr>
      <w:r>
        <w:rPr>
          <w:rFonts w:ascii="Arial" w:cs="Arial" w:eastAsia="Arial" w:hAnsi="Arial"/>
          <w:sz w:val="14"/>
          <w:szCs w:val="14"/>
          <w:color w:val="auto"/>
        </w:rPr>
        <w:t>(iii) waive their rights to liquidating distributions from</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the trust account with respect to any founder shares</w:t>
      </w:r>
    </w:p>
    <w:p>
      <w:pPr>
        <w:ind w:left="4820"/>
        <w:spacing w:after="0" w:line="229" w:lineRule="auto"/>
        <w:rPr>
          <w:sz w:val="20"/>
          <w:szCs w:val="20"/>
          <w:color w:val="auto"/>
        </w:rPr>
      </w:pPr>
      <w:r>
        <w:rPr>
          <w:rFonts w:ascii="Arial" w:cs="Arial" w:eastAsia="Arial" w:hAnsi="Arial"/>
          <w:sz w:val="15"/>
          <w:szCs w:val="15"/>
          <w:color w:val="auto"/>
        </w:rPr>
        <w:t>or private placement shares they hold if we fail to</w:t>
      </w:r>
    </w:p>
    <w:p>
      <w:pPr>
        <w:ind w:left="4820"/>
        <w:spacing w:after="0" w:line="226" w:lineRule="auto"/>
        <w:rPr>
          <w:sz w:val="20"/>
          <w:szCs w:val="20"/>
          <w:color w:val="auto"/>
        </w:rPr>
      </w:pPr>
      <w:r>
        <w:rPr>
          <w:rFonts w:ascii="Arial" w:cs="Arial" w:eastAsia="Arial" w:hAnsi="Arial"/>
          <w:sz w:val="15"/>
          <w:szCs w:val="15"/>
          <w:color w:val="auto"/>
        </w:rPr>
        <w:t>consummate an initial business combination within</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24 months from the closing of this offering (although</w:t>
      </w:r>
    </w:p>
    <w:p>
      <w:pPr>
        <w:ind w:left="4820"/>
        <w:spacing w:after="0" w:line="229" w:lineRule="auto"/>
        <w:rPr>
          <w:sz w:val="20"/>
          <w:szCs w:val="20"/>
          <w:color w:val="auto"/>
        </w:rPr>
      </w:pPr>
      <w:r>
        <w:rPr>
          <w:rFonts w:ascii="Arial" w:cs="Arial" w:eastAsia="Arial" w:hAnsi="Arial"/>
          <w:sz w:val="15"/>
          <w:szCs w:val="15"/>
          <w:color w:val="auto"/>
        </w:rPr>
        <w:t>they will be entitled to liquidating distributions from</w:t>
      </w:r>
    </w:p>
    <w:p>
      <w:pPr>
        <w:ind w:left="4820"/>
        <w:spacing w:after="0" w:line="226" w:lineRule="auto"/>
        <w:rPr>
          <w:sz w:val="20"/>
          <w:szCs w:val="20"/>
          <w:color w:val="auto"/>
        </w:rPr>
      </w:pPr>
      <w:r>
        <w:rPr>
          <w:rFonts w:ascii="Arial" w:cs="Arial" w:eastAsia="Arial" w:hAnsi="Arial"/>
          <w:sz w:val="15"/>
          <w:szCs w:val="15"/>
          <w:color w:val="auto"/>
        </w:rPr>
        <w:t>the trust account with respect to any public shares</w:t>
      </w:r>
    </w:p>
    <w:p>
      <w:pPr>
        <w:ind w:left="4820"/>
        <w:spacing w:after="0" w:line="227" w:lineRule="auto"/>
        <w:rPr>
          <w:sz w:val="20"/>
          <w:szCs w:val="20"/>
          <w:color w:val="auto"/>
        </w:rPr>
      </w:pPr>
      <w:r>
        <w:rPr>
          <w:rFonts w:ascii="Arial" w:cs="Arial" w:eastAsia="Arial" w:hAnsi="Arial"/>
          <w:sz w:val="15"/>
          <w:szCs w:val="15"/>
          <w:color w:val="auto"/>
        </w:rPr>
        <w:t>they hold if we fail to complete our initial business</w:t>
      </w:r>
    </w:p>
    <w:p>
      <w:pPr>
        <w:ind w:left="4820"/>
        <w:spacing w:after="0" w:line="227" w:lineRule="auto"/>
        <w:rPr>
          <w:sz w:val="20"/>
          <w:szCs w:val="20"/>
          <w:color w:val="auto"/>
        </w:rPr>
      </w:pPr>
      <w:r>
        <w:rPr>
          <w:rFonts w:ascii="Arial" w:cs="Arial" w:eastAsia="Arial" w:hAnsi="Arial"/>
          <w:sz w:val="15"/>
          <w:szCs w:val="15"/>
          <w:color w:val="auto"/>
        </w:rPr>
        <w:t>combination within 24 months from the closing of</w:t>
      </w:r>
    </w:p>
    <w:p>
      <w:pPr>
        <w:ind w:left="4820"/>
        <w:spacing w:after="0" w:line="226" w:lineRule="auto"/>
        <w:rPr>
          <w:sz w:val="20"/>
          <w:szCs w:val="20"/>
          <w:color w:val="auto"/>
        </w:rPr>
      </w:pPr>
      <w:r>
        <w:rPr>
          <w:rFonts w:ascii="Arial" w:cs="Arial" w:eastAsia="Arial" w:hAnsi="Arial"/>
          <w:sz w:val="15"/>
          <w:szCs w:val="15"/>
          <w:color w:val="auto"/>
        </w:rPr>
        <w:t>this offering). If we seek shareholder approval, we</w:t>
      </w:r>
    </w:p>
    <w:p>
      <w:pPr>
        <w:ind w:left="4820"/>
        <w:spacing w:after="0" w:line="227" w:lineRule="auto"/>
        <w:rPr>
          <w:sz w:val="20"/>
          <w:szCs w:val="20"/>
          <w:color w:val="auto"/>
        </w:rPr>
      </w:pPr>
      <w:r>
        <w:rPr>
          <w:rFonts w:ascii="Arial" w:cs="Arial" w:eastAsia="Arial" w:hAnsi="Arial"/>
          <w:sz w:val="15"/>
          <w:szCs w:val="15"/>
          <w:color w:val="auto"/>
        </w:rPr>
        <w:t>will complete our initial business combination only if</w:t>
      </w:r>
    </w:p>
    <w:p>
      <w:pPr>
        <w:ind w:left="4820"/>
        <w:spacing w:after="0" w:line="227" w:lineRule="auto"/>
        <w:rPr>
          <w:sz w:val="20"/>
          <w:szCs w:val="20"/>
          <w:color w:val="auto"/>
        </w:rPr>
      </w:pPr>
      <w:r>
        <w:rPr>
          <w:rFonts w:ascii="Arial" w:cs="Arial" w:eastAsia="Arial" w:hAnsi="Arial"/>
          <w:sz w:val="15"/>
          <w:szCs w:val="15"/>
          <w:color w:val="auto"/>
        </w:rPr>
        <w:t>a majority of the ordinary shares, represented in</w:t>
      </w:r>
    </w:p>
    <w:p>
      <w:pPr>
        <w:ind w:left="4820"/>
        <w:spacing w:after="0" w:line="226" w:lineRule="auto"/>
        <w:rPr>
          <w:sz w:val="20"/>
          <w:szCs w:val="20"/>
          <w:color w:val="auto"/>
        </w:rPr>
      </w:pPr>
      <w:r>
        <w:rPr>
          <w:rFonts w:ascii="Arial" w:cs="Arial" w:eastAsia="Arial" w:hAnsi="Arial"/>
          <w:sz w:val="15"/>
          <w:szCs w:val="15"/>
          <w:color w:val="auto"/>
        </w:rPr>
        <w:t>person or by proxy and entitled to vote thereon,</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voted at a shareholder meeting are voted in favor of</w:t>
      </w:r>
    </w:p>
    <w:p>
      <w:pPr>
        <w:ind w:left="4820"/>
        <w:spacing w:after="0" w:line="229" w:lineRule="auto"/>
        <w:rPr>
          <w:sz w:val="20"/>
          <w:szCs w:val="20"/>
          <w:color w:val="auto"/>
        </w:rPr>
      </w:pPr>
      <w:r>
        <w:rPr>
          <w:rFonts w:ascii="Arial" w:cs="Arial" w:eastAsia="Arial" w:hAnsi="Arial"/>
          <w:sz w:val="15"/>
          <w:szCs w:val="15"/>
          <w:color w:val="auto"/>
        </w:rPr>
        <w:t>the business combination. In such case, our</w:t>
      </w:r>
    </w:p>
    <w:p>
      <w:pPr>
        <w:ind w:left="4820"/>
        <w:spacing w:after="0" w:line="226" w:lineRule="auto"/>
        <w:rPr>
          <w:sz w:val="20"/>
          <w:szCs w:val="20"/>
          <w:color w:val="auto"/>
        </w:rPr>
      </w:pPr>
      <w:r>
        <w:rPr>
          <w:rFonts w:ascii="Arial" w:cs="Arial" w:eastAsia="Arial" w:hAnsi="Arial"/>
          <w:sz w:val="15"/>
          <w:szCs w:val="15"/>
          <w:color w:val="auto"/>
        </w:rPr>
        <w:t>sponsor and each member of our management</w:t>
      </w:r>
    </w:p>
    <w:p>
      <w:pPr>
        <w:ind w:left="4820"/>
        <w:spacing w:after="0" w:line="227" w:lineRule="auto"/>
        <w:rPr>
          <w:sz w:val="20"/>
          <w:szCs w:val="20"/>
          <w:color w:val="auto"/>
        </w:rPr>
      </w:pPr>
      <w:r>
        <w:rPr>
          <w:rFonts w:ascii="Arial" w:cs="Arial" w:eastAsia="Arial" w:hAnsi="Arial"/>
          <w:sz w:val="15"/>
          <w:szCs w:val="15"/>
          <w:color w:val="auto"/>
        </w:rPr>
        <w:t>team have agreed to vote their founder shares,</w:t>
      </w:r>
    </w:p>
    <w:p>
      <w:pPr>
        <w:ind w:left="4820"/>
        <w:spacing w:after="0" w:line="227" w:lineRule="auto"/>
        <w:rPr>
          <w:sz w:val="20"/>
          <w:szCs w:val="20"/>
          <w:color w:val="auto"/>
        </w:rPr>
      </w:pPr>
      <w:r>
        <w:rPr>
          <w:rFonts w:ascii="Arial" w:cs="Arial" w:eastAsia="Arial" w:hAnsi="Arial"/>
          <w:sz w:val="15"/>
          <w:szCs w:val="15"/>
          <w:color w:val="auto"/>
        </w:rPr>
        <w:t>private placement shares and any public shares</w:t>
      </w:r>
    </w:p>
    <w:p>
      <w:pPr>
        <w:ind w:left="4820"/>
        <w:spacing w:after="0"/>
        <w:rPr>
          <w:sz w:val="20"/>
          <w:szCs w:val="20"/>
          <w:color w:val="auto"/>
        </w:rPr>
      </w:pPr>
      <w:r>
        <w:rPr>
          <w:rFonts w:ascii="Arial" w:cs="Arial" w:eastAsia="Arial" w:hAnsi="Arial"/>
          <w:sz w:val="14"/>
          <w:szCs w:val="14"/>
          <w:color w:val="auto"/>
        </w:rPr>
        <w:t>purchased during or after this offering in favor of our</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5"/>
          <w:szCs w:val="15"/>
          <w:color w:val="auto"/>
        </w:rPr>
        <w:t>initial business combination. As a result,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 w:name="page15"/>
    <w:bookmarkEnd w:id="1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834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1735" cy="583438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60" w:right="80" w:hanging="154"/>
        <w:spacing w:after="0" w:line="258" w:lineRule="auto"/>
        <w:rPr>
          <w:sz w:val="20"/>
          <w:szCs w:val="20"/>
          <w:color w:val="auto"/>
        </w:rPr>
      </w:pPr>
      <w:r>
        <w:rPr>
          <w:rFonts w:ascii="Arial" w:cs="Arial" w:eastAsia="Arial" w:hAnsi="Arial"/>
          <w:sz w:val="15"/>
          <w:szCs w:val="15"/>
          <w:b w:val="1"/>
          <w:bCs w:val="1"/>
          <w:color w:val="auto"/>
        </w:rPr>
        <w:t>Transfer restrictions on founder shares and private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0"/>
        <w:spacing w:after="0" w:line="258" w:lineRule="auto"/>
        <w:rPr>
          <w:sz w:val="20"/>
          <w:szCs w:val="20"/>
          <w:color w:val="auto"/>
        </w:rPr>
      </w:pPr>
      <w:r>
        <w:rPr>
          <w:rFonts w:ascii="Arial" w:cs="Arial" w:eastAsia="Arial" w:hAnsi="Arial"/>
          <w:sz w:val="15"/>
          <w:szCs w:val="15"/>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301" w:right="859"/>
        <w:spacing w:after="0" w:line="245" w:lineRule="auto"/>
        <w:rPr>
          <w:sz w:val="20"/>
          <w:szCs w:val="20"/>
          <w:color w:val="auto"/>
        </w:rPr>
      </w:pPr>
      <w:r>
        <w:rPr>
          <w:rFonts w:ascii="Arial" w:cs="Arial" w:eastAsia="Arial" w:hAnsi="Arial"/>
          <w:sz w:val="14"/>
          <w:szCs w:val="14"/>
          <w:color w:val="auto"/>
        </w:rPr>
        <w:t>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w:t>
      </w:r>
    </w:p>
    <w:p>
      <w:pPr>
        <w:spacing w:after="0" w:line="78" w:lineRule="exact"/>
        <w:rPr>
          <w:sz w:val="20"/>
          <w:szCs w:val="20"/>
          <w:color w:val="auto"/>
        </w:rPr>
      </w:pPr>
    </w:p>
    <w:p>
      <w:pPr>
        <w:ind w:left="301" w:right="819" w:hanging="301"/>
        <w:spacing w:after="0" w:line="247" w:lineRule="auto"/>
        <w:tabs>
          <w:tab w:leader="none" w:pos="30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76" w:lineRule="exact"/>
        <w:rPr>
          <w:rFonts w:ascii="Arial" w:cs="Arial" w:eastAsia="Arial" w:hAnsi="Arial"/>
          <w:sz w:val="14"/>
          <w:szCs w:val="14"/>
          <w:color w:val="auto"/>
        </w:rPr>
      </w:pPr>
    </w:p>
    <w:p>
      <w:pPr>
        <w:ind w:left="301" w:hanging="301"/>
        <w:spacing w:after="0"/>
        <w:tabs>
          <w:tab w:leader="none" w:pos="30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founder shares are entitled to registration rights.</w:t>
      </w:r>
    </w:p>
    <w:p>
      <w:pPr>
        <w:spacing w:after="0" w:line="235" w:lineRule="exact"/>
        <w:rPr>
          <w:sz w:val="20"/>
          <w:szCs w:val="20"/>
          <w:color w:val="auto"/>
        </w:rPr>
      </w:pPr>
    </w:p>
    <w:p>
      <w:pPr>
        <w:ind w:left="1" w:right="799"/>
        <w:spacing w:after="0" w:line="226" w:lineRule="auto"/>
        <w:rPr>
          <w:sz w:val="20"/>
          <w:szCs w:val="20"/>
          <w:color w:val="auto"/>
        </w:rPr>
      </w:pPr>
      <w:r>
        <w:rPr>
          <w:rFonts w:ascii="Arial" w:cs="Arial" w:eastAsia="Arial" w:hAnsi="Arial"/>
          <w:sz w:val="15"/>
          <w:szCs w:val="15"/>
          <w:color w:val="auto"/>
        </w:rPr>
        <w:t>Except as described herein, our sponsor and our management team have agreed not to transfer, assign or sell (i) any of their founder shares until the earliest of</w:t>
      </w:r>
    </w:p>
    <w:p>
      <w:pPr>
        <w:spacing w:after="0" w:line="1" w:lineRule="exact"/>
        <w:rPr>
          <w:sz w:val="20"/>
          <w:szCs w:val="20"/>
          <w:color w:val="auto"/>
        </w:rPr>
      </w:pPr>
    </w:p>
    <w:p>
      <w:pPr>
        <w:ind w:left="1" w:right="819" w:hanging="1"/>
        <w:spacing w:after="0" w:line="227" w:lineRule="auto"/>
        <w:tabs>
          <w:tab w:leader="none" w:pos="238" w:val="left"/>
        </w:tabs>
        <w:numPr>
          <w:ilvl w:val="0"/>
          <w:numId w:val="5"/>
        </w:numPr>
        <w:rPr>
          <w:rFonts w:ascii="Arial" w:cs="Arial" w:eastAsia="Arial" w:hAnsi="Arial"/>
          <w:sz w:val="15"/>
          <w:szCs w:val="15"/>
          <w:color w:val="auto"/>
        </w:rPr>
      </w:pPr>
      <w:r>
        <w:rPr>
          <w:rFonts w:ascii="Arial" w:cs="Arial" w:eastAsia="Arial" w:hAnsi="Arial"/>
          <w:sz w:val="15"/>
          <w:szCs w:val="15"/>
          <w:color w:val="auto"/>
        </w:rPr>
        <w:t>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would be subject to the same restrictions and other agreements of our sponsor and management team with respect to any founder shares and private placement shares.</w:t>
      </w:r>
    </w:p>
    <w:p>
      <w:pPr>
        <w:spacing w:after="0" w:line="263" w:lineRule="exact"/>
        <w:rPr>
          <w:sz w:val="20"/>
          <w:szCs w:val="20"/>
          <w:color w:val="auto"/>
        </w:rPr>
      </w:pPr>
    </w:p>
    <w:p>
      <w:pPr>
        <w:ind w:left="1" w:right="819"/>
        <w:spacing w:after="0" w:line="228" w:lineRule="auto"/>
        <w:rPr>
          <w:sz w:val="20"/>
          <w:szCs w:val="20"/>
          <w:color w:val="auto"/>
        </w:rPr>
      </w:pPr>
      <w:r>
        <w:rPr>
          <w:rFonts w:ascii="Arial" w:cs="Arial" w:eastAsia="Arial" w:hAnsi="Arial"/>
          <w:sz w:val="15"/>
          <w:szCs w:val="15"/>
          <w:color w:val="auto"/>
        </w:rPr>
        <w:t>The founder shares are designated as Class B ordinary shares and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w:t>
      </w:r>
    </w:p>
    <w:p>
      <w:pPr>
        <w:spacing w:after="0" w:line="200" w:lineRule="exact"/>
        <w:rPr>
          <w:sz w:val="20"/>
          <w:szCs w:val="20"/>
          <w:color w:val="auto"/>
        </w:rPr>
      </w:pPr>
    </w:p>
    <w:p>
      <w:pPr>
        <w:sectPr>
          <w:pgSz w:w="11900" w:h="16838" w:orient="portrait"/>
          <w:cols w:equalWidth="0" w:num="2">
            <w:col w:w="3920" w:space="599"/>
            <w:col w:w="4500"/>
          </w:cols>
          <w:pgMar w:left="1440" w:top="248" w:right="1440"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5" w:name="page16"/>
    <w:bookmarkEnd w:id="15"/>
    <w:p>
      <w:pPr>
        <w:ind w:left="84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64"/>
        </w:trPr>
        <w:tc>
          <w:tcPr>
            <w:tcW w:w="860" w:type="dxa"/>
            <w:vAlign w:val="bottom"/>
            <w:tcBorders>
              <w:right w:val="single" w:sz="8" w:color="auto"/>
            </w:tcBorders>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464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5"/>
                <w:szCs w:val="15"/>
                <w:color w:val="auto"/>
              </w:rPr>
              <w:t>upon the consummation of this offering, plus (ii) the sum</w:t>
            </w:r>
          </w:p>
        </w:tc>
        <w:tc>
          <w:tcPr>
            <w:tcW w:w="800" w:type="dxa"/>
            <w:vAlign w:val="bottom"/>
          </w:tcPr>
          <w:p>
            <w:pPr>
              <w:spacing w:after="0"/>
              <w:rPr>
                <w:sz w:val="24"/>
                <w:szCs w:val="2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of the total number of Class A ordinary shares issued or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deemed issued or issuable upon conversion or exercise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of any equity-linked securities (as defined herein) or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rights issued or deemed issued, by the Company in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connection with or in relation to the consummation of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initial business combination, excluding any Class A</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ordinary shares or equity-linked securities exercisable for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or convertible into Class A ordinary shares issued,</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deemed issued, or to be issued, to any seller in the initial</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business combination and any private placement shares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issued to our sponsor, members of our management</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team or any of their affiliates upon conversion of working</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capital loans. Any conversion of Class B ordinary shares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described herein will take effect as a compulsory</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redemption of Class B ordinary shares and an issuance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of Class A ordinary shares as a matter of Cayman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Islands law. In no event will the Class B ordinary shares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convert into Class A ordinary shares at a rate of less</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3200" w:type="dxa"/>
            <w:vAlign w:val="bottom"/>
          </w:tcPr>
          <w:p>
            <w:pPr>
              <w:spacing w:after="0"/>
              <w:rPr>
                <w:sz w:val="15"/>
                <w:szCs w:val="15"/>
                <w:color w:val="auto"/>
              </w:rPr>
            </w:pP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than one-to-one.</w:t>
            </w:r>
          </w:p>
        </w:tc>
        <w:tc>
          <w:tcPr>
            <w:tcW w:w="800" w:type="dxa"/>
            <w:vAlign w:val="bottom"/>
          </w:tcPr>
          <w:p>
            <w:pPr>
              <w:spacing w:after="0"/>
              <w:rPr>
                <w:sz w:val="15"/>
                <w:szCs w:val="15"/>
                <w:color w:val="auto"/>
              </w:rPr>
            </w:pPr>
          </w:p>
        </w:tc>
      </w:tr>
      <w:tr>
        <w:trPr>
          <w:trHeight w:val="242"/>
        </w:trPr>
        <w:tc>
          <w:tcPr>
            <w:tcW w:w="860" w:type="dxa"/>
            <w:vAlign w:val="bottom"/>
            <w:tcBorders>
              <w:right w:val="single" w:sz="8" w:color="auto"/>
            </w:tcBorders>
          </w:tcPr>
          <w:p>
            <w:pPr>
              <w:spacing w:after="0"/>
              <w:rPr>
                <w:sz w:val="21"/>
                <w:szCs w:val="21"/>
                <w:color w:val="auto"/>
              </w:rPr>
            </w:pPr>
          </w:p>
        </w:tc>
        <w:tc>
          <w:tcPr>
            <w:tcW w:w="3200" w:type="dxa"/>
            <w:vAlign w:val="bottom"/>
          </w:tcPr>
          <w:p>
            <w:pPr>
              <w:spacing w:after="0"/>
              <w:rPr>
                <w:sz w:val="21"/>
                <w:szCs w:val="21"/>
                <w:color w:val="auto"/>
              </w:rPr>
            </w:pP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The term “equity-linked securities” refers to any debt or</w:t>
            </w:r>
          </w:p>
        </w:tc>
        <w:tc>
          <w:tcPr>
            <w:tcW w:w="800" w:type="dxa"/>
            <w:vAlign w:val="bottom"/>
          </w:tcPr>
          <w:p>
            <w:pPr>
              <w:spacing w:after="0"/>
              <w:rPr>
                <w:sz w:val="21"/>
                <w:szCs w:val="21"/>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equity securities that are convertible, exercisable or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exchangeable for our Class A ordinary shares issued in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a financing transaction in connection with our initial</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business combination, including, but not limited to, a</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3200" w:type="dxa"/>
            <w:vAlign w:val="bottom"/>
          </w:tcPr>
          <w:p>
            <w:pPr>
              <w:spacing w:after="0"/>
              <w:rPr>
                <w:sz w:val="15"/>
                <w:szCs w:val="15"/>
                <w:color w:val="auto"/>
              </w:rPr>
            </w:pP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private placement of equity or debt.</w:t>
            </w:r>
          </w:p>
        </w:tc>
        <w:tc>
          <w:tcPr>
            <w:tcW w:w="800" w:type="dxa"/>
            <w:vAlign w:val="bottom"/>
          </w:tcPr>
          <w:p>
            <w:pPr>
              <w:spacing w:after="0"/>
              <w:rPr>
                <w:sz w:val="15"/>
                <w:szCs w:val="15"/>
                <w:color w:val="auto"/>
              </w:rPr>
            </w:pPr>
          </w:p>
        </w:tc>
      </w:tr>
      <w:tr>
        <w:trPr>
          <w:trHeight w:val="253"/>
        </w:trPr>
        <w:tc>
          <w:tcPr>
            <w:tcW w:w="860" w:type="dxa"/>
            <w:vAlign w:val="bottom"/>
            <w:tcBorders>
              <w:right w:val="single" w:sz="8" w:color="auto"/>
            </w:tcBorders>
          </w:tcPr>
          <w:p>
            <w:pPr>
              <w:spacing w:after="0"/>
              <w:rPr>
                <w:sz w:val="22"/>
                <w:szCs w:val="22"/>
                <w:color w:val="auto"/>
              </w:rPr>
            </w:pPr>
          </w:p>
        </w:tc>
        <w:tc>
          <w:tcPr>
            <w:tcW w:w="3200" w:type="dxa"/>
            <w:vAlign w:val="bottom"/>
          </w:tcPr>
          <w:p>
            <w:pPr>
              <w:ind w:left="180"/>
              <w:spacing w:after="0"/>
              <w:rPr>
                <w:sz w:val="20"/>
                <w:szCs w:val="20"/>
                <w:color w:val="auto"/>
              </w:rPr>
            </w:pPr>
            <w:r>
              <w:rPr>
                <w:rFonts w:ascii="Arial" w:cs="Arial" w:eastAsia="Arial" w:hAnsi="Arial"/>
                <w:sz w:val="15"/>
                <w:szCs w:val="15"/>
                <w:b w:val="1"/>
                <w:bCs w:val="1"/>
                <w:color w:val="auto"/>
              </w:rPr>
              <w:t>Election of directors; Voting rights</w:t>
            </w: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Prior to the completion of our initial business</w:t>
            </w:r>
          </w:p>
        </w:tc>
        <w:tc>
          <w:tcPr>
            <w:tcW w:w="800" w:type="dxa"/>
            <w:vAlign w:val="bottom"/>
          </w:tcPr>
          <w:p>
            <w:pPr>
              <w:spacing w:after="0"/>
              <w:rPr>
                <w:sz w:val="22"/>
                <w:szCs w:val="22"/>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combination, only holders of our founder shares will have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the right to vote on the election of directors. Holders of</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our public shares will not be entitled to vote on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election of directors during such time. In addition, prior to</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the completion of an initial business combination,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holders of a majority of our founder shares may remove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a member of the board of directors for any reason.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These provisions of our amended and restated</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memorandum and articles of association may only be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amended by a special resolution passed by holders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representing at least two-thirds of our outstanding</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Class B ordinary shares. With respect to any other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matter submitted to a vote of our shareholders, including</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any vote in connection with our initial business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combination, except as required by law or the applicable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rules of Nasdaq then in effect, holders of our founder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shares and holders of our public shares will vote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together as a single class, with each share entitling the</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3200" w:type="dxa"/>
            <w:vAlign w:val="bottom"/>
          </w:tcPr>
          <w:p>
            <w:pPr>
              <w:spacing w:after="0"/>
              <w:rPr>
                <w:sz w:val="15"/>
                <w:szCs w:val="15"/>
                <w:color w:val="auto"/>
              </w:rPr>
            </w:pP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holder to one vote.</w:t>
            </w:r>
          </w:p>
        </w:tc>
        <w:tc>
          <w:tcPr>
            <w:tcW w:w="800" w:type="dxa"/>
            <w:vAlign w:val="bottom"/>
          </w:tcPr>
          <w:p>
            <w:pPr>
              <w:spacing w:after="0"/>
              <w:rPr>
                <w:sz w:val="15"/>
                <w:szCs w:val="15"/>
                <w:color w:val="auto"/>
              </w:rPr>
            </w:pPr>
          </w:p>
        </w:tc>
      </w:tr>
      <w:tr>
        <w:trPr>
          <w:trHeight w:val="242"/>
        </w:trPr>
        <w:tc>
          <w:tcPr>
            <w:tcW w:w="860" w:type="dxa"/>
            <w:vAlign w:val="bottom"/>
            <w:tcBorders>
              <w:right w:val="single" w:sz="8" w:color="auto"/>
            </w:tcBorders>
          </w:tcPr>
          <w:p>
            <w:pPr>
              <w:spacing w:after="0"/>
              <w:rPr>
                <w:sz w:val="21"/>
                <w:szCs w:val="21"/>
                <w:color w:val="auto"/>
              </w:rPr>
            </w:pPr>
          </w:p>
        </w:tc>
        <w:tc>
          <w:tcPr>
            <w:tcW w:w="3200" w:type="dxa"/>
            <w:vAlign w:val="bottom"/>
          </w:tcPr>
          <w:p>
            <w:pPr>
              <w:spacing w:after="0"/>
              <w:rPr>
                <w:sz w:val="21"/>
                <w:szCs w:val="21"/>
                <w:color w:val="auto"/>
              </w:rPr>
            </w:pP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Our amended and restated memorandum and articles of</w:t>
            </w:r>
          </w:p>
        </w:tc>
        <w:tc>
          <w:tcPr>
            <w:tcW w:w="800" w:type="dxa"/>
            <w:vAlign w:val="bottom"/>
          </w:tcPr>
          <w:p>
            <w:pPr>
              <w:spacing w:after="0"/>
              <w:rPr>
                <w:sz w:val="21"/>
                <w:szCs w:val="21"/>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association will provide that our board of directors will be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3200" w:type="dxa"/>
            <w:vAlign w:val="bottom"/>
          </w:tcPr>
          <w:p>
            <w:pPr>
              <w:spacing w:after="0"/>
              <w:rPr>
                <w:sz w:val="14"/>
                <w:szCs w:val="14"/>
                <w:color w:val="auto"/>
              </w:rPr>
            </w:pPr>
          </w:p>
        </w:tc>
        <w:tc>
          <w:tcPr>
            <w:tcW w:w="4640" w:type="dxa"/>
            <w:vAlign w:val="bottom"/>
            <w:tcBorders>
              <w:right w:val="single" w:sz="8" w:color="auto"/>
            </w:tcBorders>
          </w:tcPr>
          <w:p>
            <w:pPr>
              <w:ind w:left="700"/>
              <w:spacing w:after="0" w:line="163" w:lineRule="exact"/>
              <w:rPr>
                <w:sz w:val="20"/>
                <w:szCs w:val="20"/>
                <w:color w:val="auto"/>
              </w:rPr>
            </w:pPr>
            <w:r>
              <w:rPr>
                <w:rFonts w:ascii="Arial" w:cs="Arial" w:eastAsia="Arial" w:hAnsi="Arial"/>
                <w:sz w:val="15"/>
                <w:szCs w:val="15"/>
                <w:color w:val="auto"/>
              </w:rPr>
              <w:t>divided into three classes with only one class of directors</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3200" w:type="dxa"/>
            <w:vAlign w:val="bottom"/>
          </w:tcPr>
          <w:p>
            <w:pPr>
              <w:spacing w:after="0"/>
              <w:rPr>
                <w:sz w:val="15"/>
                <w:szCs w:val="15"/>
                <w:color w:val="auto"/>
              </w:rPr>
            </w:pPr>
          </w:p>
        </w:tc>
        <w:tc>
          <w:tcPr>
            <w:tcW w:w="4640" w:type="dxa"/>
            <w:vAlign w:val="bottom"/>
            <w:tcBorders>
              <w:right w:val="single" w:sz="8" w:color="auto"/>
            </w:tcBorders>
          </w:tcPr>
          <w:p>
            <w:pPr>
              <w:ind w:left="700"/>
              <w:spacing w:after="0"/>
              <w:rPr>
                <w:sz w:val="20"/>
                <w:szCs w:val="20"/>
                <w:color w:val="auto"/>
              </w:rPr>
            </w:pPr>
            <w:r>
              <w:rPr>
                <w:rFonts w:ascii="Arial" w:cs="Arial" w:eastAsia="Arial" w:hAnsi="Arial"/>
                <w:sz w:val="15"/>
                <w:szCs w:val="15"/>
                <w:color w:val="auto"/>
              </w:rPr>
              <w:t>being elected in each year and each class (except for</w:t>
            </w:r>
          </w:p>
        </w:tc>
        <w:tc>
          <w:tcPr>
            <w:tcW w:w="800" w:type="dxa"/>
            <w:vAlign w:val="bottom"/>
          </w:tcPr>
          <w:p>
            <w:pPr>
              <w:spacing w:after="0"/>
              <w:rPr>
                <w:sz w:val="15"/>
                <w:szCs w:val="15"/>
                <w:color w:val="auto"/>
              </w:rPr>
            </w:pPr>
          </w:p>
        </w:tc>
      </w:tr>
      <w:tr>
        <w:trPr>
          <w:trHeight w:val="184"/>
        </w:trPr>
        <w:tc>
          <w:tcPr>
            <w:tcW w:w="860" w:type="dxa"/>
            <w:vAlign w:val="bottom"/>
            <w:tcBorders>
              <w:right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4640" w:type="dxa"/>
            <w:vAlign w:val="bottom"/>
            <w:tcBorders>
              <w:bottom w:val="single" w:sz="8" w:color="auto"/>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r>
      <w:tr>
        <w:trPr>
          <w:trHeight w:val="352"/>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40" w:type="dxa"/>
            <w:vAlign w:val="bottom"/>
          </w:tcPr>
          <w:p>
            <w:pPr>
              <w:ind w:left="600"/>
              <w:spacing w:after="0"/>
              <w:rPr>
                <w:sz w:val="20"/>
                <w:szCs w:val="20"/>
                <w:color w:val="auto"/>
              </w:rPr>
            </w:pPr>
            <w:r>
              <w:rPr>
                <w:rFonts w:ascii="Arial" w:cs="Arial" w:eastAsia="Arial" w:hAnsi="Arial"/>
                <w:sz w:val="14"/>
                <w:szCs w:val="14"/>
                <w:color w:val="auto"/>
              </w:rPr>
              <w:t>13</w:t>
            </w:r>
          </w:p>
        </w:tc>
        <w:tc>
          <w:tcPr>
            <w:tcW w:w="800" w:type="dxa"/>
            <w:vAlign w:val="bottom"/>
          </w:tcPr>
          <w:p>
            <w:pPr>
              <w:spacing w:after="0"/>
              <w:rPr>
                <w:sz w:val="24"/>
                <w:szCs w:val="24"/>
                <w:color w:val="auto"/>
              </w:rPr>
            </w:pPr>
          </w:p>
        </w:tc>
      </w:tr>
      <w:tr>
        <w:trPr>
          <w:trHeight w:val="147"/>
        </w:trPr>
        <w:tc>
          <w:tcPr>
            <w:tcW w:w="86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4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bl>
    <w:p>
      <w:pPr>
        <w:sectPr>
          <w:pgSz w:w="11900" w:h="16838" w:orient="portrait"/>
          <w:cols w:equalWidth="0" w:num="1">
            <w:col w:w="9500"/>
          </w:cols>
          <w:pgMar w:left="1200" w:top="248" w:right="1199" w:bottom="1440" w:gutter="0" w:footer="0" w:header="0"/>
        </w:sectPr>
      </w:pPr>
    </w:p>
    <w:bookmarkStart w:id="16" w:name="page17"/>
    <w:bookmarkEnd w:id="1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4393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1735" cy="439356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Private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Proceeds to be held in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139"/>
        <w:spacing w:after="0" w:line="267" w:lineRule="auto"/>
        <w:rPr>
          <w:sz w:val="20"/>
          <w:szCs w:val="20"/>
          <w:color w:val="auto"/>
        </w:rPr>
      </w:pPr>
      <w:r>
        <w:rPr>
          <w:rFonts w:ascii="Arial" w:cs="Arial" w:eastAsia="Arial" w:hAnsi="Arial"/>
          <w:sz w:val="14"/>
          <w:szCs w:val="14"/>
          <w:color w:val="auto"/>
        </w:rPr>
        <w:t>those directors appointed prior to our first annual meeting of shareholders) serving a three-year term.</w:t>
      </w:r>
    </w:p>
    <w:p>
      <w:pPr>
        <w:spacing w:after="0" w:line="72" w:lineRule="exact"/>
        <w:rPr>
          <w:sz w:val="20"/>
          <w:szCs w:val="20"/>
          <w:color w:val="auto"/>
        </w:rPr>
      </w:pPr>
    </w:p>
    <w:p>
      <w:pPr>
        <w:ind w:right="779"/>
        <w:spacing w:after="0" w:line="227" w:lineRule="auto"/>
        <w:rPr>
          <w:sz w:val="20"/>
          <w:szCs w:val="20"/>
          <w:color w:val="auto"/>
        </w:rPr>
      </w:pPr>
      <w:r>
        <w:rPr>
          <w:rFonts w:ascii="Arial" w:cs="Arial" w:eastAsia="Arial" w:hAnsi="Arial"/>
          <w:sz w:val="15"/>
          <w:szCs w:val="15"/>
          <w:color w:val="auto"/>
        </w:rPr>
        <w:t>Our sponsor has committed, pursuant to a written agreement, to purchase 450,000 private placement shares (or 487,500 private placement shares if the underwriters’ over-allotment option is exercised in full), at a price of $10.00 per share ($4,500,000 in the aggregate or $4,875,000 if the underwriters’ over-allotment option is exercised in full), in a private placement that will close simultaneously with the closing of this offering. The private placement shares are identical to the Class A ordinary shares sold in this offering, subject to certain limited exceptions as described in this prospectus. If we do not consummate an initial business combination within 24 months from the closing of this offering, the proceeds from the sale of the private placement shares held in the trust account will be used to fund the redemption of our public shares (subject to the requirements of applicable law) and the private placement shares will be worthless.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Nasdaq rules provide that at least 90% of the gross</w:t>
      </w:r>
    </w:p>
    <w:p>
      <w:pPr>
        <w:spacing w:after="0" w:line="226" w:lineRule="auto"/>
        <w:rPr>
          <w:sz w:val="20"/>
          <w:szCs w:val="20"/>
          <w:color w:val="auto"/>
        </w:rPr>
      </w:pPr>
      <w:r>
        <w:rPr>
          <w:rFonts w:ascii="Arial" w:cs="Arial" w:eastAsia="Arial" w:hAnsi="Arial"/>
          <w:sz w:val="15"/>
          <w:szCs w:val="15"/>
          <w:color w:val="auto"/>
        </w:rPr>
        <w:t>proceeds from this offering and the sale of the private</w:t>
      </w:r>
    </w:p>
    <w:p>
      <w:pPr>
        <w:spacing w:after="0"/>
        <w:rPr>
          <w:sz w:val="20"/>
          <w:szCs w:val="20"/>
          <w:color w:val="auto"/>
        </w:rPr>
      </w:pPr>
      <w:r>
        <w:rPr>
          <w:rFonts w:ascii="Arial" w:cs="Arial" w:eastAsia="Arial" w:hAnsi="Arial"/>
          <w:sz w:val="14"/>
          <w:szCs w:val="14"/>
          <w:color w:val="auto"/>
        </w:rPr>
        <w:t>placement shares be deposited in a trust account. Of the</w:t>
      </w:r>
    </w:p>
    <w:p>
      <w:pPr>
        <w:spacing w:after="0" w:line="229" w:lineRule="auto"/>
        <w:rPr>
          <w:sz w:val="20"/>
          <w:szCs w:val="20"/>
          <w:color w:val="auto"/>
        </w:rPr>
      </w:pPr>
      <w:r>
        <w:rPr>
          <w:rFonts w:ascii="Arial" w:cs="Arial" w:eastAsia="Arial" w:hAnsi="Arial"/>
          <w:sz w:val="15"/>
          <w:szCs w:val="15"/>
          <w:color w:val="auto"/>
        </w:rPr>
        <w:t>proceeds we will receive from this offering and the sale</w:t>
      </w:r>
    </w:p>
    <w:p>
      <w:pPr>
        <w:spacing w:after="0" w:line="226" w:lineRule="auto"/>
        <w:rPr>
          <w:sz w:val="20"/>
          <w:szCs w:val="20"/>
          <w:color w:val="auto"/>
        </w:rPr>
      </w:pPr>
      <w:r>
        <w:rPr>
          <w:rFonts w:ascii="Arial" w:cs="Arial" w:eastAsia="Arial" w:hAnsi="Arial"/>
          <w:sz w:val="15"/>
          <w:szCs w:val="15"/>
          <w:color w:val="auto"/>
        </w:rPr>
        <w:t>of the private placement shares described in this</w:t>
      </w:r>
    </w:p>
    <w:p>
      <w:pPr>
        <w:spacing w:after="0" w:line="227" w:lineRule="auto"/>
        <w:rPr>
          <w:sz w:val="20"/>
          <w:szCs w:val="20"/>
          <w:color w:val="auto"/>
        </w:rPr>
      </w:pPr>
      <w:r>
        <w:rPr>
          <w:rFonts w:ascii="Arial" w:cs="Arial" w:eastAsia="Arial" w:hAnsi="Arial"/>
          <w:sz w:val="15"/>
          <w:szCs w:val="15"/>
          <w:color w:val="auto"/>
        </w:rPr>
        <w:t>prospectus, $125.0 million, or $143.75 million if the</w:t>
      </w:r>
    </w:p>
    <w:p>
      <w:pPr>
        <w:spacing w:after="0" w:line="227" w:lineRule="auto"/>
        <w:rPr>
          <w:sz w:val="20"/>
          <w:szCs w:val="20"/>
          <w:color w:val="auto"/>
        </w:rPr>
      </w:pPr>
      <w:r>
        <w:rPr>
          <w:rFonts w:ascii="Arial" w:cs="Arial" w:eastAsia="Arial" w:hAnsi="Arial"/>
          <w:sz w:val="15"/>
          <w:szCs w:val="15"/>
          <w:color w:val="auto"/>
        </w:rPr>
        <w:t>underwriters’ over-allotment option is exercised in full</w:t>
      </w:r>
    </w:p>
    <w:p>
      <w:pPr>
        <w:spacing w:after="0"/>
        <w:rPr>
          <w:sz w:val="20"/>
          <w:szCs w:val="20"/>
          <w:color w:val="auto"/>
        </w:rPr>
      </w:pPr>
      <w:r>
        <w:rPr>
          <w:rFonts w:ascii="Arial" w:cs="Arial" w:eastAsia="Arial" w:hAnsi="Arial"/>
          <w:sz w:val="14"/>
          <w:szCs w:val="14"/>
          <w:color w:val="auto"/>
        </w:rPr>
        <w:t>($10.00 per share in either case), will be deposited into a</w:t>
      </w:r>
    </w:p>
    <w:p>
      <w:pPr>
        <w:spacing w:after="0" w:line="229" w:lineRule="auto"/>
        <w:rPr>
          <w:sz w:val="20"/>
          <w:szCs w:val="20"/>
          <w:color w:val="auto"/>
        </w:rPr>
      </w:pPr>
      <w:r>
        <w:rPr>
          <w:rFonts w:ascii="Arial" w:cs="Arial" w:eastAsia="Arial" w:hAnsi="Arial"/>
          <w:sz w:val="15"/>
          <w:szCs w:val="15"/>
          <w:color w:val="auto"/>
        </w:rPr>
        <w:t>segregated trust account located in the United States at</w:t>
      </w:r>
    </w:p>
    <w:p>
      <w:pPr>
        <w:spacing w:after="0" w:line="226" w:lineRule="auto"/>
        <w:rPr>
          <w:sz w:val="20"/>
          <w:szCs w:val="20"/>
          <w:color w:val="auto"/>
        </w:rPr>
      </w:pPr>
      <w:r>
        <w:rPr>
          <w:rFonts w:ascii="Arial" w:cs="Arial" w:eastAsia="Arial" w:hAnsi="Arial"/>
          <w:sz w:val="15"/>
          <w:szCs w:val="15"/>
          <w:color w:val="auto"/>
        </w:rPr>
        <w:t>J.P. Morgan Chase Bank, N.A. with Continental Stock</w:t>
      </w:r>
    </w:p>
    <w:p>
      <w:pPr>
        <w:spacing w:after="0" w:line="227" w:lineRule="auto"/>
        <w:rPr>
          <w:sz w:val="20"/>
          <w:szCs w:val="20"/>
          <w:color w:val="auto"/>
        </w:rPr>
      </w:pPr>
      <w:r>
        <w:rPr>
          <w:rFonts w:ascii="Arial" w:cs="Arial" w:eastAsia="Arial" w:hAnsi="Arial"/>
          <w:sz w:val="15"/>
          <w:szCs w:val="15"/>
          <w:color w:val="auto"/>
        </w:rPr>
        <w:t>Transfer &amp; Trust Company acting as trustee and</w:t>
      </w:r>
    </w:p>
    <w:p>
      <w:pPr>
        <w:spacing w:after="0" w:line="227" w:lineRule="auto"/>
        <w:rPr>
          <w:sz w:val="20"/>
          <w:szCs w:val="20"/>
          <w:color w:val="auto"/>
        </w:rPr>
      </w:pPr>
      <w:r>
        <w:rPr>
          <w:rFonts w:ascii="Arial" w:cs="Arial" w:eastAsia="Arial" w:hAnsi="Arial"/>
          <w:sz w:val="15"/>
          <w:szCs w:val="15"/>
          <w:color w:val="auto"/>
        </w:rPr>
        <w:t>approximately $1,000,000 will be used to pay expenses</w:t>
      </w:r>
    </w:p>
    <w:p>
      <w:pPr>
        <w:spacing w:after="0" w:line="226" w:lineRule="auto"/>
        <w:rPr>
          <w:sz w:val="20"/>
          <w:szCs w:val="20"/>
          <w:color w:val="auto"/>
        </w:rPr>
      </w:pPr>
      <w:r>
        <w:rPr>
          <w:rFonts w:ascii="Arial" w:cs="Arial" w:eastAsia="Arial" w:hAnsi="Arial"/>
          <w:sz w:val="15"/>
          <w:szCs w:val="15"/>
          <w:color w:val="auto"/>
        </w:rPr>
        <w:t>in connection with the closing of this offering and</w:t>
      </w:r>
    </w:p>
    <w:p>
      <w:pPr>
        <w:spacing w:after="0" w:line="227" w:lineRule="auto"/>
        <w:rPr>
          <w:sz w:val="20"/>
          <w:szCs w:val="20"/>
          <w:color w:val="auto"/>
        </w:rPr>
      </w:pPr>
      <w:r>
        <w:rPr>
          <w:rFonts w:ascii="Arial" w:cs="Arial" w:eastAsia="Arial" w:hAnsi="Arial"/>
          <w:sz w:val="15"/>
          <w:szCs w:val="15"/>
          <w:color w:val="auto"/>
        </w:rPr>
        <w:t>approximately $1,000,000 will be used for working</w:t>
      </w:r>
    </w:p>
    <w:p>
      <w:pPr>
        <w:spacing w:after="0"/>
        <w:rPr>
          <w:sz w:val="20"/>
          <w:szCs w:val="20"/>
          <w:color w:val="auto"/>
        </w:rPr>
      </w:pPr>
      <w:r>
        <w:rPr>
          <w:rFonts w:ascii="Arial" w:cs="Arial" w:eastAsia="Arial" w:hAnsi="Arial"/>
          <w:sz w:val="14"/>
          <w:szCs w:val="14"/>
          <w:color w:val="auto"/>
        </w:rPr>
        <w:t>capital following this offering. The proceeds to be placed</w:t>
      </w:r>
    </w:p>
    <w:p>
      <w:pPr>
        <w:spacing w:after="0" w:line="229" w:lineRule="auto"/>
        <w:rPr>
          <w:sz w:val="20"/>
          <w:szCs w:val="20"/>
          <w:color w:val="auto"/>
        </w:rPr>
      </w:pPr>
      <w:r>
        <w:rPr>
          <w:rFonts w:ascii="Arial" w:cs="Arial" w:eastAsia="Arial" w:hAnsi="Arial"/>
          <w:sz w:val="15"/>
          <w:szCs w:val="15"/>
          <w:color w:val="auto"/>
        </w:rPr>
        <w:t>in the trust account include $4,375,000 (or $5,031,250 if</w:t>
      </w:r>
    </w:p>
    <w:p>
      <w:pPr>
        <w:spacing w:after="0" w:line="226" w:lineRule="auto"/>
        <w:rPr>
          <w:sz w:val="20"/>
          <w:szCs w:val="20"/>
          <w:color w:val="auto"/>
        </w:rPr>
      </w:pPr>
      <w:r>
        <w:rPr>
          <w:rFonts w:ascii="Arial" w:cs="Arial" w:eastAsia="Arial" w:hAnsi="Arial"/>
          <w:sz w:val="15"/>
          <w:szCs w:val="15"/>
          <w:color w:val="auto"/>
        </w:rPr>
        <w:t>the underwriters’ over-allotment option is exercised in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full) in deferred underwriting commissions.</w:t>
      </w:r>
    </w:p>
    <w:p>
      <w:pPr>
        <w:spacing w:after="0" w:line="200" w:lineRule="exact"/>
        <w:rPr>
          <w:sz w:val="20"/>
          <w:szCs w:val="20"/>
          <w:color w:val="auto"/>
        </w:rPr>
      </w:pPr>
    </w:p>
    <w:p>
      <w:pPr>
        <w:sectPr>
          <w:pgSz w:w="11900" w:h="16838" w:orient="portrait"/>
          <w:cols w:equalWidth="0" w:num="2">
            <w:col w:w="3800" w:space="720"/>
            <w:col w:w="4499"/>
          </w:cols>
          <w:pgMar w:left="1440" w:top="248" w:right="1440" w:bottom="1440" w:gutter="0" w:footer="0" w:header="0"/>
          <w:type w:val="continuous"/>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7" w:name="page18"/>
    <w:bookmarkEnd w:id="1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4563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1735" cy="4563745"/>
                    </a:xfrm>
                    <a:prstGeom prst="rect">
                      <a:avLst/>
                    </a:prstGeom>
                    <a:noFill/>
                  </pic:spPr>
                </pic:pic>
              </a:graphicData>
            </a:graphic>
          </wp:anchor>
        </w:drawing>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Except with respect to interest earned on the funds held</w:t>
      </w:r>
    </w:p>
    <w:p>
      <w:pPr>
        <w:ind w:left="4520"/>
        <w:spacing w:after="0"/>
        <w:rPr>
          <w:sz w:val="20"/>
          <w:szCs w:val="20"/>
          <w:color w:val="auto"/>
        </w:rPr>
      </w:pPr>
      <w:r>
        <w:rPr>
          <w:rFonts w:ascii="Arial" w:cs="Arial" w:eastAsia="Arial" w:hAnsi="Arial"/>
          <w:sz w:val="14"/>
          <w:szCs w:val="14"/>
          <w:color w:val="auto"/>
        </w:rPr>
        <w:t>in the trust account that may be released to us to pay our</w:t>
      </w:r>
    </w:p>
    <w:p>
      <w:pPr>
        <w:ind w:left="4520"/>
        <w:spacing w:after="0" w:line="229" w:lineRule="auto"/>
        <w:rPr>
          <w:sz w:val="20"/>
          <w:szCs w:val="20"/>
          <w:color w:val="auto"/>
        </w:rPr>
      </w:pPr>
      <w:r>
        <w:rPr>
          <w:rFonts w:ascii="Arial" w:cs="Arial" w:eastAsia="Arial" w:hAnsi="Arial"/>
          <w:sz w:val="15"/>
          <w:szCs w:val="15"/>
          <w:color w:val="auto"/>
        </w:rPr>
        <w:t>income taxes, if any, our amended and restated</w:t>
      </w:r>
    </w:p>
    <w:p>
      <w:pPr>
        <w:ind w:left="4520"/>
        <w:spacing w:after="0" w:line="226" w:lineRule="auto"/>
        <w:rPr>
          <w:sz w:val="20"/>
          <w:szCs w:val="20"/>
          <w:color w:val="auto"/>
        </w:rPr>
      </w:pPr>
      <w:r>
        <w:rPr>
          <w:rFonts w:ascii="Arial" w:cs="Arial" w:eastAsia="Arial" w:hAnsi="Arial"/>
          <w:sz w:val="15"/>
          <w:szCs w:val="15"/>
          <w:color w:val="auto"/>
        </w:rPr>
        <w:t>memorandum and articles of association, as discussed</w:t>
      </w:r>
    </w:p>
    <w:p>
      <w:pPr>
        <w:ind w:left="4520"/>
        <w:spacing w:after="0" w:line="227" w:lineRule="auto"/>
        <w:rPr>
          <w:sz w:val="20"/>
          <w:szCs w:val="20"/>
          <w:color w:val="auto"/>
        </w:rPr>
      </w:pPr>
      <w:r>
        <w:rPr>
          <w:rFonts w:ascii="Arial" w:cs="Arial" w:eastAsia="Arial" w:hAnsi="Arial"/>
          <w:sz w:val="15"/>
          <w:szCs w:val="15"/>
          <w:color w:val="auto"/>
        </w:rPr>
        <w:t>below and subject to the requirements of law and</w:t>
      </w:r>
    </w:p>
    <w:p>
      <w:pPr>
        <w:ind w:left="4520"/>
        <w:spacing w:after="0" w:line="227" w:lineRule="auto"/>
        <w:rPr>
          <w:sz w:val="20"/>
          <w:szCs w:val="20"/>
          <w:color w:val="auto"/>
        </w:rPr>
      </w:pPr>
      <w:r>
        <w:rPr>
          <w:rFonts w:ascii="Arial" w:cs="Arial" w:eastAsia="Arial" w:hAnsi="Arial"/>
          <w:sz w:val="15"/>
          <w:szCs w:val="15"/>
          <w:color w:val="auto"/>
        </w:rPr>
        <w:t>regulation, will provide that the proceeds from this</w:t>
      </w:r>
    </w:p>
    <w:p>
      <w:pPr>
        <w:ind w:left="4520"/>
        <w:spacing w:after="0" w:line="226" w:lineRule="auto"/>
        <w:rPr>
          <w:sz w:val="20"/>
          <w:szCs w:val="20"/>
          <w:color w:val="auto"/>
        </w:rPr>
      </w:pPr>
      <w:r>
        <w:rPr>
          <w:rFonts w:ascii="Arial" w:cs="Arial" w:eastAsia="Arial" w:hAnsi="Arial"/>
          <w:sz w:val="15"/>
          <w:szCs w:val="15"/>
          <w:color w:val="auto"/>
        </w:rPr>
        <w:t>offering and the sale of the private placement shares</w:t>
      </w:r>
    </w:p>
    <w:p>
      <w:pPr>
        <w:ind w:left="4520"/>
        <w:spacing w:after="0" w:line="227" w:lineRule="auto"/>
        <w:rPr>
          <w:sz w:val="20"/>
          <w:szCs w:val="20"/>
          <w:color w:val="auto"/>
        </w:rPr>
      </w:pPr>
      <w:r>
        <w:rPr>
          <w:rFonts w:ascii="Arial" w:cs="Arial" w:eastAsia="Arial" w:hAnsi="Arial"/>
          <w:sz w:val="15"/>
          <w:szCs w:val="15"/>
          <w:color w:val="auto"/>
        </w:rPr>
        <w:t>held in the trust account will not be released from the</w:t>
      </w:r>
    </w:p>
    <w:p>
      <w:pPr>
        <w:ind w:left="4520"/>
        <w:spacing w:after="0" w:line="227" w:lineRule="auto"/>
        <w:rPr>
          <w:sz w:val="20"/>
          <w:szCs w:val="20"/>
          <w:color w:val="auto"/>
        </w:rPr>
      </w:pPr>
      <w:r>
        <w:rPr>
          <w:rFonts w:ascii="Arial" w:cs="Arial" w:eastAsia="Arial" w:hAnsi="Arial"/>
          <w:sz w:val="15"/>
          <w:szCs w:val="15"/>
          <w:color w:val="auto"/>
        </w:rPr>
        <w:t>trust account (1) to us, until the completion of our initial</w:t>
      </w:r>
    </w:p>
    <w:p>
      <w:pPr>
        <w:ind w:left="4520"/>
        <w:spacing w:after="0" w:line="226" w:lineRule="auto"/>
        <w:rPr>
          <w:sz w:val="20"/>
          <w:szCs w:val="20"/>
          <w:color w:val="auto"/>
        </w:rPr>
      </w:pPr>
      <w:r>
        <w:rPr>
          <w:rFonts w:ascii="Arial" w:cs="Arial" w:eastAsia="Arial" w:hAnsi="Arial"/>
          <w:sz w:val="15"/>
          <w:szCs w:val="15"/>
          <w:color w:val="auto"/>
        </w:rPr>
        <w:t>business combination, or (2) to our public shareholders,</w:t>
      </w:r>
    </w:p>
    <w:p>
      <w:pPr>
        <w:ind w:left="4520"/>
        <w:spacing w:after="0" w:line="227" w:lineRule="auto"/>
        <w:rPr>
          <w:sz w:val="20"/>
          <w:szCs w:val="20"/>
          <w:color w:val="auto"/>
        </w:rPr>
      </w:pPr>
      <w:r>
        <w:rPr>
          <w:rFonts w:ascii="Arial" w:cs="Arial" w:eastAsia="Arial" w:hAnsi="Arial"/>
          <w:sz w:val="15"/>
          <w:szCs w:val="15"/>
          <w:color w:val="auto"/>
        </w:rPr>
        <w:t>until the earliest of (a) the completion of our initial</w:t>
      </w:r>
    </w:p>
    <w:p>
      <w:pPr>
        <w:ind w:left="4520"/>
        <w:spacing w:after="0" w:line="226" w:lineRule="auto"/>
        <w:rPr>
          <w:sz w:val="20"/>
          <w:szCs w:val="20"/>
          <w:color w:val="auto"/>
        </w:rPr>
      </w:pPr>
      <w:r>
        <w:rPr>
          <w:rFonts w:ascii="Arial" w:cs="Arial" w:eastAsia="Arial" w:hAnsi="Arial"/>
          <w:sz w:val="15"/>
          <w:szCs w:val="15"/>
          <w:color w:val="auto"/>
        </w:rPr>
        <w:t>business combination, and then only in connection with</w:t>
      </w:r>
    </w:p>
    <w:p>
      <w:pPr>
        <w:ind w:left="4520"/>
        <w:spacing w:after="0" w:line="227" w:lineRule="auto"/>
        <w:rPr>
          <w:sz w:val="20"/>
          <w:szCs w:val="20"/>
          <w:color w:val="auto"/>
        </w:rPr>
      </w:pPr>
      <w:r>
        <w:rPr>
          <w:rFonts w:ascii="Arial" w:cs="Arial" w:eastAsia="Arial" w:hAnsi="Arial"/>
          <w:sz w:val="15"/>
          <w:szCs w:val="15"/>
          <w:color w:val="auto"/>
        </w:rPr>
        <w:t>those Class A ordinary shares that such shareholders</w:t>
      </w:r>
    </w:p>
    <w:p>
      <w:pPr>
        <w:ind w:left="4520"/>
        <w:spacing w:after="0" w:line="227" w:lineRule="auto"/>
        <w:rPr>
          <w:sz w:val="20"/>
          <w:szCs w:val="20"/>
          <w:color w:val="auto"/>
        </w:rPr>
      </w:pPr>
      <w:r>
        <w:rPr>
          <w:rFonts w:ascii="Arial" w:cs="Arial" w:eastAsia="Arial" w:hAnsi="Arial"/>
          <w:sz w:val="15"/>
          <w:szCs w:val="15"/>
          <w:color w:val="auto"/>
        </w:rPr>
        <w:t>properly elected to redeem, subject to the limitations</w:t>
      </w:r>
    </w:p>
    <w:p>
      <w:pPr>
        <w:ind w:left="4520"/>
        <w:spacing w:after="0" w:line="226" w:lineRule="auto"/>
        <w:rPr>
          <w:sz w:val="20"/>
          <w:szCs w:val="20"/>
          <w:color w:val="auto"/>
        </w:rPr>
      </w:pPr>
      <w:r>
        <w:rPr>
          <w:rFonts w:ascii="Arial" w:cs="Arial" w:eastAsia="Arial" w:hAnsi="Arial"/>
          <w:sz w:val="15"/>
          <w:szCs w:val="15"/>
          <w:color w:val="auto"/>
        </w:rPr>
        <w:t>described herein, (b) the redemption of any public</w:t>
      </w:r>
    </w:p>
    <w:p>
      <w:pPr>
        <w:ind w:left="4520"/>
        <w:spacing w:after="0" w:line="227" w:lineRule="auto"/>
        <w:rPr>
          <w:sz w:val="20"/>
          <w:szCs w:val="20"/>
          <w:color w:val="auto"/>
        </w:rPr>
      </w:pPr>
      <w:r>
        <w:rPr>
          <w:rFonts w:ascii="Arial" w:cs="Arial" w:eastAsia="Arial" w:hAnsi="Arial"/>
          <w:sz w:val="15"/>
          <w:szCs w:val="15"/>
          <w:color w:val="auto"/>
        </w:rPr>
        <w:t>shares properly tendered in connection with a</w:t>
      </w:r>
    </w:p>
    <w:p>
      <w:pPr>
        <w:ind w:left="4520"/>
        <w:spacing w:after="0" w:line="227" w:lineRule="auto"/>
        <w:rPr>
          <w:sz w:val="20"/>
          <w:szCs w:val="20"/>
          <w:color w:val="auto"/>
        </w:rPr>
      </w:pPr>
      <w:r>
        <w:rPr>
          <w:rFonts w:ascii="Arial" w:cs="Arial" w:eastAsia="Arial" w:hAnsi="Arial"/>
          <w:sz w:val="15"/>
          <w:szCs w:val="15"/>
          <w:color w:val="auto"/>
        </w:rPr>
        <w:t>shareholder vote to amend our amended and restated</w:t>
      </w:r>
    </w:p>
    <w:p>
      <w:pPr>
        <w:ind w:left="4520"/>
        <w:spacing w:after="0" w:line="226" w:lineRule="auto"/>
        <w:rPr>
          <w:sz w:val="20"/>
          <w:szCs w:val="20"/>
          <w:color w:val="auto"/>
        </w:rPr>
      </w:pPr>
      <w:r>
        <w:rPr>
          <w:rFonts w:ascii="Arial" w:cs="Arial" w:eastAsia="Arial" w:hAnsi="Arial"/>
          <w:sz w:val="15"/>
          <w:szCs w:val="15"/>
          <w:color w:val="auto"/>
        </w:rPr>
        <w:t>memorandum and articles of association (A) to modify</w:t>
      </w:r>
    </w:p>
    <w:p>
      <w:pPr>
        <w:ind w:left="4520"/>
        <w:spacing w:after="0" w:line="227" w:lineRule="auto"/>
        <w:rPr>
          <w:sz w:val="20"/>
          <w:szCs w:val="20"/>
          <w:color w:val="auto"/>
        </w:rPr>
      </w:pPr>
      <w:r>
        <w:rPr>
          <w:rFonts w:ascii="Arial" w:cs="Arial" w:eastAsia="Arial" w:hAnsi="Arial"/>
          <w:sz w:val="15"/>
          <w:szCs w:val="15"/>
          <w:color w:val="auto"/>
        </w:rPr>
        <w:t>the substance or timing of our obligation to provide</w:t>
      </w:r>
    </w:p>
    <w:p>
      <w:pPr>
        <w:ind w:left="4520"/>
        <w:spacing w:after="0" w:line="227" w:lineRule="auto"/>
        <w:rPr>
          <w:sz w:val="20"/>
          <w:szCs w:val="20"/>
          <w:color w:val="auto"/>
        </w:rPr>
      </w:pPr>
      <w:r>
        <w:rPr>
          <w:rFonts w:ascii="Arial" w:cs="Arial" w:eastAsia="Arial" w:hAnsi="Arial"/>
          <w:sz w:val="15"/>
          <w:szCs w:val="15"/>
          <w:color w:val="auto"/>
        </w:rPr>
        <w:t>holders of our Class A ordinary shares the right to have</w:t>
      </w:r>
    </w:p>
    <w:p>
      <w:pPr>
        <w:ind w:left="4520"/>
        <w:spacing w:after="0" w:line="226" w:lineRule="auto"/>
        <w:rPr>
          <w:sz w:val="20"/>
          <w:szCs w:val="20"/>
          <w:color w:val="auto"/>
        </w:rPr>
      </w:pPr>
      <w:r>
        <w:rPr>
          <w:rFonts w:ascii="Arial" w:cs="Arial" w:eastAsia="Arial" w:hAnsi="Arial"/>
          <w:sz w:val="15"/>
          <w:szCs w:val="15"/>
          <w:color w:val="auto"/>
        </w:rPr>
        <w:t>their shares redeemed in connection with our initial</w:t>
      </w:r>
    </w:p>
    <w:p>
      <w:pPr>
        <w:ind w:left="4520"/>
        <w:spacing w:after="0" w:line="227" w:lineRule="auto"/>
        <w:rPr>
          <w:sz w:val="20"/>
          <w:szCs w:val="20"/>
          <w:color w:val="auto"/>
        </w:rPr>
      </w:pPr>
      <w:r>
        <w:rPr>
          <w:rFonts w:ascii="Arial" w:cs="Arial" w:eastAsia="Arial" w:hAnsi="Arial"/>
          <w:sz w:val="15"/>
          <w:szCs w:val="15"/>
          <w:color w:val="auto"/>
        </w:rPr>
        <w:t>business combination or to redeem 100% of our public</w:t>
      </w:r>
    </w:p>
    <w:p>
      <w:pPr>
        <w:ind w:left="4520"/>
        <w:spacing w:after="0" w:line="226" w:lineRule="auto"/>
        <w:rPr>
          <w:sz w:val="20"/>
          <w:szCs w:val="20"/>
          <w:color w:val="auto"/>
        </w:rPr>
      </w:pPr>
      <w:r>
        <w:rPr>
          <w:rFonts w:ascii="Arial" w:cs="Arial" w:eastAsia="Arial" w:hAnsi="Arial"/>
          <w:sz w:val="15"/>
          <w:szCs w:val="15"/>
          <w:color w:val="auto"/>
        </w:rPr>
        <w:t>shares if we do not complete our initial business</w:t>
      </w:r>
    </w:p>
    <w:p>
      <w:pPr>
        <w:ind w:left="4520"/>
        <w:spacing w:after="0" w:line="227" w:lineRule="auto"/>
        <w:rPr>
          <w:sz w:val="20"/>
          <w:szCs w:val="20"/>
          <w:color w:val="auto"/>
        </w:rPr>
      </w:pPr>
      <w:r>
        <w:rPr>
          <w:rFonts w:ascii="Arial" w:cs="Arial" w:eastAsia="Arial" w:hAnsi="Arial"/>
          <w:sz w:val="15"/>
          <w:szCs w:val="15"/>
          <w:color w:val="auto"/>
        </w:rPr>
        <w:t>combination within 24 months from the closing of this</w:t>
      </w:r>
    </w:p>
    <w:p>
      <w:pPr>
        <w:ind w:left="4520"/>
        <w:spacing w:after="0"/>
        <w:rPr>
          <w:sz w:val="20"/>
          <w:szCs w:val="20"/>
          <w:color w:val="auto"/>
        </w:rPr>
      </w:pPr>
      <w:r>
        <w:rPr>
          <w:rFonts w:ascii="Arial" w:cs="Arial" w:eastAsia="Arial" w:hAnsi="Arial"/>
          <w:sz w:val="14"/>
          <w:szCs w:val="14"/>
          <w:color w:val="auto"/>
        </w:rPr>
        <w:t>offering or (B) with respect to any other provision relating</w:t>
      </w:r>
    </w:p>
    <w:p>
      <w:pPr>
        <w:ind w:left="4520"/>
        <w:spacing w:after="0" w:line="229" w:lineRule="auto"/>
        <w:rPr>
          <w:sz w:val="20"/>
          <w:szCs w:val="20"/>
          <w:color w:val="auto"/>
        </w:rPr>
      </w:pPr>
      <w:r>
        <w:rPr>
          <w:rFonts w:ascii="Arial" w:cs="Arial" w:eastAsia="Arial" w:hAnsi="Arial"/>
          <w:sz w:val="15"/>
          <w:szCs w:val="15"/>
          <w:color w:val="auto"/>
        </w:rPr>
        <w:t>to the rights of holders of our Class A ordinary shares,</w:t>
      </w:r>
    </w:p>
    <w:p>
      <w:pPr>
        <w:ind w:left="4520"/>
        <w:spacing w:after="0" w:line="226" w:lineRule="auto"/>
        <w:rPr>
          <w:sz w:val="20"/>
          <w:szCs w:val="20"/>
          <w:color w:val="auto"/>
        </w:rPr>
      </w:pPr>
      <w:r>
        <w:rPr>
          <w:rFonts w:ascii="Arial" w:cs="Arial" w:eastAsia="Arial" w:hAnsi="Arial"/>
          <w:sz w:val="15"/>
          <w:szCs w:val="15"/>
          <w:color w:val="auto"/>
        </w:rPr>
        <w:t>and (c) the redemption of our public shares if we have</w:t>
      </w:r>
    </w:p>
    <w:p>
      <w:pPr>
        <w:ind w:left="4520"/>
        <w:spacing w:after="0" w:line="227" w:lineRule="auto"/>
        <w:rPr>
          <w:sz w:val="20"/>
          <w:szCs w:val="20"/>
          <w:color w:val="auto"/>
        </w:rPr>
      </w:pPr>
      <w:r>
        <w:rPr>
          <w:rFonts w:ascii="Arial" w:cs="Arial" w:eastAsia="Arial" w:hAnsi="Arial"/>
          <w:sz w:val="15"/>
          <w:szCs w:val="15"/>
          <w:color w:val="auto"/>
        </w:rPr>
        <w:t>not consummated our business combination within 24</w:t>
      </w:r>
    </w:p>
    <w:p>
      <w:pPr>
        <w:ind w:left="4520"/>
        <w:spacing w:after="0" w:line="227" w:lineRule="auto"/>
        <w:rPr>
          <w:sz w:val="20"/>
          <w:szCs w:val="20"/>
          <w:color w:val="auto"/>
        </w:rPr>
      </w:pPr>
      <w:r>
        <w:rPr>
          <w:rFonts w:ascii="Arial" w:cs="Arial" w:eastAsia="Arial" w:hAnsi="Arial"/>
          <w:sz w:val="15"/>
          <w:szCs w:val="15"/>
          <w:color w:val="auto"/>
        </w:rPr>
        <w:t>months from the closing of this offering, subject to</w:t>
      </w:r>
    </w:p>
    <w:p>
      <w:pPr>
        <w:ind w:left="4520"/>
        <w:spacing w:after="0" w:line="226" w:lineRule="auto"/>
        <w:rPr>
          <w:sz w:val="20"/>
          <w:szCs w:val="20"/>
          <w:color w:val="auto"/>
        </w:rPr>
      </w:pPr>
      <w:r>
        <w:rPr>
          <w:rFonts w:ascii="Arial" w:cs="Arial" w:eastAsia="Arial" w:hAnsi="Arial"/>
          <w:sz w:val="15"/>
          <w:szCs w:val="15"/>
          <w:color w:val="auto"/>
        </w:rPr>
        <w:t>applicable law. Public shareholders who redeem their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Class A ordinary shares in connection with a shareholder</w:t>
      </w:r>
    </w:p>
    <w:p>
      <w:pPr>
        <w:ind w:left="4520"/>
        <w:spacing w:after="0" w:line="229" w:lineRule="auto"/>
        <w:rPr>
          <w:sz w:val="20"/>
          <w:szCs w:val="20"/>
          <w:color w:val="auto"/>
        </w:rPr>
      </w:pPr>
      <w:r>
        <w:rPr>
          <w:rFonts w:ascii="Arial" w:cs="Arial" w:eastAsia="Arial" w:hAnsi="Arial"/>
          <w:sz w:val="15"/>
          <w:szCs w:val="15"/>
          <w:color w:val="auto"/>
        </w:rPr>
        <w:t>vote described in clause (b) in the preceding sentence</w:t>
      </w:r>
    </w:p>
    <w:p>
      <w:pPr>
        <w:ind w:left="4520"/>
        <w:spacing w:after="0"/>
        <w:rPr>
          <w:sz w:val="20"/>
          <w:szCs w:val="20"/>
          <w:color w:val="auto"/>
        </w:rPr>
      </w:pPr>
      <w:r>
        <w:rPr>
          <w:rFonts w:ascii="Arial" w:cs="Arial" w:eastAsia="Arial" w:hAnsi="Arial"/>
          <w:sz w:val="14"/>
          <w:szCs w:val="14"/>
          <w:color w:val="auto"/>
        </w:rPr>
        <w:t>shall not be entitled to funds from the trust account upon</w:t>
      </w:r>
    </w:p>
    <w:p>
      <w:pPr>
        <w:ind w:left="4520"/>
        <w:spacing w:after="0" w:line="229" w:lineRule="auto"/>
        <w:rPr>
          <w:sz w:val="20"/>
          <w:szCs w:val="20"/>
          <w:color w:val="auto"/>
        </w:rPr>
      </w:pPr>
      <w:r>
        <w:rPr>
          <w:rFonts w:ascii="Arial" w:cs="Arial" w:eastAsia="Arial" w:hAnsi="Arial"/>
          <w:sz w:val="15"/>
          <w:szCs w:val="15"/>
          <w:color w:val="auto"/>
        </w:rPr>
        <w:t>the subsequent completion of an initial business</w:t>
      </w:r>
    </w:p>
    <w:p>
      <w:pPr>
        <w:ind w:left="4520"/>
        <w:spacing w:after="0" w:line="226" w:lineRule="auto"/>
        <w:rPr>
          <w:sz w:val="20"/>
          <w:szCs w:val="20"/>
          <w:color w:val="auto"/>
        </w:rPr>
      </w:pPr>
      <w:r>
        <w:rPr>
          <w:rFonts w:ascii="Arial" w:cs="Arial" w:eastAsia="Arial" w:hAnsi="Arial"/>
          <w:sz w:val="15"/>
          <w:szCs w:val="15"/>
          <w:color w:val="auto"/>
        </w:rPr>
        <w:t>combination or liquidation if we have not consummated</w:t>
      </w:r>
    </w:p>
    <w:p>
      <w:pPr>
        <w:ind w:left="4520"/>
        <w:spacing w:after="0" w:line="227" w:lineRule="auto"/>
        <w:rPr>
          <w:sz w:val="20"/>
          <w:szCs w:val="20"/>
          <w:color w:val="auto"/>
        </w:rPr>
      </w:pPr>
      <w:r>
        <w:rPr>
          <w:rFonts w:ascii="Arial" w:cs="Arial" w:eastAsia="Arial" w:hAnsi="Arial"/>
          <w:sz w:val="15"/>
          <w:szCs w:val="15"/>
          <w:color w:val="auto"/>
        </w:rPr>
        <w:t>an initial business combination within 24 months from</w:t>
      </w:r>
    </w:p>
    <w:p>
      <w:pPr>
        <w:ind w:left="4520"/>
        <w:spacing w:after="0" w:line="227" w:lineRule="auto"/>
        <w:rPr>
          <w:sz w:val="20"/>
          <w:szCs w:val="20"/>
          <w:color w:val="auto"/>
        </w:rPr>
      </w:pPr>
      <w:r>
        <w:rPr>
          <w:rFonts w:ascii="Arial" w:cs="Arial" w:eastAsia="Arial" w:hAnsi="Arial"/>
          <w:sz w:val="15"/>
          <w:szCs w:val="15"/>
          <w:color w:val="auto"/>
        </w:rPr>
        <w:t>the closing of this offering, with respect to such Class A</w:t>
      </w:r>
    </w:p>
    <w:p>
      <w:pPr>
        <w:ind w:left="4520"/>
        <w:spacing w:after="0" w:line="226" w:lineRule="auto"/>
        <w:rPr>
          <w:sz w:val="20"/>
          <w:szCs w:val="20"/>
          <w:color w:val="auto"/>
        </w:rPr>
      </w:pPr>
      <w:r>
        <w:rPr>
          <w:rFonts w:ascii="Arial" w:cs="Arial" w:eastAsia="Arial" w:hAnsi="Arial"/>
          <w:sz w:val="15"/>
          <w:szCs w:val="15"/>
          <w:color w:val="auto"/>
        </w:rPr>
        <w:t>ordinary shares so redeemed. The proceeds deposited</w:t>
      </w:r>
    </w:p>
    <w:p>
      <w:pPr>
        <w:ind w:left="4520"/>
        <w:spacing w:after="0" w:line="227" w:lineRule="auto"/>
        <w:rPr>
          <w:sz w:val="20"/>
          <w:szCs w:val="20"/>
          <w:color w:val="auto"/>
        </w:rPr>
      </w:pPr>
      <w:r>
        <w:rPr>
          <w:rFonts w:ascii="Arial" w:cs="Arial" w:eastAsia="Arial" w:hAnsi="Arial"/>
          <w:sz w:val="15"/>
          <w:szCs w:val="15"/>
          <w:color w:val="auto"/>
        </w:rPr>
        <w:t>in the trust account could become subject to the claims</w:t>
      </w:r>
    </w:p>
    <w:p>
      <w:pPr>
        <w:ind w:left="4520"/>
        <w:spacing w:after="0"/>
        <w:rPr>
          <w:sz w:val="20"/>
          <w:szCs w:val="20"/>
          <w:color w:val="auto"/>
        </w:rPr>
      </w:pPr>
      <w:r>
        <w:rPr>
          <w:rFonts w:ascii="Arial" w:cs="Arial" w:eastAsia="Arial" w:hAnsi="Arial"/>
          <w:sz w:val="14"/>
          <w:szCs w:val="14"/>
          <w:color w:val="auto"/>
        </w:rPr>
        <w:t>of our creditors, if any, which could have priority over the</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claims of our public shareholders.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 w:name="page19"/>
    <w:bookmarkEnd w:id="1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434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1735" cy="543496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Anticipated expenses and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60" w:hanging="154"/>
        <w:spacing w:after="0" w:line="258" w:lineRule="auto"/>
        <w:rPr>
          <w:sz w:val="20"/>
          <w:szCs w:val="20"/>
          <w:color w:val="auto"/>
        </w:rPr>
      </w:pPr>
      <w:r>
        <w:rPr>
          <w:rFonts w:ascii="Arial" w:cs="Arial" w:eastAsia="Arial" w:hAnsi="Arial"/>
          <w:sz w:val="15"/>
          <w:szCs w:val="15"/>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 w:right="779"/>
        <w:spacing w:after="0" w:line="227" w:lineRule="auto"/>
        <w:rPr>
          <w:sz w:val="20"/>
          <w:szCs w:val="20"/>
          <w:color w:val="auto"/>
        </w:rPr>
      </w:pPr>
      <w:r>
        <w:rPr>
          <w:rFonts w:ascii="Arial" w:cs="Arial" w:eastAsia="Arial" w:hAnsi="Arial"/>
          <w:sz w:val="15"/>
          <w:szCs w:val="15"/>
          <w:color w:val="auto"/>
        </w:rPr>
        <w:t>Unless and until we complete our initial business combination, no proceeds held in the trust account will be available for our use, except the withdrawal of interest income (if any) to pay our income taxes, if any.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$125,000 per year; however, we can provide no assurances regarding this amount. Unless and until we complete our initial business combination, we may pay our expenses only from:</w:t>
      </w:r>
    </w:p>
    <w:p>
      <w:pPr>
        <w:spacing w:after="0" w:line="89" w:lineRule="exact"/>
        <w:rPr>
          <w:sz w:val="20"/>
          <w:szCs w:val="20"/>
          <w:color w:val="auto"/>
        </w:rPr>
      </w:pPr>
    </w:p>
    <w:p>
      <w:pPr>
        <w:ind w:left="301" w:right="819" w:hanging="301"/>
        <w:spacing w:after="0" w:line="248" w:lineRule="auto"/>
        <w:tabs>
          <w:tab w:leader="none" w:pos="30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net proceeds of this offering and the sale of the private placement shares not held in the trust account, which will be approximately $1,000,000 in working capital after the payment of approximately $1,000,000 in expenses relating to this offering; and</w:t>
      </w:r>
    </w:p>
    <w:p>
      <w:pPr>
        <w:spacing w:after="0" w:line="75" w:lineRule="exact"/>
        <w:rPr>
          <w:rFonts w:ascii="Arial" w:cs="Arial" w:eastAsia="Arial" w:hAnsi="Arial"/>
          <w:sz w:val="14"/>
          <w:szCs w:val="14"/>
          <w:color w:val="auto"/>
        </w:rPr>
      </w:pPr>
    </w:p>
    <w:p>
      <w:pPr>
        <w:ind w:left="301" w:right="839" w:hanging="301"/>
        <w:spacing w:after="0" w:line="229" w:lineRule="auto"/>
        <w:tabs>
          <w:tab w:leader="none" w:pos="301"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any loans or additional investments from our sponsor or an affiliate of our sponsor or certain of our officers and directors, although they are under no obligation to advance funds or invest in us, and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any such loans will not have any claim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proceeds held in the trust account unless such proceeds are released to us upon completion of our initial business combination.</w:t>
      </w:r>
    </w:p>
    <w:p>
      <w:pPr>
        <w:spacing w:after="0" w:line="219" w:lineRule="exact"/>
        <w:rPr>
          <w:sz w:val="20"/>
          <w:szCs w:val="20"/>
          <w:color w:val="auto"/>
        </w:rPr>
      </w:pPr>
    </w:p>
    <w:p>
      <w:pPr>
        <w:ind w:left="1" w:right="859"/>
        <w:spacing w:after="0" w:line="244" w:lineRule="auto"/>
        <w:rPr>
          <w:sz w:val="20"/>
          <w:szCs w:val="20"/>
          <w:color w:val="auto"/>
        </w:rPr>
      </w:pPr>
      <w:r>
        <w:rPr>
          <w:rFonts w:ascii="Arial" w:cs="Arial" w:eastAsia="Arial" w:hAnsi="Arial"/>
          <w:sz w:val="14"/>
          <w:szCs w:val="14"/>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w:t>
      </w:r>
    </w:p>
    <w:p>
      <w:pPr>
        <w:spacing w:after="0" w:line="200" w:lineRule="exact"/>
        <w:rPr>
          <w:sz w:val="20"/>
          <w:szCs w:val="20"/>
          <w:color w:val="auto"/>
        </w:rPr>
      </w:pPr>
    </w:p>
    <w:p>
      <w:pPr>
        <w:sectPr>
          <w:pgSz w:w="11900" w:h="16838" w:orient="portrait"/>
          <w:cols w:equalWidth="0" w:num="2">
            <w:col w:w="3960" w:space="559"/>
            <w:col w:w="4500"/>
          </w:cols>
          <w:pgMar w:left="1440" w:top="248"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9" w:name="page20"/>
    <w:bookmarkEnd w:id="1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641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1735" cy="564197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60" w:hanging="154"/>
        <w:spacing w:after="0" w:line="258" w:lineRule="auto"/>
        <w:rPr>
          <w:sz w:val="20"/>
          <w:szCs w:val="20"/>
          <w:color w:val="auto"/>
        </w:rPr>
      </w:pPr>
      <w:r>
        <w:rPr>
          <w:rFonts w:ascii="Arial" w:cs="Arial" w:eastAsia="Arial" w:hAnsi="Arial"/>
          <w:sz w:val="15"/>
          <w:szCs w:val="15"/>
          <w:b w:val="1"/>
          <w:bCs w:val="1"/>
          <w:color w:val="auto"/>
        </w:rPr>
        <w:t>Permitted purchases and other transactions with respect to our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779"/>
        <w:spacing w:after="0" w:line="227" w:lineRule="auto"/>
        <w:rPr>
          <w:sz w:val="20"/>
          <w:szCs w:val="20"/>
          <w:color w:val="auto"/>
        </w:rPr>
      </w:pPr>
      <w:r>
        <w:rPr>
          <w:rFonts w:ascii="Arial" w:cs="Arial" w:eastAsia="Arial" w:hAnsi="Arial"/>
          <w:sz w:val="15"/>
          <w:szCs w:val="15"/>
          <w:color w:val="auto"/>
        </w:rPr>
        <w:t xml:space="preserve">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in the event that the business combination</w:t>
      </w:r>
      <w:r>
        <w:rPr>
          <w:rFonts w:ascii="Arial" w:cs="Arial" w:eastAsia="Arial" w:hAnsi="Arial"/>
          <w:sz w:val="15"/>
          <w:szCs w:val="15"/>
          <w:i w:val="1"/>
          <w:iCs w:val="1"/>
          <w:color w:val="auto"/>
        </w:rPr>
        <w:t xml:space="preserve"> </w:t>
      </w:r>
      <w:r>
        <w:rPr>
          <w:rFonts w:ascii="Arial" w:cs="Arial" w:eastAsia="Arial" w:hAnsi="Arial"/>
          <w:sz w:val="15"/>
          <w:szCs w:val="15"/>
          <w:color w:val="auto"/>
        </w:rPr>
        <w:t>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26" w:lineRule="exact"/>
        <w:rPr>
          <w:sz w:val="20"/>
          <w:szCs w:val="20"/>
          <w:color w:val="auto"/>
        </w:rPr>
      </w:pPr>
    </w:p>
    <w:p>
      <w:pPr>
        <w:ind w:right="779"/>
        <w:spacing w:after="0" w:line="243" w:lineRule="auto"/>
        <w:rPr>
          <w:sz w:val="20"/>
          <w:szCs w:val="20"/>
          <w:color w:val="auto"/>
        </w:rPr>
      </w:pPr>
      <w:r>
        <w:rPr>
          <w:rFonts w:ascii="Arial" w:cs="Arial" w:eastAsia="Arial" w:hAnsi="Arial"/>
          <w:sz w:val="14"/>
          <w:szCs w:val="14"/>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Additionally, at any time at or prior to the completion of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in such transactions. If our sponsor, directors, executive officers, advisors or their affiliates engage in such transactions, they will be restricted from making any such purchases when they are in possession of any</w:t>
      </w:r>
    </w:p>
    <w:p>
      <w:pPr>
        <w:spacing w:after="0" w:line="200" w:lineRule="exact"/>
        <w:rPr>
          <w:sz w:val="20"/>
          <w:szCs w:val="20"/>
          <w:color w:val="auto"/>
        </w:rPr>
      </w:pPr>
    </w:p>
    <w:p>
      <w:pPr>
        <w:sectPr>
          <w:pgSz w:w="11900" w:h="16838" w:orient="portrait"/>
          <w:cols w:equalWidth="0" w:num="2">
            <w:col w:w="4220" w:space="300"/>
            <w:col w:w="4499"/>
          </w:cols>
          <w:pgMar w:left="1440" w:top="248"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20" w:name="page21"/>
    <w:bookmarkEnd w:id="2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701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1735" cy="570103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left="800"/>
        <w:spacing w:after="0" w:line="293" w:lineRule="auto"/>
        <w:rPr>
          <w:sz w:val="20"/>
          <w:szCs w:val="20"/>
          <w:color w:val="auto"/>
        </w:rPr>
      </w:pPr>
      <w:r>
        <w:rPr>
          <w:rFonts w:ascii="Arial" w:cs="Arial" w:eastAsia="Arial" w:hAnsi="Arial"/>
          <w:sz w:val="14"/>
          <w:szCs w:val="14"/>
          <w:b w:val="1"/>
          <w:bCs w:val="1"/>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819"/>
        <w:spacing w:after="0" w:line="227" w:lineRule="auto"/>
        <w:rPr>
          <w:sz w:val="20"/>
          <w:szCs w:val="20"/>
          <w:color w:val="auto"/>
        </w:rPr>
      </w:pPr>
      <w:r>
        <w:rPr>
          <w:rFonts w:ascii="Arial" w:cs="Arial" w:eastAsia="Arial" w:hAnsi="Arial"/>
          <w:sz w:val="15"/>
          <w:szCs w:val="15"/>
          <w:color w:val="auto"/>
        </w:rPr>
        <w:t>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88" w:lineRule="exact"/>
        <w:rPr>
          <w:sz w:val="20"/>
          <w:szCs w:val="20"/>
          <w:color w:val="auto"/>
        </w:rPr>
      </w:pPr>
    </w:p>
    <w:p>
      <w:pPr>
        <w:ind w:right="779"/>
        <w:spacing w:after="0" w:line="227" w:lineRule="auto"/>
        <w:rPr>
          <w:sz w:val="20"/>
          <w:szCs w:val="20"/>
          <w:color w:val="auto"/>
        </w:rPr>
      </w:pPr>
      <w:r>
        <w:rPr>
          <w:rFonts w:ascii="Arial" w:cs="Arial" w:eastAsia="Arial" w:hAnsi="Arial"/>
          <w:sz w:val="15"/>
          <w:szCs w:val="15"/>
          <w:color w:val="auto"/>
        </w:rPr>
        <w:t>The purpose of any such transaction could be to (1) vote in favor of the business combination and thereby increase the likelihood of obtaining shareholder approval of the business combination or (2)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w:t>
      </w:r>
    </w:p>
    <w:p>
      <w:pPr>
        <w:spacing w:after="0" w:line="228" w:lineRule="exact"/>
        <w:rPr>
          <w:sz w:val="20"/>
          <w:szCs w:val="20"/>
          <w:color w:val="auto"/>
        </w:rPr>
      </w:pPr>
    </w:p>
    <w:p>
      <w:pPr>
        <w:ind w:right="839"/>
        <w:spacing w:after="0" w:line="244" w:lineRule="auto"/>
        <w:rPr>
          <w:sz w:val="20"/>
          <w:szCs w:val="20"/>
          <w:color w:val="auto"/>
        </w:rPr>
      </w:pPr>
      <w:r>
        <w:rPr>
          <w:rFonts w:ascii="Arial" w:cs="Arial" w:eastAsia="Arial" w:hAnsi="Arial"/>
          <w:sz w:val="14"/>
          <w:szCs w:val="14"/>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w:t>
      </w:r>
    </w:p>
    <w:p>
      <w:pPr>
        <w:spacing w:after="0" w:line="200" w:lineRule="exact"/>
        <w:rPr>
          <w:sz w:val="20"/>
          <w:szCs w:val="20"/>
          <w:color w:val="auto"/>
        </w:rPr>
      </w:pPr>
    </w:p>
    <w:p>
      <w:pPr>
        <w:sectPr>
          <w:pgSz w:w="11900" w:h="16838" w:orient="portrait"/>
          <w:cols w:equalWidth="0" w:num="2">
            <w:col w:w="4220" w:space="300"/>
            <w:col w:w="4499"/>
          </w:cols>
          <w:pgMar w:left="1440" w:top="248" w:right="1440" w:bottom="1440"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21" w:name="page22"/>
    <w:bookmarkEnd w:id="21"/>
    <w:p>
      <w:pPr>
        <w:ind w:left="84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64"/>
        </w:trPr>
        <w:tc>
          <w:tcPr>
            <w:tcW w:w="860" w:type="dxa"/>
            <w:vAlign w:val="bottom"/>
            <w:tcBorders>
              <w:righ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5"/>
                <w:szCs w:val="15"/>
                <w:color w:val="auto"/>
              </w:rPr>
              <w:t>The per share amount we will distribute to investors who</w:t>
            </w:r>
          </w:p>
        </w:tc>
        <w:tc>
          <w:tcPr>
            <w:tcW w:w="800" w:type="dxa"/>
            <w:vAlign w:val="bottom"/>
          </w:tcPr>
          <w:p>
            <w:pPr>
              <w:spacing w:after="0"/>
              <w:rPr>
                <w:sz w:val="24"/>
                <w:szCs w:val="2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properly redeem their shares will not be reduced by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deferred underwriting commissions we will pay to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underwriter. The redemption rights may include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requirement that a beneficial holder must identify itself in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order to validly redeem its shares. There will be no</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redemption rights upon the completion of our initial</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business combination with respect to our private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placement shares. Further, we will not proceed with</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redeeming our public shares, even if a public</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shareholder has properly elected to redeem its shares, if</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a business combination does not close. Our sponsor and</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each member of our management team have entered</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into an agreement with us, pursuant to which they have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agreed to waive their redemption rights with respect to</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their founder shares, private placement shares and any</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public shares purchased during or after this offering in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connection with (i) the completion of our initial business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combination and (ii) a shareholder vote to approve an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amendment to our amended and restated memorandum</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and articles of association (A) that would modify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substance or timing of our obligation to provide holders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of our Class A ordinary shares the right to have their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shares redeemed in connection with our initial business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combination or to redeem 100% of our public shares if</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we do not complete our initial business combination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within 24 months from the closing of this offering or (B)</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with respect to any other provision relating to the rights</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ind w:left="940"/>
              <w:spacing w:after="0"/>
              <w:rPr>
                <w:sz w:val="20"/>
                <w:szCs w:val="20"/>
                <w:color w:val="auto"/>
              </w:rPr>
            </w:pPr>
            <w:r>
              <w:rPr>
                <w:rFonts w:ascii="Arial" w:cs="Arial" w:eastAsia="Arial" w:hAnsi="Arial"/>
                <w:sz w:val="15"/>
                <w:szCs w:val="15"/>
                <w:color w:val="auto"/>
              </w:rPr>
              <w:t>of holders of our Class A ordinary shares.</w:t>
            </w:r>
          </w:p>
        </w:tc>
        <w:tc>
          <w:tcPr>
            <w:tcW w:w="800" w:type="dxa"/>
            <w:vAlign w:val="bottom"/>
          </w:tcPr>
          <w:p>
            <w:pPr>
              <w:spacing w:after="0"/>
              <w:rPr>
                <w:sz w:val="15"/>
                <w:szCs w:val="15"/>
                <w:color w:val="auto"/>
              </w:rPr>
            </w:pPr>
          </w:p>
        </w:tc>
      </w:tr>
      <w:tr>
        <w:trPr>
          <w:trHeight w:val="253"/>
        </w:trPr>
        <w:tc>
          <w:tcPr>
            <w:tcW w:w="860" w:type="dxa"/>
            <w:vAlign w:val="bottom"/>
            <w:tcBorders>
              <w:right w:val="single" w:sz="8" w:color="auto"/>
            </w:tcBorders>
          </w:tcPr>
          <w:p>
            <w:pPr>
              <w:spacing w:after="0"/>
              <w:rPr>
                <w:sz w:val="22"/>
                <w:szCs w:val="22"/>
                <w:color w:val="auto"/>
              </w:rPr>
            </w:pPr>
          </w:p>
        </w:tc>
        <w:tc>
          <w:tcPr>
            <w:tcW w:w="2960" w:type="dxa"/>
            <w:vAlign w:val="bottom"/>
          </w:tcPr>
          <w:p>
            <w:pPr>
              <w:ind w:left="180"/>
              <w:spacing w:after="0"/>
              <w:rPr>
                <w:sz w:val="20"/>
                <w:szCs w:val="20"/>
                <w:color w:val="auto"/>
              </w:rPr>
            </w:pPr>
            <w:r>
              <w:rPr>
                <w:rFonts w:ascii="Arial" w:cs="Arial" w:eastAsia="Arial" w:hAnsi="Arial"/>
                <w:sz w:val="15"/>
                <w:szCs w:val="15"/>
                <w:b w:val="1"/>
                <w:bCs w:val="1"/>
                <w:color w:val="auto"/>
              </w:rPr>
              <w:t>Limitations on redemptions</w:t>
            </w:r>
          </w:p>
        </w:tc>
        <w:tc>
          <w:tcPr>
            <w:tcW w:w="4880" w:type="dxa"/>
            <w:vAlign w:val="bottom"/>
            <w:tcBorders>
              <w:right w:val="single" w:sz="8" w:color="auto"/>
            </w:tcBorders>
          </w:tcPr>
          <w:p>
            <w:pPr>
              <w:ind w:left="940"/>
              <w:spacing w:after="0"/>
              <w:rPr>
                <w:sz w:val="20"/>
                <w:szCs w:val="20"/>
                <w:color w:val="auto"/>
              </w:rPr>
            </w:pPr>
            <w:r>
              <w:rPr>
                <w:rFonts w:ascii="Arial" w:cs="Arial" w:eastAsia="Arial" w:hAnsi="Arial"/>
                <w:sz w:val="15"/>
                <w:szCs w:val="15"/>
                <w:color w:val="auto"/>
              </w:rPr>
              <w:t>Our amended and restated memorandum and articles of</w:t>
            </w:r>
          </w:p>
        </w:tc>
        <w:tc>
          <w:tcPr>
            <w:tcW w:w="800" w:type="dxa"/>
            <w:vAlign w:val="bottom"/>
          </w:tcPr>
          <w:p>
            <w:pPr>
              <w:spacing w:after="0"/>
              <w:rPr>
                <w:sz w:val="22"/>
                <w:szCs w:val="22"/>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association will provide that in no event will we redeem</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our public shares in an amount that would cause our net</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tangible assets to be less than $5,000,001 (so that we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do not then become subject to the SEC’s “penny stock”</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rules). However, a greater net tangible asset or cash</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requirement may be contained in the agreement relating</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to our initial business combination. For example,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proposed business combination may require: (i) cash</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consideration to be paid to the target or its owners,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(ii) cash to be transferred to the target for working capital</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or other general corporate purposes or (iii) the retention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of cash to satisfy other conditions in accordance with the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terms of the proposed business combination.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Furthermore, although we will not redeem shares in an</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amount that would cause our net tangible assets to fall</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below $5,000,001, we do not have a maximum</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redemption threshold based on the percentage of shares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sold in this offering, as many blank check companies do.</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In the event the aggregate cash consideration we would</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ind w:left="940"/>
              <w:spacing w:after="0" w:line="163" w:lineRule="exact"/>
              <w:rPr>
                <w:sz w:val="20"/>
                <w:szCs w:val="20"/>
                <w:color w:val="auto"/>
              </w:rPr>
            </w:pPr>
            <w:r>
              <w:rPr>
                <w:rFonts w:ascii="Arial" w:cs="Arial" w:eastAsia="Arial" w:hAnsi="Arial"/>
                <w:sz w:val="15"/>
                <w:szCs w:val="15"/>
                <w:color w:val="auto"/>
              </w:rPr>
              <w:t>be required to pay for all Class A ordinary shares that</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ind w:left="940"/>
              <w:spacing w:after="0"/>
              <w:rPr>
                <w:sz w:val="20"/>
                <w:szCs w:val="20"/>
                <w:color w:val="auto"/>
              </w:rPr>
            </w:pPr>
            <w:r>
              <w:rPr>
                <w:rFonts w:ascii="Arial" w:cs="Arial" w:eastAsia="Arial" w:hAnsi="Arial"/>
                <w:sz w:val="15"/>
                <w:szCs w:val="15"/>
                <w:color w:val="auto"/>
              </w:rPr>
              <w:t>are validly submitted for redemption plus any amount</w:t>
            </w:r>
          </w:p>
        </w:tc>
        <w:tc>
          <w:tcPr>
            <w:tcW w:w="800" w:type="dxa"/>
            <w:vAlign w:val="bottom"/>
          </w:tcPr>
          <w:p>
            <w:pPr>
              <w:spacing w:after="0"/>
              <w:rPr>
                <w:sz w:val="15"/>
                <w:szCs w:val="15"/>
                <w:color w:val="auto"/>
              </w:rPr>
            </w:pPr>
          </w:p>
        </w:tc>
      </w:tr>
      <w:tr>
        <w:trPr>
          <w:trHeight w:val="184"/>
        </w:trPr>
        <w:tc>
          <w:tcPr>
            <w:tcW w:w="860" w:type="dxa"/>
            <w:vAlign w:val="bottom"/>
            <w:tcBorders>
              <w:right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4880" w:type="dxa"/>
            <w:vAlign w:val="bottom"/>
            <w:tcBorders>
              <w:bottom w:val="single" w:sz="8" w:color="auto"/>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r>
      <w:tr>
        <w:trPr>
          <w:trHeight w:val="352"/>
        </w:trPr>
        <w:tc>
          <w:tcPr>
            <w:tcW w:w="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Pr>
          <w:p>
            <w:pPr>
              <w:ind w:left="840"/>
              <w:spacing w:after="0"/>
              <w:rPr>
                <w:sz w:val="20"/>
                <w:szCs w:val="20"/>
                <w:color w:val="auto"/>
              </w:rPr>
            </w:pPr>
            <w:r>
              <w:rPr>
                <w:rFonts w:ascii="Arial" w:cs="Arial" w:eastAsia="Arial" w:hAnsi="Arial"/>
                <w:sz w:val="14"/>
                <w:szCs w:val="14"/>
                <w:color w:val="auto"/>
              </w:rPr>
              <w:t>19</w:t>
            </w:r>
          </w:p>
        </w:tc>
        <w:tc>
          <w:tcPr>
            <w:tcW w:w="800" w:type="dxa"/>
            <w:vAlign w:val="bottom"/>
          </w:tcPr>
          <w:p>
            <w:pPr>
              <w:spacing w:after="0"/>
              <w:rPr>
                <w:sz w:val="24"/>
                <w:szCs w:val="24"/>
                <w:color w:val="auto"/>
              </w:rPr>
            </w:pPr>
          </w:p>
        </w:tc>
      </w:tr>
      <w:tr>
        <w:trPr>
          <w:trHeight w:val="147"/>
        </w:trPr>
        <w:tc>
          <w:tcPr>
            <w:tcW w:w="86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4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bl>
    <w:p>
      <w:pPr>
        <w:sectPr>
          <w:pgSz w:w="11900" w:h="16838" w:orient="portrait"/>
          <w:cols w:equalWidth="0" w:num="1">
            <w:col w:w="9500"/>
          </w:cols>
          <w:pgMar w:left="1200" w:top="248" w:right="1199" w:bottom="1440" w:gutter="0" w:footer="0" w:header="0"/>
        </w:sectPr>
      </w:pPr>
    </w:p>
    <w:bookmarkStart w:id="22" w:name="page23"/>
    <w:bookmarkEnd w:id="2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804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1735" cy="5804535"/>
                    </a:xfrm>
                    <a:prstGeom prst="rect">
                      <a:avLst/>
                    </a:prstGeom>
                    <a:noFill/>
                  </pic:spPr>
                </pic:pic>
              </a:graphicData>
            </a:graphic>
          </wp:anchor>
        </w:drawing>
      </w:r>
    </w:p>
    <w:p>
      <w:pPr>
        <w:spacing w:after="0" w:line="394"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w w:val="99"/>
              </w:rPr>
              <w:t>required to satisfy cash conditions pursuant to the terms</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of the proposed business combination exceed the</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aggregate amount of cash available to us, we will not</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complete the business combination or redeem any</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shares, and all Class A ordinary shares submitted for</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redemption will be returned to the holders thereof, and</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we instead may search for an alternate business</w:t>
            </w:r>
          </w:p>
        </w:tc>
      </w:tr>
      <w:tr>
        <w:trPr>
          <w:trHeight w:val="177"/>
        </w:trPr>
        <w:tc>
          <w:tcPr>
            <w:tcW w:w="3080" w:type="dxa"/>
            <w:vAlign w:val="bottom"/>
          </w:tcPr>
          <w:p>
            <w:pPr>
              <w:spacing w:after="0"/>
              <w:rPr>
                <w:sz w:val="15"/>
                <w:szCs w:val="15"/>
                <w:color w:val="auto"/>
              </w:rPr>
            </w:pP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rPr>
              <w:t>combination.</w:t>
            </w:r>
          </w:p>
        </w:tc>
      </w:tr>
      <w:tr>
        <w:trPr>
          <w:trHeight w:val="253"/>
        </w:trPr>
        <w:tc>
          <w:tcPr>
            <w:tcW w:w="3080" w:type="dxa"/>
            <w:vAlign w:val="bottom"/>
          </w:tcPr>
          <w:p>
            <w:pPr>
              <w:spacing w:after="0"/>
              <w:rPr>
                <w:sz w:val="20"/>
                <w:szCs w:val="20"/>
                <w:color w:val="auto"/>
              </w:rPr>
            </w:pPr>
            <w:r>
              <w:rPr>
                <w:rFonts w:ascii="Arial" w:cs="Arial" w:eastAsia="Arial" w:hAnsi="Arial"/>
                <w:sz w:val="15"/>
                <w:szCs w:val="15"/>
                <w:b w:val="1"/>
                <w:bCs w:val="1"/>
                <w:color w:val="auto"/>
              </w:rPr>
              <w:t>Manner of conducting redemptions</w:t>
            </w: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rPr>
              <w:t>We will provide our public shareholders with the</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opportunity to redeem all or a portion of their public</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shares upon the completion of our initial business</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combination either (i) in connection with a shareholder</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meeting called to approve the business combination or</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(ii) by means of a tender offer. The decision as to</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w w:val="97"/>
              </w:rPr>
              <w:t>whether we will seek shareholder approval of a proposed</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business combination or conduct a tender offer will be</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made by us, solely in our discretion, and will be based</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on a variety of factors such as the timing of the</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transaction and whether the terms of the transaction</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would require us to seek shareholder approval under</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applicable law or stock exchange listing requirement.</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Asset acquisitions and share purchases would not</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typically require shareholder approval, while direct</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w w:val="99"/>
              </w:rPr>
              <w:t>mergers with our company where we do not survive and</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any transactions where we issue more than 20% of our</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outstanding ordinary shares (excluding the private</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placement shares) or seek to amend our amended and</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w w:val="99"/>
              </w:rPr>
              <w:t>restated memorandum and articles of association would</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typically require shareholder approval. We currently</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intend to conduct redemptions in connection with a</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shareholder vote unless shareholder approval is not</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required by applicable law or stock exchange rule or we</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choose to conduct redemptions pursuant to the tender</w:t>
            </w:r>
          </w:p>
        </w:tc>
      </w:tr>
      <w:tr>
        <w:trPr>
          <w:trHeight w:val="177"/>
        </w:trPr>
        <w:tc>
          <w:tcPr>
            <w:tcW w:w="3080" w:type="dxa"/>
            <w:vAlign w:val="bottom"/>
          </w:tcPr>
          <w:p>
            <w:pPr>
              <w:spacing w:after="0"/>
              <w:rPr>
                <w:sz w:val="15"/>
                <w:szCs w:val="15"/>
                <w:color w:val="auto"/>
              </w:rPr>
            </w:pP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rPr>
              <w:t>offer rules of the SEC for business or other reasons.</w:t>
            </w:r>
          </w:p>
        </w:tc>
      </w:tr>
      <w:tr>
        <w:trPr>
          <w:trHeight w:val="242"/>
        </w:trPr>
        <w:tc>
          <w:tcPr>
            <w:tcW w:w="3080" w:type="dxa"/>
            <w:vAlign w:val="bottom"/>
          </w:tcPr>
          <w:p>
            <w:pPr>
              <w:spacing w:after="0"/>
              <w:rPr>
                <w:sz w:val="21"/>
                <w:szCs w:val="21"/>
                <w:color w:val="auto"/>
              </w:rPr>
            </w:pP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rPr>
              <w:t>If we hold a shareholder vote to approve our initial</w:t>
            </w:r>
          </w:p>
        </w:tc>
      </w:tr>
      <w:tr>
        <w:trPr>
          <w:trHeight w:val="177"/>
        </w:trPr>
        <w:tc>
          <w:tcPr>
            <w:tcW w:w="3080" w:type="dxa"/>
            <w:vAlign w:val="bottom"/>
          </w:tcPr>
          <w:p>
            <w:pPr>
              <w:spacing w:after="0"/>
              <w:rPr>
                <w:sz w:val="15"/>
                <w:szCs w:val="15"/>
                <w:color w:val="auto"/>
              </w:rPr>
            </w:pP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rPr>
              <w:t>business combination, we will:</w:t>
            </w:r>
          </w:p>
        </w:tc>
      </w:tr>
      <w:tr>
        <w:trPr>
          <w:trHeight w:val="242"/>
        </w:trPr>
        <w:tc>
          <w:tcPr>
            <w:tcW w:w="3080" w:type="dxa"/>
            <w:vAlign w:val="bottom"/>
          </w:tcPr>
          <w:p>
            <w:pPr>
              <w:spacing w:after="0"/>
              <w:rPr>
                <w:sz w:val="21"/>
                <w:szCs w:val="21"/>
                <w:color w:val="auto"/>
              </w:rPr>
            </w:pPr>
          </w:p>
        </w:tc>
        <w:tc>
          <w:tcPr>
            <w:tcW w:w="820" w:type="dxa"/>
            <w:vAlign w:val="bottom"/>
          </w:tcPr>
          <w:p>
            <w:pPr>
              <w:ind w:left="640"/>
              <w:spacing w:after="0"/>
              <w:rPr>
                <w:sz w:val="20"/>
                <w:szCs w:val="20"/>
                <w:color w:val="auto"/>
              </w:rPr>
            </w:pPr>
            <w:r>
              <w:rPr>
                <w:rFonts w:ascii="Arial" w:cs="Arial" w:eastAsia="Arial" w:hAnsi="Arial"/>
                <w:sz w:val="15"/>
                <w:szCs w:val="15"/>
                <w:color w:val="auto"/>
              </w:rPr>
              <w:t>•</w:t>
            </w:r>
          </w:p>
        </w:tc>
        <w:tc>
          <w:tcPr>
            <w:tcW w:w="3540" w:type="dxa"/>
            <w:vAlign w:val="bottom"/>
          </w:tcPr>
          <w:p>
            <w:pPr>
              <w:ind w:left="120"/>
              <w:spacing w:after="0"/>
              <w:rPr>
                <w:sz w:val="20"/>
                <w:szCs w:val="20"/>
                <w:color w:val="auto"/>
              </w:rPr>
            </w:pPr>
            <w:r>
              <w:rPr>
                <w:rFonts w:ascii="Arial" w:cs="Arial" w:eastAsia="Arial" w:hAnsi="Arial"/>
                <w:sz w:val="15"/>
                <w:szCs w:val="15"/>
                <w:color w:val="auto"/>
                <w:w w:val="98"/>
              </w:rPr>
              <w:t>conduct the redemptions in conjunction with a proxy</w:t>
            </w:r>
          </w:p>
        </w:tc>
      </w:tr>
      <w:tr>
        <w:trPr>
          <w:trHeight w:val="163"/>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40" w:type="dxa"/>
            <w:vAlign w:val="bottom"/>
          </w:tcPr>
          <w:p>
            <w:pPr>
              <w:ind w:left="120"/>
              <w:spacing w:after="0" w:line="163" w:lineRule="exact"/>
              <w:rPr>
                <w:sz w:val="20"/>
                <w:szCs w:val="20"/>
                <w:color w:val="auto"/>
              </w:rPr>
            </w:pPr>
            <w:r>
              <w:rPr>
                <w:rFonts w:ascii="Arial" w:cs="Arial" w:eastAsia="Arial" w:hAnsi="Arial"/>
                <w:sz w:val="15"/>
                <w:szCs w:val="15"/>
                <w:color w:val="auto"/>
              </w:rPr>
              <w:t>solicitation pursuant to Regulation 14A of the</w:t>
            </w:r>
          </w:p>
        </w:tc>
      </w:tr>
      <w:tr>
        <w:trPr>
          <w:trHeight w:val="163"/>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40" w:type="dxa"/>
            <w:vAlign w:val="bottom"/>
          </w:tcPr>
          <w:p>
            <w:pPr>
              <w:ind w:left="120"/>
              <w:spacing w:after="0" w:line="163" w:lineRule="exact"/>
              <w:rPr>
                <w:sz w:val="20"/>
                <w:szCs w:val="20"/>
                <w:color w:val="auto"/>
              </w:rPr>
            </w:pPr>
            <w:r>
              <w:rPr>
                <w:rFonts w:ascii="Arial" w:cs="Arial" w:eastAsia="Arial" w:hAnsi="Arial"/>
                <w:sz w:val="15"/>
                <w:szCs w:val="15"/>
                <w:color w:val="auto"/>
              </w:rPr>
              <w:t>Exchange Act, which regulates the solicitation of</w:t>
            </w:r>
          </w:p>
        </w:tc>
      </w:tr>
      <w:tr>
        <w:trPr>
          <w:trHeight w:val="163"/>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40" w:type="dxa"/>
            <w:vAlign w:val="bottom"/>
          </w:tcPr>
          <w:p>
            <w:pPr>
              <w:ind w:left="120"/>
              <w:spacing w:after="0" w:line="163" w:lineRule="exact"/>
              <w:rPr>
                <w:sz w:val="20"/>
                <w:szCs w:val="20"/>
                <w:color w:val="auto"/>
              </w:rPr>
            </w:pPr>
            <w:r>
              <w:rPr>
                <w:rFonts w:ascii="Arial" w:cs="Arial" w:eastAsia="Arial" w:hAnsi="Arial"/>
                <w:sz w:val="15"/>
                <w:szCs w:val="15"/>
                <w:color w:val="auto"/>
              </w:rPr>
              <w:t>proxies, and not pursuant to the tender offer rules;</w:t>
            </w:r>
          </w:p>
        </w:tc>
      </w:tr>
      <w:tr>
        <w:trPr>
          <w:trHeight w:val="177"/>
        </w:trPr>
        <w:tc>
          <w:tcPr>
            <w:tcW w:w="3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540" w:type="dxa"/>
            <w:vAlign w:val="bottom"/>
          </w:tcPr>
          <w:p>
            <w:pPr>
              <w:ind w:left="120"/>
              <w:spacing w:after="0"/>
              <w:rPr>
                <w:sz w:val="20"/>
                <w:szCs w:val="20"/>
                <w:color w:val="auto"/>
              </w:rPr>
            </w:pPr>
            <w:r>
              <w:rPr>
                <w:rFonts w:ascii="Arial" w:cs="Arial" w:eastAsia="Arial" w:hAnsi="Arial"/>
                <w:sz w:val="15"/>
                <w:szCs w:val="15"/>
                <w:color w:val="auto"/>
              </w:rPr>
              <w:t>and</w:t>
            </w:r>
          </w:p>
        </w:tc>
      </w:tr>
      <w:tr>
        <w:trPr>
          <w:trHeight w:val="256"/>
        </w:trPr>
        <w:tc>
          <w:tcPr>
            <w:tcW w:w="3080" w:type="dxa"/>
            <w:vAlign w:val="bottom"/>
          </w:tcPr>
          <w:p>
            <w:pPr>
              <w:spacing w:after="0"/>
              <w:rPr>
                <w:sz w:val="22"/>
                <w:szCs w:val="22"/>
                <w:color w:val="auto"/>
              </w:rPr>
            </w:pPr>
          </w:p>
        </w:tc>
        <w:tc>
          <w:tcPr>
            <w:tcW w:w="820" w:type="dxa"/>
            <w:vAlign w:val="bottom"/>
          </w:tcPr>
          <w:p>
            <w:pPr>
              <w:ind w:left="640"/>
              <w:spacing w:after="0"/>
              <w:rPr>
                <w:sz w:val="20"/>
                <w:szCs w:val="20"/>
                <w:color w:val="auto"/>
              </w:rPr>
            </w:pPr>
            <w:r>
              <w:rPr>
                <w:rFonts w:ascii="Arial" w:cs="Arial" w:eastAsia="Arial" w:hAnsi="Arial"/>
                <w:sz w:val="15"/>
                <w:szCs w:val="15"/>
                <w:color w:val="auto"/>
              </w:rPr>
              <w:t>•</w:t>
            </w:r>
          </w:p>
        </w:tc>
        <w:tc>
          <w:tcPr>
            <w:tcW w:w="3540" w:type="dxa"/>
            <w:vAlign w:val="bottom"/>
          </w:tcPr>
          <w:p>
            <w:pPr>
              <w:ind w:left="120"/>
              <w:spacing w:after="0"/>
              <w:rPr>
                <w:sz w:val="20"/>
                <w:szCs w:val="20"/>
                <w:color w:val="auto"/>
              </w:rPr>
            </w:pPr>
            <w:r>
              <w:rPr>
                <w:rFonts w:ascii="Arial" w:cs="Arial" w:eastAsia="Arial" w:hAnsi="Arial"/>
                <w:sz w:val="15"/>
                <w:szCs w:val="15"/>
                <w:color w:val="auto"/>
              </w:rPr>
              <w:t>file proxy materials with the SEC.</w:t>
            </w:r>
          </w:p>
        </w:tc>
      </w:tr>
      <w:tr>
        <w:trPr>
          <w:trHeight w:val="242"/>
        </w:trPr>
        <w:tc>
          <w:tcPr>
            <w:tcW w:w="3080" w:type="dxa"/>
            <w:vAlign w:val="bottom"/>
          </w:tcPr>
          <w:p>
            <w:pPr>
              <w:spacing w:after="0"/>
              <w:rPr>
                <w:sz w:val="21"/>
                <w:szCs w:val="21"/>
                <w:color w:val="auto"/>
              </w:rPr>
            </w:pPr>
          </w:p>
        </w:tc>
        <w:tc>
          <w:tcPr>
            <w:tcW w:w="4360" w:type="dxa"/>
            <w:vAlign w:val="bottom"/>
            <w:gridSpan w:val="2"/>
          </w:tcPr>
          <w:p>
            <w:pPr>
              <w:ind w:left="640"/>
              <w:spacing w:after="0"/>
              <w:rPr>
                <w:sz w:val="20"/>
                <w:szCs w:val="20"/>
                <w:color w:val="auto"/>
              </w:rPr>
            </w:pPr>
            <w:r>
              <w:rPr>
                <w:rFonts w:ascii="Arial" w:cs="Arial" w:eastAsia="Arial" w:hAnsi="Arial"/>
                <w:sz w:val="15"/>
                <w:szCs w:val="15"/>
                <w:color w:val="auto"/>
              </w:rPr>
              <w:t>If we seek shareholder approval, we will complete our</w:t>
            </w:r>
          </w:p>
        </w:tc>
      </w:tr>
      <w:tr>
        <w:trPr>
          <w:trHeight w:val="163"/>
        </w:trPr>
        <w:tc>
          <w:tcPr>
            <w:tcW w:w="3080" w:type="dxa"/>
            <w:vAlign w:val="bottom"/>
          </w:tcPr>
          <w:p>
            <w:pPr>
              <w:spacing w:after="0"/>
              <w:rPr>
                <w:sz w:val="14"/>
                <w:szCs w:val="14"/>
                <w:color w:val="auto"/>
              </w:rPr>
            </w:pPr>
          </w:p>
        </w:tc>
        <w:tc>
          <w:tcPr>
            <w:tcW w:w="4360" w:type="dxa"/>
            <w:vAlign w:val="bottom"/>
            <w:gridSpan w:val="2"/>
          </w:tcPr>
          <w:p>
            <w:pPr>
              <w:ind w:left="640"/>
              <w:spacing w:after="0" w:line="163" w:lineRule="exact"/>
              <w:rPr>
                <w:sz w:val="20"/>
                <w:szCs w:val="20"/>
                <w:color w:val="auto"/>
              </w:rPr>
            </w:pPr>
            <w:r>
              <w:rPr>
                <w:rFonts w:ascii="Arial" w:cs="Arial" w:eastAsia="Arial" w:hAnsi="Arial"/>
                <w:sz w:val="15"/>
                <w:szCs w:val="15"/>
                <w:color w:val="auto"/>
              </w:rPr>
              <w:t>initial business combination only if a majority of the</w:t>
            </w:r>
          </w:p>
        </w:tc>
      </w:tr>
    </w:tbl>
    <w:p>
      <w:pPr>
        <w:ind w:left="4520"/>
        <w:spacing w:after="0" w:line="226" w:lineRule="auto"/>
        <w:rPr>
          <w:sz w:val="20"/>
          <w:szCs w:val="20"/>
          <w:color w:val="auto"/>
        </w:rPr>
      </w:pPr>
      <w:r>
        <w:rPr>
          <w:rFonts w:ascii="Arial" w:cs="Arial" w:eastAsia="Arial" w:hAnsi="Arial"/>
          <w:sz w:val="15"/>
          <w:szCs w:val="15"/>
          <w:color w:val="auto"/>
        </w:rPr>
        <w:t>ordinary shares, represented in person or by proxy and</w:t>
      </w:r>
    </w:p>
    <w:p>
      <w:pPr>
        <w:ind w:left="4520"/>
        <w:spacing w:after="0" w:line="227" w:lineRule="auto"/>
        <w:rPr>
          <w:sz w:val="20"/>
          <w:szCs w:val="20"/>
          <w:color w:val="auto"/>
        </w:rPr>
      </w:pPr>
      <w:r>
        <w:rPr>
          <w:rFonts w:ascii="Arial" w:cs="Arial" w:eastAsia="Arial" w:hAnsi="Arial"/>
          <w:sz w:val="15"/>
          <w:szCs w:val="15"/>
          <w:color w:val="auto"/>
        </w:rPr>
        <w:t>entitled to vote thereon, voted at a shareholder meeting</w:t>
      </w:r>
    </w:p>
    <w:p>
      <w:pPr>
        <w:ind w:left="4520"/>
        <w:spacing w:after="0" w:line="226" w:lineRule="auto"/>
        <w:rPr>
          <w:sz w:val="20"/>
          <w:szCs w:val="20"/>
          <w:color w:val="auto"/>
        </w:rPr>
      </w:pPr>
      <w:r>
        <w:rPr>
          <w:rFonts w:ascii="Arial" w:cs="Arial" w:eastAsia="Arial" w:hAnsi="Arial"/>
          <w:sz w:val="15"/>
          <w:szCs w:val="15"/>
          <w:color w:val="auto"/>
        </w:rPr>
        <w:t>are voted in favor of the business combination. In such</w:t>
      </w:r>
    </w:p>
    <w:p>
      <w:pPr>
        <w:ind w:left="4520"/>
        <w:spacing w:after="0" w:line="227" w:lineRule="auto"/>
        <w:rPr>
          <w:sz w:val="20"/>
          <w:szCs w:val="20"/>
          <w:color w:val="auto"/>
        </w:rPr>
      </w:pPr>
      <w:r>
        <w:rPr>
          <w:rFonts w:ascii="Arial" w:cs="Arial" w:eastAsia="Arial" w:hAnsi="Arial"/>
          <w:sz w:val="15"/>
          <w:szCs w:val="15"/>
          <w:color w:val="auto"/>
        </w:rPr>
        <w:t>case, our sponsor and our management team have</w:t>
      </w:r>
    </w:p>
    <w:p>
      <w:pPr>
        <w:ind w:left="4520"/>
        <w:spacing w:after="0" w:line="227" w:lineRule="auto"/>
        <w:rPr>
          <w:sz w:val="20"/>
          <w:szCs w:val="20"/>
          <w:color w:val="auto"/>
        </w:rPr>
      </w:pPr>
      <w:r>
        <w:rPr>
          <w:rFonts w:ascii="Arial" w:cs="Arial" w:eastAsia="Arial" w:hAnsi="Arial"/>
          <w:sz w:val="15"/>
          <w:szCs w:val="15"/>
          <w:color w:val="auto"/>
        </w:rPr>
        <w:t>agreed to vote their founder shares, private placement</w:t>
      </w:r>
    </w:p>
    <w:p>
      <w:pPr>
        <w:ind w:left="4520"/>
        <w:spacing w:after="0"/>
        <w:rPr>
          <w:sz w:val="20"/>
          <w:szCs w:val="20"/>
          <w:color w:val="auto"/>
        </w:rPr>
      </w:pPr>
      <w:r>
        <w:rPr>
          <w:rFonts w:ascii="Arial" w:cs="Arial" w:eastAsia="Arial" w:hAnsi="Arial"/>
          <w:sz w:val="15"/>
          <w:szCs w:val="15"/>
          <w:color w:val="auto"/>
        </w:rPr>
        <w:t>shares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 w:name="page24"/>
    <w:bookmarkEnd w:id="2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52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1735" cy="5523865"/>
                    </a:xfrm>
                    <a:prstGeom prst="rect">
                      <a:avLst/>
                    </a:prstGeom>
                    <a:noFill/>
                  </pic:spPr>
                </pic:pic>
              </a:graphicData>
            </a:graphic>
          </wp:anchor>
        </w:drawing>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and any public shares purchased during or after this</w:t>
      </w:r>
    </w:p>
    <w:p>
      <w:pPr>
        <w:ind w:left="4520"/>
        <w:spacing w:after="0" w:line="226" w:lineRule="auto"/>
        <w:rPr>
          <w:sz w:val="20"/>
          <w:szCs w:val="20"/>
          <w:color w:val="auto"/>
        </w:rPr>
      </w:pPr>
      <w:r>
        <w:rPr>
          <w:rFonts w:ascii="Arial" w:cs="Arial" w:eastAsia="Arial" w:hAnsi="Arial"/>
          <w:sz w:val="15"/>
          <w:szCs w:val="15"/>
          <w:color w:val="auto"/>
        </w:rPr>
        <w:t>offering in favor of our initial business combination. As a</w:t>
      </w:r>
    </w:p>
    <w:p>
      <w:pPr>
        <w:ind w:left="4520"/>
        <w:spacing w:after="0" w:line="227" w:lineRule="auto"/>
        <w:rPr>
          <w:sz w:val="20"/>
          <w:szCs w:val="20"/>
          <w:color w:val="auto"/>
        </w:rPr>
      </w:pPr>
      <w:r>
        <w:rPr>
          <w:rFonts w:ascii="Arial" w:cs="Arial" w:eastAsia="Arial" w:hAnsi="Arial"/>
          <w:sz w:val="15"/>
          <w:szCs w:val="15"/>
          <w:color w:val="auto"/>
        </w:rPr>
        <w:t>result, in addition to our initial shareholders’ founder</w:t>
      </w:r>
    </w:p>
    <w:p>
      <w:pPr>
        <w:ind w:left="4520"/>
        <w:spacing w:after="0" w:line="226" w:lineRule="auto"/>
        <w:rPr>
          <w:sz w:val="20"/>
          <w:szCs w:val="20"/>
          <w:color w:val="auto"/>
        </w:rPr>
      </w:pPr>
      <w:r>
        <w:rPr>
          <w:rFonts w:ascii="Arial" w:cs="Arial" w:eastAsia="Arial" w:hAnsi="Arial"/>
          <w:sz w:val="15"/>
          <w:szCs w:val="15"/>
          <w:color w:val="auto"/>
        </w:rPr>
        <w:t>shares and private placement shares, we would need</w:t>
      </w:r>
    </w:p>
    <w:p>
      <w:pPr>
        <w:ind w:left="4520"/>
        <w:spacing w:after="0" w:line="227" w:lineRule="auto"/>
        <w:rPr>
          <w:sz w:val="20"/>
          <w:szCs w:val="20"/>
          <w:color w:val="auto"/>
        </w:rPr>
      </w:pPr>
      <w:r>
        <w:rPr>
          <w:rFonts w:ascii="Arial" w:cs="Arial" w:eastAsia="Arial" w:hAnsi="Arial"/>
          <w:sz w:val="15"/>
          <w:szCs w:val="15"/>
          <w:color w:val="auto"/>
        </w:rPr>
        <w:t>4,462,501, or 35.70%, of the 12,500,000 public shares</w:t>
      </w:r>
    </w:p>
    <w:p>
      <w:pPr>
        <w:ind w:left="4520"/>
        <w:spacing w:after="0" w:line="227" w:lineRule="auto"/>
        <w:rPr>
          <w:sz w:val="20"/>
          <w:szCs w:val="20"/>
          <w:color w:val="auto"/>
        </w:rPr>
      </w:pPr>
      <w:r>
        <w:rPr>
          <w:rFonts w:ascii="Arial" w:cs="Arial" w:eastAsia="Arial" w:hAnsi="Arial"/>
          <w:sz w:val="15"/>
          <w:szCs w:val="15"/>
          <w:color w:val="auto"/>
        </w:rPr>
        <w:t>sold in this offering to be voted in favor of an initial</w:t>
      </w:r>
    </w:p>
    <w:p>
      <w:pPr>
        <w:ind w:left="4520"/>
        <w:spacing w:after="0" w:line="226" w:lineRule="auto"/>
        <w:rPr>
          <w:sz w:val="20"/>
          <w:szCs w:val="20"/>
          <w:color w:val="auto"/>
        </w:rPr>
      </w:pPr>
      <w:r>
        <w:rPr>
          <w:rFonts w:ascii="Arial" w:cs="Arial" w:eastAsia="Arial" w:hAnsi="Arial"/>
          <w:sz w:val="15"/>
          <w:szCs w:val="15"/>
          <w:color w:val="auto"/>
        </w:rPr>
        <w:t>business combination in order to have our initial</w:t>
      </w:r>
    </w:p>
    <w:p>
      <w:pPr>
        <w:ind w:left="4520"/>
        <w:spacing w:after="0" w:line="227" w:lineRule="auto"/>
        <w:rPr>
          <w:sz w:val="20"/>
          <w:szCs w:val="20"/>
          <w:color w:val="auto"/>
        </w:rPr>
      </w:pPr>
      <w:r>
        <w:rPr>
          <w:rFonts w:ascii="Arial" w:cs="Arial" w:eastAsia="Arial" w:hAnsi="Arial"/>
          <w:sz w:val="15"/>
          <w:szCs w:val="15"/>
          <w:color w:val="auto"/>
        </w:rPr>
        <w:t>business combination approved (assuming all issued</w:t>
      </w:r>
    </w:p>
    <w:p>
      <w:pPr>
        <w:ind w:left="4520"/>
        <w:spacing w:after="0"/>
        <w:rPr>
          <w:sz w:val="20"/>
          <w:szCs w:val="20"/>
          <w:color w:val="auto"/>
        </w:rPr>
      </w:pPr>
      <w:r>
        <w:rPr>
          <w:rFonts w:ascii="Arial" w:cs="Arial" w:eastAsia="Arial" w:hAnsi="Arial"/>
          <w:sz w:val="14"/>
          <w:szCs w:val="14"/>
          <w:color w:val="auto"/>
        </w:rPr>
        <w:t>and outstanding shares are voted, the private placement</w:t>
      </w:r>
    </w:p>
    <w:p>
      <w:pPr>
        <w:ind w:left="4520"/>
        <w:spacing w:after="0" w:line="229" w:lineRule="auto"/>
        <w:rPr>
          <w:sz w:val="20"/>
          <w:szCs w:val="20"/>
          <w:color w:val="auto"/>
        </w:rPr>
      </w:pPr>
      <w:r>
        <w:rPr>
          <w:rFonts w:ascii="Arial" w:cs="Arial" w:eastAsia="Arial" w:hAnsi="Arial"/>
          <w:sz w:val="15"/>
          <w:szCs w:val="15"/>
          <w:color w:val="auto"/>
        </w:rPr>
        <w:t>shares to be issued to our sponsor are voted in favor of</w:t>
      </w:r>
    </w:p>
    <w:p>
      <w:pPr>
        <w:ind w:left="4520"/>
        <w:spacing w:after="0" w:line="226" w:lineRule="auto"/>
        <w:rPr>
          <w:sz w:val="20"/>
          <w:szCs w:val="20"/>
          <w:color w:val="auto"/>
        </w:rPr>
      </w:pPr>
      <w:r>
        <w:rPr>
          <w:rFonts w:ascii="Arial" w:cs="Arial" w:eastAsia="Arial" w:hAnsi="Arial"/>
          <w:sz w:val="15"/>
          <w:szCs w:val="15"/>
          <w:color w:val="auto"/>
        </w:rPr>
        <w:t>the transaction and the over-allotment option is not</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exercised). Each public shareholder may elect to redeem</w:t>
      </w:r>
    </w:p>
    <w:p>
      <w:pPr>
        <w:ind w:left="4520"/>
        <w:spacing w:after="0" w:line="229" w:lineRule="auto"/>
        <w:rPr>
          <w:sz w:val="20"/>
          <w:szCs w:val="20"/>
          <w:color w:val="auto"/>
        </w:rPr>
      </w:pPr>
      <w:r>
        <w:rPr>
          <w:rFonts w:ascii="Arial" w:cs="Arial" w:eastAsia="Arial" w:hAnsi="Arial"/>
          <w:sz w:val="15"/>
          <w:szCs w:val="15"/>
          <w:color w:val="auto"/>
        </w:rPr>
        <w:t>their public shares irrespective of whether they vote for</w:t>
      </w:r>
    </w:p>
    <w:p>
      <w:pPr>
        <w:ind w:left="4520"/>
        <w:spacing w:after="0" w:line="226" w:lineRule="auto"/>
        <w:rPr>
          <w:sz w:val="20"/>
          <w:szCs w:val="20"/>
          <w:color w:val="auto"/>
        </w:rPr>
      </w:pPr>
      <w:r>
        <w:rPr>
          <w:rFonts w:ascii="Arial" w:cs="Arial" w:eastAsia="Arial" w:hAnsi="Arial"/>
          <w:sz w:val="15"/>
          <w:szCs w:val="15"/>
          <w:color w:val="auto"/>
        </w:rPr>
        <w:t>or against the proposed transaction or vote at all. Our</w:t>
      </w:r>
    </w:p>
    <w:p>
      <w:pPr>
        <w:ind w:left="4520"/>
        <w:spacing w:after="0" w:line="227" w:lineRule="auto"/>
        <w:rPr>
          <w:sz w:val="20"/>
          <w:szCs w:val="20"/>
          <w:color w:val="auto"/>
        </w:rPr>
      </w:pPr>
      <w:r>
        <w:rPr>
          <w:rFonts w:ascii="Arial" w:cs="Arial" w:eastAsia="Arial" w:hAnsi="Arial"/>
          <w:sz w:val="15"/>
          <w:szCs w:val="15"/>
          <w:color w:val="auto"/>
        </w:rPr>
        <w:t>amended and restated memorandum and articles of</w:t>
      </w:r>
    </w:p>
    <w:p>
      <w:pPr>
        <w:ind w:left="4520"/>
        <w:spacing w:after="0" w:line="227" w:lineRule="auto"/>
        <w:rPr>
          <w:sz w:val="20"/>
          <w:szCs w:val="20"/>
          <w:color w:val="auto"/>
        </w:rPr>
      </w:pPr>
      <w:r>
        <w:rPr>
          <w:rFonts w:ascii="Arial" w:cs="Arial" w:eastAsia="Arial" w:hAnsi="Arial"/>
          <w:sz w:val="15"/>
          <w:szCs w:val="15"/>
          <w:color w:val="auto"/>
        </w:rPr>
        <w:t>association will require that at least five clear days’</w:t>
      </w:r>
    </w:p>
    <w:p>
      <w:pPr>
        <w:ind w:left="4520"/>
        <w:spacing w:after="0"/>
        <w:rPr>
          <w:sz w:val="20"/>
          <w:szCs w:val="20"/>
          <w:color w:val="auto"/>
        </w:rPr>
      </w:pPr>
      <w:r>
        <w:rPr>
          <w:rFonts w:ascii="Arial" w:cs="Arial" w:eastAsia="Arial" w:hAnsi="Arial"/>
          <w:sz w:val="15"/>
          <w:szCs w:val="15"/>
          <w:color w:val="auto"/>
        </w:rPr>
        <w:t>notice will be given of any such shareholder meeting.</w:t>
      </w:r>
    </w:p>
    <w:p>
      <w:pPr>
        <w:spacing w:after="0" w:line="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If we conduct redemptions pursuant to the tender offer</w:t>
      </w:r>
    </w:p>
    <w:p>
      <w:pPr>
        <w:ind w:left="4520"/>
        <w:spacing w:after="0" w:line="226" w:lineRule="auto"/>
        <w:rPr>
          <w:sz w:val="20"/>
          <w:szCs w:val="20"/>
          <w:color w:val="auto"/>
        </w:rPr>
      </w:pPr>
      <w:r>
        <w:rPr>
          <w:rFonts w:ascii="Arial" w:cs="Arial" w:eastAsia="Arial" w:hAnsi="Arial"/>
          <w:sz w:val="15"/>
          <w:szCs w:val="15"/>
          <w:color w:val="auto"/>
        </w:rPr>
        <w:t>rules of the SEC, we will, pursuant to our amended and</w:t>
      </w:r>
    </w:p>
    <w:p>
      <w:pPr>
        <w:ind w:left="4520"/>
        <w:spacing w:after="0"/>
        <w:rPr>
          <w:sz w:val="20"/>
          <w:szCs w:val="20"/>
          <w:color w:val="auto"/>
        </w:rPr>
      </w:pPr>
      <w:r>
        <w:rPr>
          <w:rFonts w:ascii="Arial" w:cs="Arial" w:eastAsia="Arial" w:hAnsi="Arial"/>
          <w:sz w:val="15"/>
          <w:szCs w:val="15"/>
          <w:color w:val="auto"/>
        </w:rPr>
        <w:t>restated memorandum and articles of association:</w:t>
      </w:r>
    </w:p>
    <w:p>
      <w:pPr>
        <w:spacing w:after="0" w:line="74" w:lineRule="exact"/>
        <w:rPr>
          <w:sz w:val="20"/>
          <w:szCs w:val="20"/>
          <w:color w:val="auto"/>
        </w:rPr>
      </w:pPr>
    </w:p>
    <w:p>
      <w:pPr>
        <w:ind w:left="4520"/>
        <w:spacing w:after="0"/>
        <w:tabs>
          <w:tab w:leader="none" w:pos="4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conduct the redemptions pursuant to Rule 13e-4</w:t>
      </w:r>
    </w:p>
    <w:p>
      <w:pPr>
        <w:ind w:left="4820"/>
        <w:spacing w:after="0" w:line="226" w:lineRule="auto"/>
        <w:rPr>
          <w:sz w:val="20"/>
          <w:szCs w:val="20"/>
          <w:color w:val="auto"/>
        </w:rPr>
      </w:pPr>
      <w:r>
        <w:rPr>
          <w:rFonts w:ascii="Arial" w:cs="Arial" w:eastAsia="Arial" w:hAnsi="Arial"/>
          <w:sz w:val="15"/>
          <w:szCs w:val="15"/>
          <w:color w:val="auto"/>
        </w:rPr>
        <w:t>and Regulation 14E of the Exchange Act, which</w:t>
      </w:r>
    </w:p>
    <w:p>
      <w:pPr>
        <w:ind w:left="4820"/>
        <w:spacing w:after="0"/>
        <w:rPr>
          <w:sz w:val="20"/>
          <w:szCs w:val="20"/>
          <w:color w:val="auto"/>
        </w:rPr>
      </w:pPr>
      <w:r>
        <w:rPr>
          <w:rFonts w:ascii="Arial" w:cs="Arial" w:eastAsia="Arial" w:hAnsi="Arial"/>
          <w:sz w:val="15"/>
          <w:szCs w:val="15"/>
          <w:color w:val="auto"/>
        </w:rPr>
        <w:t>regulate issuer tender offers; and</w:t>
      </w:r>
    </w:p>
    <w:p>
      <w:pPr>
        <w:spacing w:after="0" w:line="74" w:lineRule="exact"/>
        <w:rPr>
          <w:sz w:val="20"/>
          <w:szCs w:val="20"/>
          <w:color w:val="auto"/>
        </w:rPr>
      </w:pPr>
    </w:p>
    <w:p>
      <w:pPr>
        <w:ind w:left="4520"/>
        <w:spacing w:after="0"/>
        <w:tabs>
          <w:tab w:leader="none" w:pos="4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file tender offer documents with the SEC prior to</w:t>
      </w:r>
    </w:p>
    <w:p>
      <w:pPr>
        <w:ind w:left="4820"/>
        <w:spacing w:after="0" w:line="226" w:lineRule="auto"/>
        <w:rPr>
          <w:sz w:val="20"/>
          <w:szCs w:val="20"/>
          <w:color w:val="auto"/>
        </w:rPr>
      </w:pPr>
      <w:r>
        <w:rPr>
          <w:rFonts w:ascii="Arial" w:cs="Arial" w:eastAsia="Arial" w:hAnsi="Arial"/>
          <w:sz w:val="15"/>
          <w:szCs w:val="15"/>
          <w:color w:val="auto"/>
        </w:rPr>
        <w:t>completing our initial business combination which</w:t>
      </w:r>
    </w:p>
    <w:p>
      <w:pPr>
        <w:ind w:left="4820"/>
        <w:spacing w:after="0" w:line="227" w:lineRule="auto"/>
        <w:rPr>
          <w:sz w:val="20"/>
          <w:szCs w:val="20"/>
          <w:color w:val="auto"/>
        </w:rPr>
      </w:pPr>
      <w:r>
        <w:rPr>
          <w:rFonts w:ascii="Arial" w:cs="Arial" w:eastAsia="Arial" w:hAnsi="Arial"/>
          <w:sz w:val="15"/>
          <w:szCs w:val="15"/>
          <w:color w:val="auto"/>
        </w:rPr>
        <w:t>contain substantially the same financial and other</w:t>
      </w:r>
    </w:p>
    <w:p>
      <w:pPr>
        <w:ind w:left="4820"/>
        <w:spacing w:after="0" w:line="226" w:lineRule="auto"/>
        <w:rPr>
          <w:sz w:val="20"/>
          <w:szCs w:val="20"/>
          <w:color w:val="auto"/>
        </w:rPr>
      </w:pPr>
      <w:r>
        <w:rPr>
          <w:rFonts w:ascii="Arial" w:cs="Arial" w:eastAsia="Arial" w:hAnsi="Arial"/>
          <w:sz w:val="15"/>
          <w:szCs w:val="15"/>
          <w:color w:val="auto"/>
        </w:rPr>
        <w:t>information about the initial business combination</w:t>
      </w:r>
    </w:p>
    <w:p>
      <w:pPr>
        <w:ind w:left="4820"/>
        <w:spacing w:after="0" w:line="227" w:lineRule="auto"/>
        <w:rPr>
          <w:sz w:val="20"/>
          <w:szCs w:val="20"/>
          <w:color w:val="auto"/>
        </w:rPr>
      </w:pPr>
      <w:r>
        <w:rPr>
          <w:rFonts w:ascii="Arial" w:cs="Arial" w:eastAsia="Arial" w:hAnsi="Arial"/>
          <w:sz w:val="15"/>
          <w:szCs w:val="15"/>
          <w:color w:val="auto"/>
        </w:rPr>
        <w:t>and the redemption rights as is required under</w:t>
      </w:r>
    </w:p>
    <w:p>
      <w:pPr>
        <w:ind w:left="4820"/>
        <w:spacing w:after="0" w:line="227" w:lineRule="auto"/>
        <w:rPr>
          <w:sz w:val="20"/>
          <w:szCs w:val="20"/>
          <w:color w:val="auto"/>
        </w:rPr>
      </w:pPr>
      <w:r>
        <w:rPr>
          <w:rFonts w:ascii="Arial" w:cs="Arial" w:eastAsia="Arial" w:hAnsi="Arial"/>
          <w:sz w:val="15"/>
          <w:szCs w:val="15"/>
          <w:color w:val="auto"/>
        </w:rPr>
        <w:t>Regulation 14A of the Exchange Act, which</w:t>
      </w:r>
    </w:p>
    <w:p>
      <w:pPr>
        <w:ind w:left="4820"/>
        <w:spacing w:after="0"/>
        <w:rPr>
          <w:sz w:val="20"/>
          <w:szCs w:val="20"/>
          <w:color w:val="auto"/>
        </w:rPr>
      </w:pPr>
      <w:r>
        <w:rPr>
          <w:rFonts w:ascii="Arial" w:cs="Arial" w:eastAsia="Arial" w:hAnsi="Arial"/>
          <w:sz w:val="15"/>
          <w:szCs w:val="15"/>
          <w:color w:val="auto"/>
        </w:rPr>
        <w:t>regulates the solicitation of proxies.</w:t>
      </w:r>
    </w:p>
    <w:p>
      <w:pPr>
        <w:spacing w:after="0" w:line="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Upon the public announcement of our initial business</w:t>
      </w:r>
    </w:p>
    <w:p>
      <w:pPr>
        <w:ind w:left="4520"/>
        <w:spacing w:after="0"/>
        <w:rPr>
          <w:sz w:val="20"/>
          <w:szCs w:val="20"/>
          <w:color w:val="auto"/>
        </w:rPr>
      </w:pPr>
      <w:r>
        <w:rPr>
          <w:rFonts w:ascii="Arial" w:cs="Arial" w:eastAsia="Arial" w:hAnsi="Arial"/>
          <w:sz w:val="14"/>
          <w:szCs w:val="14"/>
          <w:color w:val="auto"/>
        </w:rPr>
        <w:t>combination, if we elect to conduct redemptions pursuant</w:t>
      </w:r>
    </w:p>
    <w:p>
      <w:pPr>
        <w:ind w:left="4520"/>
        <w:spacing w:after="0" w:line="229" w:lineRule="auto"/>
        <w:rPr>
          <w:sz w:val="20"/>
          <w:szCs w:val="20"/>
          <w:color w:val="auto"/>
        </w:rPr>
      </w:pPr>
      <w:r>
        <w:rPr>
          <w:rFonts w:ascii="Arial" w:cs="Arial" w:eastAsia="Arial" w:hAnsi="Arial"/>
          <w:sz w:val="15"/>
          <w:szCs w:val="15"/>
          <w:color w:val="auto"/>
        </w:rPr>
        <w:t>to the tender offer rules, we and our sponsor will</w:t>
      </w:r>
    </w:p>
    <w:p>
      <w:pPr>
        <w:ind w:left="4520"/>
        <w:spacing w:after="0" w:line="226" w:lineRule="auto"/>
        <w:rPr>
          <w:sz w:val="20"/>
          <w:szCs w:val="20"/>
          <w:color w:val="auto"/>
        </w:rPr>
      </w:pPr>
      <w:r>
        <w:rPr>
          <w:rFonts w:ascii="Arial" w:cs="Arial" w:eastAsia="Arial" w:hAnsi="Arial"/>
          <w:sz w:val="15"/>
          <w:szCs w:val="15"/>
          <w:color w:val="auto"/>
        </w:rPr>
        <w:t>terminate any plan established in accordance with Rule</w:t>
      </w:r>
    </w:p>
    <w:p>
      <w:pPr>
        <w:ind w:left="4520"/>
        <w:spacing w:after="0" w:line="227" w:lineRule="auto"/>
        <w:rPr>
          <w:sz w:val="20"/>
          <w:szCs w:val="20"/>
          <w:color w:val="auto"/>
        </w:rPr>
      </w:pPr>
      <w:r>
        <w:rPr>
          <w:rFonts w:ascii="Arial" w:cs="Arial" w:eastAsia="Arial" w:hAnsi="Arial"/>
          <w:sz w:val="15"/>
          <w:szCs w:val="15"/>
          <w:color w:val="auto"/>
        </w:rPr>
        <w:t>10b5-1 to purchase our Class A ordinary shares in the</w:t>
      </w:r>
    </w:p>
    <w:p>
      <w:pPr>
        <w:ind w:left="4520"/>
        <w:spacing w:after="0" w:line="227" w:lineRule="auto"/>
        <w:rPr>
          <w:sz w:val="20"/>
          <w:szCs w:val="20"/>
          <w:color w:val="auto"/>
        </w:rPr>
      </w:pPr>
      <w:r>
        <w:rPr>
          <w:rFonts w:ascii="Arial" w:cs="Arial" w:eastAsia="Arial" w:hAnsi="Arial"/>
          <w:sz w:val="15"/>
          <w:szCs w:val="15"/>
          <w:color w:val="auto"/>
        </w:rPr>
        <w:t>open market, in order to comply with Rule 14e-5 under</w:t>
      </w:r>
    </w:p>
    <w:p>
      <w:pPr>
        <w:ind w:left="4520"/>
        <w:spacing w:after="0" w:line="226" w:lineRule="auto"/>
        <w:rPr>
          <w:sz w:val="20"/>
          <w:szCs w:val="20"/>
          <w:color w:val="auto"/>
        </w:rPr>
      </w:pPr>
      <w:r>
        <w:rPr>
          <w:rFonts w:ascii="Arial" w:cs="Arial" w:eastAsia="Arial" w:hAnsi="Arial"/>
          <w:sz w:val="15"/>
          <w:szCs w:val="15"/>
          <w:color w:val="auto"/>
        </w:rPr>
        <w:t>the Exchange Act. In the event we conduct redemptions</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pursuant to the tender offer rules, our offer to redeem will</w:t>
      </w:r>
    </w:p>
    <w:p>
      <w:pPr>
        <w:ind w:left="4520"/>
        <w:spacing w:after="0" w:line="229" w:lineRule="auto"/>
        <w:rPr>
          <w:sz w:val="20"/>
          <w:szCs w:val="20"/>
          <w:color w:val="auto"/>
        </w:rPr>
      </w:pPr>
      <w:r>
        <w:rPr>
          <w:rFonts w:ascii="Arial" w:cs="Arial" w:eastAsia="Arial" w:hAnsi="Arial"/>
          <w:sz w:val="15"/>
          <w:szCs w:val="15"/>
          <w:color w:val="auto"/>
        </w:rPr>
        <w:t>remain open for at least 20 business days, in</w:t>
      </w:r>
    </w:p>
    <w:p>
      <w:pPr>
        <w:ind w:left="4520"/>
        <w:spacing w:after="0"/>
        <w:rPr>
          <w:sz w:val="20"/>
          <w:szCs w:val="20"/>
          <w:color w:val="auto"/>
        </w:rPr>
      </w:pPr>
      <w:r>
        <w:rPr>
          <w:rFonts w:ascii="Arial" w:cs="Arial" w:eastAsia="Arial" w:hAnsi="Arial"/>
          <w:sz w:val="14"/>
          <w:szCs w:val="14"/>
          <w:color w:val="auto"/>
        </w:rPr>
        <w:t>accordance with Rule 14e-1(a) under the Exchange Act,</w:t>
      </w:r>
    </w:p>
    <w:p>
      <w:pPr>
        <w:ind w:left="4520"/>
        <w:spacing w:after="0" w:line="229" w:lineRule="auto"/>
        <w:rPr>
          <w:sz w:val="20"/>
          <w:szCs w:val="20"/>
          <w:color w:val="auto"/>
        </w:rPr>
      </w:pPr>
      <w:r>
        <w:rPr>
          <w:rFonts w:ascii="Arial" w:cs="Arial" w:eastAsia="Arial" w:hAnsi="Arial"/>
          <w:sz w:val="15"/>
          <w:szCs w:val="15"/>
          <w:color w:val="auto"/>
        </w:rPr>
        <w:t>and we will not be permitted to complete our initial</w:t>
      </w:r>
    </w:p>
    <w:p>
      <w:pPr>
        <w:ind w:left="4520"/>
        <w:spacing w:after="0" w:line="226" w:lineRule="auto"/>
        <w:rPr>
          <w:sz w:val="20"/>
          <w:szCs w:val="20"/>
          <w:color w:val="auto"/>
        </w:rPr>
      </w:pPr>
      <w:r>
        <w:rPr>
          <w:rFonts w:ascii="Arial" w:cs="Arial" w:eastAsia="Arial" w:hAnsi="Arial"/>
          <w:sz w:val="15"/>
          <w:szCs w:val="15"/>
          <w:color w:val="auto"/>
        </w:rPr>
        <w:t>business combination until the expiration of the tender</w:t>
      </w:r>
    </w:p>
    <w:p>
      <w:pPr>
        <w:ind w:left="4520"/>
        <w:spacing w:after="0" w:line="227" w:lineRule="auto"/>
        <w:rPr>
          <w:sz w:val="20"/>
          <w:szCs w:val="20"/>
          <w:color w:val="auto"/>
        </w:rPr>
      </w:pPr>
      <w:r>
        <w:rPr>
          <w:rFonts w:ascii="Arial" w:cs="Arial" w:eastAsia="Arial" w:hAnsi="Arial"/>
          <w:sz w:val="15"/>
          <w:szCs w:val="15"/>
          <w:color w:val="auto"/>
        </w:rPr>
        <w:t>offer period. In addition, the tender offer will be</w:t>
      </w:r>
    </w:p>
    <w:p>
      <w:pPr>
        <w:ind w:left="4520"/>
        <w:spacing w:after="0" w:line="227" w:lineRule="auto"/>
        <w:rPr>
          <w:sz w:val="20"/>
          <w:szCs w:val="20"/>
          <w:color w:val="auto"/>
        </w:rPr>
      </w:pPr>
      <w:r>
        <w:rPr>
          <w:rFonts w:ascii="Arial" w:cs="Arial" w:eastAsia="Arial" w:hAnsi="Arial"/>
          <w:sz w:val="15"/>
          <w:szCs w:val="15"/>
          <w:color w:val="auto"/>
        </w:rPr>
        <w:t>conditioned on public shareholders not tendering more</w:t>
      </w:r>
    </w:p>
    <w:p>
      <w:pPr>
        <w:ind w:left="4520"/>
        <w:spacing w:after="0" w:line="226" w:lineRule="auto"/>
        <w:rPr>
          <w:sz w:val="20"/>
          <w:szCs w:val="20"/>
          <w:color w:val="auto"/>
        </w:rPr>
      </w:pPr>
      <w:r>
        <w:rPr>
          <w:rFonts w:ascii="Arial" w:cs="Arial" w:eastAsia="Arial" w:hAnsi="Arial"/>
          <w:sz w:val="15"/>
          <w:szCs w:val="15"/>
          <w:color w:val="auto"/>
        </w:rPr>
        <w:t>than the number of public shares we are permitted to</w:t>
      </w:r>
    </w:p>
    <w:p>
      <w:pPr>
        <w:ind w:left="4520"/>
        <w:spacing w:after="0" w:line="227" w:lineRule="auto"/>
        <w:rPr>
          <w:sz w:val="20"/>
          <w:szCs w:val="20"/>
          <w:color w:val="auto"/>
        </w:rPr>
      </w:pPr>
      <w:r>
        <w:rPr>
          <w:rFonts w:ascii="Arial" w:cs="Arial" w:eastAsia="Arial" w:hAnsi="Arial"/>
          <w:sz w:val="15"/>
          <w:szCs w:val="15"/>
          <w:color w:val="auto"/>
        </w:rPr>
        <w:t>redeem. If public shareholders tender more shares than</w:t>
      </w:r>
    </w:p>
    <w:p>
      <w:pPr>
        <w:ind w:left="4520"/>
        <w:spacing w:after="0"/>
        <w:rPr>
          <w:sz w:val="20"/>
          <w:szCs w:val="20"/>
          <w:color w:val="auto"/>
        </w:rPr>
      </w:pPr>
      <w:r>
        <w:rPr>
          <w:rFonts w:ascii="Arial" w:cs="Arial" w:eastAsia="Arial" w:hAnsi="Arial"/>
          <w:sz w:val="14"/>
          <w:szCs w:val="14"/>
          <w:color w:val="auto"/>
        </w:rPr>
        <w:t>we have offered to purchase, we will withdraw the tender</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offer and not complete such initial business combination.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 w:name="page25"/>
    <w:bookmarkEnd w:id="2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52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1735" cy="552386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960" w:hanging="154"/>
        <w:spacing w:after="0" w:line="268" w:lineRule="auto"/>
        <w:rPr>
          <w:sz w:val="20"/>
          <w:szCs w:val="20"/>
          <w:color w:val="auto"/>
        </w:rPr>
      </w:pPr>
      <w:r>
        <w:rPr>
          <w:rFonts w:ascii="Arial" w:cs="Arial" w:eastAsia="Arial" w:hAnsi="Arial"/>
          <w:sz w:val="14"/>
          <w:szCs w:val="14"/>
          <w:b w:val="1"/>
          <w:bCs w:val="1"/>
          <w:color w:val="auto"/>
        </w:rPr>
        <w:t>Limitation on redemption rights of shareholders holding more than 15% of the shares sold in this offering if we hold a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60" w:right="80" w:hanging="154"/>
        <w:spacing w:after="0" w:line="258" w:lineRule="auto"/>
        <w:rPr>
          <w:sz w:val="20"/>
          <w:szCs w:val="20"/>
          <w:color w:val="auto"/>
        </w:rPr>
      </w:pPr>
      <w:r>
        <w:rPr>
          <w:rFonts w:ascii="Arial" w:cs="Arial" w:eastAsia="Arial" w:hAnsi="Arial"/>
          <w:sz w:val="15"/>
          <w:szCs w:val="15"/>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779"/>
        <w:spacing w:after="0" w:line="243" w:lineRule="auto"/>
        <w:rPr>
          <w:sz w:val="20"/>
          <w:szCs w:val="20"/>
          <w:color w:val="auto"/>
        </w:rPr>
      </w:pPr>
      <w:r>
        <w:rPr>
          <w:rFonts w:ascii="Arial" w:cs="Arial" w:eastAsia="Arial" w:hAnsi="Arial"/>
          <w:sz w:val="14"/>
          <w:szCs w:val="14"/>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team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0" w:lineRule="exact"/>
        <w:rPr>
          <w:sz w:val="20"/>
          <w:szCs w:val="20"/>
          <w:color w:val="auto"/>
        </w:rPr>
      </w:pPr>
    </w:p>
    <w:p>
      <w:pPr>
        <w:spacing w:after="0" w:line="354" w:lineRule="exact"/>
        <w:rPr>
          <w:sz w:val="20"/>
          <w:szCs w:val="20"/>
          <w:color w:val="auto"/>
        </w:rPr>
      </w:pPr>
    </w:p>
    <w:p>
      <w:pPr>
        <w:ind w:right="859"/>
        <w:spacing w:after="0" w:line="245" w:lineRule="auto"/>
        <w:rPr>
          <w:sz w:val="20"/>
          <w:szCs w:val="20"/>
          <w:color w:val="auto"/>
        </w:rPr>
      </w:pPr>
      <w:r>
        <w:rPr>
          <w:rFonts w:ascii="Arial" w:cs="Arial" w:eastAsia="Arial" w:hAnsi="Arial"/>
          <w:sz w:val="14"/>
          <w:szCs w:val="14"/>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w:t>
      </w:r>
    </w:p>
    <w:p>
      <w:pPr>
        <w:spacing w:after="0" w:line="200" w:lineRule="exact"/>
        <w:rPr>
          <w:sz w:val="20"/>
          <w:szCs w:val="20"/>
          <w:color w:val="auto"/>
        </w:rPr>
      </w:pPr>
    </w:p>
    <w:p>
      <w:pPr>
        <w:sectPr>
          <w:pgSz w:w="11900" w:h="16838" w:orient="portrait"/>
          <w:cols w:equalWidth="0" w:num="2">
            <w:col w:w="4160" w:space="360"/>
            <w:col w:w="4499"/>
          </w:cols>
          <w:pgMar w:left="1440" w:top="248" w:right="1440"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25" w:name="page26"/>
    <w:bookmarkEnd w:id="2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694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1735" cy="569404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60" w:hanging="154"/>
        <w:spacing w:after="0" w:line="293" w:lineRule="auto"/>
        <w:rPr>
          <w:sz w:val="20"/>
          <w:szCs w:val="20"/>
          <w:color w:val="auto"/>
        </w:rPr>
      </w:pPr>
      <w:r>
        <w:rPr>
          <w:rFonts w:ascii="Arial" w:cs="Arial" w:eastAsia="Arial" w:hAnsi="Arial"/>
          <w:sz w:val="14"/>
          <w:szCs w:val="14"/>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839"/>
        <w:spacing w:after="0" w:line="227" w:lineRule="auto"/>
        <w:rPr>
          <w:sz w:val="20"/>
          <w:szCs w:val="20"/>
          <w:color w:val="auto"/>
        </w:rPr>
      </w:pPr>
      <w:r>
        <w:rPr>
          <w:rFonts w:ascii="Arial" w:cs="Arial" w:eastAsia="Arial" w:hAnsi="Arial"/>
          <w:sz w:val="15"/>
          <w:szCs w:val="15"/>
          <w:color w:val="auto"/>
        </w:rPr>
        <w:t>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post-business combination businesses, the payment of principal or interest due on indebtedness incurred in completing our initial business combination, to fund the purchase of other companies or for working capital.</w:t>
      </w:r>
    </w:p>
    <w:p>
      <w:pPr>
        <w:spacing w:after="0" w:line="229" w:lineRule="exact"/>
        <w:rPr>
          <w:sz w:val="20"/>
          <w:szCs w:val="20"/>
          <w:color w:val="auto"/>
        </w:rPr>
      </w:pPr>
    </w:p>
    <w:p>
      <w:pPr>
        <w:ind w:right="799"/>
        <w:spacing w:after="0" w:line="243" w:lineRule="auto"/>
        <w:rPr>
          <w:sz w:val="20"/>
          <w:szCs w:val="20"/>
          <w:color w:val="auto"/>
        </w:rPr>
      </w:pPr>
      <w:r>
        <w:rPr>
          <w:rFonts w:ascii="Arial" w:cs="Arial" w:eastAsia="Arial" w:hAnsi="Arial"/>
          <w:sz w:val="14"/>
          <w:szCs w:val="14"/>
          <w:color w:val="auto"/>
        </w:rPr>
        <w:t>Our amended and restated memorandum and articles of association will provide that we will have only 24 months from the closing of this offering to consummate our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241" w:lineRule="exact"/>
        <w:rPr>
          <w:sz w:val="20"/>
          <w:szCs w:val="20"/>
          <w:color w:val="auto"/>
        </w:rPr>
      </w:pPr>
    </w:p>
    <w:p>
      <w:pPr>
        <w:ind w:right="859"/>
        <w:spacing w:after="0" w:line="228" w:lineRule="auto"/>
        <w:rPr>
          <w:sz w:val="20"/>
          <w:szCs w:val="20"/>
          <w:color w:val="auto"/>
        </w:rPr>
      </w:pPr>
      <w:r>
        <w:rPr>
          <w:rFonts w:ascii="Arial" w:cs="Arial" w:eastAsia="Arial" w:hAnsi="Arial"/>
          <w:sz w:val="15"/>
          <w:szCs w:val="15"/>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w:t>
      </w:r>
    </w:p>
    <w:p>
      <w:pPr>
        <w:spacing w:after="0" w:line="200" w:lineRule="exact"/>
        <w:rPr>
          <w:sz w:val="20"/>
          <w:szCs w:val="20"/>
          <w:color w:val="auto"/>
        </w:rPr>
      </w:pPr>
    </w:p>
    <w:p>
      <w:pPr>
        <w:sectPr>
          <w:pgSz w:w="11900" w:h="16838" w:orient="portrait"/>
          <w:cols w:equalWidth="0" w:num="2">
            <w:col w:w="4280" w:space="240"/>
            <w:col w:w="4499"/>
          </w:cols>
          <w:pgMar w:left="1440" w:top="248" w:right="1440" w:bottom="1440" w:gutter="0" w:footer="0" w:header="0"/>
          <w:type w:val="continuous"/>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26" w:name="page27"/>
    <w:bookmarkEnd w:id="2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19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1735" cy="5191760"/>
                    </a:xfrm>
                    <a:prstGeom prst="rect">
                      <a:avLst/>
                    </a:prstGeom>
                    <a:noFill/>
                  </pic:spPr>
                </pic:pic>
              </a:graphicData>
            </a:graphic>
          </wp:anchor>
        </w:drawing>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they hold if we fail to complete our initial business</w:t>
      </w:r>
    </w:p>
    <w:p>
      <w:pPr>
        <w:ind w:left="4520"/>
        <w:spacing w:after="0" w:line="226" w:lineRule="auto"/>
        <w:rPr>
          <w:sz w:val="20"/>
          <w:szCs w:val="20"/>
          <w:color w:val="auto"/>
        </w:rPr>
      </w:pPr>
      <w:r>
        <w:rPr>
          <w:rFonts w:ascii="Arial" w:cs="Arial" w:eastAsia="Arial" w:hAnsi="Arial"/>
          <w:sz w:val="15"/>
          <w:szCs w:val="15"/>
          <w:color w:val="auto"/>
        </w:rPr>
        <w:t>combination within 24 months from the closing of this</w:t>
      </w:r>
    </w:p>
    <w:p>
      <w:pPr>
        <w:ind w:left="4520"/>
        <w:spacing w:after="0"/>
        <w:rPr>
          <w:sz w:val="20"/>
          <w:szCs w:val="20"/>
          <w:color w:val="auto"/>
        </w:rPr>
      </w:pPr>
      <w:r>
        <w:rPr>
          <w:rFonts w:ascii="Arial" w:cs="Arial" w:eastAsia="Arial" w:hAnsi="Arial"/>
          <w:sz w:val="15"/>
          <w:szCs w:val="15"/>
          <w:color w:val="auto"/>
        </w:rPr>
        <w:t>offering).</w:t>
      </w:r>
    </w:p>
    <w:p>
      <w:pPr>
        <w:spacing w:after="0" w:line="6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The underwriters have agreed to waive their rights to</w:t>
      </w:r>
    </w:p>
    <w:p>
      <w:pPr>
        <w:ind w:left="4520"/>
        <w:spacing w:after="0" w:line="226" w:lineRule="auto"/>
        <w:rPr>
          <w:sz w:val="20"/>
          <w:szCs w:val="20"/>
          <w:color w:val="auto"/>
        </w:rPr>
      </w:pPr>
      <w:r>
        <w:rPr>
          <w:rFonts w:ascii="Arial" w:cs="Arial" w:eastAsia="Arial" w:hAnsi="Arial"/>
          <w:sz w:val="15"/>
          <w:szCs w:val="15"/>
          <w:color w:val="auto"/>
        </w:rPr>
        <w:t>their deferred underwriting commission held in the trust</w:t>
      </w:r>
    </w:p>
    <w:p>
      <w:pPr>
        <w:ind w:left="4520"/>
        <w:spacing w:after="0" w:line="227" w:lineRule="auto"/>
        <w:rPr>
          <w:sz w:val="20"/>
          <w:szCs w:val="20"/>
          <w:color w:val="auto"/>
        </w:rPr>
      </w:pPr>
      <w:r>
        <w:rPr>
          <w:rFonts w:ascii="Arial" w:cs="Arial" w:eastAsia="Arial" w:hAnsi="Arial"/>
          <w:sz w:val="15"/>
          <w:szCs w:val="15"/>
          <w:color w:val="auto"/>
        </w:rPr>
        <w:t>account in the event we do not consummate an initial</w:t>
      </w:r>
    </w:p>
    <w:p>
      <w:pPr>
        <w:ind w:left="4520"/>
        <w:spacing w:after="0" w:line="226" w:lineRule="auto"/>
        <w:rPr>
          <w:sz w:val="20"/>
          <w:szCs w:val="20"/>
          <w:color w:val="auto"/>
        </w:rPr>
      </w:pPr>
      <w:r>
        <w:rPr>
          <w:rFonts w:ascii="Arial" w:cs="Arial" w:eastAsia="Arial" w:hAnsi="Arial"/>
          <w:sz w:val="15"/>
          <w:szCs w:val="15"/>
          <w:color w:val="auto"/>
        </w:rPr>
        <w:t>business combination within 24 months from the closing</w:t>
      </w:r>
    </w:p>
    <w:p>
      <w:pPr>
        <w:ind w:left="4520"/>
        <w:spacing w:after="0" w:line="227" w:lineRule="auto"/>
        <w:rPr>
          <w:sz w:val="20"/>
          <w:szCs w:val="20"/>
          <w:color w:val="auto"/>
        </w:rPr>
      </w:pPr>
      <w:r>
        <w:rPr>
          <w:rFonts w:ascii="Arial" w:cs="Arial" w:eastAsia="Arial" w:hAnsi="Arial"/>
          <w:sz w:val="15"/>
          <w:szCs w:val="15"/>
          <w:color w:val="auto"/>
        </w:rPr>
        <w:t>of this offering and, in such event, such amounts will be</w:t>
      </w:r>
    </w:p>
    <w:p>
      <w:pPr>
        <w:ind w:left="4520"/>
        <w:spacing w:after="0" w:line="227" w:lineRule="auto"/>
        <w:rPr>
          <w:sz w:val="20"/>
          <w:szCs w:val="20"/>
          <w:color w:val="auto"/>
        </w:rPr>
      </w:pPr>
      <w:r>
        <w:rPr>
          <w:rFonts w:ascii="Arial" w:cs="Arial" w:eastAsia="Arial" w:hAnsi="Arial"/>
          <w:sz w:val="15"/>
          <w:szCs w:val="15"/>
          <w:color w:val="auto"/>
        </w:rPr>
        <w:t>included with the funds held in the trust account that will</w:t>
      </w:r>
    </w:p>
    <w:p>
      <w:pPr>
        <w:ind w:left="4520"/>
        <w:spacing w:after="0"/>
        <w:rPr>
          <w:sz w:val="20"/>
          <w:szCs w:val="20"/>
          <w:color w:val="auto"/>
        </w:rPr>
      </w:pPr>
      <w:r>
        <w:rPr>
          <w:rFonts w:ascii="Arial" w:cs="Arial" w:eastAsia="Arial" w:hAnsi="Arial"/>
          <w:sz w:val="14"/>
          <w:szCs w:val="14"/>
          <w:color w:val="auto"/>
        </w:rPr>
        <w:t>be available to fund the redemption of our public shares.</w:t>
      </w:r>
    </w:p>
    <w:p>
      <w:pPr>
        <w:spacing w:after="0" w:line="8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Our sponsor, executive officers, directors and director</w:t>
      </w:r>
    </w:p>
    <w:p>
      <w:pPr>
        <w:ind w:left="4520"/>
        <w:spacing w:after="0"/>
        <w:rPr>
          <w:sz w:val="20"/>
          <w:szCs w:val="20"/>
          <w:color w:val="auto"/>
        </w:rPr>
      </w:pPr>
      <w:r>
        <w:rPr>
          <w:rFonts w:ascii="Arial" w:cs="Arial" w:eastAsia="Arial" w:hAnsi="Arial"/>
          <w:sz w:val="14"/>
          <w:szCs w:val="14"/>
          <w:color w:val="auto"/>
        </w:rPr>
        <w:t>nominees have agreed, pursuant to a written agreement</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with us, that they will not propose any amendment to our</w:t>
      </w:r>
    </w:p>
    <w:p>
      <w:pPr>
        <w:ind w:left="4520"/>
        <w:spacing w:after="0" w:line="229" w:lineRule="auto"/>
        <w:rPr>
          <w:sz w:val="20"/>
          <w:szCs w:val="20"/>
          <w:color w:val="auto"/>
        </w:rPr>
      </w:pPr>
      <w:r>
        <w:rPr>
          <w:rFonts w:ascii="Arial" w:cs="Arial" w:eastAsia="Arial" w:hAnsi="Arial"/>
          <w:sz w:val="15"/>
          <w:szCs w:val="15"/>
          <w:color w:val="auto"/>
        </w:rPr>
        <w:t>amended and restated memorandum and articles of</w:t>
      </w:r>
    </w:p>
    <w:p>
      <w:pPr>
        <w:ind w:left="4520"/>
        <w:spacing w:after="0" w:line="226" w:lineRule="auto"/>
        <w:rPr>
          <w:sz w:val="20"/>
          <w:szCs w:val="20"/>
          <w:color w:val="auto"/>
        </w:rPr>
      </w:pPr>
      <w:r>
        <w:rPr>
          <w:rFonts w:ascii="Arial" w:cs="Arial" w:eastAsia="Arial" w:hAnsi="Arial"/>
          <w:sz w:val="15"/>
          <w:szCs w:val="15"/>
          <w:color w:val="auto"/>
        </w:rPr>
        <w:t>association (A) that would modify the substance 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timing of our obligation to provide holders of our Class A</w:t>
      </w:r>
    </w:p>
    <w:p>
      <w:pPr>
        <w:ind w:left="4520"/>
        <w:spacing w:after="0" w:line="229" w:lineRule="auto"/>
        <w:rPr>
          <w:sz w:val="20"/>
          <w:szCs w:val="20"/>
          <w:color w:val="auto"/>
        </w:rPr>
      </w:pPr>
      <w:r>
        <w:rPr>
          <w:rFonts w:ascii="Arial" w:cs="Arial" w:eastAsia="Arial" w:hAnsi="Arial"/>
          <w:sz w:val="15"/>
          <w:szCs w:val="15"/>
          <w:color w:val="auto"/>
        </w:rPr>
        <w:t>ordinary shares the right to have their shares redeemed</w:t>
      </w:r>
    </w:p>
    <w:p>
      <w:pPr>
        <w:ind w:left="4520"/>
        <w:spacing w:after="0" w:line="226" w:lineRule="auto"/>
        <w:rPr>
          <w:sz w:val="20"/>
          <w:szCs w:val="20"/>
          <w:color w:val="auto"/>
        </w:rPr>
      </w:pPr>
      <w:r>
        <w:rPr>
          <w:rFonts w:ascii="Arial" w:cs="Arial" w:eastAsia="Arial" w:hAnsi="Arial"/>
          <w:sz w:val="15"/>
          <w:szCs w:val="15"/>
          <w:color w:val="auto"/>
        </w:rPr>
        <w:t>in connection with our initial business combination or to</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redeem 100% of our public shares if we do not complete</w:t>
      </w:r>
    </w:p>
    <w:p>
      <w:pPr>
        <w:ind w:left="4520"/>
        <w:spacing w:after="0" w:line="229" w:lineRule="auto"/>
        <w:rPr>
          <w:sz w:val="20"/>
          <w:szCs w:val="20"/>
          <w:color w:val="auto"/>
        </w:rPr>
      </w:pPr>
      <w:r>
        <w:rPr>
          <w:rFonts w:ascii="Arial" w:cs="Arial" w:eastAsia="Arial" w:hAnsi="Arial"/>
          <w:sz w:val="15"/>
          <w:szCs w:val="15"/>
          <w:color w:val="auto"/>
        </w:rPr>
        <w:t>our initial business combination within 24 months from</w:t>
      </w:r>
    </w:p>
    <w:p>
      <w:pPr>
        <w:ind w:left="4520"/>
        <w:spacing w:after="0"/>
        <w:rPr>
          <w:sz w:val="20"/>
          <w:szCs w:val="20"/>
          <w:color w:val="auto"/>
        </w:rPr>
      </w:pPr>
      <w:r>
        <w:rPr>
          <w:rFonts w:ascii="Arial" w:cs="Arial" w:eastAsia="Arial" w:hAnsi="Arial"/>
          <w:sz w:val="14"/>
          <w:szCs w:val="14"/>
          <w:color w:val="auto"/>
        </w:rPr>
        <w:t>the closing of this offering or (B) with respect to any other</w:t>
      </w:r>
    </w:p>
    <w:p>
      <w:pPr>
        <w:ind w:left="4520"/>
        <w:spacing w:after="0" w:line="229" w:lineRule="auto"/>
        <w:rPr>
          <w:sz w:val="20"/>
          <w:szCs w:val="20"/>
          <w:color w:val="auto"/>
        </w:rPr>
      </w:pPr>
      <w:r>
        <w:rPr>
          <w:rFonts w:ascii="Arial" w:cs="Arial" w:eastAsia="Arial" w:hAnsi="Arial"/>
          <w:sz w:val="15"/>
          <w:szCs w:val="15"/>
          <w:color w:val="auto"/>
        </w:rPr>
        <w:t>provision relating to the rights of holders of our Class A</w:t>
      </w:r>
    </w:p>
    <w:p>
      <w:pPr>
        <w:ind w:left="4520"/>
        <w:spacing w:after="0" w:line="226" w:lineRule="auto"/>
        <w:rPr>
          <w:sz w:val="20"/>
          <w:szCs w:val="20"/>
          <w:color w:val="auto"/>
        </w:rPr>
      </w:pPr>
      <w:r>
        <w:rPr>
          <w:rFonts w:ascii="Arial" w:cs="Arial" w:eastAsia="Arial" w:hAnsi="Arial"/>
          <w:sz w:val="15"/>
          <w:szCs w:val="15"/>
          <w:color w:val="auto"/>
        </w:rPr>
        <w:t>ordinary shares; unless we provide our public</w:t>
      </w:r>
    </w:p>
    <w:p>
      <w:pPr>
        <w:ind w:left="4520"/>
        <w:spacing w:after="0" w:line="227" w:lineRule="auto"/>
        <w:rPr>
          <w:sz w:val="20"/>
          <w:szCs w:val="20"/>
          <w:color w:val="auto"/>
        </w:rPr>
      </w:pPr>
      <w:r>
        <w:rPr>
          <w:rFonts w:ascii="Arial" w:cs="Arial" w:eastAsia="Arial" w:hAnsi="Arial"/>
          <w:sz w:val="15"/>
          <w:szCs w:val="15"/>
          <w:color w:val="auto"/>
        </w:rPr>
        <w:t>shareholders with the opportunity to redeem their</w:t>
      </w:r>
    </w:p>
    <w:p>
      <w:pPr>
        <w:ind w:left="4520"/>
        <w:spacing w:after="0" w:line="227" w:lineRule="auto"/>
        <w:rPr>
          <w:sz w:val="20"/>
          <w:szCs w:val="20"/>
          <w:color w:val="auto"/>
        </w:rPr>
      </w:pPr>
      <w:r>
        <w:rPr>
          <w:rFonts w:ascii="Arial" w:cs="Arial" w:eastAsia="Arial" w:hAnsi="Arial"/>
          <w:sz w:val="15"/>
          <w:szCs w:val="15"/>
          <w:color w:val="auto"/>
        </w:rPr>
        <w:t>Class A ordinary shares upon approval of any such</w:t>
      </w:r>
    </w:p>
    <w:p>
      <w:pPr>
        <w:ind w:left="4520"/>
        <w:spacing w:after="0" w:line="226" w:lineRule="auto"/>
        <w:rPr>
          <w:sz w:val="20"/>
          <w:szCs w:val="20"/>
          <w:color w:val="auto"/>
        </w:rPr>
      </w:pPr>
      <w:r>
        <w:rPr>
          <w:rFonts w:ascii="Arial" w:cs="Arial" w:eastAsia="Arial" w:hAnsi="Arial"/>
          <w:sz w:val="15"/>
          <w:szCs w:val="15"/>
          <w:color w:val="auto"/>
        </w:rPr>
        <w:t>amendment at a per-share price, payable in cash, equal</w:t>
      </w:r>
    </w:p>
    <w:p>
      <w:pPr>
        <w:ind w:left="4520"/>
        <w:spacing w:after="0" w:line="227" w:lineRule="auto"/>
        <w:rPr>
          <w:sz w:val="20"/>
          <w:szCs w:val="20"/>
          <w:color w:val="auto"/>
        </w:rPr>
      </w:pPr>
      <w:r>
        <w:rPr>
          <w:rFonts w:ascii="Arial" w:cs="Arial" w:eastAsia="Arial" w:hAnsi="Arial"/>
          <w:sz w:val="15"/>
          <w:szCs w:val="15"/>
          <w:color w:val="auto"/>
        </w:rPr>
        <w:t>to the aggregate amount then on deposit in the trust</w:t>
      </w:r>
    </w:p>
    <w:p>
      <w:pPr>
        <w:ind w:left="4520"/>
        <w:spacing w:after="0" w:line="227" w:lineRule="auto"/>
        <w:rPr>
          <w:sz w:val="20"/>
          <w:szCs w:val="20"/>
          <w:color w:val="auto"/>
        </w:rPr>
      </w:pPr>
      <w:r>
        <w:rPr>
          <w:rFonts w:ascii="Arial" w:cs="Arial" w:eastAsia="Arial" w:hAnsi="Arial"/>
          <w:sz w:val="15"/>
          <w:szCs w:val="15"/>
          <w:color w:val="auto"/>
        </w:rPr>
        <w:t>account, including interest earned on the funds held in</w:t>
      </w:r>
    </w:p>
    <w:p>
      <w:pPr>
        <w:ind w:left="4520"/>
        <w:spacing w:after="0" w:line="226" w:lineRule="auto"/>
        <w:rPr>
          <w:sz w:val="20"/>
          <w:szCs w:val="20"/>
          <w:color w:val="auto"/>
        </w:rPr>
      </w:pPr>
      <w:r>
        <w:rPr>
          <w:rFonts w:ascii="Arial" w:cs="Arial" w:eastAsia="Arial" w:hAnsi="Arial"/>
          <w:sz w:val="15"/>
          <w:szCs w:val="15"/>
          <w:color w:val="auto"/>
        </w:rPr>
        <w:t>the trust account and not previously released to us to</w:t>
      </w:r>
    </w:p>
    <w:p>
      <w:pPr>
        <w:ind w:left="4520"/>
        <w:spacing w:after="0" w:line="227" w:lineRule="auto"/>
        <w:rPr>
          <w:sz w:val="20"/>
          <w:szCs w:val="20"/>
          <w:color w:val="auto"/>
        </w:rPr>
      </w:pPr>
      <w:r>
        <w:rPr>
          <w:rFonts w:ascii="Arial" w:cs="Arial" w:eastAsia="Arial" w:hAnsi="Arial"/>
          <w:sz w:val="15"/>
          <w:szCs w:val="15"/>
          <w:color w:val="auto"/>
        </w:rPr>
        <w:t>pay our income taxes, if any, divided by the number of</w:t>
      </w:r>
    </w:p>
    <w:p>
      <w:pPr>
        <w:ind w:left="4520"/>
        <w:spacing w:after="0" w:line="226" w:lineRule="auto"/>
        <w:rPr>
          <w:sz w:val="20"/>
          <w:szCs w:val="20"/>
          <w:color w:val="auto"/>
        </w:rPr>
      </w:pPr>
      <w:r>
        <w:rPr>
          <w:rFonts w:ascii="Arial" w:cs="Arial" w:eastAsia="Arial" w:hAnsi="Arial"/>
          <w:sz w:val="15"/>
          <w:szCs w:val="15"/>
          <w:color w:val="auto"/>
        </w:rPr>
        <w:t>the then-outstanding public shares, subject to the</w:t>
      </w:r>
    </w:p>
    <w:p>
      <w:pPr>
        <w:ind w:left="4520"/>
        <w:spacing w:after="0" w:line="227" w:lineRule="auto"/>
        <w:rPr>
          <w:sz w:val="20"/>
          <w:szCs w:val="20"/>
          <w:color w:val="auto"/>
        </w:rPr>
      </w:pPr>
      <w:r>
        <w:rPr>
          <w:rFonts w:ascii="Arial" w:cs="Arial" w:eastAsia="Arial" w:hAnsi="Arial"/>
          <w:sz w:val="15"/>
          <w:szCs w:val="15"/>
          <w:color w:val="auto"/>
        </w:rPr>
        <w:t>limitations described above adjacent to the caption</w:t>
      </w:r>
    </w:p>
    <w:p>
      <w:pPr>
        <w:ind w:left="4520"/>
        <w:spacing w:after="0" w:line="227" w:lineRule="auto"/>
        <w:rPr>
          <w:sz w:val="20"/>
          <w:szCs w:val="20"/>
          <w:color w:val="auto"/>
        </w:rPr>
      </w:pPr>
      <w:r>
        <w:rPr>
          <w:rFonts w:ascii="Arial" w:cs="Arial" w:eastAsia="Arial" w:hAnsi="Arial"/>
          <w:sz w:val="15"/>
          <w:szCs w:val="15"/>
          <w:color w:val="auto"/>
        </w:rPr>
        <w:t>“Limitations on redemptions.” For example, our board of</w:t>
      </w:r>
    </w:p>
    <w:p>
      <w:pPr>
        <w:ind w:left="4520"/>
        <w:spacing w:after="0" w:line="226" w:lineRule="auto"/>
        <w:rPr>
          <w:sz w:val="20"/>
          <w:szCs w:val="20"/>
          <w:color w:val="auto"/>
        </w:rPr>
      </w:pPr>
      <w:r>
        <w:rPr>
          <w:rFonts w:ascii="Arial" w:cs="Arial" w:eastAsia="Arial" w:hAnsi="Arial"/>
          <w:sz w:val="15"/>
          <w:szCs w:val="15"/>
          <w:color w:val="auto"/>
        </w:rPr>
        <w:t>directors may propose such an amendment if it</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determines that additional time is necessary to complete</w:t>
      </w:r>
    </w:p>
    <w:p>
      <w:pPr>
        <w:ind w:left="4520"/>
        <w:spacing w:after="0" w:line="229" w:lineRule="auto"/>
        <w:rPr>
          <w:sz w:val="20"/>
          <w:szCs w:val="20"/>
          <w:color w:val="auto"/>
        </w:rPr>
      </w:pPr>
      <w:r>
        <w:rPr>
          <w:rFonts w:ascii="Arial" w:cs="Arial" w:eastAsia="Arial" w:hAnsi="Arial"/>
          <w:sz w:val="15"/>
          <w:szCs w:val="15"/>
          <w:color w:val="auto"/>
        </w:rPr>
        <w:t>our initial business combination. In such event, we will</w:t>
      </w:r>
    </w:p>
    <w:p>
      <w:pPr>
        <w:ind w:left="4520"/>
        <w:spacing w:after="0" w:line="226" w:lineRule="auto"/>
        <w:rPr>
          <w:sz w:val="20"/>
          <w:szCs w:val="20"/>
          <w:color w:val="auto"/>
        </w:rPr>
      </w:pPr>
      <w:r>
        <w:rPr>
          <w:rFonts w:ascii="Arial" w:cs="Arial" w:eastAsia="Arial" w:hAnsi="Arial"/>
          <w:sz w:val="15"/>
          <w:szCs w:val="15"/>
          <w:color w:val="auto"/>
        </w:rPr>
        <w:t>conduct a proxy solicitation and distribute proxy</w:t>
      </w:r>
    </w:p>
    <w:p>
      <w:pPr>
        <w:ind w:left="4520"/>
        <w:spacing w:after="0" w:line="227" w:lineRule="auto"/>
        <w:rPr>
          <w:sz w:val="20"/>
          <w:szCs w:val="20"/>
          <w:color w:val="auto"/>
        </w:rPr>
      </w:pPr>
      <w:r>
        <w:rPr>
          <w:rFonts w:ascii="Arial" w:cs="Arial" w:eastAsia="Arial" w:hAnsi="Arial"/>
          <w:sz w:val="15"/>
          <w:szCs w:val="15"/>
          <w:color w:val="auto"/>
        </w:rPr>
        <w:t>materials pursuant to Regulation 14A of the Exchange</w:t>
      </w:r>
    </w:p>
    <w:p>
      <w:pPr>
        <w:ind w:left="4520"/>
        <w:spacing w:after="0" w:line="227" w:lineRule="auto"/>
        <w:rPr>
          <w:sz w:val="20"/>
          <w:szCs w:val="20"/>
          <w:color w:val="auto"/>
        </w:rPr>
      </w:pPr>
      <w:r>
        <w:rPr>
          <w:rFonts w:ascii="Arial" w:cs="Arial" w:eastAsia="Arial" w:hAnsi="Arial"/>
          <w:sz w:val="15"/>
          <w:szCs w:val="15"/>
          <w:color w:val="auto"/>
        </w:rPr>
        <w:t>Act seeking shareholder approval of such proposal and,</w:t>
      </w:r>
    </w:p>
    <w:p>
      <w:pPr>
        <w:ind w:left="4520"/>
        <w:spacing w:after="0" w:line="226" w:lineRule="auto"/>
        <w:rPr>
          <w:sz w:val="20"/>
          <w:szCs w:val="20"/>
          <w:color w:val="auto"/>
        </w:rPr>
      </w:pPr>
      <w:r>
        <w:rPr>
          <w:rFonts w:ascii="Arial" w:cs="Arial" w:eastAsia="Arial" w:hAnsi="Arial"/>
          <w:sz w:val="15"/>
          <w:szCs w:val="15"/>
          <w:color w:val="auto"/>
        </w:rPr>
        <w:t>in connection therewith, provide our public shareholders</w:t>
      </w:r>
    </w:p>
    <w:p>
      <w:pPr>
        <w:ind w:left="4520"/>
        <w:spacing w:after="0" w:line="227" w:lineRule="auto"/>
        <w:rPr>
          <w:sz w:val="20"/>
          <w:szCs w:val="20"/>
          <w:color w:val="auto"/>
        </w:rPr>
      </w:pPr>
      <w:r>
        <w:rPr>
          <w:rFonts w:ascii="Arial" w:cs="Arial" w:eastAsia="Arial" w:hAnsi="Arial"/>
          <w:sz w:val="15"/>
          <w:szCs w:val="15"/>
          <w:color w:val="auto"/>
        </w:rPr>
        <w:t>with the redemption rights described above upon</w:t>
      </w:r>
    </w:p>
    <w:p>
      <w:pPr>
        <w:ind w:left="4520"/>
        <w:spacing w:after="0" w:line="227" w:lineRule="auto"/>
        <w:rPr>
          <w:sz w:val="20"/>
          <w:szCs w:val="20"/>
          <w:color w:val="auto"/>
        </w:rPr>
      </w:pPr>
      <w:r>
        <w:rPr>
          <w:rFonts w:ascii="Arial" w:cs="Arial" w:eastAsia="Arial" w:hAnsi="Arial"/>
          <w:sz w:val="15"/>
          <w:szCs w:val="15"/>
          <w:color w:val="auto"/>
        </w:rPr>
        <w:t>shareholder approval of such amendment. This</w:t>
      </w:r>
    </w:p>
    <w:p>
      <w:pPr>
        <w:ind w:left="4520"/>
        <w:spacing w:after="0" w:line="226" w:lineRule="auto"/>
        <w:rPr>
          <w:sz w:val="20"/>
          <w:szCs w:val="20"/>
          <w:color w:val="auto"/>
        </w:rPr>
      </w:pPr>
      <w:r>
        <w:rPr>
          <w:rFonts w:ascii="Arial" w:cs="Arial" w:eastAsia="Arial" w:hAnsi="Arial"/>
          <w:sz w:val="15"/>
          <w:szCs w:val="15"/>
          <w:color w:val="auto"/>
        </w:rPr>
        <w:t>redemption right shall apply in the event of the approval</w:t>
      </w:r>
    </w:p>
    <w:p>
      <w:pPr>
        <w:ind w:left="4520"/>
        <w:spacing w:after="0" w:line="227" w:lineRule="auto"/>
        <w:rPr>
          <w:sz w:val="20"/>
          <w:szCs w:val="20"/>
          <w:color w:val="auto"/>
        </w:rPr>
      </w:pPr>
      <w:r>
        <w:rPr>
          <w:rFonts w:ascii="Arial" w:cs="Arial" w:eastAsia="Arial" w:hAnsi="Arial"/>
          <w:sz w:val="15"/>
          <w:szCs w:val="15"/>
          <w:color w:val="auto"/>
        </w:rPr>
        <w:t>of any such amendment, whether proposed by our</w:t>
      </w:r>
    </w:p>
    <w:p>
      <w:pPr>
        <w:ind w:left="4520"/>
        <w:spacing w:after="0" w:line="226" w:lineRule="auto"/>
        <w:rPr>
          <w:sz w:val="20"/>
          <w:szCs w:val="20"/>
          <w:color w:val="auto"/>
        </w:rPr>
      </w:pPr>
      <w:r>
        <w:rPr>
          <w:rFonts w:ascii="Arial" w:cs="Arial" w:eastAsia="Arial" w:hAnsi="Arial"/>
          <w:sz w:val="15"/>
          <w:szCs w:val="15"/>
          <w:color w:val="auto"/>
        </w:rPr>
        <w:t>sponsor, any executive officer, director or director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nominee, or any other person.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 w:name="page28"/>
    <w:bookmarkEnd w:id="2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5450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1735" cy="5450205"/>
                    </a:xfrm>
                    <a:prstGeom prst="rect">
                      <a:avLst/>
                    </a:prstGeom>
                    <a:noFill/>
                  </pic:spPr>
                </pic:pic>
              </a:graphicData>
            </a:graphic>
          </wp:anchor>
        </w:drawing>
      </w:r>
    </w:p>
    <w:p>
      <w:pPr>
        <w:spacing w:after="0" w:line="394"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4560" w:type="dxa"/>
            <w:vAlign w:val="bottom"/>
            <w:gridSpan w:val="2"/>
          </w:tcPr>
          <w:p>
            <w:pPr>
              <w:ind w:left="840"/>
              <w:spacing w:after="0"/>
              <w:rPr>
                <w:sz w:val="20"/>
                <w:szCs w:val="20"/>
                <w:color w:val="auto"/>
              </w:rPr>
            </w:pPr>
            <w:r>
              <w:rPr>
                <w:rFonts w:ascii="Arial" w:cs="Arial" w:eastAsia="Arial" w:hAnsi="Arial"/>
                <w:sz w:val="15"/>
                <w:szCs w:val="15"/>
                <w:color w:val="auto"/>
                <w:w w:val="99"/>
              </w:rPr>
              <w:t>Our amended and restated memorandum and articles of</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rPr>
              <w:t>association will provide that, if we wind up for any other</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rPr>
              <w:t>reason prior to the consummation of our initial business</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7"/>
              </w:rPr>
              <w:t>combination, we will follow the foregoing procedures with</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8"/>
              </w:rPr>
              <w:t>respect to the liquidation of the trust account as promptly</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rPr>
              <w:t>as reasonably possible but not more than ten business</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rPr>
              <w:t>days thereafter, subject to applicable Cayman Islands</w:t>
            </w:r>
          </w:p>
        </w:tc>
      </w:tr>
      <w:tr>
        <w:trPr>
          <w:trHeight w:val="177"/>
        </w:trPr>
        <w:tc>
          <w:tcPr>
            <w:tcW w:w="2880" w:type="dxa"/>
            <w:vAlign w:val="bottom"/>
          </w:tcPr>
          <w:p>
            <w:pPr>
              <w:spacing w:after="0"/>
              <w:rPr>
                <w:sz w:val="15"/>
                <w:szCs w:val="15"/>
                <w:color w:val="auto"/>
              </w:rPr>
            </w:pPr>
          </w:p>
        </w:tc>
        <w:tc>
          <w:tcPr>
            <w:tcW w:w="1120" w:type="dxa"/>
            <w:vAlign w:val="bottom"/>
          </w:tcPr>
          <w:p>
            <w:pPr>
              <w:ind w:left="840"/>
              <w:spacing w:after="0"/>
              <w:rPr>
                <w:sz w:val="20"/>
                <w:szCs w:val="20"/>
                <w:color w:val="auto"/>
              </w:rPr>
            </w:pPr>
            <w:r>
              <w:rPr>
                <w:rFonts w:ascii="Arial" w:cs="Arial" w:eastAsia="Arial" w:hAnsi="Arial"/>
                <w:sz w:val="15"/>
                <w:szCs w:val="15"/>
                <w:color w:val="auto"/>
                <w:w w:val="97"/>
              </w:rPr>
              <w:t>law.</w:t>
            </w:r>
          </w:p>
        </w:tc>
        <w:tc>
          <w:tcPr>
            <w:tcW w:w="3440" w:type="dxa"/>
            <w:vAlign w:val="bottom"/>
          </w:tcPr>
          <w:p>
            <w:pPr>
              <w:spacing w:after="0"/>
              <w:rPr>
                <w:sz w:val="15"/>
                <w:szCs w:val="15"/>
                <w:color w:val="auto"/>
              </w:rPr>
            </w:pPr>
          </w:p>
        </w:tc>
      </w:tr>
      <w:tr>
        <w:trPr>
          <w:trHeight w:val="253"/>
        </w:trPr>
        <w:tc>
          <w:tcPr>
            <w:tcW w:w="2880" w:type="dxa"/>
            <w:vAlign w:val="bottom"/>
          </w:tcPr>
          <w:p>
            <w:pPr>
              <w:spacing w:after="0"/>
              <w:rPr>
                <w:sz w:val="20"/>
                <w:szCs w:val="20"/>
                <w:color w:val="auto"/>
              </w:rPr>
            </w:pPr>
            <w:r>
              <w:rPr>
                <w:rFonts w:ascii="Arial" w:cs="Arial" w:eastAsia="Arial" w:hAnsi="Arial"/>
                <w:sz w:val="15"/>
                <w:szCs w:val="15"/>
                <w:b w:val="1"/>
                <w:bCs w:val="1"/>
                <w:color w:val="auto"/>
              </w:rPr>
              <w:t>Limited payments to insiders</w:t>
            </w:r>
          </w:p>
        </w:tc>
        <w:tc>
          <w:tcPr>
            <w:tcW w:w="4560" w:type="dxa"/>
            <w:vAlign w:val="bottom"/>
            <w:gridSpan w:val="2"/>
          </w:tcPr>
          <w:p>
            <w:pPr>
              <w:ind w:left="840"/>
              <w:spacing w:after="0"/>
              <w:rPr>
                <w:sz w:val="20"/>
                <w:szCs w:val="20"/>
                <w:color w:val="auto"/>
              </w:rPr>
            </w:pPr>
            <w:r>
              <w:rPr>
                <w:rFonts w:ascii="Arial" w:cs="Arial" w:eastAsia="Arial" w:hAnsi="Arial"/>
                <w:sz w:val="15"/>
                <w:szCs w:val="15"/>
                <w:color w:val="auto"/>
              </w:rPr>
              <w:t>There will be no finder’s fees, reimbursements or cash</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9"/>
              </w:rPr>
              <w:t>payments made by the company to our sponsor, officers</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8"/>
              </w:rPr>
              <w:t>or directors, or their affiliates, for services rendered to us</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9"/>
              </w:rPr>
              <w:t>prior to or in connection with the completion of our initial</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rPr>
              <w:t>business combination, other than the following</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7"/>
              </w:rPr>
              <w:t>payments, none of which will be made from the proceeds</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rPr>
              <w:t>of this offering and the sale of the private placement</w:t>
            </w:r>
          </w:p>
        </w:tc>
      </w:tr>
      <w:tr>
        <w:trPr>
          <w:trHeight w:val="163"/>
        </w:trPr>
        <w:tc>
          <w:tcPr>
            <w:tcW w:w="2880" w:type="dxa"/>
            <w:vAlign w:val="bottom"/>
          </w:tcPr>
          <w:p>
            <w:pPr>
              <w:spacing w:after="0"/>
              <w:rPr>
                <w:sz w:val="14"/>
                <w:szCs w:val="14"/>
                <w:color w:val="auto"/>
              </w:rPr>
            </w:pPr>
          </w:p>
        </w:tc>
        <w:tc>
          <w:tcPr>
            <w:tcW w:w="4560" w:type="dxa"/>
            <w:vAlign w:val="bottom"/>
            <w:gridSpan w:val="2"/>
          </w:tcPr>
          <w:p>
            <w:pPr>
              <w:ind w:left="840"/>
              <w:spacing w:after="0" w:line="163" w:lineRule="exact"/>
              <w:rPr>
                <w:sz w:val="20"/>
                <w:szCs w:val="20"/>
                <w:color w:val="auto"/>
              </w:rPr>
            </w:pPr>
            <w:r>
              <w:rPr>
                <w:rFonts w:ascii="Arial" w:cs="Arial" w:eastAsia="Arial" w:hAnsi="Arial"/>
                <w:sz w:val="15"/>
                <w:szCs w:val="15"/>
                <w:color w:val="auto"/>
                <w:w w:val="97"/>
              </w:rPr>
              <w:t>shares held in the trust account prior to the completion of</w:t>
            </w:r>
          </w:p>
        </w:tc>
      </w:tr>
      <w:tr>
        <w:trPr>
          <w:trHeight w:val="177"/>
        </w:trPr>
        <w:tc>
          <w:tcPr>
            <w:tcW w:w="2880" w:type="dxa"/>
            <w:vAlign w:val="bottom"/>
          </w:tcPr>
          <w:p>
            <w:pPr>
              <w:spacing w:after="0"/>
              <w:rPr>
                <w:sz w:val="15"/>
                <w:szCs w:val="15"/>
                <w:color w:val="auto"/>
              </w:rPr>
            </w:pPr>
          </w:p>
        </w:tc>
        <w:tc>
          <w:tcPr>
            <w:tcW w:w="4560" w:type="dxa"/>
            <w:vAlign w:val="bottom"/>
            <w:gridSpan w:val="2"/>
          </w:tcPr>
          <w:p>
            <w:pPr>
              <w:ind w:left="840"/>
              <w:spacing w:after="0"/>
              <w:rPr>
                <w:sz w:val="20"/>
                <w:szCs w:val="20"/>
                <w:color w:val="auto"/>
              </w:rPr>
            </w:pPr>
            <w:r>
              <w:rPr>
                <w:rFonts w:ascii="Arial" w:cs="Arial" w:eastAsia="Arial" w:hAnsi="Arial"/>
                <w:sz w:val="15"/>
                <w:szCs w:val="15"/>
                <w:color w:val="auto"/>
              </w:rPr>
              <w:t>our initial business combination:</w:t>
            </w:r>
          </w:p>
        </w:tc>
      </w:tr>
      <w:tr>
        <w:trPr>
          <w:trHeight w:val="242"/>
        </w:trPr>
        <w:tc>
          <w:tcPr>
            <w:tcW w:w="288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5"/>
                <w:szCs w:val="15"/>
                <w:color w:val="auto"/>
              </w:rPr>
              <w:t>•</w:t>
            </w:r>
          </w:p>
        </w:tc>
        <w:tc>
          <w:tcPr>
            <w:tcW w:w="3440" w:type="dxa"/>
            <w:vAlign w:val="bottom"/>
          </w:tcPr>
          <w:p>
            <w:pPr>
              <w:ind w:left="20"/>
              <w:spacing w:after="0"/>
              <w:rPr>
                <w:sz w:val="20"/>
                <w:szCs w:val="20"/>
                <w:color w:val="auto"/>
              </w:rPr>
            </w:pPr>
            <w:r>
              <w:rPr>
                <w:rFonts w:ascii="Arial" w:cs="Arial" w:eastAsia="Arial" w:hAnsi="Arial"/>
                <w:sz w:val="15"/>
                <w:szCs w:val="15"/>
                <w:color w:val="auto"/>
              </w:rPr>
              <w:t>repayment of up to an aggregate of $300,000 in</w:t>
            </w:r>
          </w:p>
        </w:tc>
      </w:tr>
      <w:tr>
        <w:trPr>
          <w:trHeight w:val="163"/>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ind w:left="20"/>
              <w:spacing w:after="0" w:line="163" w:lineRule="exact"/>
              <w:rPr>
                <w:sz w:val="20"/>
                <w:szCs w:val="20"/>
                <w:color w:val="auto"/>
              </w:rPr>
            </w:pPr>
            <w:r>
              <w:rPr>
                <w:rFonts w:ascii="Arial" w:cs="Arial" w:eastAsia="Arial" w:hAnsi="Arial"/>
                <w:sz w:val="15"/>
                <w:szCs w:val="15"/>
                <w:color w:val="auto"/>
              </w:rPr>
              <w:t>loans made to us by our sponsor to cover offering-</w:t>
            </w:r>
          </w:p>
        </w:tc>
      </w:tr>
      <w:tr>
        <w:trPr>
          <w:trHeight w:val="177"/>
        </w:trPr>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5"/>
                <w:szCs w:val="15"/>
                <w:color w:val="auto"/>
              </w:rPr>
              <w:t>related and organizational expenses;</w:t>
            </w:r>
          </w:p>
        </w:tc>
      </w:tr>
      <w:tr>
        <w:trPr>
          <w:trHeight w:val="242"/>
        </w:trPr>
        <w:tc>
          <w:tcPr>
            <w:tcW w:w="288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5"/>
                <w:szCs w:val="15"/>
                <w:color w:val="auto"/>
              </w:rPr>
              <w:t>•</w:t>
            </w:r>
          </w:p>
        </w:tc>
        <w:tc>
          <w:tcPr>
            <w:tcW w:w="3440" w:type="dxa"/>
            <w:vAlign w:val="bottom"/>
          </w:tcPr>
          <w:p>
            <w:pPr>
              <w:ind w:left="20"/>
              <w:spacing w:after="0"/>
              <w:rPr>
                <w:sz w:val="20"/>
                <w:szCs w:val="20"/>
                <w:color w:val="auto"/>
              </w:rPr>
            </w:pPr>
            <w:r>
              <w:rPr>
                <w:rFonts w:ascii="Arial" w:cs="Arial" w:eastAsia="Arial" w:hAnsi="Arial"/>
                <w:sz w:val="15"/>
                <w:szCs w:val="15"/>
                <w:color w:val="auto"/>
              </w:rPr>
              <w:t>reimbursement for office space, secretarial and</w:t>
            </w:r>
          </w:p>
        </w:tc>
      </w:tr>
      <w:tr>
        <w:trPr>
          <w:trHeight w:val="163"/>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ind w:left="20"/>
              <w:spacing w:after="0" w:line="163" w:lineRule="exact"/>
              <w:rPr>
                <w:sz w:val="20"/>
                <w:szCs w:val="20"/>
                <w:color w:val="auto"/>
              </w:rPr>
            </w:pPr>
            <w:r>
              <w:rPr>
                <w:rFonts w:ascii="Arial" w:cs="Arial" w:eastAsia="Arial" w:hAnsi="Arial"/>
                <w:sz w:val="15"/>
                <w:szCs w:val="15"/>
                <w:color w:val="auto"/>
              </w:rPr>
              <w:t>administrative services provided to us by our</w:t>
            </w:r>
          </w:p>
        </w:tc>
      </w:tr>
      <w:tr>
        <w:trPr>
          <w:trHeight w:val="177"/>
        </w:trPr>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5"/>
                <w:szCs w:val="15"/>
                <w:color w:val="auto"/>
              </w:rPr>
              <w:t>sponsor, in the amount of $10,000 per month;</w:t>
            </w:r>
          </w:p>
        </w:tc>
      </w:tr>
      <w:tr>
        <w:trPr>
          <w:trHeight w:val="242"/>
        </w:trPr>
        <w:tc>
          <w:tcPr>
            <w:tcW w:w="288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5"/>
                <w:szCs w:val="15"/>
                <w:color w:val="auto"/>
              </w:rPr>
              <w:t>•</w:t>
            </w:r>
          </w:p>
        </w:tc>
        <w:tc>
          <w:tcPr>
            <w:tcW w:w="3440" w:type="dxa"/>
            <w:vAlign w:val="bottom"/>
          </w:tcPr>
          <w:p>
            <w:pPr>
              <w:ind w:left="20"/>
              <w:spacing w:after="0"/>
              <w:rPr>
                <w:sz w:val="20"/>
                <w:szCs w:val="20"/>
                <w:color w:val="auto"/>
              </w:rPr>
            </w:pPr>
            <w:r>
              <w:rPr>
                <w:rFonts w:ascii="Arial" w:cs="Arial" w:eastAsia="Arial" w:hAnsi="Arial"/>
                <w:sz w:val="15"/>
                <w:szCs w:val="15"/>
                <w:color w:val="auto"/>
              </w:rPr>
              <w:t>reimbursement for any out-of-pocket expenses</w:t>
            </w:r>
          </w:p>
        </w:tc>
      </w:tr>
      <w:tr>
        <w:trPr>
          <w:trHeight w:val="163"/>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ind w:left="20"/>
              <w:spacing w:after="0" w:line="163" w:lineRule="exact"/>
              <w:rPr>
                <w:sz w:val="20"/>
                <w:szCs w:val="20"/>
                <w:color w:val="auto"/>
              </w:rPr>
            </w:pPr>
            <w:r>
              <w:rPr>
                <w:rFonts w:ascii="Arial" w:cs="Arial" w:eastAsia="Arial" w:hAnsi="Arial"/>
                <w:sz w:val="15"/>
                <w:szCs w:val="15"/>
                <w:color w:val="auto"/>
              </w:rPr>
              <w:t>related to identifying, investigating, negotiating and</w:t>
            </w:r>
          </w:p>
        </w:tc>
      </w:tr>
      <w:tr>
        <w:trPr>
          <w:trHeight w:val="177"/>
        </w:trPr>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Arial" w:cs="Arial" w:eastAsia="Arial" w:hAnsi="Arial"/>
                <w:sz w:val="15"/>
                <w:szCs w:val="15"/>
                <w:color w:val="auto"/>
              </w:rPr>
              <w:t>completing an initial business combination; and</w:t>
            </w:r>
          </w:p>
        </w:tc>
      </w:tr>
      <w:tr>
        <w:trPr>
          <w:trHeight w:val="242"/>
        </w:trPr>
        <w:tc>
          <w:tcPr>
            <w:tcW w:w="288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5"/>
                <w:szCs w:val="15"/>
                <w:color w:val="auto"/>
              </w:rPr>
              <w:t>•</w:t>
            </w:r>
          </w:p>
        </w:tc>
        <w:tc>
          <w:tcPr>
            <w:tcW w:w="3440" w:type="dxa"/>
            <w:vAlign w:val="bottom"/>
          </w:tcPr>
          <w:p>
            <w:pPr>
              <w:ind w:left="20"/>
              <w:spacing w:after="0"/>
              <w:rPr>
                <w:sz w:val="20"/>
                <w:szCs w:val="20"/>
                <w:color w:val="auto"/>
              </w:rPr>
            </w:pPr>
            <w:r>
              <w:rPr>
                <w:rFonts w:ascii="Arial" w:cs="Arial" w:eastAsia="Arial" w:hAnsi="Arial"/>
                <w:sz w:val="15"/>
                <w:szCs w:val="15"/>
                <w:color w:val="auto"/>
              </w:rPr>
              <w:t>repayment of loans which may be made by our</w:t>
            </w:r>
          </w:p>
        </w:tc>
      </w:tr>
      <w:tr>
        <w:trPr>
          <w:trHeight w:val="163"/>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ind w:left="20"/>
              <w:spacing w:after="0" w:line="163" w:lineRule="exact"/>
              <w:rPr>
                <w:sz w:val="20"/>
                <w:szCs w:val="20"/>
                <w:color w:val="auto"/>
              </w:rPr>
            </w:pPr>
            <w:r>
              <w:rPr>
                <w:rFonts w:ascii="Arial" w:cs="Arial" w:eastAsia="Arial" w:hAnsi="Arial"/>
                <w:sz w:val="15"/>
                <w:szCs w:val="15"/>
                <w:color w:val="auto"/>
              </w:rPr>
              <w:t>sponsor or an affiliate of our sponsor or certain of</w:t>
            </w:r>
          </w:p>
        </w:tc>
      </w:tr>
      <w:tr>
        <w:trPr>
          <w:trHeight w:val="163"/>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ind w:left="20"/>
              <w:spacing w:after="0" w:line="163" w:lineRule="exact"/>
              <w:rPr>
                <w:sz w:val="20"/>
                <w:szCs w:val="20"/>
                <w:color w:val="auto"/>
              </w:rPr>
            </w:pPr>
            <w:r>
              <w:rPr>
                <w:rFonts w:ascii="Arial" w:cs="Arial" w:eastAsia="Arial" w:hAnsi="Arial"/>
                <w:sz w:val="15"/>
                <w:szCs w:val="15"/>
                <w:color w:val="auto"/>
              </w:rPr>
              <w:t>our officers and directors to finance transaction</w:t>
            </w:r>
          </w:p>
        </w:tc>
      </w:tr>
    </w:tbl>
    <w:p>
      <w:pPr>
        <w:ind w:left="4820"/>
        <w:spacing w:after="0"/>
        <w:rPr>
          <w:sz w:val="20"/>
          <w:szCs w:val="20"/>
          <w:color w:val="auto"/>
        </w:rPr>
      </w:pPr>
      <w:r>
        <w:rPr>
          <w:rFonts w:ascii="Arial" w:cs="Arial" w:eastAsia="Arial" w:hAnsi="Arial"/>
          <w:sz w:val="14"/>
          <w:szCs w:val="14"/>
          <w:color w:val="auto"/>
        </w:rPr>
        <w:t>costs in connection with an intended initial business</w:t>
      </w:r>
    </w:p>
    <w:p>
      <w:pPr>
        <w:ind w:left="4820"/>
        <w:spacing w:after="0" w:line="229" w:lineRule="auto"/>
        <w:rPr>
          <w:sz w:val="20"/>
          <w:szCs w:val="20"/>
          <w:color w:val="auto"/>
        </w:rPr>
      </w:pPr>
      <w:r>
        <w:rPr>
          <w:rFonts w:ascii="Arial" w:cs="Arial" w:eastAsia="Arial" w:hAnsi="Arial"/>
          <w:sz w:val="15"/>
          <w:szCs w:val="15"/>
          <w:color w:val="auto"/>
        </w:rPr>
        <w:t>combination. Up to $1,500,000 of such loans may</w:t>
      </w:r>
    </w:p>
    <w:p>
      <w:pPr>
        <w:ind w:left="4820"/>
        <w:spacing w:after="0" w:line="226" w:lineRule="auto"/>
        <w:rPr>
          <w:sz w:val="20"/>
          <w:szCs w:val="20"/>
          <w:color w:val="auto"/>
        </w:rPr>
      </w:pPr>
      <w:r>
        <w:rPr>
          <w:rFonts w:ascii="Arial" w:cs="Arial" w:eastAsia="Arial" w:hAnsi="Arial"/>
          <w:sz w:val="15"/>
          <w:szCs w:val="15"/>
          <w:color w:val="auto"/>
        </w:rPr>
        <w:t>be convertible into shares of the post-business</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combination company at a price of $10.00 per share</w:t>
      </w:r>
    </w:p>
    <w:p>
      <w:pPr>
        <w:ind w:left="4820"/>
        <w:spacing w:after="0" w:line="229" w:lineRule="auto"/>
        <w:rPr>
          <w:sz w:val="20"/>
          <w:szCs w:val="20"/>
          <w:color w:val="auto"/>
        </w:rPr>
      </w:pPr>
      <w:r>
        <w:rPr>
          <w:rFonts w:ascii="Arial" w:cs="Arial" w:eastAsia="Arial" w:hAnsi="Arial"/>
          <w:sz w:val="15"/>
          <w:szCs w:val="15"/>
          <w:color w:val="auto"/>
        </w:rPr>
        <w:t>at the option of the lender. The shares would be</w:t>
      </w:r>
    </w:p>
    <w:p>
      <w:pPr>
        <w:ind w:left="4820"/>
        <w:spacing w:after="0"/>
        <w:rPr>
          <w:sz w:val="20"/>
          <w:szCs w:val="20"/>
          <w:color w:val="auto"/>
        </w:rPr>
      </w:pPr>
      <w:r>
        <w:rPr>
          <w:rFonts w:ascii="Arial" w:cs="Arial" w:eastAsia="Arial" w:hAnsi="Arial"/>
          <w:sz w:val="14"/>
          <w:szCs w:val="14"/>
          <w:color w:val="auto"/>
        </w:rPr>
        <w:t>identical to the private placement shares. Except for</w:t>
      </w:r>
    </w:p>
    <w:p>
      <w:pPr>
        <w:ind w:left="4820"/>
        <w:spacing w:after="0" w:line="229" w:lineRule="auto"/>
        <w:rPr>
          <w:sz w:val="20"/>
          <w:szCs w:val="20"/>
          <w:color w:val="auto"/>
        </w:rPr>
      </w:pPr>
      <w:r>
        <w:rPr>
          <w:rFonts w:ascii="Arial" w:cs="Arial" w:eastAsia="Arial" w:hAnsi="Arial"/>
          <w:sz w:val="15"/>
          <w:szCs w:val="15"/>
          <w:color w:val="auto"/>
        </w:rPr>
        <w:t>the foregoing, the terms of such loans, if any, have</w:t>
      </w:r>
    </w:p>
    <w:p>
      <w:pPr>
        <w:ind w:left="4820"/>
        <w:spacing w:after="0" w:line="226" w:lineRule="auto"/>
        <w:rPr>
          <w:sz w:val="20"/>
          <w:szCs w:val="20"/>
          <w:color w:val="auto"/>
        </w:rPr>
      </w:pPr>
      <w:r>
        <w:rPr>
          <w:rFonts w:ascii="Arial" w:cs="Arial" w:eastAsia="Arial" w:hAnsi="Arial"/>
          <w:sz w:val="15"/>
          <w:szCs w:val="15"/>
          <w:color w:val="auto"/>
        </w:rPr>
        <w:t>not been determined and no written agreements</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5"/>
          <w:szCs w:val="15"/>
          <w:color w:val="auto"/>
        </w:rPr>
        <w:t>exist with respect to such loans.</w:t>
      </w:r>
    </w:p>
    <w:p>
      <w:pPr>
        <w:spacing w:after="0" w:line="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Any such payments will be made either (i) prior to the</w:t>
      </w:r>
    </w:p>
    <w:p>
      <w:pPr>
        <w:ind w:left="4520"/>
        <w:spacing w:after="0" w:line="226" w:lineRule="auto"/>
        <w:rPr>
          <w:sz w:val="20"/>
          <w:szCs w:val="20"/>
          <w:color w:val="auto"/>
        </w:rPr>
      </w:pPr>
      <w:r>
        <w:rPr>
          <w:rFonts w:ascii="Arial" w:cs="Arial" w:eastAsia="Arial" w:hAnsi="Arial"/>
          <w:sz w:val="15"/>
          <w:szCs w:val="15"/>
          <w:color w:val="auto"/>
        </w:rPr>
        <w:t>completion of our initial business combination using</w:t>
      </w:r>
    </w:p>
    <w:p>
      <w:pPr>
        <w:ind w:left="4520"/>
        <w:spacing w:after="0" w:line="227" w:lineRule="auto"/>
        <w:rPr>
          <w:sz w:val="20"/>
          <w:szCs w:val="20"/>
          <w:color w:val="auto"/>
        </w:rPr>
      </w:pPr>
      <w:r>
        <w:rPr>
          <w:rFonts w:ascii="Arial" w:cs="Arial" w:eastAsia="Arial" w:hAnsi="Arial"/>
          <w:sz w:val="15"/>
          <w:szCs w:val="15"/>
          <w:color w:val="auto"/>
        </w:rPr>
        <w:t>proceeds of this offering and the sale of the private</w:t>
      </w:r>
    </w:p>
    <w:p>
      <w:pPr>
        <w:ind w:left="4520"/>
        <w:spacing w:after="0" w:line="226" w:lineRule="auto"/>
        <w:rPr>
          <w:sz w:val="20"/>
          <w:szCs w:val="20"/>
          <w:color w:val="auto"/>
        </w:rPr>
      </w:pPr>
      <w:r>
        <w:rPr>
          <w:rFonts w:ascii="Arial" w:cs="Arial" w:eastAsia="Arial" w:hAnsi="Arial"/>
          <w:sz w:val="15"/>
          <w:szCs w:val="15"/>
          <w:color w:val="auto"/>
        </w:rPr>
        <w:t>placement shares held outside the trust account or from</w:t>
      </w:r>
    </w:p>
    <w:p>
      <w:pPr>
        <w:ind w:left="4520"/>
        <w:spacing w:after="0" w:line="227" w:lineRule="auto"/>
        <w:rPr>
          <w:sz w:val="20"/>
          <w:szCs w:val="20"/>
          <w:color w:val="auto"/>
        </w:rPr>
      </w:pPr>
      <w:r>
        <w:rPr>
          <w:rFonts w:ascii="Arial" w:cs="Arial" w:eastAsia="Arial" w:hAnsi="Arial"/>
          <w:sz w:val="15"/>
          <w:szCs w:val="15"/>
          <w:color w:val="auto"/>
        </w:rPr>
        <w:t>loans made to us by our sponsor or an affiliate of our</w:t>
      </w:r>
    </w:p>
    <w:p>
      <w:pPr>
        <w:ind w:left="4520"/>
        <w:spacing w:after="0" w:line="227" w:lineRule="auto"/>
        <w:rPr>
          <w:sz w:val="20"/>
          <w:szCs w:val="20"/>
          <w:color w:val="auto"/>
        </w:rPr>
      </w:pPr>
      <w:r>
        <w:rPr>
          <w:rFonts w:ascii="Arial" w:cs="Arial" w:eastAsia="Arial" w:hAnsi="Arial"/>
          <w:sz w:val="15"/>
          <w:szCs w:val="15"/>
          <w:color w:val="auto"/>
        </w:rPr>
        <w:t>sponsor or certain of our officers and directors or (ii) in</w:t>
      </w:r>
    </w:p>
    <w:p>
      <w:pPr>
        <w:ind w:left="4520"/>
        <w:spacing w:after="0" w:line="226" w:lineRule="auto"/>
        <w:rPr>
          <w:sz w:val="20"/>
          <w:szCs w:val="20"/>
          <w:color w:val="auto"/>
        </w:rPr>
      </w:pPr>
      <w:r>
        <w:rPr>
          <w:rFonts w:ascii="Arial" w:cs="Arial" w:eastAsia="Arial" w:hAnsi="Arial"/>
          <w:sz w:val="15"/>
          <w:szCs w:val="15"/>
          <w:color w:val="auto"/>
        </w:rPr>
        <w:t>connection with or after the consummation of our initial</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business combination.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 w:name="page29"/>
    <w:bookmarkEnd w:id="28"/>
    <w:p>
      <w:pPr>
        <w:ind w:left="84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860" w:type="dxa"/>
            <w:vAlign w:val="bottom"/>
            <w:tcBorders>
              <w:right w:val="single" w:sz="8" w:color="auto"/>
            </w:tcBorders>
          </w:tcPr>
          <w:p>
            <w:pPr>
              <w:spacing w:after="0"/>
              <w:rPr>
                <w:sz w:val="24"/>
                <w:szCs w:val="24"/>
                <w:color w:val="auto"/>
              </w:rPr>
            </w:pPr>
          </w:p>
        </w:tc>
        <w:tc>
          <w:tcPr>
            <w:tcW w:w="2560" w:type="dxa"/>
            <w:vAlign w:val="bottom"/>
            <w:tcBorders>
              <w:top w:val="single" w:sz="8" w:color="auto"/>
            </w:tcBorders>
          </w:tcPr>
          <w:p>
            <w:pPr>
              <w:ind w:left="180"/>
              <w:spacing w:after="0"/>
              <w:rPr>
                <w:sz w:val="20"/>
                <w:szCs w:val="20"/>
                <w:color w:val="auto"/>
              </w:rPr>
            </w:pPr>
            <w:r>
              <w:rPr>
                <w:rFonts w:ascii="Arial" w:cs="Arial" w:eastAsia="Arial" w:hAnsi="Arial"/>
                <w:sz w:val="15"/>
                <w:szCs w:val="15"/>
                <w:b w:val="1"/>
                <w:bCs w:val="1"/>
                <w:color w:val="auto"/>
              </w:rPr>
              <w:t>Audit committee</w:t>
            </w:r>
          </w:p>
        </w:tc>
        <w:tc>
          <w:tcPr>
            <w:tcW w:w="528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5"/>
                <w:szCs w:val="15"/>
                <w:color w:val="auto"/>
              </w:rPr>
              <w:t>We will establish and maintain an audit committee, which</w:t>
            </w:r>
          </w:p>
        </w:tc>
        <w:tc>
          <w:tcPr>
            <w:tcW w:w="800" w:type="dxa"/>
            <w:vAlign w:val="bottom"/>
          </w:tcPr>
          <w:p>
            <w:pPr>
              <w:spacing w:after="0"/>
              <w:rPr>
                <w:sz w:val="24"/>
                <w:szCs w:val="2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will be composed entirely of independent directors.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Among its responsibilities, the audit committee will</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review on a quarterly basis all payments that were made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by us to our sponsor, officers or directors, or their</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affiliates and monitor compliance with the other terms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relating to this offering. If any noncompliance is</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identified, then the audit committee will be charged with</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the responsibility to promptly take all action necessary to</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rectify such noncompliance or otherwise to cause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compliance with the terms of this offering. For more</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information, see the section entitled “Management —</w:t>
            </w:r>
          </w:p>
        </w:tc>
        <w:tc>
          <w:tcPr>
            <w:tcW w:w="800" w:type="dxa"/>
            <w:vAlign w:val="bottom"/>
          </w:tcPr>
          <w:p>
            <w:pPr>
              <w:spacing w:after="0"/>
              <w:rPr>
                <w:sz w:val="14"/>
                <w:szCs w:val="14"/>
                <w:color w:val="auto"/>
              </w:rPr>
            </w:pPr>
          </w:p>
        </w:tc>
      </w:tr>
      <w:tr>
        <w:trPr>
          <w:trHeight w:val="163"/>
        </w:trPr>
        <w:tc>
          <w:tcPr>
            <w:tcW w:w="860" w:type="dxa"/>
            <w:vAlign w:val="bottom"/>
            <w:tcBorders>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5280" w:type="dxa"/>
            <w:vAlign w:val="bottom"/>
            <w:tcBorders>
              <w:right w:val="single" w:sz="8" w:color="auto"/>
            </w:tcBorders>
          </w:tcPr>
          <w:p>
            <w:pPr>
              <w:ind w:left="1340"/>
              <w:spacing w:after="0" w:line="163" w:lineRule="exact"/>
              <w:rPr>
                <w:sz w:val="20"/>
                <w:szCs w:val="20"/>
                <w:color w:val="auto"/>
              </w:rPr>
            </w:pPr>
            <w:r>
              <w:rPr>
                <w:rFonts w:ascii="Arial" w:cs="Arial" w:eastAsia="Arial" w:hAnsi="Arial"/>
                <w:sz w:val="15"/>
                <w:szCs w:val="15"/>
                <w:color w:val="auto"/>
              </w:rPr>
              <w:t>Committees of the Board of Directors — Audit</w:t>
            </w:r>
          </w:p>
        </w:tc>
        <w:tc>
          <w:tcPr>
            <w:tcW w:w="800" w:type="dxa"/>
            <w:vAlign w:val="bottom"/>
          </w:tcPr>
          <w:p>
            <w:pPr>
              <w:spacing w:after="0"/>
              <w:rPr>
                <w:sz w:val="14"/>
                <w:szCs w:val="14"/>
                <w:color w:val="auto"/>
              </w:rPr>
            </w:pPr>
          </w:p>
        </w:tc>
      </w:tr>
      <w:tr>
        <w:trPr>
          <w:trHeight w:val="177"/>
        </w:trPr>
        <w:tc>
          <w:tcPr>
            <w:tcW w:w="860" w:type="dxa"/>
            <w:vAlign w:val="bottom"/>
            <w:tcBorders>
              <w:right w:val="single" w:sz="8" w:color="auto"/>
            </w:tcBorders>
          </w:tcPr>
          <w:p>
            <w:pPr>
              <w:spacing w:after="0"/>
              <w:rPr>
                <w:sz w:val="15"/>
                <w:szCs w:val="15"/>
                <w:color w:val="auto"/>
              </w:rPr>
            </w:pPr>
          </w:p>
        </w:tc>
        <w:tc>
          <w:tcPr>
            <w:tcW w:w="2560" w:type="dxa"/>
            <w:vAlign w:val="bottom"/>
          </w:tcPr>
          <w:p>
            <w:pPr>
              <w:spacing w:after="0"/>
              <w:rPr>
                <w:sz w:val="15"/>
                <w:szCs w:val="15"/>
                <w:color w:val="auto"/>
              </w:rPr>
            </w:pPr>
          </w:p>
        </w:tc>
        <w:tc>
          <w:tcPr>
            <w:tcW w:w="5280" w:type="dxa"/>
            <w:vAlign w:val="bottom"/>
            <w:tcBorders>
              <w:right w:val="single" w:sz="8" w:color="auto"/>
            </w:tcBorders>
          </w:tcPr>
          <w:p>
            <w:pPr>
              <w:ind w:left="1340"/>
              <w:spacing w:after="0"/>
              <w:rPr>
                <w:sz w:val="20"/>
                <w:szCs w:val="20"/>
                <w:color w:val="auto"/>
              </w:rPr>
            </w:pPr>
            <w:r>
              <w:rPr>
                <w:rFonts w:ascii="Arial" w:cs="Arial" w:eastAsia="Arial" w:hAnsi="Arial"/>
                <w:sz w:val="15"/>
                <w:szCs w:val="15"/>
                <w:color w:val="auto"/>
              </w:rPr>
              <w:t>Committee.”</w:t>
            </w:r>
          </w:p>
        </w:tc>
        <w:tc>
          <w:tcPr>
            <w:tcW w:w="800" w:type="dxa"/>
            <w:vAlign w:val="bottom"/>
          </w:tcPr>
          <w:p>
            <w:pPr>
              <w:spacing w:after="0"/>
              <w:rPr>
                <w:sz w:val="15"/>
                <w:szCs w:val="15"/>
                <w:color w:val="auto"/>
              </w:rPr>
            </w:pPr>
          </w:p>
        </w:tc>
      </w:tr>
      <w:tr>
        <w:trPr>
          <w:trHeight w:val="173"/>
        </w:trPr>
        <w:tc>
          <w:tcPr>
            <w:tcW w:w="860" w:type="dxa"/>
            <w:vAlign w:val="bottom"/>
            <w:tcBorders>
              <w:right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528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r>
      <w:tr>
        <w:trPr>
          <w:trHeight w:val="352"/>
        </w:trPr>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80" w:type="dxa"/>
            <w:vAlign w:val="bottom"/>
          </w:tcPr>
          <w:p>
            <w:pPr>
              <w:ind w:left="1240"/>
              <w:spacing w:after="0"/>
              <w:rPr>
                <w:sz w:val="20"/>
                <w:szCs w:val="20"/>
                <w:color w:val="auto"/>
              </w:rPr>
            </w:pPr>
            <w:r>
              <w:rPr>
                <w:rFonts w:ascii="Arial" w:cs="Arial" w:eastAsia="Arial" w:hAnsi="Arial"/>
                <w:sz w:val="14"/>
                <w:szCs w:val="14"/>
                <w:color w:val="auto"/>
              </w:rPr>
              <w:t>26</w:t>
            </w:r>
          </w:p>
        </w:tc>
        <w:tc>
          <w:tcPr>
            <w:tcW w:w="800" w:type="dxa"/>
            <w:vAlign w:val="bottom"/>
          </w:tcPr>
          <w:p>
            <w:pPr>
              <w:spacing w:after="0"/>
              <w:rPr>
                <w:sz w:val="24"/>
                <w:szCs w:val="24"/>
                <w:color w:val="auto"/>
              </w:rPr>
            </w:pPr>
          </w:p>
        </w:tc>
      </w:tr>
      <w:tr>
        <w:trPr>
          <w:trHeight w:val="159"/>
        </w:trPr>
        <w:tc>
          <w:tcPr>
            <w:tcW w:w="8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bl>
    <w:p>
      <w:pPr>
        <w:sectPr>
          <w:pgSz w:w="11900" w:h="16838" w:orient="portrait"/>
          <w:cols w:equalWidth="0" w:num="1">
            <w:col w:w="9500"/>
          </w:cols>
          <w:pgMar w:left="1200" w:top="248" w:right="1199" w:bottom="1440" w:gutter="0" w:footer="0" w:header="0"/>
        </w:sectPr>
      </w:pPr>
    </w:p>
    <w:bookmarkStart w:id="29" w:name="page30"/>
    <w:bookmarkEnd w:id="2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77470</wp:posOffset>
            </wp:positionV>
            <wp:extent cx="4991735" cy="1468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1735" cy="14681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w:t>
      </w:r>
    </w:p>
    <w:p>
      <w:pPr>
        <w:spacing w:after="0" w:line="144" w:lineRule="exact"/>
        <w:rPr>
          <w:sz w:val="20"/>
          <w:szCs w:val="20"/>
          <w:color w:val="auto"/>
        </w:rPr>
      </w:pPr>
    </w:p>
    <w:p>
      <w:pPr>
        <w:ind w:left="800" w:right="839"/>
        <w:spacing w:after="0" w:line="245" w:lineRule="auto"/>
        <w:rPr>
          <w:sz w:val="20"/>
          <w:szCs w:val="20"/>
          <w:color w:val="auto"/>
        </w:rPr>
      </w:pPr>
      <w:r>
        <w:rPr>
          <w:rFonts w:ascii="Arial" w:cs="Arial" w:eastAsia="Arial" w:hAnsi="Arial"/>
          <w:sz w:val="14"/>
          <w:szCs w:val="14"/>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Comparison of This Offering to Those of Blank Check Companies Subject to Rule 419.” You should carefully consider these and the other risks set forth in the section entitled “Risk Factors” of this prospectus.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0" w:name="page31"/>
    <w:bookmarkEnd w:id="30"/>
    <w:p>
      <w:pPr>
        <w:ind w:left="84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77470</wp:posOffset>
            </wp:positionV>
            <wp:extent cx="4991735" cy="2244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1735" cy="22440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SUMMARY FINANCIAL DATA</w:t>
      </w:r>
    </w:p>
    <w:p>
      <w:pPr>
        <w:spacing w:after="0" w:line="144" w:lineRule="exact"/>
        <w:rPr>
          <w:sz w:val="20"/>
          <w:szCs w:val="20"/>
          <w:color w:val="auto"/>
        </w:rPr>
      </w:pPr>
    </w:p>
    <w:p>
      <w:pPr>
        <w:ind w:left="1040" w:right="1160"/>
        <w:spacing w:after="0" w:line="233" w:lineRule="auto"/>
        <w:rPr>
          <w:sz w:val="20"/>
          <w:szCs w:val="20"/>
          <w:color w:val="auto"/>
        </w:rPr>
      </w:pPr>
      <w:r>
        <w:rPr>
          <w:rFonts w:ascii="Arial" w:cs="Arial" w:eastAsia="Arial" w:hAnsi="Arial"/>
          <w:sz w:val="15"/>
          <w:szCs w:val="15"/>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April 2, 2020</w:t>
            </w:r>
          </w:p>
        </w:tc>
      </w:tr>
      <w:tr>
        <w:trPr>
          <w:trHeight w:val="69"/>
        </w:trPr>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74"/>
        </w:trPr>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Working capital (deficiency)</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46"/>
              <w:spacing w:after="0"/>
              <w:rPr>
                <w:sz w:val="20"/>
                <w:szCs w:val="20"/>
                <w:color w:val="auto"/>
              </w:rPr>
            </w:pPr>
            <w:r>
              <w:rPr>
                <w:rFonts w:ascii="Arial" w:cs="Arial" w:eastAsia="Arial" w:hAnsi="Arial"/>
                <w:sz w:val="15"/>
                <w:szCs w:val="15"/>
                <w:color w:val="auto"/>
                <w:w w:val="96"/>
              </w:rPr>
              <w:t>(4,245)</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9"/>
        </w:trPr>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9"/>
        </w:trPr>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$25,000</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Total liabilities</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4,245</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9"/>
        </w:trPr>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r>
      <w:tr>
        <w:trPr>
          <w:trHeight w:val="259"/>
        </w:trPr>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Value of Class A ordinary shares subject to possible redemption</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gridSpan w:val="2"/>
          </w:tcPr>
          <w:p>
            <w:pPr>
              <w:spacing w:after="0"/>
              <w:rPr>
                <w:sz w:val="22"/>
                <w:szCs w:val="22"/>
                <w:color w:val="auto"/>
              </w:rPr>
            </w:pPr>
          </w:p>
        </w:tc>
      </w:tr>
      <w:tr>
        <w:trPr>
          <w:trHeight w:val="221"/>
        </w:trPr>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Shareholder’s equity</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rPr>
              <w:t>$20,755</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4"/>
        </w:trPr>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r>
      <w:tr>
        <w:trPr>
          <w:trHeight w:val="352"/>
        </w:trPr>
        <w:tc>
          <w:tcPr>
            <w:tcW w:w="7640" w:type="dxa"/>
            <w:vAlign w:val="bottom"/>
            <w:gridSpan w:val="3"/>
          </w:tcPr>
          <w:p>
            <w:pPr>
              <w:jc w:val="right"/>
              <w:ind w:right="2746"/>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9"/>
        </w:trPr>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bl>
    <w:p>
      <w:pPr>
        <w:sectPr>
          <w:pgSz w:w="11900" w:h="16838" w:orient="portrait"/>
          <w:cols w:equalWidth="0" w:num="1">
            <w:col w:w="9500"/>
          </w:cols>
          <w:pgMar w:left="1200" w:top="248" w:right="1199" w:bottom="1440" w:gutter="0" w:footer="0" w:header="0"/>
        </w:sectPr>
      </w:pPr>
    </w:p>
    <w:bookmarkStart w:id="31" w:name="page32"/>
    <w:bookmarkEnd w:id="3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139" w:lineRule="exact"/>
        <w:rPr>
          <w:sz w:val="20"/>
          <w:szCs w:val="20"/>
          <w:color w:val="auto"/>
        </w:rPr>
      </w:pPr>
    </w:p>
    <w:p>
      <w:pPr>
        <w:ind w:left="600" w:right="739"/>
        <w:spacing w:after="0" w:line="235" w:lineRule="auto"/>
        <w:rPr>
          <w:sz w:val="20"/>
          <w:szCs w:val="20"/>
          <w:color w:val="auto"/>
        </w:rPr>
      </w:pPr>
      <w:r>
        <w:rPr>
          <w:rFonts w:ascii="Arial" w:cs="Arial" w:eastAsia="Arial" w:hAnsi="Arial"/>
          <w:sz w:val="15"/>
          <w:szCs w:val="15"/>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ordinary shares.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6" w:lineRule="exact"/>
        <w:rPr>
          <w:sz w:val="20"/>
          <w:szCs w:val="20"/>
          <w:color w:val="auto"/>
        </w:rPr>
      </w:pPr>
    </w:p>
    <w:p>
      <w:pPr>
        <w:ind w:left="600" w:right="699"/>
        <w:spacing w:after="0" w:line="258" w:lineRule="auto"/>
        <w:rPr>
          <w:sz w:val="20"/>
          <w:szCs w:val="20"/>
          <w:color w:val="auto"/>
        </w:rPr>
      </w:pPr>
      <w:r>
        <w:rPr>
          <w:rFonts w:ascii="Arial" w:cs="Arial" w:eastAsia="Arial" w:hAnsi="Arial"/>
          <w:sz w:val="15"/>
          <w:szCs w:val="15"/>
          <w:b w:val="1"/>
          <w:bCs w:val="1"/>
          <w:color w:val="auto"/>
        </w:rPr>
        <w:t>We are a recently incorporated company with no operating history and no revenues, and you have no basis on which to evaluate our ability to achieve our business objective.</w:t>
      </w:r>
    </w:p>
    <w:p>
      <w:pPr>
        <w:spacing w:after="0" w:line="8" w:lineRule="exact"/>
        <w:rPr>
          <w:sz w:val="20"/>
          <w:szCs w:val="20"/>
          <w:color w:val="auto"/>
        </w:rPr>
      </w:pPr>
    </w:p>
    <w:p>
      <w:pPr>
        <w:ind w:left="600" w:right="619"/>
        <w:spacing w:after="0" w:line="247" w:lineRule="auto"/>
        <w:rPr>
          <w:sz w:val="20"/>
          <w:szCs w:val="20"/>
          <w:color w:val="auto"/>
        </w:rPr>
      </w:pPr>
      <w:r>
        <w:rPr>
          <w:rFonts w:ascii="Arial" w:cs="Arial" w:eastAsia="Arial" w:hAnsi="Arial"/>
          <w:sz w:val="14"/>
          <w:szCs w:val="14"/>
          <w:color w:val="auto"/>
        </w:rPr>
        <w:t>We are a recently incorporated company established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3" w:lineRule="exact"/>
        <w:rPr>
          <w:sz w:val="20"/>
          <w:szCs w:val="20"/>
          <w:color w:val="auto"/>
        </w:rPr>
      </w:pPr>
    </w:p>
    <w:p>
      <w:pPr>
        <w:ind w:left="600" w:right="1239"/>
        <w:spacing w:after="0" w:line="282" w:lineRule="auto"/>
        <w:rPr>
          <w:sz w:val="20"/>
          <w:szCs w:val="20"/>
          <w:color w:val="auto"/>
        </w:rPr>
      </w:pPr>
      <w:r>
        <w:rPr>
          <w:rFonts w:ascii="Arial" w:cs="Arial" w:eastAsia="Arial" w:hAnsi="Arial"/>
          <w:sz w:val="14"/>
          <w:szCs w:val="14"/>
          <w:b w:val="1"/>
          <w:bCs w:val="1"/>
          <w:color w:val="auto"/>
        </w:rPr>
        <w:t>Past performance by our management team or their affiliates, including Perceptive Advisors and ARYA Sciences Acquisition Corp., may not be indicative of future performance of an investment in us.</w:t>
      </w:r>
    </w:p>
    <w:p>
      <w:pPr>
        <w:ind w:left="600" w:right="639"/>
        <w:spacing w:after="0" w:line="246" w:lineRule="auto"/>
        <w:rPr>
          <w:sz w:val="20"/>
          <w:szCs w:val="20"/>
          <w:color w:val="auto"/>
        </w:rPr>
      </w:pPr>
      <w:r>
        <w:rPr>
          <w:rFonts w:ascii="Arial" w:cs="Arial" w:eastAsia="Arial" w:hAnsi="Arial"/>
          <w:sz w:val="14"/>
          <w:szCs w:val="14"/>
          <w:color w:val="auto"/>
        </w:rPr>
        <w:t>Information regarding performance by, or businesses associated with, our management team or their affiliates, including Perceptive Advisors and ARYA Sciences Acquisition Corp., is presented for informational purposes only. Any past experience of and performance by our management team or their affiliates, including Perceptive Advisors and ARYA Sciences Acquisition Corp.,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 Perceptive Advisors or any of their affiliates’ or managed fund’s performance as indicative of the future performance of an investment in us or the returns we will, or are likely to, generate going forward. An investment in us is not an investment in Perceptive Advisors.</w:t>
      </w:r>
    </w:p>
    <w:p>
      <w:pPr>
        <w:spacing w:after="0" w:line="23" w:lineRule="exact"/>
        <w:rPr>
          <w:sz w:val="20"/>
          <w:szCs w:val="20"/>
          <w:color w:val="auto"/>
        </w:rPr>
      </w:pPr>
    </w:p>
    <w:p>
      <w:pPr>
        <w:ind w:left="600" w:right="639"/>
        <w:spacing w:after="0" w:line="242" w:lineRule="auto"/>
        <w:rPr>
          <w:sz w:val="20"/>
          <w:szCs w:val="20"/>
          <w:color w:val="auto"/>
        </w:rPr>
      </w:pPr>
      <w:r>
        <w:rPr>
          <w:rFonts w:ascii="Arial" w:cs="Arial" w:eastAsia="Arial" w:hAnsi="Arial"/>
          <w:sz w:val="15"/>
          <w:szCs w:val="15"/>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20" w:lineRule="exact"/>
        <w:rPr>
          <w:sz w:val="20"/>
          <w:szCs w:val="20"/>
          <w:color w:val="auto"/>
        </w:rPr>
      </w:pPr>
    </w:p>
    <w:p>
      <w:pPr>
        <w:ind w:left="600" w:right="639"/>
        <w:spacing w:after="0" w:line="244" w:lineRule="auto"/>
        <w:rPr>
          <w:sz w:val="20"/>
          <w:szCs w:val="20"/>
          <w:color w:val="auto"/>
        </w:rPr>
      </w:pPr>
      <w:r>
        <w:rPr>
          <w:rFonts w:ascii="Arial" w:cs="Arial" w:eastAsia="Arial" w:hAnsi="Arial"/>
          <w:sz w:val="14"/>
          <w:szCs w:val="14"/>
          <w:color w:val="auto"/>
        </w:rPr>
        <w:t>We may not hold a shareholder vote to approve our initial business combination unless the business combination would require shareholder approval under applicable Cayman Islands law or stock exchange listing requirements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(excluding the private placement shares) to a target business as consideration in any business combination. Therefore, if we were structuring a business combination that required us to issue more than 20% of our issued and outstanding ordinary shares (excluding the private placement shares), we would seek shareholder approval of such business combination. However, except as required by applicable law or stock exchange rule,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outstanding ordinary shares do not approve of the business combination we consummate. Please see the section entitled “Proposed Business — Shareholders May Not Have the Ability to Approve Our Initial Business Combination” for additional information.</w:t>
      </w:r>
    </w:p>
    <w:p>
      <w:pPr>
        <w:spacing w:after="0" w:line="192" w:lineRule="exact"/>
        <w:rPr>
          <w:sz w:val="20"/>
          <w:szCs w:val="20"/>
          <w:color w:val="auto"/>
        </w:rPr>
      </w:pPr>
    </w:p>
    <w:p>
      <w:pPr>
        <w:ind w:left="600" w:right="919"/>
        <w:spacing w:after="0" w:line="258" w:lineRule="auto"/>
        <w:rPr>
          <w:sz w:val="20"/>
          <w:szCs w:val="20"/>
          <w:color w:val="auto"/>
        </w:rPr>
      </w:pPr>
      <w:r>
        <w:rPr>
          <w:rFonts w:ascii="Arial" w:cs="Arial" w:eastAsia="Arial" w:hAnsi="Arial"/>
          <w:sz w:val="15"/>
          <w:szCs w:val="15"/>
          <w:b w:val="1"/>
          <w:bCs w:val="1"/>
          <w:color w:val="auto"/>
        </w:rPr>
        <w:t>Your only opportunity to affect the investment decision regarding a potential business combination may be limited to the exercise of your right to redeem your shares from us for cash.</w:t>
      </w:r>
    </w:p>
    <w:p>
      <w:pPr>
        <w:spacing w:after="0" w:line="8"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2" w:name="page33"/>
    <w:bookmarkEnd w:id="3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939"/>
        <w:spacing w:after="0" w:line="242" w:lineRule="auto"/>
        <w:rPr>
          <w:sz w:val="20"/>
          <w:szCs w:val="20"/>
          <w:color w:val="auto"/>
        </w:rPr>
      </w:pPr>
      <w:r>
        <w:rPr>
          <w:rFonts w:ascii="Arial" w:cs="Arial" w:eastAsia="Arial" w:hAnsi="Arial"/>
          <w:sz w:val="15"/>
          <w:szCs w:val="15"/>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20"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Our sponsor will own, on an as-converted basis, 20% of our outstanding ordinary shares (excluding the private placement shares) immediately following the completion of this offering. Our sponsor and members of our management team also may from time to time purchase Class A ordinary shares prior to the completion of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are voted in favor of the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Accordingly, if we seek shareholder approval of our initial business combination, the agreement by our sponsor and our management team to vote in favor of our initial business combination will increase the likelihood that we will receive the requisite shareholder approval for such initial business combination.</w:t>
      </w:r>
    </w:p>
    <w:p>
      <w:pPr>
        <w:spacing w:after="0" w:line="26" w:lineRule="exact"/>
        <w:rPr>
          <w:sz w:val="20"/>
          <w:szCs w:val="20"/>
          <w:color w:val="auto"/>
        </w:rPr>
      </w:pPr>
    </w:p>
    <w:p>
      <w:pPr>
        <w:jc w:val="both"/>
        <w:ind w:left="600" w:right="1199"/>
        <w:spacing w:after="0" w:line="242" w:lineRule="auto"/>
        <w:rPr>
          <w:sz w:val="20"/>
          <w:szCs w:val="20"/>
          <w:color w:val="auto"/>
        </w:rPr>
      </w:pPr>
      <w:r>
        <w:rPr>
          <w:rFonts w:ascii="Arial" w:cs="Arial" w:eastAsia="Arial" w:hAnsi="Arial"/>
          <w:sz w:val="15"/>
          <w:szCs w:val="15"/>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20"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30" w:lineRule="exact"/>
        <w:rPr>
          <w:sz w:val="20"/>
          <w:szCs w:val="20"/>
          <w:color w:val="auto"/>
        </w:rPr>
      </w:pPr>
    </w:p>
    <w:p>
      <w:pPr>
        <w:ind w:left="600" w:right="1059"/>
        <w:spacing w:after="0" w:line="242" w:lineRule="auto"/>
        <w:rPr>
          <w:sz w:val="20"/>
          <w:szCs w:val="20"/>
          <w:color w:val="auto"/>
        </w:rPr>
      </w:pPr>
      <w:r>
        <w:rPr>
          <w:rFonts w:ascii="Arial" w:cs="Arial" w:eastAsia="Arial" w:hAnsi="Arial"/>
          <w:sz w:val="15"/>
          <w:szCs w:val="15"/>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20"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8" w:lineRule="exact"/>
        <w:rPr>
          <w:sz w:val="20"/>
          <w:szCs w:val="20"/>
          <w:color w:val="auto"/>
        </w:rPr>
      </w:pPr>
    </w:p>
    <w:p>
      <w:pPr>
        <w:ind w:left="600" w:right="639"/>
        <w:spacing w:after="0" w:line="242" w:lineRule="auto"/>
        <w:rPr>
          <w:sz w:val="20"/>
          <w:szCs w:val="20"/>
          <w:color w:val="auto"/>
        </w:rPr>
      </w:pPr>
      <w:r>
        <w:rPr>
          <w:rFonts w:ascii="Arial" w:cs="Arial" w:eastAsia="Arial" w:hAnsi="Arial"/>
          <w:sz w:val="15"/>
          <w:szCs w:val="15"/>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20"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3" w:name="page34"/>
    <w:bookmarkEnd w:id="3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639"/>
        <w:spacing w:after="0" w:line="235" w:lineRule="auto"/>
        <w:rPr>
          <w:sz w:val="20"/>
          <w:szCs w:val="20"/>
          <w:color w:val="auto"/>
        </w:rPr>
      </w:pPr>
      <w:r>
        <w:rPr>
          <w:rFonts w:ascii="Arial" w:cs="Arial" w:eastAsia="Arial" w:hAnsi="Arial"/>
          <w:sz w:val="15"/>
          <w:szCs w:val="15"/>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3"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complete our initial business combination within the required time period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7" w:lineRule="exact"/>
        <w:rPr>
          <w:sz w:val="20"/>
          <w:szCs w:val="20"/>
          <w:color w:val="auto"/>
        </w:rPr>
      </w:pPr>
    </w:p>
    <w:p>
      <w:pPr>
        <w:ind w:left="600" w:right="899"/>
        <w:spacing w:after="0" w:line="242" w:lineRule="auto"/>
        <w:rPr>
          <w:sz w:val="20"/>
          <w:szCs w:val="20"/>
          <w:color w:val="auto"/>
        </w:rPr>
      </w:pPr>
      <w:r>
        <w:rPr>
          <w:rFonts w:ascii="Arial" w:cs="Arial" w:eastAsia="Arial" w:hAnsi="Arial"/>
          <w:sz w:val="15"/>
          <w:szCs w:val="15"/>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20"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In December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38" w:lineRule="exact"/>
        <w:rPr>
          <w:sz w:val="20"/>
          <w:szCs w:val="20"/>
          <w:color w:val="auto"/>
        </w:rPr>
      </w:pPr>
    </w:p>
    <w:p>
      <w:pPr>
        <w:jc w:val="both"/>
        <w:ind w:left="600" w:right="779"/>
        <w:spacing w:after="0" w:line="233" w:lineRule="auto"/>
        <w:rPr>
          <w:sz w:val="20"/>
          <w:szCs w:val="20"/>
          <w:color w:val="auto"/>
        </w:rPr>
      </w:pPr>
      <w:r>
        <w:rPr>
          <w:rFonts w:ascii="Arial" w:cs="Arial" w:eastAsia="Arial" w:hAnsi="Arial"/>
          <w:sz w:val="15"/>
          <w:szCs w:val="15"/>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26" w:lineRule="exact"/>
        <w:rPr>
          <w:sz w:val="20"/>
          <w:szCs w:val="20"/>
          <w:color w:val="auto"/>
        </w:rPr>
      </w:pPr>
    </w:p>
    <w:p>
      <w:pPr>
        <w:ind w:left="600" w:right="619"/>
        <w:spacing w:after="0" w:line="236" w:lineRule="auto"/>
        <w:rPr>
          <w:sz w:val="20"/>
          <w:szCs w:val="20"/>
          <w:color w:val="auto"/>
        </w:rPr>
      </w:pPr>
      <w:r>
        <w:rPr>
          <w:rFonts w:ascii="Arial" w:cs="Arial" w:eastAsia="Arial" w:hAnsi="Arial"/>
          <w:sz w:val="15"/>
          <w:szCs w:val="15"/>
          <w:color w:val="auto"/>
        </w:rPr>
        <w:t>Finally, the outbreak of COVID-19 may also have the effect of heightening many of the other risks described in this “Risk Factors” section, such as those related to the market for our securities and cross-border transactions.</w:t>
      </w:r>
    </w:p>
    <w:p>
      <w:pPr>
        <w:spacing w:after="0" w:line="38" w:lineRule="exact"/>
        <w:rPr>
          <w:sz w:val="20"/>
          <w:szCs w:val="20"/>
          <w:color w:val="auto"/>
        </w:rPr>
      </w:pPr>
    </w:p>
    <w:p>
      <w:pPr>
        <w:ind w:left="600" w:right="779"/>
        <w:spacing w:after="0" w:line="242" w:lineRule="auto"/>
        <w:rPr>
          <w:sz w:val="20"/>
          <w:szCs w:val="20"/>
          <w:color w:val="auto"/>
        </w:rPr>
      </w:pPr>
      <w:r>
        <w:rPr>
          <w:rFonts w:ascii="Arial" w:cs="Arial" w:eastAsia="Arial" w:hAnsi="Arial"/>
          <w:sz w:val="15"/>
          <w:szCs w:val="15"/>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may not be able to find a suitable target business and consummate an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outbreak may negatively impact businesses we may seek to acquire.</w:t>
      </w:r>
    </w:p>
    <w:p>
      <w:pPr>
        <w:spacing w:after="0" w:line="138" w:lineRule="exact"/>
        <w:rPr>
          <w:sz w:val="20"/>
          <w:szCs w:val="20"/>
          <w:color w:val="auto"/>
        </w:rPr>
      </w:pPr>
    </w:p>
    <w:p>
      <w:pPr>
        <w:ind w:left="600" w:right="639"/>
        <w:spacing w:after="0" w:line="250" w:lineRule="auto"/>
        <w:rPr>
          <w:sz w:val="20"/>
          <w:szCs w:val="20"/>
          <w:color w:val="auto"/>
        </w:rPr>
      </w:pPr>
      <w:r>
        <w:rPr>
          <w:rFonts w:ascii="Arial" w:cs="Arial" w:eastAsia="Arial" w:hAnsi="Arial"/>
          <w:sz w:val="14"/>
          <w:szCs w:val="14"/>
          <w:color w:val="auto"/>
        </w:rPr>
        <w:t>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4" w:name="page35"/>
    <w:bookmarkEnd w:id="3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See “— If third parties bring claims against us, the proceeds held in the trust account could be reduced and the per-share redemption amount received by shareholders may be less than $10.00 per public share” and other risk factors herein.</w:t>
      </w:r>
    </w:p>
    <w:p>
      <w:pPr>
        <w:spacing w:after="0" w:line="39" w:lineRule="exact"/>
        <w:rPr>
          <w:sz w:val="20"/>
          <w:szCs w:val="20"/>
          <w:color w:val="auto"/>
        </w:rPr>
      </w:pPr>
    </w:p>
    <w:p>
      <w:pPr>
        <w:ind w:left="600" w:right="699"/>
        <w:spacing w:after="0" w:line="242" w:lineRule="auto"/>
        <w:rPr>
          <w:sz w:val="20"/>
          <w:szCs w:val="20"/>
          <w:color w:val="auto"/>
        </w:rPr>
      </w:pPr>
      <w:r>
        <w:rPr>
          <w:rFonts w:ascii="Arial" w:cs="Arial" w:eastAsia="Arial" w:hAnsi="Arial"/>
          <w:sz w:val="15"/>
          <w:szCs w:val="15"/>
          <w:b w:val="1"/>
          <w:bCs w:val="1"/>
          <w:color w:val="auto"/>
        </w:rPr>
        <w:t>If we seek shareholder approval of our initial business combination, our sponsor, directors, executive officers, advisors and their affiliates may elect to purchase public shares, which may influence a vote on a proposed business combination and reduce the public “float” of our Class A ordinary shares.</w:t>
      </w:r>
    </w:p>
    <w:p>
      <w:pPr>
        <w:spacing w:after="0" w:line="8" w:lineRule="exact"/>
        <w:rPr>
          <w:sz w:val="20"/>
          <w:szCs w:val="20"/>
          <w:color w:val="auto"/>
        </w:rPr>
      </w:pPr>
    </w:p>
    <w:p>
      <w:pPr>
        <w:ind w:left="600" w:right="759"/>
        <w:spacing w:after="0" w:line="229" w:lineRule="auto"/>
        <w:rPr>
          <w:sz w:val="20"/>
          <w:szCs w:val="20"/>
          <w:color w:val="auto"/>
        </w:rPr>
      </w:pPr>
      <w:r>
        <w:rPr>
          <w:rFonts w:ascii="Arial" w:cs="Arial" w:eastAsia="Arial" w:hAnsi="Arial"/>
          <w:sz w:val="15"/>
          <w:szCs w:val="15"/>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in such transactions.</w:t>
      </w:r>
    </w:p>
    <w:p>
      <w:pPr>
        <w:spacing w:after="0" w:line="139"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or (2)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36" w:lineRule="exact"/>
        <w:rPr>
          <w:sz w:val="20"/>
          <w:szCs w:val="20"/>
          <w:color w:val="auto"/>
        </w:rPr>
      </w:pPr>
    </w:p>
    <w:p>
      <w:pPr>
        <w:ind w:left="600" w:right="699"/>
        <w:spacing w:after="0" w:line="242" w:lineRule="auto"/>
        <w:rPr>
          <w:sz w:val="20"/>
          <w:szCs w:val="20"/>
          <w:color w:val="auto"/>
        </w:rPr>
      </w:pPr>
      <w:r>
        <w:rPr>
          <w:rFonts w:ascii="Arial" w:cs="Arial" w:eastAsia="Arial" w:hAnsi="Arial"/>
          <w:sz w:val="15"/>
          <w:szCs w:val="15"/>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20"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Effecting Our Initial Business Combination — Tendering Share Certificates in Connection with a Tender Offer or Redemption Rights.”</w:t>
      </w:r>
    </w:p>
    <w:p>
      <w:pPr>
        <w:spacing w:after="0" w:line="27" w:lineRule="exact"/>
        <w:rPr>
          <w:sz w:val="20"/>
          <w:szCs w:val="20"/>
          <w:color w:val="auto"/>
        </w:rPr>
      </w:pPr>
    </w:p>
    <w:p>
      <w:pPr>
        <w:jc w:val="both"/>
        <w:ind w:left="600" w:right="1339"/>
        <w:spacing w:after="0" w:line="242" w:lineRule="auto"/>
        <w:rPr>
          <w:sz w:val="20"/>
          <w:szCs w:val="20"/>
          <w:color w:val="auto"/>
        </w:rPr>
      </w:pPr>
      <w:r>
        <w:rPr>
          <w:rFonts w:ascii="Arial" w:cs="Arial" w:eastAsia="Arial" w:hAnsi="Arial"/>
          <w:sz w:val="15"/>
          <w:szCs w:val="15"/>
          <w:b w:val="1"/>
          <w:bCs w:val="1"/>
          <w:color w:val="auto"/>
        </w:rPr>
        <w:t>You will not have any rights or interests in funds from the trust account, except under certain limited circumstances. Therefore, to liquidate your investment, you may be forced to sell your public shares, potentially at a loss.</w:t>
      </w:r>
    </w:p>
    <w:p>
      <w:pPr>
        <w:spacing w:after="0" w:line="20" w:lineRule="exact"/>
        <w:rPr>
          <w:sz w:val="20"/>
          <w:szCs w:val="20"/>
          <w:color w:val="auto"/>
        </w:rPr>
      </w:pPr>
    </w:p>
    <w:p>
      <w:pPr>
        <w:ind w:left="600" w:right="699"/>
        <w:spacing w:after="0" w:line="267" w:lineRule="auto"/>
        <w:rPr>
          <w:sz w:val="20"/>
          <w:szCs w:val="20"/>
          <w:color w:val="auto"/>
        </w:rPr>
      </w:pPr>
      <w:r>
        <w:rPr>
          <w:rFonts w:ascii="Arial" w:cs="Arial" w:eastAsia="Arial" w:hAnsi="Arial"/>
          <w:sz w:val="14"/>
          <w:szCs w:val="14"/>
          <w:color w:val="auto"/>
        </w:rPr>
        <w:t>Our public shareholders will be entitled to receive funds from the trust account only upon the earlier to occur of: (i) our completion of an initial business combination, and then only in connection with those Class A ordinary shares that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5" w:name="page36"/>
    <w:bookmarkEnd w:id="3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w:t>
      </w:r>
    </w:p>
    <w:p>
      <w:pPr>
        <w:spacing w:after="0" w:line="3" w:lineRule="exact"/>
        <w:rPr>
          <w:sz w:val="20"/>
          <w:szCs w:val="20"/>
          <w:color w:val="auto"/>
        </w:rPr>
      </w:pPr>
    </w:p>
    <w:p>
      <w:pPr>
        <w:ind w:left="600" w:right="619" w:hanging="5"/>
        <w:spacing w:after="0" w:line="229" w:lineRule="auto"/>
        <w:tabs>
          <w:tab w:leader="none" w:pos="837"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redemption of our public shares if we have not consummated an initial business within 24 months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Accordingly, to liquidate your investment, you may be forced to sell your public shares, potentially at a loss.</w:t>
      </w:r>
    </w:p>
    <w:p>
      <w:pPr>
        <w:spacing w:after="0" w:line="38" w:lineRule="exact"/>
        <w:rPr>
          <w:sz w:val="20"/>
          <w:szCs w:val="20"/>
          <w:color w:val="auto"/>
        </w:rPr>
      </w:pPr>
    </w:p>
    <w:p>
      <w:pPr>
        <w:ind w:left="600" w:right="979"/>
        <w:spacing w:after="0" w:line="255" w:lineRule="auto"/>
        <w:rPr>
          <w:sz w:val="20"/>
          <w:szCs w:val="20"/>
          <w:color w:val="auto"/>
        </w:rPr>
      </w:pPr>
      <w:r>
        <w:rPr>
          <w:rFonts w:ascii="Arial" w:cs="Arial" w:eastAsia="Arial" w:hAnsi="Arial"/>
          <w:sz w:val="15"/>
          <w:szCs w:val="15"/>
          <w:b w:val="1"/>
          <w:bCs w:val="1"/>
          <w:color w:val="auto"/>
        </w:rPr>
        <w:t>Nasdaq may delist our securities from trading on its exchange, which could limit investors’ ability to make transactions in our securities and subject us to additional trading restrictions.</w:t>
      </w:r>
    </w:p>
    <w:p>
      <w:pPr>
        <w:ind w:left="600" w:right="639"/>
        <w:spacing w:after="0" w:line="228" w:lineRule="auto"/>
        <w:rPr>
          <w:sz w:val="20"/>
          <w:szCs w:val="20"/>
          <w:color w:val="auto"/>
        </w:rPr>
      </w:pPr>
      <w:r>
        <w:rPr>
          <w:rFonts w:ascii="Arial" w:cs="Arial" w:eastAsia="Arial" w:hAnsi="Arial"/>
          <w:sz w:val="15"/>
          <w:szCs w:val="15"/>
          <w:color w:val="auto"/>
        </w:rPr>
        <w:t>We intend to apply to have our shares listed on Nasdaq on the date of this prospectus. Although after giving effect to this offering we expect to meet, on a pro forma basis, the minimum initial listing standards set forth in Nasdaq’s listing standards, our securities may not be, or may not continue to be, listed on Nasdaq in the future or prior to the completion of our initial business combination. In order to continue listing our securities on Nasdaq prior to the completion of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the share price of our securities would generally be required to be at least $4.00 per share and our shareholders’ equity would generally be required to be at least $5,000,000 and we would be required to have a minimum of 300 round-lot holders (with at least 50% of such round lot holders holding securities with a market value of at least $2,500). We may not be able to meet those initial listing requirements at that time.</w:t>
      </w:r>
    </w:p>
    <w:p>
      <w:pPr>
        <w:spacing w:after="0" w:line="138" w:lineRule="exact"/>
        <w:rPr>
          <w:sz w:val="20"/>
          <w:szCs w:val="20"/>
          <w:color w:val="auto"/>
        </w:rPr>
      </w:pPr>
    </w:p>
    <w:p>
      <w:pPr>
        <w:ind w:left="600" w:right="839"/>
        <w:spacing w:after="0" w:line="233" w:lineRule="auto"/>
        <w:rPr>
          <w:sz w:val="20"/>
          <w:szCs w:val="20"/>
          <w:color w:val="auto"/>
        </w:rPr>
      </w:pPr>
      <w:r>
        <w:rPr>
          <w:rFonts w:ascii="Arial" w:cs="Arial" w:eastAsia="Arial" w:hAnsi="Arial"/>
          <w:sz w:val="15"/>
          <w:szCs w:val="15"/>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limited availability of market quotations for our securities;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reduced liquidity for our securities;</w:t>
      </w:r>
    </w:p>
    <w:p>
      <w:pPr>
        <w:spacing w:after="0" w:line="83" w:lineRule="exact"/>
        <w:rPr>
          <w:sz w:val="20"/>
          <w:szCs w:val="20"/>
          <w:color w:val="auto"/>
        </w:rPr>
      </w:pPr>
    </w:p>
    <w:p>
      <w:pPr>
        <w:ind w:left="1100" w:right="879"/>
        <w:spacing w:after="0" w:line="233" w:lineRule="auto"/>
        <w:rPr>
          <w:sz w:val="20"/>
          <w:szCs w:val="20"/>
          <w:color w:val="auto"/>
        </w:rPr>
      </w:pPr>
      <w:r>
        <w:rPr>
          <w:rFonts w:ascii="Arial" w:cs="Arial" w:eastAsia="Arial" w:hAnsi="Arial"/>
          <w:sz w:val="15"/>
          <w:szCs w:val="15"/>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limited amount of news and analyst coverage; and</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decreased ability to issue additional securities or obtain additional financing in the future.</w:t>
      </w:r>
    </w:p>
    <w:p>
      <w:pPr>
        <w:spacing w:after="0" w:line="142"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our Class A ordinary shares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6" w:name="page37"/>
    <w:bookmarkEnd w:id="3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79"/>
        <w:spacing w:after="0" w:line="233" w:lineRule="auto"/>
        <w:rPr>
          <w:sz w:val="20"/>
          <w:szCs w:val="20"/>
          <w:color w:val="auto"/>
        </w:rPr>
      </w:pPr>
      <w:r>
        <w:rPr>
          <w:rFonts w:ascii="Arial" w:cs="Arial" w:eastAsia="Arial" w:hAnsi="Arial"/>
          <w:sz w:val="15"/>
          <w:szCs w:val="15"/>
          <w:color w:val="auto"/>
        </w:rPr>
        <w:t>threaten to use these powers, to hinder the sale of securities of blank check companies in their states. Further, if we were no longer listed on Nasdaq, our shares would not qualify as covered securities under the statute and we would be subject to regulation in each state in which we offer our shares.</w:t>
      </w:r>
    </w:p>
    <w:p>
      <w:pPr>
        <w:spacing w:after="0" w:line="38" w:lineRule="exact"/>
        <w:rPr>
          <w:sz w:val="20"/>
          <w:szCs w:val="20"/>
          <w:color w:val="auto"/>
        </w:rPr>
      </w:pPr>
    </w:p>
    <w:p>
      <w:pPr>
        <w:ind w:left="600" w:right="979"/>
        <w:spacing w:after="0" w:line="237" w:lineRule="auto"/>
        <w:rPr>
          <w:sz w:val="20"/>
          <w:szCs w:val="20"/>
          <w:color w:val="auto"/>
        </w:rPr>
      </w:pPr>
      <w:r>
        <w:rPr>
          <w:rFonts w:ascii="Arial" w:cs="Arial" w:eastAsia="Arial" w:hAnsi="Arial"/>
          <w:sz w:val="15"/>
          <w:szCs w:val="15"/>
          <w:b w:val="1"/>
          <w:bCs w:val="1"/>
          <w:color w:val="auto"/>
        </w:rPr>
        <w:t>Since only holders of our founder shares will have the right to vote on the election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11" w:lineRule="exact"/>
        <w:rPr>
          <w:sz w:val="20"/>
          <w:szCs w:val="20"/>
          <w:color w:val="auto"/>
        </w:rPr>
      </w:pPr>
    </w:p>
    <w:p>
      <w:pPr>
        <w:ind w:left="600" w:right="619"/>
        <w:spacing w:after="0" w:line="248" w:lineRule="auto"/>
        <w:rPr>
          <w:sz w:val="20"/>
          <w:szCs w:val="20"/>
          <w:color w:val="auto"/>
        </w:rPr>
      </w:pPr>
      <w:r>
        <w:rPr>
          <w:rFonts w:ascii="Arial" w:cs="Arial" w:eastAsia="Arial" w:hAnsi="Arial"/>
          <w:sz w:val="14"/>
          <w:szCs w:val="14"/>
          <w:color w:val="auto"/>
        </w:rPr>
        <w:t>After completion of this offering, only holders of our founder shares will have the right to vote on the election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we have a board that includes a majority of “independent directors,” as defined under Nasdaq rules;</w:t>
      </w:r>
    </w:p>
    <w:p>
      <w:pPr>
        <w:spacing w:after="0" w:line="83" w:lineRule="exact"/>
        <w:rPr>
          <w:sz w:val="20"/>
          <w:szCs w:val="20"/>
          <w:color w:val="auto"/>
        </w:rPr>
      </w:pPr>
    </w:p>
    <w:p>
      <w:pPr>
        <w:ind w:left="1100" w:right="1019"/>
        <w:spacing w:after="0" w:line="236" w:lineRule="auto"/>
        <w:rPr>
          <w:sz w:val="20"/>
          <w:szCs w:val="20"/>
          <w:color w:val="auto"/>
        </w:rPr>
      </w:pPr>
      <w:r>
        <w:rPr>
          <w:rFonts w:ascii="Arial" w:cs="Arial" w:eastAsia="Arial" w:hAnsi="Arial"/>
          <w:sz w:val="15"/>
          <w:szCs w:val="15"/>
          <w:color w:val="auto"/>
        </w:rPr>
        <w:t>we have a compensation committee of our board that is comprised entirely of independent directors with a written charter addressing the committee’s purpose and responsibilities; and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we have independent director oversight of our director nominations.</w:t>
      </w:r>
    </w:p>
    <w:p>
      <w:pPr>
        <w:spacing w:after="0" w:line="142" w:lineRule="exact"/>
        <w:rPr>
          <w:sz w:val="20"/>
          <w:szCs w:val="20"/>
          <w:color w:val="auto"/>
        </w:rPr>
      </w:pPr>
    </w:p>
    <w:p>
      <w:pPr>
        <w:ind w:left="600" w:right="979"/>
        <w:spacing w:after="0" w:line="231" w:lineRule="auto"/>
        <w:rPr>
          <w:sz w:val="20"/>
          <w:szCs w:val="20"/>
          <w:color w:val="auto"/>
        </w:rPr>
      </w:pPr>
      <w:r>
        <w:rPr>
          <w:rFonts w:ascii="Arial" w:cs="Arial" w:eastAsia="Arial" w:hAnsi="Arial"/>
          <w:sz w:val="15"/>
          <w:szCs w:val="15"/>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You will not be entitled to protections normally afforded to investors of many other blank check companies.</w:t>
      </w:r>
    </w:p>
    <w:p>
      <w:pPr>
        <w:spacing w:after="0" w:line="32"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39" w:lineRule="exact"/>
        <w:rPr>
          <w:sz w:val="20"/>
          <w:szCs w:val="20"/>
          <w:color w:val="auto"/>
        </w:rPr>
      </w:pPr>
    </w:p>
    <w:p>
      <w:pPr>
        <w:ind w:left="600" w:right="659"/>
        <w:spacing w:after="0" w:line="237" w:lineRule="auto"/>
        <w:rPr>
          <w:sz w:val="20"/>
          <w:szCs w:val="20"/>
          <w:color w:val="auto"/>
        </w:rPr>
      </w:pPr>
      <w:r>
        <w:rPr>
          <w:rFonts w:ascii="Arial" w:cs="Arial" w:eastAsia="Arial" w:hAnsi="Arial"/>
          <w:sz w:val="15"/>
          <w:szCs w:val="15"/>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7" w:name="page38"/>
    <w:bookmarkEnd w:id="3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659"/>
        <w:spacing w:after="0" w:line="259" w:lineRule="auto"/>
        <w:rPr>
          <w:sz w:val="20"/>
          <w:szCs w:val="20"/>
          <w:color w:val="auto"/>
        </w:rPr>
      </w:pPr>
      <w:r>
        <w:rPr>
          <w:rFonts w:ascii="Arial" w:cs="Arial" w:eastAsia="Arial" w:hAnsi="Arial"/>
          <w:sz w:val="14"/>
          <w:szCs w:val="14"/>
          <w:b w:val="1"/>
          <w:bCs w:val="1"/>
          <w:color w:val="auto"/>
        </w:rPr>
        <w:t>Because of our limited resources and the significant competition for business combination opportunities, it may be more difficult for us to complete our initial business combination. If we do not complete our initial business combination within the required time period, our public shareholders may receive only approximately $10.00 per public share, or less in certain circumstances, on the liquidation of our trust account.</w:t>
      </w:r>
    </w:p>
    <w:p>
      <w:pPr>
        <w:spacing w:after="0" w:line="9" w:lineRule="exact"/>
        <w:rPr>
          <w:sz w:val="20"/>
          <w:szCs w:val="20"/>
          <w:color w:val="auto"/>
        </w:rPr>
      </w:pPr>
    </w:p>
    <w:p>
      <w:pPr>
        <w:ind w:left="600" w:right="599"/>
        <w:spacing w:after="0" w:line="227" w:lineRule="auto"/>
        <w:rPr>
          <w:sz w:val="20"/>
          <w:szCs w:val="20"/>
          <w:color w:val="auto"/>
        </w:rPr>
      </w:pPr>
      <w:r>
        <w:rPr>
          <w:rFonts w:ascii="Arial" w:cs="Arial" w:eastAsia="Arial" w:hAnsi="Arial"/>
          <w:sz w:val="15"/>
          <w:szCs w:val="15"/>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See “— If third parties bring claims against us, the proceeds held in the trust account could be reduced and the per-share redemption amount received by shareholders may be less than $10.00 per public share” and other risk factors herein.</w:t>
      </w:r>
    </w:p>
    <w:p>
      <w:pPr>
        <w:spacing w:after="0" w:line="35" w:lineRule="exact"/>
        <w:rPr>
          <w:sz w:val="20"/>
          <w:szCs w:val="20"/>
          <w:color w:val="auto"/>
        </w:rPr>
      </w:pPr>
    </w:p>
    <w:p>
      <w:pPr>
        <w:ind w:left="600" w:right="679"/>
        <w:spacing w:after="0" w:line="235" w:lineRule="auto"/>
        <w:rPr>
          <w:sz w:val="20"/>
          <w:szCs w:val="20"/>
          <w:color w:val="auto"/>
        </w:rPr>
      </w:pPr>
      <w:r>
        <w:rPr>
          <w:rFonts w:ascii="Arial" w:cs="Arial" w:eastAsia="Arial" w:hAnsi="Arial"/>
          <w:sz w:val="15"/>
          <w:szCs w:val="15"/>
          <w:b w:val="1"/>
          <w:bCs w:val="1"/>
          <w:color w:val="auto"/>
        </w:rPr>
        <w:t>If the net proceeds of this offering and the sale of the private placement shares not being held in the trust account are insufficient to allow us to operate for the 24 months following the closing of this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23"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Of the net proceeds of this offering and the sale of the private placement shares, only $1,000,000 will be available to us initially outside the trust account to fund our working capital requirements. We believe that, upon the closing of this offering, the funds available to us outside of the trust account, together with funds available from loans from our sponsor, members of our management team or any of their affiliates will be sufficient to allow us to operate for at least the 24 months following the closing of this offering; however, our estimate may not be accurate, and our sponsor, members of our management team or any of their affiliates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38"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In the event that our offering expenses exceed our estimate of $1,000,000, we may fund such excess with funds not to be held in the trust account. In such case, unless funded by the proceeds of loans available from our sponsor, members of our management team or any of their affiliates,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members of our management team or any of their affiliates or other third parties to operate or may be forced to liquidate. Neither our sponsor, members of our management team nor any of their affiliates is under any obligation to advance funds to us in such circumstances. Any such advances may be repaid only from funds held outside the trust account or from funds released to us upon completion of our initial business combination. Up to $1,500,000 of such loans may be convertible into shares of the post-business combination entity at a price of $10.00 per share at the option of the lender. The shares would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8" w:name="page39"/>
    <w:bookmarkEnd w:id="3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identical to the private placement shares.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 If we do not complete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See “— If third parties bring claims against us, the proceeds held in the trust account could be reduced and the per-share redemption amount received by shareholders may be less than $10.00 per public share” and other risk factors herein.</w:t>
      </w:r>
    </w:p>
    <w:p>
      <w:pPr>
        <w:spacing w:after="0" w:line="43" w:lineRule="exact"/>
        <w:rPr>
          <w:sz w:val="20"/>
          <w:szCs w:val="20"/>
          <w:color w:val="auto"/>
        </w:rPr>
      </w:pPr>
    </w:p>
    <w:p>
      <w:pPr>
        <w:jc w:val="both"/>
        <w:ind w:left="600" w:right="759"/>
        <w:spacing w:after="0" w:line="237" w:lineRule="auto"/>
        <w:rPr>
          <w:sz w:val="20"/>
          <w:szCs w:val="20"/>
          <w:color w:val="auto"/>
        </w:rPr>
      </w:pPr>
      <w:r>
        <w:rPr>
          <w:rFonts w:ascii="Arial" w:cs="Arial" w:eastAsia="Arial" w:hAnsi="Arial"/>
          <w:sz w:val="15"/>
          <w:szCs w:val="15"/>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11"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Even if we conduct due diligence on a target business with which we combine, this diligence may not surface all material issues with a particular target business. In addition, factors outside of the target business and outside of our control may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0" w:lineRule="exact"/>
        <w:rPr>
          <w:sz w:val="20"/>
          <w:szCs w:val="20"/>
          <w:color w:val="auto"/>
        </w:rPr>
      </w:pPr>
    </w:p>
    <w:p>
      <w:pPr>
        <w:ind w:left="600" w:right="879"/>
        <w:spacing w:after="0" w:line="255" w:lineRule="auto"/>
        <w:rPr>
          <w:sz w:val="20"/>
          <w:szCs w:val="20"/>
          <w:color w:val="auto"/>
        </w:rPr>
      </w:pPr>
      <w:r>
        <w:rPr>
          <w:rFonts w:ascii="Arial" w:cs="Arial" w:eastAsia="Arial" w:hAnsi="Arial"/>
          <w:sz w:val="15"/>
          <w:szCs w:val="15"/>
          <w:b w:val="1"/>
          <w:bCs w:val="1"/>
          <w:color w:val="auto"/>
        </w:rPr>
        <w:t>If third parties bring claims against us, the proceeds held in the trust account could be reduced and the per-share redemption amount received by shareholders may be less than $10.00 per public share.</w:t>
      </w:r>
    </w:p>
    <w:p>
      <w:pPr>
        <w:ind w:left="600" w:right="619"/>
        <w:spacing w:after="0" w:line="228" w:lineRule="auto"/>
        <w:rPr>
          <w:sz w:val="20"/>
          <w:szCs w:val="20"/>
          <w:color w:val="auto"/>
        </w:rPr>
      </w:pPr>
      <w:r>
        <w:rPr>
          <w:rFonts w:ascii="Arial" w:cs="Arial" w:eastAsia="Arial" w:hAnsi="Arial"/>
          <w:sz w:val="15"/>
          <w:szCs w:val="15"/>
          <w:color w:val="auto"/>
        </w:rPr>
        <w:t>Our placing of funds in the trust account may not protect those funds from third party claims against us. 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39" w:lineRule="exact"/>
        <w:rPr>
          <w:sz w:val="20"/>
          <w:szCs w:val="20"/>
          <w:color w:val="auto"/>
        </w:rPr>
      </w:pPr>
    </w:p>
    <w:p>
      <w:pPr>
        <w:ind w:left="600" w:right="639"/>
        <w:spacing w:after="0" w:line="245" w:lineRule="auto"/>
        <w:rPr>
          <w:sz w:val="20"/>
          <w:szCs w:val="20"/>
          <w:color w:val="auto"/>
        </w:rPr>
      </w:pPr>
      <w:r>
        <w:rPr>
          <w:rFonts w:ascii="Arial" w:cs="Arial" w:eastAsia="Arial" w:hAnsi="Arial"/>
          <w:sz w:val="14"/>
          <w:szCs w:val="14"/>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9" w:name="page40"/>
    <w:bookmarkEnd w:id="3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 xml:space="preserve">agreement the form of which is filed as an exhibit to the registration statement of which this prospectus forms a part, our sponsor has agreed that it will be liable to us if and to the extent any claims by a third party (excluding our independent registered public accounting firm)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48" w:lineRule="exact"/>
        <w:rPr>
          <w:sz w:val="20"/>
          <w:szCs w:val="20"/>
          <w:color w:val="auto"/>
        </w:rPr>
      </w:pPr>
    </w:p>
    <w:p>
      <w:pPr>
        <w:ind w:left="600" w:right="619"/>
        <w:spacing w:after="0" w:line="255" w:lineRule="auto"/>
        <w:rPr>
          <w:sz w:val="20"/>
          <w:szCs w:val="20"/>
          <w:color w:val="auto"/>
        </w:rPr>
      </w:pPr>
      <w:r>
        <w:rPr>
          <w:rFonts w:ascii="Arial" w:cs="Arial" w:eastAsia="Arial" w:hAnsi="Arial"/>
          <w:sz w:val="15"/>
          <w:szCs w:val="15"/>
          <w:b w:val="1"/>
          <w:bCs w:val="1"/>
          <w:color w:val="auto"/>
        </w:rPr>
        <w:t>Our directors may decide not to enforce the indemnification obligations of our sponsor, resulting in a reduction in the amount of funds in the trust account available for distribution to our public shareholders.</w:t>
      </w:r>
    </w:p>
    <w:p>
      <w:pPr>
        <w:ind w:left="600" w:right="599"/>
        <w:spacing w:after="0" w:line="228" w:lineRule="auto"/>
        <w:rPr>
          <w:sz w:val="20"/>
          <w:szCs w:val="20"/>
          <w:color w:val="auto"/>
        </w:rPr>
      </w:pPr>
      <w:r>
        <w:rPr>
          <w:rFonts w:ascii="Arial" w:cs="Arial" w:eastAsia="Arial" w:hAnsi="Arial"/>
          <w:sz w:val="15"/>
          <w:szCs w:val="15"/>
          <w:color w:val="auto"/>
        </w:rPr>
        <w:t>In the event that the proceeds in the trust account are reduced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41" w:lineRule="exact"/>
        <w:rPr>
          <w:sz w:val="20"/>
          <w:szCs w:val="20"/>
          <w:color w:val="auto"/>
        </w:rPr>
      </w:pPr>
    </w:p>
    <w:p>
      <w:pPr>
        <w:ind w:left="600" w:right="619"/>
        <w:spacing w:after="0" w:line="242" w:lineRule="auto"/>
        <w:rPr>
          <w:sz w:val="20"/>
          <w:szCs w:val="20"/>
          <w:color w:val="auto"/>
        </w:rPr>
      </w:pPr>
      <w:r>
        <w:rPr>
          <w:rFonts w:ascii="Arial" w:cs="Arial" w:eastAsia="Arial" w:hAnsi="Arial"/>
          <w:sz w:val="15"/>
          <w:szCs w:val="15"/>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8"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40" w:lineRule="exact"/>
        <w:rPr>
          <w:sz w:val="20"/>
          <w:szCs w:val="20"/>
          <w:color w:val="auto"/>
        </w:rPr>
      </w:pPr>
    </w:p>
    <w:p>
      <w:pPr>
        <w:ind w:left="600" w:right="659"/>
        <w:spacing w:after="0" w:line="235" w:lineRule="auto"/>
        <w:rPr>
          <w:sz w:val="20"/>
          <w:szCs w:val="20"/>
          <w:color w:val="auto"/>
        </w:rPr>
      </w:pPr>
      <w:r>
        <w:rPr>
          <w:rFonts w:ascii="Arial" w:cs="Arial" w:eastAsia="Arial" w:hAnsi="Arial"/>
          <w:sz w:val="15"/>
          <w:szCs w:val="15"/>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1" w:lineRule="exact"/>
        <w:rPr>
          <w:sz w:val="20"/>
          <w:szCs w:val="20"/>
          <w:color w:val="auto"/>
        </w:rPr>
      </w:pPr>
    </w:p>
    <w:p>
      <w:pPr>
        <w:ind w:left="600" w:right="659"/>
        <w:spacing w:after="0" w:line="250" w:lineRule="auto"/>
        <w:rPr>
          <w:sz w:val="20"/>
          <w:szCs w:val="20"/>
          <w:color w:val="auto"/>
        </w:rPr>
      </w:pPr>
      <w:r>
        <w:rPr>
          <w:rFonts w:ascii="Arial" w:cs="Arial" w:eastAsia="Arial" w:hAnsi="Arial"/>
          <w:sz w:val="14"/>
          <w:szCs w:val="14"/>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0" w:name="page41"/>
    <w:bookmarkEnd w:id="4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79"/>
        <w:spacing w:after="0" w:line="233" w:lineRule="auto"/>
        <w:rPr>
          <w:sz w:val="20"/>
          <w:szCs w:val="20"/>
          <w:color w:val="auto"/>
        </w:rPr>
      </w:pPr>
      <w:r>
        <w:rPr>
          <w:rFonts w:ascii="Arial" w:cs="Arial" w:eastAsia="Arial" w:hAnsi="Arial"/>
          <w:sz w:val="15"/>
          <w:szCs w:val="15"/>
          <w:color w:val="auto"/>
        </w:rPr>
        <w:t>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38" w:lineRule="exact"/>
        <w:rPr>
          <w:sz w:val="20"/>
          <w:szCs w:val="20"/>
          <w:color w:val="auto"/>
        </w:rPr>
      </w:pPr>
    </w:p>
    <w:p>
      <w:pPr>
        <w:ind w:left="600" w:right="619"/>
        <w:spacing w:after="0" w:line="237" w:lineRule="auto"/>
        <w:rPr>
          <w:sz w:val="20"/>
          <w:szCs w:val="20"/>
          <w:color w:val="auto"/>
        </w:rPr>
      </w:pPr>
      <w:r>
        <w:rPr>
          <w:rFonts w:ascii="Arial" w:cs="Arial" w:eastAsia="Arial" w:hAnsi="Arial"/>
          <w:sz w:val="15"/>
          <w:szCs w:val="15"/>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1"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42" w:lineRule="exact"/>
        <w:rPr>
          <w:sz w:val="20"/>
          <w:szCs w:val="20"/>
          <w:color w:val="auto"/>
        </w:rPr>
      </w:pPr>
    </w:p>
    <w:p>
      <w:pPr>
        <w:ind w:left="600" w:right="639"/>
        <w:spacing w:after="0" w:line="242" w:lineRule="auto"/>
        <w:rPr>
          <w:sz w:val="20"/>
          <w:szCs w:val="20"/>
          <w:color w:val="auto"/>
        </w:rPr>
      </w:pPr>
      <w:r>
        <w:rPr>
          <w:rFonts w:ascii="Arial" w:cs="Arial" w:eastAsia="Arial" w:hAnsi="Arial"/>
          <w:sz w:val="15"/>
          <w:szCs w:val="15"/>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8" w:lineRule="exact"/>
        <w:rPr>
          <w:sz w:val="20"/>
          <w:szCs w:val="20"/>
          <w:color w:val="auto"/>
        </w:rPr>
      </w:pPr>
    </w:p>
    <w:p>
      <w:pPr>
        <w:ind w:left="600" w:right="859"/>
        <w:spacing w:after="0" w:line="236" w:lineRule="auto"/>
        <w:rPr>
          <w:sz w:val="20"/>
          <w:szCs w:val="20"/>
          <w:color w:val="auto"/>
        </w:rPr>
      </w:pPr>
      <w:r>
        <w:rPr>
          <w:rFonts w:ascii="Arial" w:cs="Arial" w:eastAsia="Arial" w:hAnsi="Arial"/>
          <w:sz w:val="15"/>
          <w:szCs w:val="15"/>
          <w:color w:val="auto"/>
        </w:rPr>
        <w:t>If we are deemed to be an investment company under the Investment Company Act, our activities may be restricted, including:</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restrictions on the nature of our investments; and</w:t>
      </w:r>
    </w:p>
    <w:p>
      <w:pPr>
        <w:spacing w:after="0" w:line="49" w:lineRule="exact"/>
        <w:rPr>
          <w:sz w:val="20"/>
          <w:szCs w:val="20"/>
          <w:color w:val="auto"/>
        </w:rPr>
      </w:pPr>
    </w:p>
    <w:p>
      <w:pPr>
        <w:ind w:left="1100" w:right="1159"/>
        <w:spacing w:after="0" w:line="236" w:lineRule="auto"/>
        <w:rPr>
          <w:sz w:val="20"/>
          <w:szCs w:val="20"/>
          <w:color w:val="auto"/>
        </w:rPr>
      </w:pPr>
      <w:r>
        <w:rPr>
          <w:rFonts w:ascii="Arial" w:cs="Arial" w:eastAsia="Arial" w:hAnsi="Arial"/>
          <w:sz w:val="15"/>
          <w:szCs w:val="15"/>
          <w:color w:val="auto"/>
        </w:rPr>
        <w:t>restrictions on the issuance of securities, each of which may make it difficult for us to complete our initial business combination.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addition, we may have imposed upon us burdensome requirements, including:</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registration as an investment company with the SEC;</w:t>
      </w:r>
    </w:p>
    <w:p>
      <w:pPr>
        <w:spacing w:after="0" w:line="6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adoption of a specific form of corporate structure; and</w:t>
      </w:r>
    </w:p>
    <w:p>
      <w:pPr>
        <w:spacing w:after="0" w:line="49" w:lineRule="exact"/>
        <w:rPr>
          <w:sz w:val="20"/>
          <w:szCs w:val="20"/>
          <w:color w:val="auto"/>
        </w:rPr>
      </w:pPr>
    </w:p>
    <w:p>
      <w:pPr>
        <w:ind w:left="1100" w:right="639"/>
        <w:spacing w:after="0" w:line="236" w:lineRule="auto"/>
        <w:rPr>
          <w:sz w:val="20"/>
          <w:szCs w:val="20"/>
          <w:color w:val="auto"/>
        </w:rPr>
      </w:pPr>
      <w:r>
        <w:rPr>
          <w:rFonts w:ascii="Arial" w:cs="Arial" w:eastAsia="Arial" w:hAnsi="Arial"/>
          <w:sz w:val="15"/>
          <w:szCs w:val="15"/>
          <w:color w:val="auto"/>
        </w:rPr>
        <w:t>reporting, record keeping, voting, proxy and disclosure requirements and other rules and regulations that we are currently not subject to.</w:t>
      </w:r>
    </w:p>
    <w:p>
      <w:pPr>
        <w:spacing w:after="0" w:line="138"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126"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1" w:name="page42"/>
    <w:bookmarkEnd w:id="4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hanging="5"/>
        <w:spacing w:after="0" w:line="229" w:lineRule="auto"/>
        <w:tabs>
          <w:tab w:leader="none" w:pos="837"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redemption of our public shares if we have not consummated an initial business within 24 months from the closing of this offering, subject to applicable law and as further described herein.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within the required time period, our public shareholders may receive only approximately $10.00 per public share, or less in certain circumstances, on the liquidation of our trust account.</w:t>
      </w:r>
    </w:p>
    <w:p>
      <w:pPr>
        <w:spacing w:after="0" w:line="40" w:lineRule="exact"/>
        <w:rPr>
          <w:sz w:val="20"/>
          <w:szCs w:val="20"/>
          <w:color w:val="auto"/>
        </w:rPr>
      </w:pPr>
    </w:p>
    <w:p>
      <w:pPr>
        <w:ind w:left="600" w:right="739"/>
        <w:spacing w:after="0" w:line="242" w:lineRule="auto"/>
        <w:rPr>
          <w:sz w:val="20"/>
          <w:szCs w:val="20"/>
          <w:color w:val="auto"/>
        </w:rPr>
      </w:pPr>
      <w:r>
        <w:rPr>
          <w:rFonts w:ascii="Arial" w:cs="Arial" w:eastAsia="Arial" w:hAnsi="Arial"/>
          <w:sz w:val="15"/>
          <w:szCs w:val="15"/>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40" w:lineRule="exact"/>
        <w:rPr>
          <w:sz w:val="20"/>
          <w:szCs w:val="20"/>
          <w:color w:val="auto"/>
        </w:rPr>
      </w:pPr>
    </w:p>
    <w:p>
      <w:pPr>
        <w:ind w:left="600" w:right="879"/>
        <w:spacing w:after="0" w:line="242" w:lineRule="auto"/>
        <w:rPr>
          <w:sz w:val="20"/>
          <w:szCs w:val="20"/>
          <w:color w:val="auto"/>
        </w:rPr>
      </w:pPr>
      <w:r>
        <w:rPr>
          <w:rFonts w:ascii="Arial" w:cs="Arial" w:eastAsia="Arial" w:hAnsi="Arial"/>
          <w:sz w:val="15"/>
          <w:szCs w:val="15"/>
          <w:b w:val="1"/>
          <w:bCs w:val="1"/>
          <w:color w:val="auto"/>
        </w:rPr>
        <w:t>If we do not consummate an initial business combination within 24 months from the closing of this offering, our public shareholders may be forced to wait beyond such 24 months before redemption from our trust account.</w:t>
      </w:r>
    </w:p>
    <w:p>
      <w:pPr>
        <w:spacing w:after="0" w:line="8" w:lineRule="exact"/>
        <w:rPr>
          <w:sz w:val="20"/>
          <w:szCs w:val="20"/>
          <w:color w:val="auto"/>
        </w:rPr>
      </w:pPr>
    </w:p>
    <w:p>
      <w:pPr>
        <w:ind w:left="600" w:right="599"/>
        <w:spacing w:after="0" w:line="244" w:lineRule="auto"/>
        <w:rPr>
          <w:sz w:val="20"/>
          <w:szCs w:val="20"/>
          <w:color w:val="auto"/>
        </w:rPr>
      </w:pPr>
      <w:r>
        <w:rPr>
          <w:rFonts w:ascii="Arial" w:cs="Arial" w:eastAsia="Arial" w:hAnsi="Arial"/>
          <w:sz w:val="14"/>
          <w:szCs w:val="14"/>
          <w:color w:val="auto"/>
        </w:rPr>
        <w:t>If we do not consummate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00" w:lineRule="exact"/>
        <w:rPr>
          <w:sz w:val="20"/>
          <w:szCs w:val="20"/>
          <w:color w:val="auto"/>
        </w:rPr>
      </w:pPr>
    </w:p>
    <w:p>
      <w:pPr>
        <w:ind w:left="600" w:right="619"/>
        <w:spacing w:after="0" w:line="255" w:lineRule="auto"/>
        <w:rPr>
          <w:sz w:val="20"/>
          <w:szCs w:val="20"/>
          <w:color w:val="auto"/>
        </w:rPr>
      </w:pPr>
      <w:r>
        <w:rPr>
          <w:rFonts w:ascii="Arial" w:cs="Arial" w:eastAsia="Arial" w:hAnsi="Arial"/>
          <w:sz w:val="15"/>
          <w:szCs w:val="15"/>
          <w:b w:val="1"/>
          <w:bCs w:val="1"/>
          <w:color w:val="auto"/>
        </w:rPr>
        <w:t>Our shareholders may be held liable for claims by third parties against us to the extent of distributions received by them upon redemption of their shares.</w:t>
      </w:r>
    </w:p>
    <w:p>
      <w:pPr>
        <w:ind w:left="600" w:right="739"/>
        <w:spacing w:after="0" w:line="228" w:lineRule="auto"/>
        <w:rPr>
          <w:sz w:val="20"/>
          <w:szCs w:val="20"/>
          <w:color w:val="auto"/>
        </w:rPr>
      </w:pPr>
      <w:r>
        <w:rPr>
          <w:rFonts w:ascii="Arial" w:cs="Arial" w:eastAsia="Arial" w:hAnsi="Arial"/>
          <w:sz w:val="15"/>
          <w:szCs w:val="15"/>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Claims may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77" w:lineRule="exact"/>
        <w:rPr>
          <w:sz w:val="20"/>
          <w:szCs w:val="20"/>
          <w:color w:val="auto"/>
        </w:rPr>
      </w:pPr>
    </w:p>
    <w:p>
      <w:pPr>
        <w:ind w:left="600" w:right="1139"/>
        <w:spacing w:after="0" w:line="258" w:lineRule="auto"/>
        <w:rPr>
          <w:sz w:val="20"/>
          <w:szCs w:val="20"/>
          <w:color w:val="auto"/>
        </w:rPr>
      </w:pPr>
      <w:r>
        <w:rPr>
          <w:rFonts w:ascii="Arial" w:cs="Arial" w:eastAsia="Arial" w:hAnsi="Arial"/>
          <w:sz w:val="15"/>
          <w:szCs w:val="15"/>
          <w:b w:val="1"/>
          <w:bCs w:val="1"/>
          <w:color w:val="auto"/>
        </w:rPr>
        <w:t>We may not hold an annual meeting of shareholders until after the consummation of our initial business combination.</w:t>
      </w:r>
    </w:p>
    <w:p>
      <w:pPr>
        <w:spacing w:after="0" w:line="8" w:lineRule="exact"/>
        <w:rPr>
          <w:sz w:val="20"/>
          <w:szCs w:val="20"/>
          <w:color w:val="auto"/>
        </w:rPr>
      </w:pPr>
    </w:p>
    <w:p>
      <w:pPr>
        <w:ind w:left="600" w:right="679"/>
        <w:spacing w:after="0" w:line="267" w:lineRule="auto"/>
        <w:rPr>
          <w:sz w:val="20"/>
          <w:szCs w:val="20"/>
          <w:color w:val="auto"/>
        </w:rPr>
      </w:pPr>
      <w:r>
        <w:rPr>
          <w:rFonts w:ascii="Arial" w:cs="Arial" w:eastAsia="Arial" w:hAnsi="Arial"/>
          <w:sz w:val="14"/>
          <w:szCs w:val="14"/>
          <w:color w:val="auto"/>
        </w:rPr>
        <w:t>In accordance with Nasdaq corporate governance requirements, we are not required to hold an annual meeting until no later than one year after our first fiscal year end following our listing on Nasdaq. As an exempted company, there is no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2" w:name="page43"/>
    <w:bookmarkEnd w:id="4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requirement under the Companies Law for us to hold annual or shareholder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40" w:lineRule="exact"/>
        <w:rPr>
          <w:sz w:val="20"/>
          <w:szCs w:val="20"/>
          <w:color w:val="auto"/>
        </w:rPr>
      </w:pPr>
    </w:p>
    <w:p>
      <w:pPr>
        <w:ind w:left="600" w:right="759"/>
        <w:spacing w:after="0" w:line="255" w:lineRule="auto"/>
        <w:rPr>
          <w:sz w:val="20"/>
          <w:szCs w:val="20"/>
          <w:color w:val="auto"/>
        </w:rPr>
      </w:pPr>
      <w:r>
        <w:rPr>
          <w:rFonts w:ascii="Arial" w:cs="Arial" w:eastAsia="Arial" w:hAnsi="Arial"/>
          <w:sz w:val="15"/>
          <w:szCs w:val="15"/>
          <w:b w:val="1"/>
          <w:bCs w:val="1"/>
          <w:color w:val="auto"/>
        </w:rPr>
        <w:t>Holders of Class A ordinary shares will not be entitled to vote on any election of directors we hold prior to the completion of our initial business combination.</w:t>
      </w:r>
    </w:p>
    <w:p>
      <w:pPr>
        <w:ind w:left="600" w:right="719"/>
        <w:spacing w:after="0" w:line="230" w:lineRule="auto"/>
        <w:rPr>
          <w:sz w:val="20"/>
          <w:szCs w:val="20"/>
          <w:color w:val="auto"/>
        </w:rPr>
      </w:pPr>
      <w:r>
        <w:rPr>
          <w:rFonts w:ascii="Arial" w:cs="Arial" w:eastAsia="Arial" w:hAnsi="Arial"/>
          <w:sz w:val="15"/>
          <w:szCs w:val="15"/>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40" w:lineRule="exact"/>
        <w:rPr>
          <w:sz w:val="20"/>
          <w:szCs w:val="20"/>
          <w:color w:val="auto"/>
        </w:rPr>
      </w:pPr>
    </w:p>
    <w:p>
      <w:pPr>
        <w:jc w:val="both"/>
        <w:ind w:left="600" w:right="999"/>
        <w:spacing w:after="0" w:line="242" w:lineRule="auto"/>
        <w:rPr>
          <w:sz w:val="20"/>
          <w:szCs w:val="20"/>
          <w:color w:val="auto"/>
        </w:rPr>
      </w:pPr>
      <w:r>
        <w:rPr>
          <w:rFonts w:ascii="Arial" w:cs="Arial" w:eastAsia="Arial" w:hAnsi="Arial"/>
          <w:sz w:val="15"/>
          <w:szCs w:val="15"/>
          <w:b w:val="1"/>
          <w:bCs w:val="1"/>
          <w:color w:val="auto"/>
        </w:rPr>
        <w:t>The grant of registration rights to our initial shareholders may make it more difficult to complete our initial business combination, and the future exercise of such rights may adversely affect the market price of our Class A ordinary shares.</w:t>
      </w:r>
    </w:p>
    <w:p>
      <w:pPr>
        <w:spacing w:after="0" w:line="8"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and the private placement shares, including the private placement shares that may be issued upon conversion of working capital loans.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initial shareholders or their permitted transferees are registered for resale.</w:t>
      </w:r>
    </w:p>
    <w:p>
      <w:pPr>
        <w:spacing w:after="0" w:line="42" w:lineRule="exact"/>
        <w:rPr>
          <w:sz w:val="20"/>
          <w:szCs w:val="20"/>
          <w:color w:val="auto"/>
        </w:rPr>
      </w:pPr>
    </w:p>
    <w:p>
      <w:pPr>
        <w:jc w:val="both"/>
        <w:ind w:left="600" w:right="1019"/>
        <w:spacing w:after="0" w:line="242" w:lineRule="auto"/>
        <w:rPr>
          <w:sz w:val="20"/>
          <w:szCs w:val="20"/>
          <w:color w:val="auto"/>
        </w:rPr>
      </w:pPr>
      <w:r>
        <w:rPr>
          <w:rFonts w:ascii="Arial" w:cs="Arial" w:eastAsia="Arial" w:hAnsi="Arial"/>
          <w:sz w:val="15"/>
          <w:szCs w:val="15"/>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8" w:lineRule="exact"/>
        <w:rPr>
          <w:sz w:val="20"/>
          <w:szCs w:val="20"/>
          <w:color w:val="auto"/>
        </w:rPr>
      </w:pPr>
    </w:p>
    <w:p>
      <w:pPr>
        <w:ind w:left="600" w:right="599"/>
        <w:spacing w:after="0" w:line="227" w:lineRule="auto"/>
        <w:rPr>
          <w:sz w:val="20"/>
          <w:szCs w:val="20"/>
          <w:color w:val="auto"/>
        </w:rPr>
      </w:pPr>
      <w:r>
        <w:rPr>
          <w:rFonts w:ascii="Arial" w:cs="Arial" w:eastAsia="Arial" w:hAnsi="Arial"/>
          <w:sz w:val="15"/>
          <w:szCs w:val="15"/>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An investment in our Class A ordinary shares may not ultimately prove to be more favorable to investors than a direct investment, if such opportunity were available, in a business combination target.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7" w:lineRule="exact"/>
        <w:rPr>
          <w:sz w:val="20"/>
          <w:szCs w:val="20"/>
          <w:color w:val="auto"/>
        </w:rPr>
      </w:pPr>
    </w:p>
    <w:p>
      <w:pPr>
        <w:ind w:left="600" w:right="639"/>
        <w:spacing w:after="0" w:line="255" w:lineRule="auto"/>
        <w:rPr>
          <w:sz w:val="20"/>
          <w:szCs w:val="20"/>
          <w:color w:val="auto"/>
        </w:rPr>
      </w:pPr>
      <w:r>
        <w:rPr>
          <w:rFonts w:ascii="Arial" w:cs="Arial" w:eastAsia="Arial" w:hAnsi="Arial"/>
          <w:sz w:val="15"/>
          <w:szCs w:val="15"/>
          <w:b w:val="1"/>
          <w:bCs w:val="1"/>
          <w:color w:val="auto"/>
        </w:rPr>
        <w:t>Because we intend to seek a business combination with a target business in the healthcare industry, we expect our future operations to be subject to risks associated with this industry.</w:t>
      </w:r>
    </w:p>
    <w:p>
      <w:pPr>
        <w:ind w:left="600" w:right="939"/>
        <w:spacing w:after="0" w:line="236" w:lineRule="auto"/>
        <w:rPr>
          <w:sz w:val="20"/>
          <w:szCs w:val="20"/>
          <w:color w:val="auto"/>
        </w:rPr>
      </w:pPr>
      <w:r>
        <w:rPr>
          <w:rFonts w:ascii="Arial" w:cs="Arial" w:eastAsia="Arial" w:hAnsi="Arial"/>
          <w:sz w:val="15"/>
          <w:szCs w:val="15"/>
          <w:color w:val="auto"/>
        </w:rPr>
        <w:t>Because we intend to seek a business combination with a target business in the healthcare industry, we expect our future operations to be subject to risks associated with this industry.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3" w:name="page44"/>
    <w:bookmarkEnd w:id="4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Healthcare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139" w:lineRule="exact"/>
        <w:rPr>
          <w:sz w:val="20"/>
          <w:szCs w:val="20"/>
          <w:color w:val="auto"/>
        </w:rPr>
      </w:pPr>
    </w:p>
    <w:p>
      <w:pPr>
        <w:ind w:left="600" w:right="619"/>
        <w:spacing w:after="0" w:line="246" w:lineRule="auto"/>
        <w:rPr>
          <w:sz w:val="20"/>
          <w:szCs w:val="20"/>
          <w:color w:val="auto"/>
        </w:rPr>
      </w:pPr>
      <w:r>
        <w:rPr>
          <w:rFonts w:ascii="Arial" w:cs="Arial" w:eastAsia="Arial" w:hAnsi="Arial"/>
          <w:sz w:val="14"/>
          <w:szCs w:val="14"/>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sector in the United States and consequently has the ability to affect companies within the healthcare industry. The ultimate effects of federal healthcare reform or any future legislation or regulation, or healthcare initiatives, if any, on the healthcare sector, whether implemented at the federal or state level or internationally, cannot be predicted with certainty and such reform, legislation, regulation or initiatives may adversely affect the performance of a potential business combination.</w:t>
      </w:r>
    </w:p>
    <w:p>
      <w:pPr>
        <w:spacing w:after="0" w:line="136" w:lineRule="exact"/>
        <w:rPr>
          <w:sz w:val="20"/>
          <w:szCs w:val="20"/>
          <w:color w:val="auto"/>
        </w:rPr>
      </w:pPr>
    </w:p>
    <w:p>
      <w:pPr>
        <w:ind w:left="600" w:right="779"/>
        <w:spacing w:after="0" w:line="245" w:lineRule="auto"/>
        <w:rPr>
          <w:sz w:val="20"/>
          <w:szCs w:val="20"/>
          <w:color w:val="auto"/>
        </w:rPr>
      </w:pPr>
      <w:r>
        <w:rPr>
          <w:rFonts w:ascii="Arial" w:cs="Arial" w:eastAsia="Arial" w:hAnsi="Arial"/>
          <w:sz w:val="14"/>
          <w:szCs w:val="14"/>
          <w:color w:val="auto"/>
        </w:rPr>
        <w:t>Changes in governmental policies may have a material effect on the demand for or costs of certain products and services. A healthcare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125"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Certain healthcare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related companies affect the health and well-being of many individuals, these companies are especially susceptible to product liability lawsuits.</w:t>
      </w:r>
    </w:p>
    <w:p>
      <w:pPr>
        <w:spacing w:after="0" w:line="141"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The healthcare industry spends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30" w:lineRule="exact"/>
        <w:rPr>
          <w:sz w:val="20"/>
          <w:szCs w:val="20"/>
          <w:color w:val="auto"/>
        </w:rPr>
      </w:pPr>
    </w:p>
    <w:p>
      <w:pPr>
        <w:ind w:left="600" w:right="1219"/>
        <w:spacing w:after="0" w:line="258" w:lineRule="auto"/>
        <w:rPr>
          <w:sz w:val="20"/>
          <w:szCs w:val="20"/>
          <w:color w:val="auto"/>
        </w:rPr>
      </w:pPr>
      <w:r>
        <w:rPr>
          <w:rFonts w:ascii="Arial" w:cs="Arial" w:eastAsia="Arial" w:hAnsi="Arial"/>
          <w:sz w:val="15"/>
          <w:szCs w:val="15"/>
          <w:b w:val="1"/>
          <w:bCs w:val="1"/>
          <w:color w:val="auto"/>
        </w:rPr>
        <w:t>We may seek acquisition opportunities in industries or sectors which may or may not be outside of our management’s area of expertise.</w:t>
      </w:r>
    </w:p>
    <w:p>
      <w:pPr>
        <w:spacing w:after="0" w:line="8" w:lineRule="exact"/>
        <w:rPr>
          <w:sz w:val="20"/>
          <w:szCs w:val="20"/>
          <w:color w:val="auto"/>
        </w:rPr>
      </w:pPr>
    </w:p>
    <w:p>
      <w:pPr>
        <w:ind w:left="600" w:right="619"/>
        <w:spacing w:after="0" w:line="246" w:lineRule="auto"/>
        <w:rPr>
          <w:sz w:val="20"/>
          <w:szCs w:val="20"/>
          <w:color w:val="auto"/>
        </w:rPr>
      </w:pPr>
      <w:r>
        <w:rPr>
          <w:rFonts w:ascii="Arial" w:cs="Arial" w:eastAsia="Arial" w:hAnsi="Arial"/>
          <w:sz w:val="14"/>
          <w:szCs w:val="14"/>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Class A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4" w:name="page45"/>
    <w:bookmarkEnd w:id="4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8" w:lineRule="exact"/>
        <w:rPr>
          <w:sz w:val="20"/>
          <w:szCs w:val="20"/>
          <w:color w:val="auto"/>
        </w:rPr>
      </w:pPr>
    </w:p>
    <w:p>
      <w:pPr>
        <w:ind w:left="600" w:right="779"/>
        <w:spacing w:after="0" w:line="237" w:lineRule="auto"/>
        <w:rPr>
          <w:sz w:val="20"/>
          <w:szCs w:val="20"/>
          <w:color w:val="auto"/>
        </w:rPr>
      </w:pPr>
      <w:r>
        <w:rPr>
          <w:rFonts w:ascii="Arial" w:cs="Arial" w:eastAsia="Arial" w:hAnsi="Arial"/>
          <w:sz w:val="15"/>
          <w:szCs w:val="15"/>
          <w:b w:val="1"/>
          <w:bCs w:val="1"/>
          <w:color w:val="auto"/>
        </w:rPr>
        <w:t>Although we have identified general criteria that we believe are important in evaluating prospective target businesses, we may enter into our initial business combination with a target that does not meet such criteria, and as a result, the target business with which we enter into our initial business combination may not have attributes entirely consistent with our general criteria.</w:t>
      </w:r>
    </w:p>
    <w:p>
      <w:pPr>
        <w:spacing w:after="0" w:line="11" w:lineRule="exact"/>
        <w:rPr>
          <w:sz w:val="20"/>
          <w:szCs w:val="20"/>
          <w:color w:val="auto"/>
        </w:rPr>
      </w:pPr>
    </w:p>
    <w:p>
      <w:pPr>
        <w:ind w:left="600" w:right="819"/>
        <w:spacing w:after="0" w:line="242" w:lineRule="auto"/>
        <w:rPr>
          <w:sz w:val="20"/>
          <w:szCs w:val="20"/>
          <w:color w:val="auto"/>
        </w:rPr>
      </w:pPr>
      <w:r>
        <w:rPr>
          <w:rFonts w:ascii="Arial" w:cs="Arial" w:eastAsia="Arial" w:hAnsi="Arial"/>
          <w:sz w:val="14"/>
          <w:szCs w:val="14"/>
          <w:color w:val="auto"/>
        </w:rPr>
        <w:t>Although we have identified general criteria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such combination may not be as successful as a combination with a business that does meet all of our general criteria. In addition, if we announce a prospective business combination with a target that does not meet our general criteria, a greater number of shareholders may exercise their redemption rights, which may make it difficult for us to meet any closing condition with a target business that requires us to have a minimum net worth or a certain amount of cash.</w:t>
      </w:r>
    </w:p>
    <w:p>
      <w:pPr>
        <w:spacing w:after="0" w:line="4" w:lineRule="exact"/>
        <w:rPr>
          <w:sz w:val="20"/>
          <w:szCs w:val="20"/>
          <w:color w:val="auto"/>
        </w:rPr>
      </w:pPr>
    </w:p>
    <w:p>
      <w:pPr>
        <w:ind w:left="600" w:right="659"/>
        <w:spacing w:after="0" w:line="248" w:lineRule="auto"/>
        <w:rPr>
          <w:sz w:val="20"/>
          <w:szCs w:val="20"/>
          <w:color w:val="auto"/>
        </w:rPr>
      </w:pPr>
      <w:r>
        <w:rPr>
          <w:rFonts w:ascii="Arial" w:cs="Arial" w:eastAsia="Arial" w:hAnsi="Arial"/>
          <w:sz w:val="14"/>
          <w:szCs w:val="14"/>
          <w:color w:val="auto"/>
        </w:rPr>
        <w:t>In addition, if shareholder approval of the transaction is required by applicable law or stock exchange rule, or we decide to obtain shareholder approval for business or other reasons, it may be more difficult for us to attain shareholder approval of our initial business combination if the target business does not meet our general criteria. If we do not complete our initial business combination within the required time period, our public shareholders may receive only approximately $10.00 per public share, or less in certain circumstances, on the liquidation of our trust account.</w:t>
      </w:r>
    </w:p>
    <w:p>
      <w:pPr>
        <w:spacing w:after="0" w:line="34" w:lineRule="exact"/>
        <w:rPr>
          <w:sz w:val="20"/>
          <w:szCs w:val="20"/>
          <w:color w:val="auto"/>
        </w:rPr>
      </w:pPr>
    </w:p>
    <w:p>
      <w:pPr>
        <w:jc w:val="both"/>
        <w:ind w:left="600" w:right="939"/>
        <w:spacing w:after="0" w:line="242" w:lineRule="auto"/>
        <w:rPr>
          <w:sz w:val="20"/>
          <w:szCs w:val="20"/>
          <w:color w:val="auto"/>
        </w:rPr>
      </w:pPr>
      <w:r>
        <w:rPr>
          <w:rFonts w:ascii="Arial" w:cs="Arial" w:eastAsia="Arial" w:hAnsi="Arial"/>
          <w:sz w:val="15"/>
          <w:szCs w:val="15"/>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8"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42" w:lineRule="exact"/>
        <w:rPr>
          <w:sz w:val="20"/>
          <w:szCs w:val="20"/>
          <w:color w:val="auto"/>
        </w:rPr>
      </w:pPr>
    </w:p>
    <w:p>
      <w:pPr>
        <w:ind w:left="600" w:right="599"/>
        <w:spacing w:after="0" w:line="234" w:lineRule="auto"/>
        <w:rPr>
          <w:sz w:val="20"/>
          <w:szCs w:val="20"/>
          <w:color w:val="auto"/>
        </w:rPr>
      </w:pPr>
      <w:r>
        <w:rPr>
          <w:rFonts w:ascii="Arial" w:cs="Arial" w:eastAsia="Arial" w:hAnsi="Arial"/>
          <w:sz w:val="15"/>
          <w:szCs w:val="15"/>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10"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Our amended and restated memorandum and articles of association will authorize the issuance of up to 479,000,000 Class A ordinary shares, par value $0.0001 per share, 20,000,000 Class B ordinary shares, par value $0.0001 per share, and 1,000,000 preference shares, par value $0.0001 per share. Immediately after this offering, there will be 466,050,000 and 16,875,000 (assuming in each case that the underwriters have not exercised their over-allotment option) authorized but unissued Class A ordinary shares and Class B ordinary shares, respectively, available for issuance which amount does not take into account shares issuable upon conversion of the Class B ordinary shares, if any. The Class B ordinary shares are automatically convertible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42" w:lineRule="exact"/>
        <w:rPr>
          <w:sz w:val="20"/>
          <w:szCs w:val="20"/>
          <w:color w:val="auto"/>
        </w:rPr>
      </w:pPr>
    </w:p>
    <w:p>
      <w:pPr>
        <w:ind w:left="600" w:right="639"/>
        <w:spacing w:after="0" w:line="247" w:lineRule="auto"/>
        <w:rPr>
          <w:sz w:val="20"/>
          <w:szCs w:val="20"/>
          <w:color w:val="auto"/>
        </w:rPr>
      </w:pPr>
      <w:r>
        <w:rPr>
          <w:rFonts w:ascii="Arial" w:cs="Arial" w:eastAsia="Arial" w:hAnsi="Arial"/>
          <w:sz w:val="14"/>
          <w:szCs w:val="14"/>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 -dilution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5" w:name="page46"/>
    <w:bookmarkEnd w:id="4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79"/>
        <w:spacing w:after="0" w:line="230" w:lineRule="auto"/>
        <w:rPr>
          <w:sz w:val="20"/>
          <w:szCs w:val="20"/>
          <w:color w:val="auto"/>
        </w:rPr>
      </w:pPr>
      <w:r>
        <w:rPr>
          <w:rFonts w:ascii="Arial" w:cs="Arial" w:eastAsia="Arial" w:hAnsi="Arial"/>
          <w:sz w:val="15"/>
          <w:szCs w:val="15"/>
          <w:color w:val="auto"/>
        </w:rPr>
        <w:t>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81" w:lineRule="exact"/>
        <w:rPr>
          <w:sz w:val="20"/>
          <w:szCs w:val="20"/>
          <w:color w:val="auto"/>
        </w:rPr>
      </w:pPr>
    </w:p>
    <w:p>
      <w:pPr>
        <w:ind w:left="1100" w:right="819"/>
        <w:spacing w:after="0" w:line="233" w:lineRule="auto"/>
        <w:rPr>
          <w:sz w:val="20"/>
          <w:szCs w:val="20"/>
          <w:color w:val="auto"/>
        </w:rPr>
      </w:pPr>
      <w:r>
        <w:rPr>
          <w:rFonts w:ascii="Arial" w:cs="Arial" w:eastAsia="Arial" w:hAnsi="Arial"/>
          <w:sz w:val="15"/>
          <w:szCs w:val="15"/>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79" w:lineRule="exact"/>
        <w:rPr>
          <w:sz w:val="20"/>
          <w:szCs w:val="20"/>
          <w:color w:val="auto"/>
        </w:rPr>
      </w:pPr>
    </w:p>
    <w:p>
      <w:pPr>
        <w:ind w:left="1100" w:right="979"/>
        <w:spacing w:after="0" w:line="236" w:lineRule="auto"/>
        <w:rPr>
          <w:sz w:val="20"/>
          <w:szCs w:val="20"/>
          <w:color w:val="auto"/>
        </w:rPr>
      </w:pPr>
      <w:r>
        <w:rPr>
          <w:rFonts w:ascii="Arial" w:cs="Arial" w:eastAsia="Arial" w:hAnsi="Arial"/>
          <w:sz w:val="15"/>
          <w:szCs w:val="15"/>
          <w:color w:val="auto"/>
        </w:rPr>
        <w:t>may subordinate the rights of holders of Class A ordinary shares if preference shares are issued with rights senior to those afforded our Class A ordinary shares;</w:t>
      </w:r>
    </w:p>
    <w:p>
      <w:pPr>
        <w:spacing w:after="0" w:line="80" w:lineRule="exact"/>
        <w:rPr>
          <w:sz w:val="20"/>
          <w:szCs w:val="20"/>
          <w:color w:val="auto"/>
        </w:rPr>
      </w:pPr>
    </w:p>
    <w:p>
      <w:pPr>
        <w:ind w:left="1100" w:right="699"/>
        <w:spacing w:after="0" w:line="233" w:lineRule="auto"/>
        <w:rPr>
          <w:sz w:val="20"/>
          <w:szCs w:val="20"/>
          <w:color w:val="auto"/>
        </w:rPr>
      </w:pPr>
      <w:r>
        <w:rPr>
          <w:rFonts w:ascii="Arial" w:cs="Arial" w:eastAsia="Arial" w:hAnsi="Arial"/>
          <w:sz w:val="15"/>
          <w:szCs w:val="15"/>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79" w:lineRule="exact"/>
        <w:rPr>
          <w:sz w:val="20"/>
          <w:szCs w:val="20"/>
          <w:color w:val="auto"/>
        </w:rPr>
      </w:pPr>
    </w:p>
    <w:p>
      <w:pPr>
        <w:ind w:left="1100" w:right="659"/>
        <w:spacing w:after="0" w:line="236" w:lineRule="auto"/>
        <w:rPr>
          <w:sz w:val="20"/>
          <w:szCs w:val="20"/>
          <w:color w:val="auto"/>
        </w:rPr>
      </w:pPr>
      <w:r>
        <w:rPr>
          <w:rFonts w:ascii="Arial" w:cs="Arial" w:eastAsia="Arial" w:hAnsi="Arial"/>
          <w:sz w:val="15"/>
          <w:szCs w:val="15"/>
          <w:color w:val="auto"/>
        </w:rPr>
        <w:t>may have the effect of delaying or preventing a change of control of us by diluting the share ownership or voting rights of a person seeking to obtain control of us; and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may adversely affect prevailing market prices for our Class A ordinary shares.</w:t>
      </w:r>
    </w:p>
    <w:p>
      <w:pPr>
        <w:spacing w:after="0" w:line="42" w:lineRule="exact"/>
        <w:rPr>
          <w:sz w:val="20"/>
          <w:szCs w:val="20"/>
          <w:color w:val="auto"/>
        </w:rPr>
      </w:pPr>
    </w:p>
    <w:p>
      <w:pPr>
        <w:ind w:left="600" w:right="779"/>
        <w:spacing w:after="0" w:line="255" w:lineRule="auto"/>
        <w:rPr>
          <w:sz w:val="20"/>
          <w:szCs w:val="20"/>
          <w:color w:val="auto"/>
        </w:rPr>
      </w:pPr>
      <w:r>
        <w:rPr>
          <w:rFonts w:ascii="Arial" w:cs="Arial" w:eastAsia="Arial" w:hAnsi="Arial"/>
          <w:sz w:val="15"/>
          <w:szCs w:val="15"/>
          <w:b w:val="1"/>
          <w:bCs w:val="1"/>
          <w:color w:val="auto"/>
        </w:rPr>
        <w:t>Our initial shareholders may receive additional Class A ordinary shares if we issue shares to consummate an initial business combination.</w:t>
      </w:r>
    </w:p>
    <w:p>
      <w:pPr>
        <w:ind w:left="600" w:right="619"/>
        <w:spacing w:after="0" w:line="228" w:lineRule="auto"/>
        <w:rPr>
          <w:sz w:val="20"/>
          <w:szCs w:val="20"/>
          <w:color w:val="auto"/>
        </w:rPr>
      </w:pPr>
      <w:r>
        <w:rPr>
          <w:rFonts w:ascii="Arial" w:cs="Arial" w:eastAsia="Arial" w:hAnsi="Arial"/>
          <w:sz w:val="15"/>
          <w:szCs w:val="15"/>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this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spacing w:after="0" w:line="41" w:lineRule="exact"/>
        <w:rPr>
          <w:sz w:val="20"/>
          <w:szCs w:val="20"/>
          <w:color w:val="auto"/>
        </w:rPr>
      </w:pPr>
    </w:p>
    <w:p>
      <w:pPr>
        <w:ind w:left="600" w:right="639"/>
        <w:spacing w:after="0" w:line="235" w:lineRule="auto"/>
        <w:rPr>
          <w:sz w:val="20"/>
          <w:szCs w:val="20"/>
          <w:color w:val="auto"/>
        </w:rPr>
      </w:pPr>
      <w:r>
        <w:rPr>
          <w:rFonts w:ascii="Arial" w:cs="Arial" w:eastAsia="Arial" w:hAnsi="Arial"/>
          <w:sz w:val="15"/>
          <w:szCs w:val="15"/>
          <w:b w:val="1"/>
          <w:bCs w:val="1"/>
          <w:color w:val="auto"/>
        </w:rPr>
        <w:t>Resources could be wasted in researching acquisitions that are not completed,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42" w:lineRule="exact"/>
        <w:rPr>
          <w:sz w:val="20"/>
          <w:szCs w:val="20"/>
          <w:color w:val="auto"/>
        </w:rPr>
      </w:pPr>
    </w:p>
    <w:p>
      <w:pPr>
        <w:ind w:left="600" w:right="619"/>
        <w:spacing w:after="0" w:line="255" w:lineRule="auto"/>
        <w:rPr>
          <w:sz w:val="20"/>
          <w:szCs w:val="20"/>
          <w:color w:val="auto"/>
        </w:rPr>
      </w:pPr>
      <w:r>
        <w:rPr>
          <w:rFonts w:ascii="Arial" w:cs="Arial" w:eastAsia="Arial" w:hAnsi="Arial"/>
          <w:sz w:val="15"/>
          <w:szCs w:val="15"/>
          <w:b w:val="1"/>
          <w:bCs w:val="1"/>
          <w:color w:val="auto"/>
        </w:rPr>
        <w:t>We may be a passive foreign investment company, or “PFIC,” which could result in adverse U.S. federal income tax consequences to U.S. investors.</w:t>
      </w:r>
    </w:p>
    <w:p>
      <w:pPr>
        <w:ind w:left="600"/>
        <w:spacing w:after="0" w:line="227" w:lineRule="auto"/>
        <w:rPr>
          <w:sz w:val="20"/>
          <w:szCs w:val="20"/>
          <w:color w:val="auto"/>
        </w:rPr>
      </w:pPr>
      <w:r>
        <w:rPr>
          <w:rFonts w:ascii="Arial" w:cs="Arial" w:eastAsia="Arial" w:hAnsi="Arial"/>
          <w:sz w:val="15"/>
          <w:szCs w:val="15"/>
          <w:color w:val="auto"/>
        </w:rPr>
        <w:t>If we are a PFIC for any taxable year (or portion thereof) that is included in the holding period of a U.S. Holder</w:t>
      </w:r>
    </w:p>
    <w:p>
      <w:pPr>
        <w:ind w:left="600" w:right="599"/>
        <w:spacing w:after="0" w:line="250" w:lineRule="auto"/>
        <w:rPr>
          <w:sz w:val="20"/>
          <w:szCs w:val="20"/>
          <w:color w:val="auto"/>
        </w:rPr>
      </w:pPr>
      <w:r>
        <w:rPr>
          <w:rFonts w:ascii="Arial" w:cs="Arial" w:eastAsia="Arial" w:hAnsi="Arial"/>
          <w:sz w:val="14"/>
          <w:szCs w:val="14"/>
          <w:color w:val="auto"/>
        </w:rPr>
        <w:t>(as defined in the section of this prospectus captioned “Taxation — United States Federal Income Tax Considerations — General”) of our Class A ordinary shares,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6" w:name="page47"/>
    <w:bookmarkEnd w:id="4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34" w:lineRule="exact"/>
        <w:rPr>
          <w:sz w:val="20"/>
          <w:szCs w:val="20"/>
          <w:color w:val="auto"/>
        </w:rPr>
      </w:pPr>
    </w:p>
    <w:p>
      <w:pPr>
        <w:ind w:left="600" w:right="979"/>
        <w:spacing w:after="0" w:line="255" w:lineRule="auto"/>
        <w:rPr>
          <w:sz w:val="20"/>
          <w:szCs w:val="20"/>
          <w:color w:val="auto"/>
        </w:rPr>
      </w:pPr>
      <w:r>
        <w:rPr>
          <w:rFonts w:ascii="Arial" w:cs="Arial" w:eastAsia="Arial" w:hAnsi="Arial"/>
          <w:sz w:val="15"/>
          <w:szCs w:val="15"/>
          <w:b w:val="1"/>
          <w:bCs w:val="1"/>
          <w:color w:val="auto"/>
        </w:rPr>
        <w:t>We may reincorporate in another jurisdiction in connection with our initial business combination and such reincorporation may result in taxes imposed on shareholders.</w:t>
      </w:r>
    </w:p>
    <w:p>
      <w:pPr>
        <w:ind w:left="600" w:right="879"/>
        <w:spacing w:after="0" w:line="229" w:lineRule="auto"/>
        <w:rPr>
          <w:sz w:val="20"/>
          <w:szCs w:val="20"/>
          <w:color w:val="auto"/>
        </w:rPr>
      </w:pPr>
      <w:r>
        <w:rPr>
          <w:rFonts w:ascii="Arial" w:cs="Arial" w:eastAsia="Arial" w:hAnsi="Arial"/>
          <w:sz w:val="15"/>
          <w:szCs w:val="15"/>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2" w:lineRule="exact"/>
        <w:rPr>
          <w:sz w:val="20"/>
          <w:szCs w:val="20"/>
          <w:color w:val="auto"/>
        </w:rPr>
      </w:pPr>
    </w:p>
    <w:p>
      <w:pPr>
        <w:jc w:val="both"/>
        <w:ind w:left="600" w:right="619"/>
        <w:spacing w:after="0" w:line="242" w:lineRule="auto"/>
        <w:rPr>
          <w:sz w:val="20"/>
          <w:szCs w:val="20"/>
          <w:color w:val="auto"/>
        </w:rPr>
      </w:pPr>
      <w:r>
        <w:rPr>
          <w:rFonts w:ascii="Arial" w:cs="Arial" w:eastAsia="Arial" w:hAnsi="Arial"/>
          <w:sz w:val="15"/>
          <w:szCs w:val="15"/>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8"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39"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“Description of Securities — Certain Differences in Corporate Law.”</w:t>
      </w:r>
    </w:p>
    <w:p>
      <w:pPr>
        <w:spacing w:after="0" w:line="75" w:lineRule="exact"/>
        <w:rPr>
          <w:sz w:val="20"/>
          <w:szCs w:val="20"/>
          <w:color w:val="auto"/>
        </w:rPr>
      </w:pPr>
    </w:p>
    <w:p>
      <w:pPr>
        <w:ind w:left="600" w:right="719"/>
        <w:spacing w:after="0" w:line="255" w:lineRule="auto"/>
        <w:rPr>
          <w:sz w:val="20"/>
          <w:szCs w:val="20"/>
          <w:color w:val="auto"/>
        </w:rPr>
      </w:pPr>
      <w:r>
        <w:rPr>
          <w:rFonts w:ascii="Arial" w:cs="Arial" w:eastAsia="Arial" w:hAnsi="Arial"/>
          <w:sz w:val="15"/>
          <w:szCs w:val="15"/>
          <w:b w:val="1"/>
          <w:bCs w:val="1"/>
          <w:color w:val="auto"/>
        </w:rPr>
        <w:t>We are dependent upon our executive officers and directors and their loss could adversely affect our ability to operate.</w:t>
      </w:r>
    </w:p>
    <w:p>
      <w:pPr>
        <w:ind w:left="600" w:right="699"/>
        <w:spacing w:after="0" w:line="228" w:lineRule="auto"/>
        <w:rPr>
          <w:sz w:val="20"/>
          <w:szCs w:val="20"/>
          <w:color w:val="auto"/>
        </w:rPr>
      </w:pPr>
      <w:r>
        <w:rPr>
          <w:rFonts w:ascii="Arial" w:cs="Arial" w:eastAsia="Arial" w:hAnsi="Arial"/>
          <w:sz w:val="15"/>
          <w:szCs w:val="15"/>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company sponsored by an affiliate of Perceptive Advisors.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42" w:lineRule="exact"/>
        <w:rPr>
          <w:sz w:val="20"/>
          <w:szCs w:val="20"/>
          <w:color w:val="auto"/>
        </w:rPr>
      </w:pPr>
    </w:p>
    <w:p>
      <w:pPr>
        <w:ind w:left="600" w:right="679"/>
        <w:spacing w:after="0" w:line="237" w:lineRule="auto"/>
        <w:rPr>
          <w:sz w:val="20"/>
          <w:szCs w:val="20"/>
          <w:color w:val="auto"/>
        </w:rPr>
      </w:pPr>
      <w:r>
        <w:rPr>
          <w:rFonts w:ascii="Arial" w:cs="Arial" w:eastAsia="Arial" w:hAnsi="Arial"/>
          <w:sz w:val="15"/>
          <w:szCs w:val="15"/>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1" w:lineRule="exact"/>
        <w:rPr>
          <w:sz w:val="20"/>
          <w:szCs w:val="20"/>
          <w:color w:val="auto"/>
        </w:rPr>
      </w:pPr>
    </w:p>
    <w:p>
      <w:pPr>
        <w:ind w:left="600" w:right="779"/>
        <w:spacing w:after="0" w:line="231" w:lineRule="auto"/>
        <w:rPr>
          <w:sz w:val="20"/>
          <w:szCs w:val="20"/>
          <w:color w:val="auto"/>
        </w:rPr>
      </w:pPr>
      <w:r>
        <w:rPr>
          <w:rFonts w:ascii="Arial" w:cs="Arial" w:eastAsia="Arial" w:hAnsi="Arial"/>
          <w:sz w:val="15"/>
          <w:szCs w:val="15"/>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7" w:name="page48"/>
    <w:bookmarkEnd w:id="4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39"/>
        <w:spacing w:after="0" w:line="230" w:lineRule="auto"/>
        <w:rPr>
          <w:sz w:val="20"/>
          <w:szCs w:val="20"/>
          <w:color w:val="auto"/>
        </w:rPr>
      </w:pPr>
      <w:r>
        <w:rPr>
          <w:rFonts w:ascii="Arial" w:cs="Arial" w:eastAsia="Arial" w:hAnsi="Arial"/>
          <w:sz w:val="15"/>
          <w:szCs w:val="15"/>
          <w:color w:val="auto"/>
        </w:rPr>
        <w:t>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40" w:lineRule="exact"/>
        <w:rPr>
          <w:sz w:val="20"/>
          <w:szCs w:val="20"/>
          <w:color w:val="auto"/>
        </w:rPr>
      </w:pPr>
    </w:p>
    <w:p>
      <w:pPr>
        <w:ind w:left="600" w:right="759"/>
        <w:spacing w:after="0" w:line="255" w:lineRule="auto"/>
        <w:rPr>
          <w:sz w:val="20"/>
          <w:szCs w:val="20"/>
          <w:color w:val="auto"/>
        </w:rPr>
      </w:pPr>
      <w:r>
        <w:rPr>
          <w:rFonts w:ascii="Arial" w:cs="Arial" w:eastAsia="Arial" w:hAnsi="Arial"/>
          <w:sz w:val="14"/>
          <w:szCs w:val="14"/>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ind w:left="600" w:right="639"/>
        <w:spacing w:after="0" w:line="226" w:lineRule="auto"/>
        <w:rPr>
          <w:sz w:val="20"/>
          <w:szCs w:val="20"/>
          <w:color w:val="auto"/>
        </w:rPr>
      </w:pPr>
      <w:r>
        <w:rPr>
          <w:rFonts w:ascii="Arial" w:cs="Arial" w:eastAsia="Arial" w:hAnsi="Arial"/>
          <w:sz w:val="15"/>
          <w:szCs w:val="15"/>
          <w:color w:val="auto"/>
        </w:rPr>
        <w:t>Our key personnel may be able to remain with our company after the completion of our initial business combination only if they are able to negotiate employment or consulting agreements in connection with the business combination.</w:t>
      </w:r>
    </w:p>
    <w:p>
      <w:pPr>
        <w:spacing w:after="0" w:line="1" w:lineRule="exact"/>
        <w:rPr>
          <w:sz w:val="20"/>
          <w:szCs w:val="20"/>
          <w:color w:val="auto"/>
        </w:rPr>
      </w:pPr>
    </w:p>
    <w:p>
      <w:pPr>
        <w:ind w:left="600" w:right="659"/>
        <w:spacing w:after="0" w:line="245" w:lineRule="auto"/>
        <w:rPr>
          <w:sz w:val="20"/>
          <w:szCs w:val="20"/>
          <w:color w:val="auto"/>
        </w:rPr>
      </w:pPr>
      <w:r>
        <w:rPr>
          <w:rFonts w:ascii="Arial" w:cs="Arial" w:eastAsia="Arial" w:hAnsi="Arial"/>
          <w:sz w:val="14"/>
          <w:szCs w:val="14"/>
          <w:color w:val="auto"/>
        </w:rPr>
        <w:t>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39" w:lineRule="exact"/>
        <w:rPr>
          <w:sz w:val="20"/>
          <w:szCs w:val="20"/>
          <w:color w:val="auto"/>
        </w:rPr>
      </w:pPr>
    </w:p>
    <w:p>
      <w:pPr>
        <w:ind w:left="600" w:right="679"/>
        <w:spacing w:after="0" w:line="242" w:lineRule="auto"/>
        <w:rPr>
          <w:sz w:val="20"/>
          <w:szCs w:val="20"/>
          <w:color w:val="auto"/>
        </w:rPr>
      </w:pPr>
      <w:r>
        <w:rPr>
          <w:rFonts w:ascii="Arial" w:cs="Arial" w:eastAsia="Arial" w:hAnsi="Arial"/>
          <w:sz w:val="15"/>
          <w:szCs w:val="15"/>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8" w:lineRule="exact"/>
        <w:rPr>
          <w:sz w:val="20"/>
          <w:szCs w:val="20"/>
          <w:color w:val="auto"/>
        </w:rPr>
      </w:pPr>
    </w:p>
    <w:p>
      <w:pPr>
        <w:ind w:left="600" w:right="939"/>
        <w:spacing w:after="0" w:line="242" w:lineRule="auto"/>
        <w:rPr>
          <w:sz w:val="20"/>
          <w:szCs w:val="20"/>
          <w:color w:val="auto"/>
        </w:rPr>
      </w:pPr>
      <w:r>
        <w:rPr>
          <w:rFonts w:ascii="Arial" w:cs="Arial" w:eastAsia="Arial" w:hAnsi="Arial"/>
          <w:sz w:val="14"/>
          <w:szCs w:val="14"/>
          <w:color w:val="auto"/>
        </w:rPr>
        <w:t>When evaluating the desirability of effecting our initial business combination with a prospective target business, our ability to assess the target business’s management may be limited due to a lack of time, resources or information.</w:t>
      </w:r>
    </w:p>
    <w:p>
      <w:pPr>
        <w:spacing w:after="0" w:line="1"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our initial business combination could suffer a reduction in the value of their securities. Such holders are unlikely to have a remedy for such reduction in value.</w:t>
      </w:r>
    </w:p>
    <w:p>
      <w:pPr>
        <w:spacing w:after="0" w:line="42" w:lineRule="exact"/>
        <w:rPr>
          <w:sz w:val="20"/>
          <w:szCs w:val="20"/>
          <w:color w:val="auto"/>
        </w:rPr>
      </w:pPr>
    </w:p>
    <w:p>
      <w:pPr>
        <w:ind w:left="600" w:right="599"/>
        <w:spacing w:after="0" w:line="242" w:lineRule="auto"/>
        <w:rPr>
          <w:sz w:val="20"/>
          <w:szCs w:val="20"/>
          <w:color w:val="auto"/>
        </w:rPr>
      </w:pPr>
      <w:r>
        <w:rPr>
          <w:rFonts w:ascii="Arial" w:cs="Arial" w:eastAsia="Arial" w:hAnsi="Arial"/>
          <w:sz w:val="15"/>
          <w:szCs w:val="15"/>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8" w:lineRule="exact"/>
        <w:rPr>
          <w:sz w:val="20"/>
          <w:szCs w:val="20"/>
          <w:color w:val="auto"/>
        </w:rPr>
      </w:pPr>
    </w:p>
    <w:p>
      <w:pPr>
        <w:ind w:left="600" w:right="739"/>
        <w:spacing w:after="0" w:line="231" w:lineRule="auto"/>
        <w:rPr>
          <w:sz w:val="20"/>
          <w:szCs w:val="20"/>
          <w:color w:val="auto"/>
        </w:rPr>
      </w:pPr>
      <w:r>
        <w:rPr>
          <w:rFonts w:ascii="Arial" w:cs="Arial" w:eastAsia="Arial" w:hAnsi="Arial"/>
          <w:sz w:val="15"/>
          <w:szCs w:val="15"/>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39" w:lineRule="exact"/>
        <w:rPr>
          <w:sz w:val="20"/>
          <w:szCs w:val="20"/>
          <w:color w:val="auto"/>
        </w:rPr>
      </w:pPr>
    </w:p>
    <w:p>
      <w:pPr>
        <w:ind w:left="600" w:right="699"/>
        <w:spacing w:after="0" w:line="242" w:lineRule="auto"/>
        <w:rPr>
          <w:sz w:val="20"/>
          <w:szCs w:val="20"/>
          <w:color w:val="auto"/>
        </w:rPr>
      </w:pPr>
      <w:r>
        <w:rPr>
          <w:rFonts w:ascii="Arial" w:cs="Arial" w:eastAsia="Arial" w:hAnsi="Arial"/>
          <w:sz w:val="15"/>
          <w:szCs w:val="15"/>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In particular, certain of our officers and directors serve as an officer and/or director of ARYA Sciences Acquisition Corp II, which is a blank check company sponsored by an affiliate of Perceptive Advisors.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8" w:name="page49"/>
    <w:bookmarkEnd w:id="4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19"/>
        <w:spacing w:after="0" w:line="236" w:lineRule="auto"/>
        <w:rPr>
          <w:sz w:val="20"/>
          <w:szCs w:val="20"/>
          <w:color w:val="auto"/>
        </w:rPr>
      </w:pPr>
      <w:r>
        <w:rPr>
          <w:rFonts w:ascii="Arial" w:cs="Arial" w:eastAsia="Arial" w:hAnsi="Arial"/>
          <w:sz w:val="15"/>
          <w:szCs w:val="15"/>
          <w:color w:val="auto"/>
        </w:rPr>
        <w:t>ability to complete our initial business combination. For a complete discussion of our executive officers’ and directors’ other business affairs, please see “Management — Officers, Directors and Director Nominees.”</w:t>
      </w:r>
    </w:p>
    <w:p>
      <w:pPr>
        <w:spacing w:after="0" w:line="38" w:lineRule="exact"/>
        <w:rPr>
          <w:sz w:val="20"/>
          <w:szCs w:val="20"/>
          <w:color w:val="auto"/>
        </w:rPr>
      </w:pPr>
    </w:p>
    <w:p>
      <w:pPr>
        <w:ind w:left="600" w:right="779"/>
        <w:spacing w:after="0" w:line="263" w:lineRule="auto"/>
        <w:rPr>
          <w:sz w:val="20"/>
          <w:szCs w:val="20"/>
          <w:color w:val="auto"/>
        </w:rPr>
      </w:pPr>
      <w:r>
        <w:rPr>
          <w:rFonts w:ascii="Arial" w:cs="Arial" w:eastAsia="Arial" w:hAnsi="Arial"/>
          <w:sz w:val="14"/>
          <w:szCs w:val="14"/>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ARYA Sciences Acquisition Corp II,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38" w:lineRule="exact"/>
        <w:rPr>
          <w:sz w:val="20"/>
          <w:szCs w:val="20"/>
          <w:color w:val="auto"/>
        </w:rPr>
      </w:pPr>
    </w:p>
    <w:p>
      <w:pPr>
        <w:ind w:left="600" w:right="659"/>
        <w:spacing w:after="0" w:line="245" w:lineRule="auto"/>
        <w:rPr>
          <w:sz w:val="20"/>
          <w:szCs w:val="20"/>
          <w:color w:val="auto"/>
        </w:rPr>
      </w:pPr>
      <w:r>
        <w:rPr>
          <w:rFonts w:ascii="Arial" w:cs="Arial" w:eastAsia="Arial" w:hAnsi="Arial"/>
          <w:sz w:val="14"/>
          <w:szCs w:val="14"/>
          <w:color w:val="auto"/>
        </w:rPr>
        <w:t>In addition, our founders and our directors and officers, Perceptive Advisors, or its affiliates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including ARYA Sciences Acquisition Corp II,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38" w:lineRule="exact"/>
        <w:rPr>
          <w:sz w:val="20"/>
          <w:szCs w:val="20"/>
          <w:color w:val="auto"/>
        </w:rPr>
      </w:pPr>
    </w:p>
    <w:p>
      <w:pPr>
        <w:ind w:left="600" w:right="979"/>
        <w:spacing w:after="0" w:line="233" w:lineRule="auto"/>
        <w:rPr>
          <w:sz w:val="20"/>
          <w:szCs w:val="20"/>
          <w:color w:val="auto"/>
        </w:rPr>
      </w:pPr>
      <w:r>
        <w:rPr>
          <w:rFonts w:ascii="Arial" w:cs="Arial" w:eastAsia="Arial" w:hAnsi="Arial"/>
          <w:sz w:val="15"/>
          <w:szCs w:val="15"/>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26" w:lineRule="exact"/>
        <w:rPr>
          <w:sz w:val="20"/>
          <w:szCs w:val="20"/>
          <w:color w:val="auto"/>
        </w:rPr>
      </w:pPr>
    </w:p>
    <w:p>
      <w:pPr>
        <w:ind w:left="600" w:right="1299"/>
        <w:spacing w:after="0" w:line="258" w:lineRule="auto"/>
        <w:rPr>
          <w:sz w:val="20"/>
          <w:szCs w:val="20"/>
          <w:color w:val="auto"/>
        </w:rPr>
      </w:pPr>
      <w:r>
        <w:rPr>
          <w:rFonts w:ascii="Arial" w:cs="Arial" w:eastAsia="Arial" w:hAnsi="Arial"/>
          <w:sz w:val="15"/>
          <w:szCs w:val="15"/>
          <w:b w:val="1"/>
          <w:bCs w:val="1"/>
          <w:color w:val="auto"/>
        </w:rPr>
        <w:t>Our executive officers, directors, security holders and their respective affiliates may have competitive pecuniary interests that conflict with our interests.</w:t>
      </w:r>
    </w:p>
    <w:p>
      <w:pPr>
        <w:spacing w:after="0" w:line="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8"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43" w:lineRule="exact"/>
        <w:rPr>
          <w:sz w:val="20"/>
          <w:szCs w:val="20"/>
          <w:color w:val="auto"/>
        </w:rPr>
      </w:pPr>
    </w:p>
    <w:p>
      <w:pPr>
        <w:ind w:left="600" w:right="759"/>
        <w:spacing w:after="0" w:line="242" w:lineRule="auto"/>
        <w:rPr>
          <w:sz w:val="20"/>
          <w:szCs w:val="20"/>
          <w:color w:val="auto"/>
        </w:rPr>
      </w:pPr>
      <w:r>
        <w:rPr>
          <w:rFonts w:ascii="Arial" w:cs="Arial" w:eastAsia="Arial" w:hAnsi="Arial"/>
          <w:sz w:val="15"/>
          <w:szCs w:val="15"/>
          <w:b w:val="1"/>
          <w:b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8" w:lineRule="exact"/>
        <w:rPr>
          <w:sz w:val="20"/>
          <w:szCs w:val="20"/>
          <w:color w:val="auto"/>
        </w:rPr>
      </w:pPr>
    </w:p>
    <w:p>
      <w:pPr>
        <w:ind w:left="600" w:right="639"/>
        <w:spacing w:after="0" w:line="247" w:lineRule="auto"/>
        <w:rPr>
          <w:sz w:val="20"/>
          <w:szCs w:val="20"/>
          <w:color w:val="auto"/>
        </w:rPr>
      </w:pPr>
      <w:r>
        <w:rPr>
          <w:rFonts w:ascii="Arial" w:cs="Arial" w:eastAsia="Arial" w:hAnsi="Arial"/>
          <w:sz w:val="14"/>
          <w:szCs w:val="14"/>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and our officers and directors may sponsor or form other special purpose acquisition companies similar to ours or may pursue other business or investment ventures during the period in which we are seeking an initial business combination. Such entities may compete with us for business combination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9" w:name="page50"/>
    <w:bookmarkEnd w:id="4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an independent valuation or accounting firm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39" w:lineRule="exact"/>
        <w:rPr>
          <w:sz w:val="20"/>
          <w:szCs w:val="20"/>
          <w:color w:val="auto"/>
        </w:rPr>
      </w:pPr>
    </w:p>
    <w:p>
      <w:pPr>
        <w:ind w:left="600" w:right="699"/>
        <w:spacing w:after="0" w:line="237" w:lineRule="auto"/>
        <w:rPr>
          <w:sz w:val="20"/>
          <w:szCs w:val="20"/>
          <w:color w:val="auto"/>
        </w:rPr>
      </w:pPr>
      <w:r>
        <w:rPr>
          <w:rFonts w:ascii="Arial" w:cs="Arial" w:eastAsia="Arial" w:hAnsi="Arial"/>
          <w:sz w:val="15"/>
          <w:szCs w:val="15"/>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1" w:lineRule="exact"/>
        <w:rPr>
          <w:sz w:val="20"/>
          <w:szCs w:val="20"/>
          <w:color w:val="auto"/>
        </w:rPr>
      </w:pPr>
    </w:p>
    <w:p>
      <w:pPr>
        <w:ind w:left="600" w:right="599"/>
        <w:spacing w:after="0" w:line="227" w:lineRule="auto"/>
        <w:rPr>
          <w:sz w:val="20"/>
          <w:szCs w:val="20"/>
          <w:color w:val="auto"/>
        </w:rPr>
      </w:pPr>
      <w:r>
        <w:rPr>
          <w:rFonts w:ascii="Arial" w:cs="Arial" w:eastAsia="Arial" w:hAnsi="Arial"/>
          <w:sz w:val="15"/>
          <w:szCs w:val="15"/>
          <w:color w:val="auto"/>
        </w:rPr>
        <w:t>On April 2, 2020 we issued to our sponsor 3,593,750 founder shares in exchange for a capital contribution of $25,000, or approximately $0.007 per share. In July 2020, our sponsor transferred 30,000 founder shares to each of Messrs. Campbell, Islam and Wider. Such shares will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and private placement shares will be worthless if we do not complete an initial business combination. In addition, our sponsor has committed, pursuant to a written agreement, to purchase 450,000 private placement shares (or 487,500 private placement shares if the underwriters’ over-allotment option is exercised in full), at a price of $10.00 per share ($4,500,000 in the aggregate or $4,875,000 if the underwriters’ over-allotment option is exercised in full), in a private placement that will close simultaneously with the closing of this offering.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consummation of an initial business combination.</w:t>
      </w:r>
    </w:p>
    <w:p>
      <w:pPr>
        <w:spacing w:after="0" w:line="48" w:lineRule="exact"/>
        <w:rPr>
          <w:sz w:val="20"/>
          <w:szCs w:val="20"/>
          <w:color w:val="auto"/>
        </w:rPr>
      </w:pPr>
    </w:p>
    <w:p>
      <w:pPr>
        <w:jc w:val="both"/>
        <w:ind w:left="600" w:right="879"/>
        <w:spacing w:after="0" w:line="242" w:lineRule="auto"/>
        <w:rPr>
          <w:sz w:val="20"/>
          <w:szCs w:val="20"/>
          <w:color w:val="auto"/>
        </w:rPr>
      </w:pPr>
      <w:r>
        <w:rPr>
          <w:rFonts w:ascii="Arial" w:cs="Arial" w:eastAsia="Arial" w:hAnsi="Arial"/>
          <w:sz w:val="15"/>
          <w:szCs w:val="15"/>
          <w:b w:val="1"/>
          <w:bCs w:val="1"/>
          <w:color w:val="auto"/>
        </w:rPr>
        <w:t>We may issue notes or other debt, or otherwise incur substantial debt, to complete a business combination, which may adversely affect our leverage and financial condition and thus negatively impact the value of our shareholders’ investment in us.</w:t>
      </w:r>
    </w:p>
    <w:p>
      <w:pPr>
        <w:spacing w:after="0" w:line="8"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Although we have no commitments as of the date of this prospectus to issue any notes or other debt, or to otherwise incur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3" w:lineRule="exact"/>
        <w:rPr>
          <w:sz w:val="20"/>
          <w:szCs w:val="20"/>
          <w:color w:val="auto"/>
        </w:rPr>
      </w:pPr>
    </w:p>
    <w:p>
      <w:pPr>
        <w:ind w:left="1100" w:right="1199"/>
        <w:spacing w:after="0" w:line="236" w:lineRule="auto"/>
        <w:rPr>
          <w:sz w:val="20"/>
          <w:szCs w:val="20"/>
          <w:color w:val="auto"/>
        </w:rPr>
      </w:pPr>
      <w:r>
        <w:rPr>
          <w:rFonts w:ascii="Arial" w:cs="Arial" w:eastAsia="Arial" w:hAnsi="Arial"/>
          <w:sz w:val="15"/>
          <w:szCs w:val="15"/>
          <w:color w:val="auto"/>
        </w:rPr>
        <w:t>default and foreclosure on our assets if our operating revenues after an initial business combination are insufficient to repay our debt obligations;</w:t>
      </w:r>
    </w:p>
    <w:p>
      <w:pPr>
        <w:spacing w:after="0" w:line="80" w:lineRule="exact"/>
        <w:rPr>
          <w:sz w:val="20"/>
          <w:szCs w:val="20"/>
          <w:color w:val="auto"/>
        </w:rPr>
      </w:pPr>
    </w:p>
    <w:p>
      <w:pPr>
        <w:jc w:val="both"/>
        <w:ind w:left="1100" w:right="859"/>
        <w:spacing w:after="0" w:line="233" w:lineRule="auto"/>
        <w:rPr>
          <w:sz w:val="20"/>
          <w:szCs w:val="20"/>
          <w:color w:val="auto"/>
        </w:rPr>
      </w:pPr>
      <w:r>
        <w:rPr>
          <w:rFonts w:ascii="Arial" w:cs="Arial" w:eastAsia="Arial" w:hAnsi="Arial"/>
          <w:sz w:val="15"/>
          <w:szCs w:val="15"/>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immediate payment of all principal and accrued interest, if any, if the debt is payable on demand;</w:t>
      </w:r>
    </w:p>
    <w:p>
      <w:pPr>
        <w:spacing w:after="0" w:line="83" w:lineRule="exact"/>
        <w:rPr>
          <w:sz w:val="20"/>
          <w:szCs w:val="20"/>
          <w:color w:val="auto"/>
        </w:rPr>
      </w:pPr>
    </w:p>
    <w:p>
      <w:pPr>
        <w:ind w:left="1100" w:right="619"/>
        <w:spacing w:after="0" w:line="236" w:lineRule="auto"/>
        <w:rPr>
          <w:sz w:val="20"/>
          <w:szCs w:val="20"/>
          <w:color w:val="auto"/>
        </w:rPr>
      </w:pPr>
      <w:r>
        <w:rPr>
          <w:rFonts w:ascii="Arial" w:cs="Arial" w:eastAsia="Arial" w:hAnsi="Arial"/>
          <w:sz w:val="15"/>
          <w:szCs w:val="15"/>
          <w:color w:val="auto"/>
        </w:rPr>
        <w:t>our inability to obtain necessary additional financing if the debt contains covenants restricting our ability to obtain such financing while the debt is outstanding;</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inability to pay dividends on our Class A ordinary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0" w:name="page51"/>
    <w:bookmarkEnd w:id="5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jc w:val="both"/>
        <w:ind w:left="1100" w:right="679"/>
        <w:spacing w:after="0" w:line="233" w:lineRule="auto"/>
        <w:rPr>
          <w:sz w:val="20"/>
          <w:szCs w:val="20"/>
          <w:color w:val="auto"/>
        </w:rPr>
      </w:pPr>
      <w:r>
        <w:rPr>
          <w:rFonts w:ascii="Arial" w:cs="Arial" w:eastAsia="Arial" w:hAnsi="Arial"/>
          <w:sz w:val="15"/>
          <w:szCs w:val="15"/>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79" w:lineRule="exact"/>
        <w:rPr>
          <w:sz w:val="20"/>
          <w:szCs w:val="20"/>
          <w:color w:val="auto"/>
        </w:rPr>
      </w:pPr>
    </w:p>
    <w:p>
      <w:pPr>
        <w:ind w:left="1100" w:right="779"/>
        <w:spacing w:after="0" w:line="236" w:lineRule="auto"/>
        <w:rPr>
          <w:sz w:val="20"/>
          <w:szCs w:val="20"/>
          <w:color w:val="auto"/>
        </w:rPr>
      </w:pPr>
      <w:r>
        <w:rPr>
          <w:rFonts w:ascii="Arial" w:cs="Arial" w:eastAsia="Arial" w:hAnsi="Arial"/>
          <w:sz w:val="15"/>
          <w:szCs w:val="15"/>
          <w:color w:val="auto"/>
        </w:rPr>
        <w:t>limitations on our flexibility in planning for and reacting to changes in our business and in the industry in which we operate;</w:t>
      </w:r>
    </w:p>
    <w:p>
      <w:pPr>
        <w:spacing w:after="0" w:line="80" w:lineRule="exact"/>
        <w:rPr>
          <w:sz w:val="20"/>
          <w:szCs w:val="20"/>
          <w:color w:val="auto"/>
        </w:rPr>
      </w:pPr>
    </w:p>
    <w:p>
      <w:pPr>
        <w:ind w:left="1100" w:right="1119"/>
        <w:spacing w:after="0" w:line="236" w:lineRule="auto"/>
        <w:rPr>
          <w:sz w:val="20"/>
          <w:szCs w:val="20"/>
          <w:color w:val="auto"/>
        </w:rPr>
      </w:pPr>
      <w:r>
        <w:rPr>
          <w:rFonts w:ascii="Arial" w:cs="Arial" w:eastAsia="Arial" w:hAnsi="Arial"/>
          <w:sz w:val="15"/>
          <w:szCs w:val="15"/>
          <w:color w:val="auto"/>
        </w:rPr>
        <w:t>increased vulnerability to adverse changes in general economic, industry and competitive conditions and adverse changes in government regulation; and</w:t>
      </w:r>
    </w:p>
    <w:p>
      <w:pPr>
        <w:spacing w:after="0" w:line="80" w:lineRule="exact"/>
        <w:rPr>
          <w:sz w:val="20"/>
          <w:szCs w:val="20"/>
          <w:color w:val="auto"/>
        </w:rPr>
      </w:pPr>
    </w:p>
    <w:p>
      <w:pPr>
        <w:ind w:left="1100" w:right="779"/>
        <w:spacing w:after="0" w:line="233" w:lineRule="auto"/>
        <w:rPr>
          <w:sz w:val="20"/>
          <w:szCs w:val="20"/>
          <w:color w:val="auto"/>
        </w:rPr>
      </w:pPr>
      <w:r>
        <w:rPr>
          <w:rFonts w:ascii="Arial" w:cs="Arial" w:eastAsia="Arial" w:hAnsi="Arial"/>
          <w:sz w:val="15"/>
          <w:szCs w:val="15"/>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38" w:lineRule="exact"/>
        <w:rPr>
          <w:sz w:val="20"/>
          <w:szCs w:val="20"/>
          <w:color w:val="auto"/>
        </w:rPr>
      </w:pPr>
    </w:p>
    <w:p>
      <w:pPr>
        <w:ind w:left="600" w:right="659"/>
        <w:spacing w:after="0" w:line="237" w:lineRule="auto"/>
        <w:rPr>
          <w:sz w:val="20"/>
          <w:szCs w:val="20"/>
          <w:color w:val="auto"/>
        </w:rPr>
      </w:pPr>
      <w:r>
        <w:rPr>
          <w:rFonts w:ascii="Arial" w:cs="Arial" w:eastAsia="Arial" w:hAnsi="Arial"/>
          <w:sz w:val="15"/>
          <w:szCs w:val="15"/>
          <w:b w:val="1"/>
          <w:bCs w:val="1"/>
          <w:color w:val="auto"/>
        </w:rPr>
        <w:t>We may only be able to complete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11" w:lineRule="exact"/>
        <w:rPr>
          <w:sz w:val="20"/>
          <w:szCs w:val="20"/>
          <w:color w:val="auto"/>
        </w:rPr>
      </w:pPr>
    </w:p>
    <w:p>
      <w:pPr>
        <w:ind w:left="600" w:right="619"/>
        <w:spacing w:after="0" w:line="250" w:lineRule="auto"/>
        <w:rPr>
          <w:sz w:val="20"/>
          <w:szCs w:val="20"/>
          <w:color w:val="auto"/>
        </w:rPr>
      </w:pPr>
      <w:r>
        <w:rPr>
          <w:rFonts w:ascii="Arial" w:cs="Arial" w:eastAsia="Arial" w:hAnsi="Arial"/>
          <w:sz w:val="14"/>
          <w:szCs w:val="14"/>
          <w:color w:val="auto"/>
        </w:rPr>
        <w:t>The net proceeds from this offering and the sale of the private placement shares will provide us with up to $121,625,000 (or $139,718,750 if the underwriters’ over-allotment option is exercised in full) that we may use to complete our initial business combination (after taking into account the $4,375,000, or $5,031,250 if the over-allotment option is exercised in full, of deferred underwriting commissions being held in the trust account and the estimated expenses of this offering).</w:t>
      </w:r>
    </w:p>
    <w:p>
      <w:pPr>
        <w:spacing w:after="0" w:line="132" w:lineRule="exact"/>
        <w:rPr>
          <w:sz w:val="20"/>
          <w:szCs w:val="20"/>
          <w:color w:val="auto"/>
        </w:rPr>
      </w:pPr>
    </w:p>
    <w:p>
      <w:pPr>
        <w:ind w:left="600" w:right="699"/>
        <w:spacing w:after="0" w:line="228" w:lineRule="auto"/>
        <w:rPr>
          <w:sz w:val="20"/>
          <w:szCs w:val="20"/>
          <w:color w:val="auto"/>
        </w:rPr>
      </w:pPr>
      <w:r>
        <w:rPr>
          <w:rFonts w:ascii="Arial" w:cs="Arial" w:eastAsia="Arial" w:hAnsi="Arial"/>
          <w:sz w:val="15"/>
          <w:szCs w:val="15"/>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solely dependent upon the performance of a single business, property or asset; or</w:t>
      </w:r>
    </w:p>
    <w:p>
      <w:pPr>
        <w:spacing w:after="0" w:line="83" w:lineRule="exact"/>
        <w:rPr>
          <w:sz w:val="20"/>
          <w:szCs w:val="20"/>
          <w:color w:val="auto"/>
        </w:rPr>
      </w:pPr>
    </w:p>
    <w:p>
      <w:pPr>
        <w:ind w:left="1100" w:right="679"/>
        <w:spacing w:after="0" w:line="236" w:lineRule="auto"/>
        <w:rPr>
          <w:sz w:val="20"/>
          <w:szCs w:val="20"/>
          <w:color w:val="auto"/>
        </w:rPr>
      </w:pPr>
      <w:r>
        <w:rPr>
          <w:rFonts w:ascii="Arial" w:cs="Arial" w:eastAsia="Arial" w:hAnsi="Arial"/>
          <w:sz w:val="15"/>
          <w:szCs w:val="15"/>
          <w:color w:val="auto"/>
        </w:rPr>
        <w:t>dependent upon the development or market acceptance of a single or limited number of products, processes or services.</w:t>
      </w:r>
    </w:p>
    <w:p>
      <w:pPr>
        <w:spacing w:after="0" w:line="138" w:lineRule="exact"/>
        <w:rPr>
          <w:sz w:val="20"/>
          <w:szCs w:val="20"/>
          <w:color w:val="auto"/>
        </w:rPr>
      </w:pPr>
    </w:p>
    <w:p>
      <w:pPr>
        <w:jc w:val="both"/>
        <w:ind w:left="600" w:right="779"/>
        <w:spacing w:after="0" w:line="233" w:lineRule="auto"/>
        <w:rPr>
          <w:sz w:val="20"/>
          <w:szCs w:val="20"/>
          <w:color w:val="auto"/>
        </w:rPr>
      </w:pPr>
      <w:r>
        <w:rPr>
          <w:rFonts w:ascii="Arial" w:cs="Arial" w:eastAsia="Arial" w:hAnsi="Arial"/>
          <w:sz w:val="15"/>
          <w:szCs w:val="15"/>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6" w:lineRule="exact"/>
        <w:rPr>
          <w:sz w:val="20"/>
          <w:szCs w:val="20"/>
          <w:color w:val="auto"/>
        </w:rPr>
      </w:pPr>
    </w:p>
    <w:p>
      <w:pPr>
        <w:jc w:val="both"/>
        <w:ind w:left="600" w:right="759"/>
        <w:spacing w:after="0" w:line="242" w:lineRule="auto"/>
        <w:rPr>
          <w:sz w:val="20"/>
          <w:szCs w:val="20"/>
          <w:color w:val="auto"/>
        </w:rPr>
      </w:pPr>
      <w:r>
        <w:rPr>
          <w:rFonts w:ascii="Arial" w:cs="Arial" w:eastAsia="Arial" w:hAnsi="Arial"/>
          <w:sz w:val="15"/>
          <w:szCs w:val="15"/>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0"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1" w:name="page52"/>
    <w:bookmarkEnd w:id="5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619"/>
        <w:spacing w:after="0" w:line="242" w:lineRule="auto"/>
        <w:rPr>
          <w:sz w:val="20"/>
          <w:szCs w:val="20"/>
          <w:color w:val="auto"/>
        </w:rPr>
      </w:pPr>
      <w:r>
        <w:rPr>
          <w:rFonts w:ascii="Arial" w:cs="Arial" w:eastAsia="Arial" w:hAnsi="Arial"/>
          <w:sz w:val="15"/>
          <w:szCs w:val="15"/>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20" w:lineRule="exact"/>
        <w:rPr>
          <w:sz w:val="20"/>
          <w:szCs w:val="20"/>
          <w:color w:val="auto"/>
        </w:rPr>
      </w:pPr>
    </w:p>
    <w:p>
      <w:pPr>
        <w:ind w:left="600" w:right="699"/>
        <w:spacing w:after="0" w:line="231" w:lineRule="auto"/>
        <w:rPr>
          <w:sz w:val="20"/>
          <w:szCs w:val="20"/>
          <w:color w:val="auto"/>
        </w:rPr>
      </w:pPr>
      <w:r>
        <w:rPr>
          <w:rFonts w:ascii="Arial" w:cs="Arial" w:eastAsia="Arial" w:hAnsi="Arial"/>
          <w:sz w:val="15"/>
          <w:szCs w:val="15"/>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8" w:lineRule="exact"/>
        <w:rPr>
          <w:sz w:val="20"/>
          <w:szCs w:val="20"/>
          <w:color w:val="auto"/>
        </w:rPr>
      </w:pPr>
    </w:p>
    <w:p>
      <w:pPr>
        <w:ind w:left="600" w:right="1079"/>
        <w:spacing w:after="0" w:line="242" w:lineRule="auto"/>
        <w:rPr>
          <w:sz w:val="20"/>
          <w:szCs w:val="20"/>
          <w:color w:val="auto"/>
        </w:rPr>
      </w:pPr>
      <w:r>
        <w:rPr>
          <w:rFonts w:ascii="Arial" w:cs="Arial" w:eastAsia="Arial" w:hAnsi="Arial"/>
          <w:sz w:val="15"/>
          <w:szCs w:val="15"/>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20" w:lineRule="exact"/>
        <w:rPr>
          <w:sz w:val="20"/>
          <w:szCs w:val="20"/>
          <w:color w:val="auto"/>
        </w:rPr>
      </w:pPr>
    </w:p>
    <w:p>
      <w:pPr>
        <w:ind w:left="600" w:right="659"/>
        <w:spacing w:after="0" w:line="227" w:lineRule="auto"/>
        <w:rPr>
          <w:sz w:val="20"/>
          <w:szCs w:val="20"/>
          <w:color w:val="auto"/>
        </w:rPr>
      </w:pPr>
      <w:r>
        <w:rPr>
          <w:rFonts w:ascii="Arial" w:cs="Arial" w:eastAsia="Arial" w:hAnsi="Arial"/>
          <w:sz w:val="15"/>
          <w:szCs w:val="15"/>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36" w:lineRule="exact"/>
        <w:rPr>
          <w:sz w:val="20"/>
          <w:szCs w:val="20"/>
          <w:color w:val="auto"/>
        </w:rPr>
      </w:pPr>
    </w:p>
    <w:p>
      <w:pPr>
        <w:ind w:left="600" w:right="979"/>
        <w:spacing w:after="0" w:line="282" w:lineRule="auto"/>
        <w:rPr>
          <w:sz w:val="20"/>
          <w:szCs w:val="20"/>
          <w:color w:val="auto"/>
        </w:rPr>
      </w:pPr>
      <w:r>
        <w:rPr>
          <w:rFonts w:ascii="Arial" w:cs="Arial" w:eastAsia="Arial" w:hAnsi="Arial"/>
          <w:sz w:val="14"/>
          <w:szCs w:val="14"/>
          <w:b w:val="1"/>
          <w:bCs w:val="1"/>
          <w:color w:val="auto"/>
        </w:rPr>
        <w:t>We may seek business combination opportunities with a high degree of complexity that require significant operational improvements, which could delay or prevent us from achieving our desired results.</w:t>
      </w:r>
    </w:p>
    <w:p>
      <w:pPr>
        <w:ind w:left="600" w:right="699"/>
        <w:spacing w:after="0" w:line="231" w:lineRule="auto"/>
        <w:rPr>
          <w:sz w:val="20"/>
          <w:szCs w:val="20"/>
          <w:color w:val="auto"/>
        </w:rPr>
      </w:pPr>
      <w:r>
        <w:rPr>
          <w:rFonts w:ascii="Arial" w:cs="Arial" w:eastAsia="Arial" w:hAnsi="Arial"/>
          <w:sz w:val="15"/>
          <w:szCs w:val="15"/>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39"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30" w:lineRule="exact"/>
        <w:rPr>
          <w:sz w:val="20"/>
          <w:szCs w:val="20"/>
          <w:color w:val="auto"/>
        </w:rPr>
      </w:pPr>
    </w:p>
    <w:p>
      <w:pPr>
        <w:ind w:left="600" w:right="699"/>
        <w:spacing w:after="0" w:line="242" w:lineRule="auto"/>
        <w:rPr>
          <w:sz w:val="20"/>
          <w:szCs w:val="20"/>
          <w:color w:val="auto"/>
        </w:rPr>
      </w:pPr>
      <w:r>
        <w:rPr>
          <w:rFonts w:ascii="Arial" w:cs="Arial" w:eastAsia="Arial" w:hAnsi="Arial"/>
          <w:sz w:val="15"/>
          <w:szCs w:val="15"/>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20"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2" w:name="page53"/>
    <w:bookmarkEnd w:id="5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19"/>
        <w:spacing w:after="0" w:line="267" w:lineRule="auto"/>
        <w:rPr>
          <w:sz w:val="20"/>
          <w:szCs w:val="20"/>
          <w:color w:val="auto"/>
        </w:rPr>
      </w:pPr>
      <w:r>
        <w:rPr>
          <w:rFonts w:ascii="Arial" w:cs="Arial" w:eastAsia="Arial" w:hAnsi="Arial"/>
          <w:sz w:val="14"/>
          <w:szCs w:val="14"/>
          <w:color w:val="auto"/>
        </w:rPr>
        <w:t>us, we will not complete the business combination or redeem any shares, all Class A ordinary shares submitted for redemption will be returned to the holders thereof, and we instead may search for an alternate business combination.</w:t>
      </w:r>
    </w:p>
    <w:p>
      <w:pPr>
        <w:spacing w:after="0" w:line="19" w:lineRule="exact"/>
        <w:rPr>
          <w:sz w:val="20"/>
          <w:szCs w:val="20"/>
          <w:color w:val="auto"/>
        </w:rPr>
      </w:pPr>
    </w:p>
    <w:p>
      <w:pPr>
        <w:ind w:left="600" w:right="679"/>
        <w:spacing w:after="0" w:line="258" w:lineRule="auto"/>
        <w:rPr>
          <w:sz w:val="20"/>
          <w:szCs w:val="20"/>
          <w:color w:val="auto"/>
        </w:rPr>
      </w:pPr>
      <w:r>
        <w:rPr>
          <w:rFonts w:ascii="Arial" w:cs="Arial" w:eastAsia="Arial" w:hAnsi="Arial"/>
          <w:sz w:val="14"/>
          <w:szCs w:val="14"/>
          <w:b w:val="1"/>
          <w:b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1" w:lineRule="exact"/>
        <w:rPr>
          <w:sz w:val="20"/>
          <w:szCs w:val="20"/>
          <w:color w:val="auto"/>
        </w:rPr>
      </w:pPr>
    </w:p>
    <w:p>
      <w:pPr>
        <w:ind w:left="600" w:right="659"/>
        <w:spacing w:after="0" w:line="227" w:lineRule="auto"/>
        <w:rPr>
          <w:sz w:val="20"/>
          <w:szCs w:val="20"/>
          <w:color w:val="auto"/>
        </w:rPr>
      </w:pPr>
      <w:r>
        <w:rPr>
          <w:rFonts w:ascii="Arial" w:cs="Arial" w:eastAsia="Arial" w:hAnsi="Arial"/>
          <w:sz w:val="15"/>
          <w:szCs w:val="15"/>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To the extent any of such amendments would be deemed to fundamentally change the nature of the securities offered through this registration statement, we would register, or seek an exemption from registration for, the affected securities.</w:t>
      </w:r>
    </w:p>
    <w:p>
      <w:pPr>
        <w:spacing w:after="0" w:line="48" w:lineRule="exact"/>
        <w:rPr>
          <w:sz w:val="20"/>
          <w:szCs w:val="20"/>
          <w:color w:val="auto"/>
        </w:rPr>
      </w:pPr>
    </w:p>
    <w:p>
      <w:pPr>
        <w:ind w:left="600" w:right="679"/>
        <w:spacing w:after="0" w:line="251" w:lineRule="auto"/>
        <w:rPr>
          <w:sz w:val="20"/>
          <w:szCs w:val="20"/>
          <w:color w:val="auto"/>
        </w:rPr>
      </w:pPr>
      <w:r>
        <w:rPr>
          <w:rFonts w:ascii="Arial" w:cs="Arial" w:eastAsia="Arial" w:hAnsi="Arial"/>
          <w:sz w:val="14"/>
          <w:szCs w:val="14"/>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of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3" w:lineRule="exact"/>
        <w:rPr>
          <w:sz w:val="20"/>
          <w:szCs w:val="20"/>
          <w:color w:val="auto"/>
        </w:rPr>
      </w:pPr>
    </w:p>
    <w:p>
      <w:pPr>
        <w:ind w:left="600" w:right="639"/>
        <w:spacing w:after="0" w:line="227" w:lineRule="auto"/>
        <w:rPr>
          <w:sz w:val="20"/>
          <w:szCs w:val="20"/>
          <w:color w:val="auto"/>
        </w:rPr>
      </w:pPr>
      <w:r>
        <w:rPr>
          <w:rFonts w:ascii="Arial" w:cs="Arial" w:eastAsia="Arial" w:hAnsi="Arial"/>
          <w:sz w:val="15"/>
          <w:szCs w:val="15"/>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sale of the private placement shares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 Our initial shareholders, and their permitted transferees, if any, who will collectively beneficially own, on an as-converted basis, 20% of our Class A ordinary shares upon the closing of this offering (excluding the private placement shares and assuming they do not purchase any shares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45"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3" w:name="page54"/>
    <w:bookmarkEnd w:id="5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42" w:lineRule="exact"/>
        <w:rPr>
          <w:sz w:val="20"/>
          <w:szCs w:val="20"/>
          <w:color w:val="auto"/>
        </w:rPr>
      </w:pPr>
    </w:p>
    <w:p>
      <w:pPr>
        <w:ind w:left="600" w:right="719"/>
        <w:spacing w:after="0" w:line="235" w:lineRule="auto"/>
        <w:rPr>
          <w:sz w:val="20"/>
          <w:szCs w:val="20"/>
          <w:color w:val="auto"/>
        </w:rPr>
      </w:pPr>
      <w:r>
        <w:rPr>
          <w:rFonts w:ascii="Arial" w:cs="Arial" w:eastAsia="Arial" w:hAnsi="Arial"/>
          <w:sz w:val="15"/>
          <w:szCs w:val="15"/>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receive only approximately $10.00 per public share, or less in certain circumstances, on the liquidation of our trust account.</w:t>
      </w:r>
    </w:p>
    <w:p>
      <w:pPr>
        <w:spacing w:after="0" w:line="11" w:lineRule="exact"/>
        <w:rPr>
          <w:sz w:val="20"/>
          <w:szCs w:val="20"/>
          <w:color w:val="auto"/>
        </w:rPr>
      </w:pPr>
    </w:p>
    <w:p>
      <w:pPr>
        <w:ind w:left="600" w:right="659"/>
        <w:spacing w:after="0" w:line="244" w:lineRule="auto"/>
        <w:rPr>
          <w:sz w:val="20"/>
          <w:szCs w:val="20"/>
          <w:color w:val="auto"/>
        </w:rPr>
      </w:pPr>
      <w:r>
        <w:rPr>
          <w:rFonts w:ascii="Arial" w:cs="Arial" w:eastAsia="Arial" w:hAnsi="Arial"/>
          <w:sz w:val="14"/>
          <w:szCs w:val="14"/>
          <w:color w:val="auto"/>
        </w:rPr>
        <w:t>Although we believe that the net proceeds of this offering and the sale of the private placement shares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shares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Such financing may not be available on acceptable terms, if at all. The current economic environment may make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within the required time period, our public shareholders may receive only approximately $10.00 per public share, or less in certain circumstances, on the liquidation of our trust account.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201" w:lineRule="exact"/>
        <w:rPr>
          <w:sz w:val="20"/>
          <w:szCs w:val="20"/>
          <w:color w:val="auto"/>
        </w:rPr>
      </w:pPr>
    </w:p>
    <w:p>
      <w:pPr>
        <w:ind w:left="600" w:right="1099"/>
        <w:spacing w:after="0" w:line="255" w:lineRule="auto"/>
        <w:rPr>
          <w:sz w:val="20"/>
          <w:szCs w:val="20"/>
          <w:color w:val="auto"/>
        </w:rPr>
      </w:pPr>
      <w:r>
        <w:rPr>
          <w:rFonts w:ascii="Arial" w:cs="Arial" w:eastAsia="Arial" w:hAnsi="Arial"/>
          <w:sz w:val="15"/>
          <w:szCs w:val="15"/>
          <w:b w:val="1"/>
          <w:bCs w:val="1"/>
          <w:color w:val="auto"/>
        </w:rPr>
        <w:t>Our initial shareholders control a substantial interest in us and thus may exert a substantial influence on actions requiring a shareholder vote, potentially in a manner that you do not support.</w:t>
      </w:r>
    </w:p>
    <w:p>
      <w:pPr>
        <w:ind w:left="600" w:right="639"/>
        <w:spacing w:after="0" w:line="244" w:lineRule="auto"/>
        <w:rPr>
          <w:sz w:val="20"/>
          <w:szCs w:val="20"/>
          <w:color w:val="auto"/>
        </w:rPr>
      </w:pPr>
      <w:r>
        <w:rPr>
          <w:rFonts w:ascii="Arial" w:cs="Arial" w:eastAsia="Arial" w:hAnsi="Arial"/>
          <w:sz w:val="14"/>
          <w:szCs w:val="14"/>
          <w:color w:val="auto"/>
        </w:rPr>
        <w:t>Upon the closing of this offering, our initial shareholders will own, on an as-converted basis, 20% of our issued and outstanding ordinary shares (excluding the private placement shares and assuming they do not purchase any shares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shares in this offering or if our initial shareholders purchase any additional Class A ordinary shares in the aftermarket or in privately negotiated transactions, this would increase their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 of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control the outcome, as only holders of our Class B ordinary shares will have the right to vote on the election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4" w:name="page55"/>
    <w:bookmarkEnd w:id="5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1199"/>
        <w:spacing w:after="0" w:line="258" w:lineRule="auto"/>
        <w:rPr>
          <w:sz w:val="20"/>
          <w:szCs w:val="20"/>
          <w:color w:val="auto"/>
        </w:rPr>
      </w:pPr>
      <w:r>
        <w:rPr>
          <w:rFonts w:ascii="Arial" w:cs="Arial" w:eastAsia="Arial" w:hAnsi="Arial"/>
          <w:sz w:val="15"/>
          <w:szCs w:val="15"/>
          <w:b w:val="1"/>
          <w:bCs w:val="1"/>
          <w:color w:val="auto"/>
        </w:rPr>
        <w:t>Our sponsor contributed $25,000, or approximately $0.007 per founder share, and, accordingly, you will experience immediate and substantial dilution from the purchase of our Class A ordinary shares.</w:t>
      </w:r>
    </w:p>
    <w:p>
      <w:pPr>
        <w:spacing w:after="0" w:line="8"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The difference between the public offering price per share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you and the other public shareholders will incur an immediate and substantial dilution of approximately 88.7% (or $8.87 per share, assuming no exercise of the underwriters’ over-allotment option), the difference between the pro forma net tangible book value per share of $1.13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8" w:lineRule="exact"/>
        <w:rPr>
          <w:sz w:val="20"/>
          <w:szCs w:val="20"/>
          <w:color w:val="auto"/>
        </w:rPr>
      </w:pPr>
    </w:p>
    <w:p>
      <w:pPr>
        <w:ind w:left="600" w:right="659"/>
        <w:spacing w:after="0" w:line="259" w:lineRule="auto"/>
        <w:rPr>
          <w:sz w:val="20"/>
          <w:szCs w:val="20"/>
          <w:color w:val="auto"/>
        </w:rPr>
      </w:pPr>
      <w:r>
        <w:rPr>
          <w:rFonts w:ascii="Arial" w:cs="Arial" w:eastAsia="Arial" w:hAnsi="Arial"/>
          <w:sz w:val="14"/>
          <w:szCs w:val="14"/>
          <w:b w:val="1"/>
          <w:bCs w:val="1"/>
          <w:color w:val="auto"/>
        </w:rPr>
        <w:t>The determination of the offering price of our Class A ordinary shares and the size of this offering is more arbitrary than the pricing of securities and size of an offering of an operating company in a particular industry. You may have less assurance, therefore, that the offering price of our Class A ordinary shares properly reflects the value of such shares than you would have in a typical offering of an operating company.</w:t>
      </w:r>
    </w:p>
    <w:p>
      <w:pPr>
        <w:spacing w:after="0" w:line="9"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Prior to this offering there has been no public market for any of our securities. The public offering price of the Class A ordinary shares was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Class A ordinary shares include:</w:t>
      </w:r>
    </w:p>
    <w:p>
      <w:pPr>
        <w:spacing w:after="0" w:line="83" w:lineRule="exact"/>
        <w:rPr>
          <w:sz w:val="20"/>
          <w:szCs w:val="20"/>
          <w:color w:val="auto"/>
        </w:rPr>
      </w:pPr>
    </w:p>
    <w:p>
      <w:pPr>
        <w:ind w:left="1100" w:right="1219"/>
        <w:spacing w:after="0" w:line="356" w:lineRule="auto"/>
        <w:rPr>
          <w:sz w:val="20"/>
          <w:szCs w:val="20"/>
          <w:color w:val="auto"/>
        </w:rPr>
      </w:pPr>
      <w:r>
        <w:rPr>
          <w:rFonts w:ascii="Arial" w:cs="Arial" w:eastAsia="Arial" w:hAnsi="Arial"/>
          <w:sz w:val="15"/>
          <w:szCs w:val="15"/>
          <w:color w:val="auto"/>
        </w:rPr>
        <w:t>the history and prospects of companies whose principal business is the acquisition of other companies; prior offerings of those companies;</w:t>
      </w:r>
    </w:p>
    <w:p>
      <w:pPr>
        <w:ind w:left="1100" w:right="3399"/>
        <w:spacing w:after="0" w:line="356" w:lineRule="auto"/>
        <w:rPr>
          <w:sz w:val="20"/>
          <w:szCs w:val="20"/>
          <w:color w:val="auto"/>
        </w:rPr>
      </w:pPr>
      <w:r>
        <w:rPr>
          <w:rFonts w:ascii="Arial" w:cs="Arial" w:eastAsia="Arial" w:hAnsi="Arial"/>
          <w:sz w:val="15"/>
          <w:szCs w:val="15"/>
          <w:color w:val="auto"/>
        </w:rPr>
        <w:t>our prospects for acquiring an operating business at attractive values; a review of debt-to-equity ratios in leveraged transactions; our capital structure;</w:t>
      </w:r>
    </w:p>
    <w:p>
      <w:pPr>
        <w:ind w:left="1100" w:right="1939"/>
        <w:spacing w:after="0" w:line="359" w:lineRule="auto"/>
        <w:rPr>
          <w:sz w:val="20"/>
          <w:szCs w:val="20"/>
          <w:color w:val="auto"/>
        </w:rPr>
      </w:pPr>
      <w:r>
        <w:rPr>
          <w:rFonts w:ascii="Arial" w:cs="Arial" w:eastAsia="Arial" w:hAnsi="Arial"/>
          <w:sz w:val="15"/>
          <w:szCs w:val="15"/>
          <w:color w:val="auto"/>
        </w:rPr>
        <w:t>an assessment of our management and their experience in identifying operating companies; general conditions of the securities markets at the time of this offering; and other factors as were deemed relevant.</w:t>
      </w:r>
    </w:p>
    <w:p>
      <w:pPr>
        <w:spacing w:after="0" w:line="52" w:lineRule="exact"/>
        <w:rPr>
          <w:sz w:val="20"/>
          <w:szCs w:val="20"/>
          <w:color w:val="auto"/>
        </w:rPr>
      </w:pPr>
    </w:p>
    <w:p>
      <w:pPr>
        <w:ind w:left="600" w:right="859"/>
        <w:spacing w:after="0" w:line="267" w:lineRule="auto"/>
        <w:rPr>
          <w:sz w:val="20"/>
          <w:szCs w:val="20"/>
          <w:color w:val="auto"/>
        </w:rPr>
      </w:pPr>
      <w:r>
        <w:rPr>
          <w:rFonts w:ascii="Arial" w:cs="Arial" w:eastAsia="Arial" w:hAnsi="Arial"/>
          <w:sz w:val="14"/>
          <w:szCs w:val="14"/>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8" w:lineRule="exact"/>
        <w:rPr>
          <w:sz w:val="20"/>
          <w:szCs w:val="20"/>
          <w:color w:val="auto"/>
        </w:rPr>
      </w:pPr>
    </w:p>
    <w:p>
      <w:pPr>
        <w:ind w:left="600" w:right="839"/>
        <w:spacing w:after="0" w:line="258" w:lineRule="auto"/>
        <w:rPr>
          <w:sz w:val="20"/>
          <w:szCs w:val="20"/>
          <w:color w:val="auto"/>
        </w:rPr>
      </w:pPr>
      <w:r>
        <w:rPr>
          <w:rFonts w:ascii="Arial" w:cs="Arial" w:eastAsia="Arial" w:hAnsi="Arial"/>
          <w:sz w:val="15"/>
          <w:szCs w:val="15"/>
          <w:b w:val="1"/>
          <w:bCs w:val="1"/>
          <w:color w:val="auto"/>
        </w:rPr>
        <w:t>There is currently no market for our securities and a market for our securities may not develop, which would adversely affect the liquidity and price of our securities.</w:t>
      </w:r>
    </w:p>
    <w:p>
      <w:pPr>
        <w:spacing w:after="0" w:line="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30" w:lineRule="exact"/>
        <w:rPr>
          <w:sz w:val="20"/>
          <w:szCs w:val="20"/>
          <w:color w:val="auto"/>
        </w:rPr>
      </w:pPr>
    </w:p>
    <w:p>
      <w:pPr>
        <w:ind w:left="600" w:right="619"/>
        <w:spacing w:after="0" w:line="282" w:lineRule="auto"/>
        <w:rPr>
          <w:sz w:val="20"/>
          <w:szCs w:val="20"/>
          <w:color w:val="auto"/>
        </w:rPr>
      </w:pPr>
      <w:r>
        <w:rPr>
          <w:rFonts w:ascii="Arial" w:cs="Arial" w:eastAsia="Arial" w:hAnsi="Arial"/>
          <w:sz w:val="14"/>
          <w:szCs w:val="14"/>
          <w:b w:val="1"/>
          <w:bCs w:val="1"/>
          <w:color w:val="auto"/>
        </w:rPr>
        <w:t>Because we must furnish our shareholders with target business financial statements, we may lose the ability to complete an otherwise advantageous initial business combination with some prospective target businesses.</w:t>
      </w:r>
    </w:p>
    <w:p>
      <w:pPr>
        <w:ind w:left="600" w:right="659"/>
        <w:spacing w:after="0" w:line="229" w:lineRule="auto"/>
        <w:rPr>
          <w:sz w:val="20"/>
          <w:szCs w:val="20"/>
          <w:color w:val="auto"/>
        </w:rPr>
      </w:pPr>
      <w:r>
        <w:rPr>
          <w:rFonts w:ascii="Arial" w:cs="Arial" w:eastAsia="Arial" w:hAnsi="Arial"/>
          <w:sz w:val="15"/>
          <w:szCs w:val="15"/>
          <w:color w:val="auto"/>
        </w:rPr>
        <w:t>The federal proxy rules require that a proxy statement with respect to a vote on our proposed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5" w:name="page56"/>
    <w:bookmarkEnd w:id="5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w:t>
      </w:r>
    </w:p>
    <w:p>
      <w:pPr>
        <w:spacing w:after="0" w:line="42" w:lineRule="exact"/>
        <w:rPr>
          <w:sz w:val="20"/>
          <w:szCs w:val="20"/>
          <w:color w:val="auto"/>
        </w:rPr>
      </w:pPr>
    </w:p>
    <w:p>
      <w:pPr>
        <w:ind w:left="600" w:right="899"/>
        <w:spacing w:after="0" w:line="258" w:lineRule="auto"/>
        <w:rPr>
          <w:sz w:val="20"/>
          <w:szCs w:val="20"/>
          <w:color w:val="auto"/>
        </w:rPr>
      </w:pPr>
      <w:r>
        <w:rPr>
          <w:rFonts w:ascii="Arial" w:cs="Arial" w:eastAsia="Arial" w:hAnsi="Arial"/>
          <w:sz w:val="14"/>
          <w:szCs w:val="14"/>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left="600" w:right="639"/>
        <w:spacing w:after="0" w:line="244" w:lineRule="auto"/>
        <w:rPr>
          <w:sz w:val="20"/>
          <w:szCs w:val="20"/>
          <w:color w:val="auto"/>
        </w:rPr>
      </w:pPr>
      <w:r>
        <w:rPr>
          <w:rFonts w:ascii="Arial" w:cs="Arial" w:eastAsia="Arial" w:hAnsi="Arial"/>
          <w:sz w:val="14"/>
          <w:szCs w:val="14"/>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40" w:lineRule="exact"/>
        <w:rPr>
          <w:sz w:val="20"/>
          <w:szCs w:val="20"/>
          <w:color w:val="auto"/>
        </w:rPr>
      </w:pPr>
    </w:p>
    <w:p>
      <w:pPr>
        <w:ind w:left="600" w:right="639"/>
        <w:spacing w:after="0" w:line="245"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5"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7" w:lineRule="exact"/>
        <w:rPr>
          <w:sz w:val="20"/>
          <w:szCs w:val="20"/>
          <w:color w:val="auto"/>
        </w:rPr>
      </w:pPr>
    </w:p>
    <w:p>
      <w:pPr>
        <w:ind w:left="600" w:right="939"/>
        <w:spacing w:after="0" w:line="242" w:lineRule="auto"/>
        <w:rPr>
          <w:sz w:val="20"/>
          <w:szCs w:val="20"/>
          <w:color w:val="auto"/>
        </w:rPr>
      </w:pPr>
      <w:r>
        <w:rPr>
          <w:rFonts w:ascii="Arial" w:cs="Arial" w:eastAsia="Arial" w:hAnsi="Arial"/>
          <w:sz w:val="15"/>
          <w:szCs w:val="15"/>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20"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6" w:name="page57"/>
    <w:bookmarkEnd w:id="5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39"/>
        <w:spacing w:after="0" w:line="231" w:lineRule="auto"/>
        <w:rPr>
          <w:sz w:val="20"/>
          <w:szCs w:val="20"/>
          <w:color w:val="auto"/>
        </w:rPr>
      </w:pPr>
      <w:r>
        <w:rPr>
          <w:rFonts w:ascii="Arial" w:cs="Arial" w:eastAsia="Arial" w:hAnsi="Arial"/>
          <w:sz w:val="15"/>
          <w:szCs w:val="15"/>
          <w:color w:val="auto"/>
        </w:rPr>
        <w:t>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39" w:lineRule="exact"/>
        <w:rPr>
          <w:sz w:val="20"/>
          <w:szCs w:val="20"/>
          <w:color w:val="auto"/>
        </w:rPr>
      </w:pPr>
    </w:p>
    <w:p>
      <w:pPr>
        <w:ind w:left="600" w:right="619"/>
        <w:spacing w:after="0" w:line="255" w:lineRule="auto"/>
        <w:rPr>
          <w:sz w:val="20"/>
          <w:szCs w:val="20"/>
          <w:color w:val="auto"/>
        </w:rPr>
      </w:pPr>
      <w:r>
        <w:rPr>
          <w:rFonts w:ascii="Arial" w:cs="Arial" w:eastAsia="Arial" w:hAnsi="Arial"/>
          <w:sz w:val="15"/>
          <w:szCs w:val="15"/>
          <w:b w:val="1"/>
          <w:bCs w:val="1"/>
          <w:color w:val="auto"/>
        </w:rPr>
        <w:t>Because we are incorporated under the laws of the Cayman Islands, you may face difficulties in protecting your interests, and your ability to protect your rights through the U.S. federal courts may be limited.</w:t>
      </w:r>
    </w:p>
    <w:p>
      <w:pPr>
        <w:ind w:left="600" w:right="899"/>
        <w:spacing w:after="0" w:line="233" w:lineRule="auto"/>
        <w:rPr>
          <w:sz w:val="20"/>
          <w:szCs w:val="20"/>
          <w:color w:val="auto"/>
        </w:rPr>
      </w:pPr>
      <w:r>
        <w:rPr>
          <w:rFonts w:ascii="Arial" w:cs="Arial" w:eastAsia="Arial" w:hAnsi="Arial"/>
          <w:sz w:val="15"/>
          <w:szCs w:val="15"/>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38"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Our corporate affairs and the rights of shareholders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Law applicable to us and, for example, the laws applicable to companies incorporated in the United States and their shareholders, see the section of this prospectus captioned “Description of Securities — Certain Differences in Corporate Law.”</w:t>
      </w:r>
    </w:p>
    <w:p>
      <w:pPr>
        <w:spacing w:after="0" w:line="147" w:lineRule="exact"/>
        <w:rPr>
          <w:sz w:val="20"/>
          <w:szCs w:val="20"/>
          <w:color w:val="auto"/>
        </w:rPr>
      </w:pPr>
    </w:p>
    <w:p>
      <w:pPr>
        <w:ind w:left="600" w:right="599"/>
        <w:spacing w:after="0" w:line="247" w:lineRule="auto"/>
        <w:rPr>
          <w:sz w:val="20"/>
          <w:szCs w:val="20"/>
          <w:color w:val="auto"/>
        </w:rPr>
      </w:pPr>
      <w:r>
        <w:rPr>
          <w:rFonts w:ascii="Arial" w:cs="Arial" w:eastAsia="Arial" w:hAnsi="Arial"/>
          <w:sz w:val="14"/>
          <w:szCs w:val="14"/>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3"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47" w:lineRule="exact"/>
        <w:rPr>
          <w:sz w:val="20"/>
          <w:szCs w:val="20"/>
          <w:color w:val="auto"/>
        </w:rPr>
      </w:pPr>
    </w:p>
    <w:p>
      <w:pPr>
        <w:ind w:left="600" w:right="699"/>
        <w:spacing w:after="0" w:line="233" w:lineRule="auto"/>
        <w:rPr>
          <w:sz w:val="20"/>
          <w:szCs w:val="20"/>
          <w:color w:val="auto"/>
        </w:rPr>
      </w:pPr>
      <w:r>
        <w:rPr>
          <w:rFonts w:ascii="Arial" w:cs="Arial" w:eastAsia="Arial" w:hAnsi="Arial"/>
          <w:sz w:val="15"/>
          <w:szCs w:val="15"/>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7" w:name="page58"/>
    <w:bookmarkEnd w:id="5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699"/>
        <w:spacing w:after="0" w:line="242" w:lineRule="auto"/>
        <w:rPr>
          <w:sz w:val="20"/>
          <w:szCs w:val="20"/>
          <w:color w:val="auto"/>
        </w:rPr>
      </w:pPr>
      <w:r>
        <w:rPr>
          <w:rFonts w:ascii="Arial" w:cs="Arial" w:eastAsia="Arial" w:hAnsi="Arial"/>
          <w:sz w:val="15"/>
          <w:szCs w:val="15"/>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20"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28" w:lineRule="exact"/>
        <w:rPr>
          <w:sz w:val="20"/>
          <w:szCs w:val="20"/>
          <w:color w:val="auto"/>
        </w:rPr>
      </w:pPr>
    </w:p>
    <w:p>
      <w:pPr>
        <w:ind w:left="600" w:right="1299"/>
        <w:spacing w:after="0" w:line="258" w:lineRule="auto"/>
        <w:rPr>
          <w:sz w:val="20"/>
          <w:szCs w:val="20"/>
          <w:color w:val="auto"/>
        </w:rPr>
      </w:pPr>
      <w:r>
        <w:rPr>
          <w:rFonts w:ascii="Arial" w:cs="Arial" w:eastAsia="Arial" w:hAnsi="Arial"/>
          <w:sz w:val="15"/>
          <w:szCs w:val="15"/>
          <w:b w:val="1"/>
          <w:bCs w:val="1"/>
          <w:color w:val="auto"/>
        </w:rPr>
        <w:t>Cyber incidents or attacks directed at us could result in information theft, data corruption, operational disruption and/or financial loss.</w:t>
      </w:r>
    </w:p>
    <w:p>
      <w:pPr>
        <w:spacing w:after="0" w:line="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Risks Associated with Acquiring and Operating a Business in Foreign Countries</w:t>
      </w:r>
    </w:p>
    <w:p>
      <w:pPr>
        <w:spacing w:after="0" w:line="60" w:lineRule="exact"/>
        <w:rPr>
          <w:sz w:val="20"/>
          <w:szCs w:val="20"/>
          <w:color w:val="auto"/>
        </w:rPr>
      </w:pPr>
    </w:p>
    <w:p>
      <w:pPr>
        <w:ind w:left="600" w:right="719"/>
        <w:spacing w:after="0" w:line="237" w:lineRule="auto"/>
        <w:rPr>
          <w:sz w:val="20"/>
          <w:szCs w:val="20"/>
          <w:color w:val="auto"/>
        </w:rPr>
      </w:pPr>
      <w:r>
        <w:rPr>
          <w:rFonts w:ascii="Arial" w:cs="Arial" w:eastAsia="Arial" w:hAnsi="Arial"/>
          <w:sz w:val="15"/>
          <w:szCs w:val="15"/>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1" w:lineRule="exact"/>
        <w:rPr>
          <w:sz w:val="20"/>
          <w:szCs w:val="20"/>
          <w:color w:val="auto"/>
        </w:rPr>
      </w:pPr>
    </w:p>
    <w:p>
      <w:pPr>
        <w:ind w:left="600" w:right="699"/>
        <w:spacing w:after="0" w:line="230" w:lineRule="auto"/>
        <w:rPr>
          <w:sz w:val="20"/>
          <w:szCs w:val="20"/>
          <w:color w:val="auto"/>
        </w:rPr>
      </w:pPr>
      <w:r>
        <w:rPr>
          <w:rFonts w:ascii="Arial" w:cs="Arial" w:eastAsia="Arial" w:hAnsi="Arial"/>
          <w:sz w:val="15"/>
          <w:szCs w:val="15"/>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39" w:lineRule="exact"/>
        <w:rPr>
          <w:sz w:val="20"/>
          <w:szCs w:val="20"/>
          <w:color w:val="auto"/>
        </w:rPr>
      </w:pPr>
    </w:p>
    <w:p>
      <w:pPr>
        <w:ind w:left="600" w:right="719"/>
        <w:spacing w:after="0" w:line="236" w:lineRule="auto"/>
        <w:rPr>
          <w:sz w:val="20"/>
          <w:szCs w:val="20"/>
          <w:color w:val="auto"/>
        </w:rPr>
      </w:pPr>
      <w:r>
        <w:rPr>
          <w:rFonts w:ascii="Arial" w:cs="Arial" w:eastAsia="Arial" w:hAnsi="Arial"/>
          <w:sz w:val="15"/>
          <w:szCs w:val="15"/>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80" w:lineRule="exact"/>
        <w:rPr>
          <w:sz w:val="20"/>
          <w:szCs w:val="20"/>
          <w:color w:val="auto"/>
        </w:rPr>
      </w:pPr>
    </w:p>
    <w:p>
      <w:pPr>
        <w:ind w:left="1100" w:right="2939"/>
        <w:spacing w:after="0" w:line="356" w:lineRule="auto"/>
        <w:rPr>
          <w:sz w:val="20"/>
          <w:szCs w:val="20"/>
          <w:color w:val="auto"/>
        </w:rPr>
      </w:pPr>
      <w:r>
        <w:rPr>
          <w:rFonts w:ascii="Arial" w:cs="Arial" w:eastAsia="Arial" w:hAnsi="Arial"/>
          <w:sz w:val="15"/>
          <w:szCs w:val="15"/>
          <w:color w:val="auto"/>
        </w:rPr>
        <w:t>costs and difficulties inherent in managing cross-border business operations; rules and regulations regarding currency redemption; complex corporate withholding taxes on individuals;</w:t>
      </w:r>
    </w:p>
    <w:p>
      <w:pPr>
        <w:ind w:left="1100" w:right="2499"/>
        <w:spacing w:after="0" w:line="399" w:lineRule="auto"/>
        <w:rPr>
          <w:sz w:val="20"/>
          <w:szCs w:val="20"/>
          <w:color w:val="auto"/>
        </w:rPr>
      </w:pPr>
      <w:r>
        <w:rPr>
          <w:rFonts w:ascii="Arial" w:cs="Arial" w:eastAsia="Arial" w:hAnsi="Arial"/>
          <w:sz w:val="15"/>
          <w:szCs w:val="15"/>
          <w:color w:val="auto"/>
        </w:rPr>
        <w:t>laws governing the manner in which future business combinations may be effected; exchange listing and/or delisting requirements; tariffs and trade barriers;</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regulations related to customs and import/export matters;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local or regional economic policies and market conditions;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unexpected changes in regulatory requirements;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longer payment cycles;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tax issues, such as tax law changes and variations in tax laws as compared to the United States;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currency fluctuations and exchange controls;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rates of inflation;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8" w:name="page59"/>
    <w:bookmarkEnd w:id="5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challenges in collecting accounts receivable;</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cultural and language differences;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employment regulations;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underdeveloped or unpredictable legal or regulatory systems;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corruption;</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protection of intellectual property;</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social unrest, crime, strikes, riots and civil disturbances;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regime changes and political upheaval;</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terrorist attacks, natural disasters and wars; and</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deterioration of political relations with the United States.</w:t>
      </w:r>
    </w:p>
    <w:p>
      <w:pPr>
        <w:spacing w:after="0" w:line="142" w:lineRule="exact"/>
        <w:rPr>
          <w:sz w:val="20"/>
          <w:szCs w:val="20"/>
          <w:color w:val="auto"/>
        </w:rPr>
      </w:pPr>
    </w:p>
    <w:p>
      <w:pPr>
        <w:ind w:left="600" w:right="799"/>
        <w:spacing w:after="0" w:line="233" w:lineRule="auto"/>
        <w:rPr>
          <w:sz w:val="20"/>
          <w:szCs w:val="20"/>
          <w:color w:val="auto"/>
        </w:rPr>
      </w:pPr>
      <w:r>
        <w:rPr>
          <w:rFonts w:ascii="Arial" w:cs="Arial" w:eastAsia="Arial" w:hAnsi="Arial"/>
          <w:sz w:val="15"/>
          <w:szCs w:val="15"/>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26" w:lineRule="exact"/>
        <w:rPr>
          <w:sz w:val="20"/>
          <w:szCs w:val="20"/>
          <w:color w:val="auto"/>
        </w:rPr>
      </w:pPr>
    </w:p>
    <w:p>
      <w:pPr>
        <w:ind w:left="600" w:right="759"/>
        <w:spacing w:after="0" w:line="242" w:lineRule="auto"/>
        <w:rPr>
          <w:sz w:val="20"/>
          <w:szCs w:val="20"/>
          <w:color w:val="auto"/>
        </w:rPr>
      </w:pPr>
      <w:r>
        <w:rPr>
          <w:rFonts w:ascii="Arial" w:cs="Arial" w:eastAsia="Arial" w:hAnsi="Arial"/>
          <w:sz w:val="15"/>
          <w:szCs w:val="15"/>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20"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0" w:lineRule="exact"/>
        <w:rPr>
          <w:sz w:val="20"/>
          <w:szCs w:val="20"/>
          <w:color w:val="auto"/>
        </w:rPr>
      </w:pPr>
    </w:p>
    <w:p>
      <w:pPr>
        <w:ind w:left="600" w:right="639"/>
        <w:spacing w:after="0" w:line="237" w:lineRule="auto"/>
        <w:rPr>
          <w:sz w:val="20"/>
          <w:szCs w:val="20"/>
          <w:color w:val="auto"/>
        </w:rPr>
      </w:pPr>
      <w:r>
        <w:rPr>
          <w:rFonts w:ascii="Arial" w:cs="Arial" w:eastAsia="Arial" w:hAnsi="Arial"/>
          <w:sz w:val="15"/>
          <w:szCs w:val="15"/>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jc w:val="both"/>
        <w:ind w:left="600" w:right="619"/>
        <w:spacing w:after="0" w:line="242" w:lineRule="auto"/>
        <w:rPr>
          <w:sz w:val="20"/>
          <w:szCs w:val="20"/>
          <w:color w:val="auto"/>
        </w:rPr>
      </w:pPr>
      <w:r>
        <w:rPr>
          <w:rFonts w:ascii="Arial" w:cs="Arial" w:eastAsia="Arial" w:hAnsi="Arial"/>
          <w:sz w:val="14"/>
          <w:szCs w:val="14"/>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w:t>
      </w:r>
    </w:p>
    <w:p>
      <w:pPr>
        <w:spacing w:after="0" w:line="2" w:lineRule="exact"/>
        <w:rPr>
          <w:sz w:val="20"/>
          <w:szCs w:val="20"/>
          <w:color w:val="auto"/>
        </w:rPr>
      </w:pPr>
    </w:p>
    <w:p>
      <w:pPr>
        <w:ind w:left="600" w:right="659"/>
        <w:spacing w:after="0" w:line="233" w:lineRule="auto"/>
        <w:rPr>
          <w:sz w:val="20"/>
          <w:szCs w:val="20"/>
          <w:color w:val="auto"/>
        </w:rPr>
      </w:pPr>
      <w:r>
        <w:rPr>
          <w:rFonts w:ascii="Arial" w:cs="Arial" w:eastAsia="Arial" w:hAnsi="Arial"/>
          <w:sz w:val="15"/>
          <w:szCs w:val="15"/>
          <w:color w:val="auto"/>
        </w:rPr>
        <w:t>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6" w:lineRule="exact"/>
        <w:rPr>
          <w:sz w:val="20"/>
          <w:szCs w:val="20"/>
          <w:color w:val="auto"/>
        </w:rPr>
      </w:pPr>
    </w:p>
    <w:p>
      <w:pPr>
        <w:ind w:left="600" w:right="1199"/>
        <w:spacing w:after="0" w:line="258" w:lineRule="auto"/>
        <w:rPr>
          <w:sz w:val="20"/>
          <w:szCs w:val="20"/>
          <w:color w:val="auto"/>
        </w:rPr>
      </w:pPr>
      <w:r>
        <w:rPr>
          <w:rFonts w:ascii="Arial" w:cs="Arial" w:eastAsia="Arial" w:hAnsi="Arial"/>
          <w:sz w:val="15"/>
          <w:szCs w:val="15"/>
          <w:b w:val="1"/>
          <w:bCs w:val="1"/>
          <w:color w:val="auto"/>
        </w:rPr>
        <w:t>Exchange rate fluctuations and currency policies may cause a target business’ ability to succeed in the international markets to be diminished.</w:t>
      </w:r>
    </w:p>
    <w:p>
      <w:pPr>
        <w:spacing w:after="0" w:line="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7" w:lineRule="exact"/>
        <w:rPr>
          <w:sz w:val="20"/>
          <w:szCs w:val="20"/>
          <w:color w:val="auto"/>
        </w:rPr>
      </w:pPr>
    </w:p>
    <w:p>
      <w:pPr>
        <w:ind w:left="600" w:right="699"/>
        <w:spacing w:after="0" w:line="242" w:lineRule="auto"/>
        <w:rPr>
          <w:sz w:val="20"/>
          <w:szCs w:val="20"/>
          <w:color w:val="auto"/>
        </w:rPr>
      </w:pPr>
      <w:r>
        <w:rPr>
          <w:rFonts w:ascii="Arial" w:cs="Arial" w:eastAsia="Arial" w:hAnsi="Arial"/>
          <w:sz w:val="15"/>
          <w:szCs w:val="15"/>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20"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9" w:name="page60"/>
    <w:bookmarkEnd w:id="5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36" w:lineRule="auto"/>
        <w:rPr>
          <w:sz w:val="20"/>
          <w:szCs w:val="20"/>
          <w:color w:val="auto"/>
        </w:rPr>
      </w:pPr>
      <w:r>
        <w:rPr>
          <w:rFonts w:ascii="Arial" w:cs="Arial" w:eastAsia="Arial" w:hAnsi="Arial"/>
          <w:sz w:val="15"/>
          <w:szCs w:val="15"/>
          <w:color w:val="auto"/>
        </w:rPr>
        <w:t>as certain in implementation and interpretation as in the United States. The inability to enforce or obtain a remedy under any of our future agreements could result in a significant loss of business, business opportunities or capital.</w:t>
      </w:r>
    </w:p>
    <w:p>
      <w:pPr>
        <w:spacing w:after="0" w:line="38" w:lineRule="exact"/>
        <w:rPr>
          <w:sz w:val="20"/>
          <w:szCs w:val="20"/>
          <w:color w:val="auto"/>
        </w:rPr>
      </w:pPr>
    </w:p>
    <w:p>
      <w:pPr>
        <w:ind w:left="600" w:right="639"/>
        <w:spacing w:after="0" w:line="255" w:lineRule="auto"/>
        <w:rPr>
          <w:sz w:val="20"/>
          <w:szCs w:val="20"/>
          <w:color w:val="auto"/>
        </w:rPr>
      </w:pPr>
      <w:r>
        <w:rPr>
          <w:rFonts w:ascii="Arial" w:cs="Arial" w:eastAsia="Arial" w:hAnsi="Arial"/>
          <w:sz w:val="15"/>
          <w:szCs w:val="15"/>
          <w:b w:val="1"/>
          <w:bCs w:val="1"/>
          <w:color w:val="auto"/>
        </w:rPr>
        <w:t>We are subject to changing law and regulations regarding regulatory matters, corporate governance and public disclosure that have increased both our costs and the risk of non-compliance.</w:t>
      </w:r>
    </w:p>
    <w:p>
      <w:pPr>
        <w:ind w:left="600" w:right="659"/>
        <w:spacing w:after="0" w:line="230" w:lineRule="auto"/>
        <w:rPr>
          <w:sz w:val="20"/>
          <w:szCs w:val="20"/>
          <w:color w:val="auto"/>
        </w:rPr>
      </w:pPr>
      <w:r>
        <w:rPr>
          <w:rFonts w:ascii="Arial" w:cs="Arial" w:eastAsia="Arial" w:hAnsi="Arial"/>
          <w:sz w:val="15"/>
          <w:szCs w:val="15"/>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39"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0" w:name="page61"/>
    <w:bookmarkEnd w:id="6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55"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4"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ability to select an appropriate target business or businesses;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ability to complete our initial business combination;</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expectations around the performance of a prospective target business or businesses;</w:t>
      </w:r>
    </w:p>
    <w:p>
      <w:pPr>
        <w:spacing w:after="0" w:line="83" w:lineRule="exact"/>
        <w:rPr>
          <w:sz w:val="20"/>
          <w:szCs w:val="20"/>
          <w:color w:val="auto"/>
        </w:rPr>
      </w:pPr>
    </w:p>
    <w:p>
      <w:pPr>
        <w:ind w:left="1100" w:right="739"/>
        <w:spacing w:after="0" w:line="236" w:lineRule="auto"/>
        <w:rPr>
          <w:sz w:val="20"/>
          <w:szCs w:val="20"/>
          <w:color w:val="auto"/>
        </w:rPr>
      </w:pPr>
      <w:r>
        <w:rPr>
          <w:rFonts w:ascii="Arial" w:cs="Arial" w:eastAsia="Arial" w:hAnsi="Arial"/>
          <w:sz w:val="15"/>
          <w:szCs w:val="15"/>
          <w:color w:val="auto"/>
        </w:rPr>
        <w:t>our success in retaining or recruiting, or changes required in, our officers, key employees or directors following our initial business combination;</w:t>
      </w:r>
    </w:p>
    <w:p>
      <w:pPr>
        <w:spacing w:after="0" w:line="80" w:lineRule="exact"/>
        <w:rPr>
          <w:sz w:val="20"/>
          <w:szCs w:val="20"/>
          <w:color w:val="auto"/>
        </w:rPr>
      </w:pPr>
    </w:p>
    <w:p>
      <w:pPr>
        <w:ind w:left="1100" w:right="659"/>
        <w:spacing w:after="0" w:line="236" w:lineRule="auto"/>
        <w:rPr>
          <w:sz w:val="20"/>
          <w:szCs w:val="20"/>
          <w:color w:val="auto"/>
        </w:rPr>
      </w:pPr>
      <w:r>
        <w:rPr>
          <w:rFonts w:ascii="Arial" w:cs="Arial" w:eastAsia="Arial" w:hAnsi="Arial"/>
          <w:sz w:val="15"/>
          <w:szCs w:val="15"/>
          <w:color w:val="auto"/>
        </w:rPr>
        <w:t>our officers and directors allocating their time to other businesses and potentially having conflicts of interest with our business or in approving our initial business combination;</w:t>
      </w:r>
    </w:p>
    <w:p>
      <w:pPr>
        <w:spacing w:after="0" w:line="80" w:lineRule="exact"/>
        <w:rPr>
          <w:sz w:val="20"/>
          <w:szCs w:val="20"/>
          <w:color w:val="auto"/>
        </w:rPr>
      </w:pPr>
    </w:p>
    <w:p>
      <w:pPr>
        <w:ind w:left="1100" w:right="1859"/>
        <w:spacing w:after="0" w:line="356" w:lineRule="auto"/>
        <w:rPr>
          <w:sz w:val="20"/>
          <w:szCs w:val="20"/>
          <w:color w:val="auto"/>
        </w:rPr>
      </w:pPr>
      <w:r>
        <w:rPr>
          <w:rFonts w:ascii="Arial" w:cs="Arial" w:eastAsia="Arial" w:hAnsi="Arial"/>
          <w:sz w:val="15"/>
          <w:szCs w:val="15"/>
          <w:color w:val="auto"/>
        </w:rPr>
        <w:t>our potential ability to obtain additional financing to complete our initial business combination; our pool of prospective target businesses;</w:t>
      </w:r>
    </w:p>
    <w:p>
      <w:pPr>
        <w:ind w:left="1100" w:right="1119"/>
        <w:spacing w:after="0" w:line="236" w:lineRule="auto"/>
        <w:rPr>
          <w:sz w:val="20"/>
          <w:szCs w:val="20"/>
          <w:color w:val="auto"/>
        </w:rPr>
      </w:pPr>
      <w:r>
        <w:rPr>
          <w:rFonts w:ascii="Arial" w:cs="Arial" w:eastAsia="Arial" w:hAnsi="Arial"/>
          <w:sz w:val="15"/>
          <w:szCs w:val="15"/>
          <w:color w:val="auto"/>
        </w:rPr>
        <w:t>our ability to consummate an initial business combination due to the uncertainty resulting from the recent COVID-19 pandemic;</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ability of our officers and directors to generate a number of potential business combination opportunities;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public securities’ potential liquidity and trading;</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lack of a market for our securities;</w:t>
      </w:r>
    </w:p>
    <w:p>
      <w:pPr>
        <w:spacing w:after="0" w:line="83" w:lineRule="exact"/>
        <w:rPr>
          <w:sz w:val="20"/>
          <w:szCs w:val="20"/>
          <w:color w:val="auto"/>
        </w:rPr>
      </w:pPr>
    </w:p>
    <w:p>
      <w:pPr>
        <w:ind w:left="1100" w:right="919"/>
        <w:spacing w:after="0" w:line="236" w:lineRule="auto"/>
        <w:rPr>
          <w:sz w:val="20"/>
          <w:szCs w:val="20"/>
          <w:color w:val="auto"/>
        </w:rPr>
      </w:pPr>
      <w:r>
        <w:rPr>
          <w:rFonts w:ascii="Arial" w:cs="Arial" w:eastAsia="Arial" w:hAnsi="Arial"/>
          <w:sz w:val="15"/>
          <w:szCs w:val="15"/>
          <w:color w:val="auto"/>
        </w:rPr>
        <w:t>the use of proceeds not held in the trust account or available to us from interest income on the trust account balance;</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trust account not being subject to claims of third parties; or</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financial performance following this offering.</w:t>
      </w:r>
    </w:p>
    <w:p>
      <w:pPr>
        <w:spacing w:after="0" w:line="142"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1" w:name="page62"/>
    <w:bookmarkEnd w:id="6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155" w:lineRule="exact"/>
        <w:rPr>
          <w:sz w:val="20"/>
          <w:szCs w:val="20"/>
          <w:color w:val="auto"/>
        </w:rPr>
      </w:pPr>
    </w:p>
    <w:p>
      <w:pPr>
        <w:jc w:val="both"/>
        <w:ind w:left="600" w:right="799"/>
        <w:spacing w:after="0" w:line="233" w:lineRule="auto"/>
        <w:rPr>
          <w:sz w:val="20"/>
          <w:szCs w:val="20"/>
          <w:color w:val="auto"/>
        </w:rPr>
      </w:pPr>
      <w:r>
        <w:rPr>
          <w:rFonts w:ascii="Arial" w:cs="Arial" w:eastAsia="Arial" w:hAnsi="Arial"/>
          <w:sz w:val="15"/>
          <w:szCs w:val="15"/>
          <w:color w:val="auto"/>
        </w:rPr>
        <w:t>We are offering 12,500,000 Class A ordinary shares at an offering price of $10.00 per share. We estimate that the net proceeds of this offering, together with the funds we will receive from the sale of the private placement shares,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113030</wp:posOffset>
            </wp:positionV>
            <wp:extent cx="496443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7"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rPr>
              <w:t>WITHOUT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OVER-</w:t>
            </w:r>
          </w:p>
        </w:tc>
        <w:tc>
          <w:tcPr>
            <w:tcW w:w="0" w:type="dxa"/>
            <w:vAlign w:val="bottom"/>
          </w:tcPr>
          <w:p>
            <w:pPr>
              <w:spacing w:after="0"/>
              <w:rPr>
                <w:sz w:val="1"/>
                <w:szCs w:val="1"/>
                <w:color w:val="auto"/>
              </w:rPr>
            </w:pPr>
          </w:p>
        </w:tc>
      </w:tr>
      <w:tr>
        <w:trPr>
          <w:trHeight w:val="140"/>
        </w:trPr>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OVER-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ALLOTMENT</w:t>
            </w:r>
          </w:p>
        </w:tc>
        <w:tc>
          <w:tcPr>
            <w:tcW w:w="0" w:type="dxa"/>
            <w:vAlign w:val="bottom"/>
          </w:tcPr>
          <w:p>
            <w:pPr>
              <w:spacing w:after="0"/>
              <w:rPr>
                <w:sz w:val="1"/>
                <w:szCs w:val="1"/>
                <w:color w:val="auto"/>
              </w:rPr>
            </w:pPr>
          </w:p>
        </w:tc>
      </w:tr>
      <w:tr>
        <w:trPr>
          <w:trHeight w:val="140"/>
        </w:trPr>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rPr>
              <w:t>ALLOTMENT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OPTION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EXERCISED</w:t>
            </w:r>
          </w:p>
        </w:tc>
        <w:tc>
          <w:tcPr>
            <w:tcW w:w="0" w:type="dxa"/>
            <w:vAlign w:val="bottom"/>
          </w:tcPr>
          <w:p>
            <w:pPr>
              <w:spacing w:after="0"/>
              <w:rPr>
                <w:sz w:val="1"/>
                <w:szCs w:val="1"/>
                <w:color w:val="auto"/>
              </w:rPr>
            </w:pPr>
          </w:p>
        </w:tc>
      </w:tr>
      <w:tr>
        <w:trPr>
          <w:trHeight w:val="45"/>
        </w:trPr>
        <w:tc>
          <w:tcPr>
            <w:tcW w:w="5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5"/>
                <w:szCs w:val="15"/>
                <w:b w:val="1"/>
                <w:bCs w:val="1"/>
                <w:color w:val="auto"/>
              </w:rPr>
              <w:t>Gross proceeds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400" w:type="dxa"/>
            <w:vAlign w:val="bottom"/>
            <w:shd w:val="clear" w:color="auto" w:fill="CCEEFF"/>
          </w:tcPr>
          <w:p>
            <w:pPr>
              <w:spacing w:after="0" w:line="233" w:lineRule="exact"/>
              <w:rPr>
                <w:sz w:val="20"/>
                <w:szCs w:val="20"/>
                <w:color w:val="auto"/>
              </w:rPr>
            </w:pPr>
            <w:r>
              <w:rPr>
                <w:rFonts w:ascii="Arial" w:cs="Arial" w:eastAsia="Arial" w:hAnsi="Arial"/>
                <w:sz w:val="15"/>
                <w:szCs w:val="15"/>
                <w:color w:val="auto"/>
              </w:rPr>
              <w:t>Gross proceeds from Class A ordinary shares offered to public</w:t>
            </w:r>
            <w:r>
              <w:rPr>
                <w:rFonts w:ascii="Arial" w:cs="Arial" w:eastAsia="Arial" w:hAnsi="Arial"/>
                <w:sz w:val="24"/>
                <w:szCs w:val="24"/>
                <w:color w:val="auto"/>
                <w:vertAlign w:val="superscript"/>
              </w:rPr>
              <w:t>(1)</w:t>
            </w:r>
          </w:p>
        </w:tc>
        <w:tc>
          <w:tcPr>
            <w:tcW w:w="100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w w:val="98"/>
              </w:rPr>
              <w:t>$125,000,000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w w:val="98"/>
              </w:rPr>
              <w:t>$143,750,000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20"/>
                <w:szCs w:val="20"/>
                <w:color w:val="auto"/>
              </w:rPr>
            </w:pPr>
            <w:r>
              <w:rPr>
                <w:rFonts w:ascii="Arial" w:cs="Arial" w:eastAsia="Arial" w:hAnsi="Arial"/>
                <w:sz w:val="15"/>
                <w:szCs w:val="15"/>
                <w:color w:val="auto"/>
              </w:rPr>
              <w:t>Gross proceeds from sale of the private placement shares offered in a private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140"/>
              <w:spacing w:after="0" w:line="169" w:lineRule="exact"/>
              <w:rPr>
                <w:sz w:val="20"/>
                <w:szCs w:val="20"/>
                <w:color w:val="auto"/>
              </w:rPr>
            </w:pPr>
            <w:r>
              <w:rPr>
                <w:rFonts w:ascii="Arial" w:cs="Arial" w:eastAsia="Arial" w:hAnsi="Arial"/>
                <w:sz w:val="15"/>
                <w:szCs w:val="15"/>
                <w:color w:val="auto"/>
              </w:rPr>
              <w:t>placement to the sponsor</w:t>
            </w:r>
          </w:p>
        </w:tc>
        <w:tc>
          <w:tcPr>
            <w:tcW w:w="20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4,500,000</w:t>
            </w:r>
          </w:p>
        </w:tc>
        <w:tc>
          <w:tcPr>
            <w:tcW w:w="180" w:type="dxa"/>
            <w:vAlign w:val="bottom"/>
          </w:tcPr>
          <w:p>
            <w:pPr>
              <w:spacing w:after="0"/>
              <w:rPr>
                <w:sz w:val="14"/>
                <w:szCs w:val="14"/>
                <w:color w:val="auto"/>
              </w:rPr>
            </w:pPr>
          </w:p>
        </w:tc>
        <w:tc>
          <w:tcPr>
            <w:tcW w:w="22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4,875,000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Total gross proceeds</w:t>
            </w:r>
          </w:p>
        </w:tc>
        <w:tc>
          <w:tcPr>
            <w:tcW w:w="1000" w:type="dxa"/>
            <w:vAlign w:val="bottom"/>
            <w:gridSpan w:val="4"/>
            <w:shd w:val="clear" w:color="auto" w:fill="CCEEFF"/>
          </w:tcPr>
          <w:p>
            <w:pPr>
              <w:ind w:left="80"/>
              <w:spacing w:after="0"/>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129,500,000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ind w:left="100"/>
              <w:spacing w:after="0"/>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148,625,000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5400" w:type="dxa"/>
            <w:vAlign w:val="bottom"/>
          </w:tcPr>
          <w:p>
            <w:pPr>
              <w:spacing w:after="0" w:line="267" w:lineRule="exact"/>
              <w:rPr>
                <w:sz w:val="20"/>
                <w:szCs w:val="20"/>
                <w:color w:val="auto"/>
              </w:rPr>
            </w:pPr>
            <w:r>
              <w:rPr>
                <w:rFonts w:ascii="Arial" w:cs="Arial" w:eastAsia="Arial" w:hAnsi="Arial"/>
                <w:sz w:val="15"/>
                <w:szCs w:val="15"/>
                <w:b w:val="1"/>
                <w:bCs w:val="1"/>
                <w:color w:val="auto"/>
              </w:rPr>
              <w:t>Estimated Offering expenses</w:t>
            </w:r>
            <w:r>
              <w:rPr>
                <w:rFonts w:ascii="Arial" w:cs="Arial" w:eastAsia="Arial" w:hAnsi="Arial"/>
                <w:sz w:val="24"/>
                <w:szCs w:val="24"/>
                <w:b w:val="1"/>
                <w:bCs w:val="1"/>
                <w:color w:val="auto"/>
                <w:vertAlign w:val="superscript"/>
              </w:rPr>
              <w:t>(2)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w w:val="99"/>
              </w:rPr>
              <w:t>Underwriting commissions (2.0% of gross proceeds from shares offered to public,</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ind w:left="140"/>
              <w:spacing w:after="0" w:line="204" w:lineRule="exact"/>
              <w:rPr>
                <w:sz w:val="20"/>
                <w:szCs w:val="20"/>
                <w:color w:val="auto"/>
              </w:rPr>
            </w:pPr>
            <w:r>
              <w:rPr>
                <w:rFonts w:ascii="Arial" w:cs="Arial" w:eastAsia="Arial" w:hAnsi="Arial"/>
                <w:sz w:val="14"/>
                <w:szCs w:val="14"/>
                <w:color w:val="auto"/>
              </w:rPr>
              <w:t>excluding deferred portion)</w:t>
            </w:r>
            <w:r>
              <w:rPr>
                <w:rFonts w:ascii="Arial" w:cs="Arial" w:eastAsia="Arial" w:hAnsi="Arial"/>
                <w:sz w:val="23"/>
                <w:szCs w:val="23"/>
                <w:color w:val="auto"/>
                <w:vertAlign w:val="superscript"/>
              </w:rPr>
              <w:t>(3)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2,500,000</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2,875,000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325,000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325,000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Printing and engraving expenses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30,000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5"/>
                <w:szCs w:val="15"/>
                <w:color w:val="auto"/>
              </w:rPr>
              <w:t>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5"/>
                <w:szCs w:val="15"/>
                <w:color w:val="auto"/>
              </w:rPr>
              <w:t>60,000</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SEC/FINRA Expenses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40,722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40,722</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5"/>
                <w:szCs w:val="15"/>
                <w:color w:val="auto"/>
              </w:rPr>
              <w:t>Travel and road show</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5"/>
                <w:szCs w:val="15"/>
                <w:color w:val="auto"/>
              </w:rPr>
              <w:t>20,000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Nasdaq listing and filing fees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55,000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55,000</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5"/>
                <w:szCs w:val="15"/>
                <w:color w:val="auto"/>
              </w:rPr>
              <w:t>Director &amp; Officer liability insurance premiums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125,000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125,000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Miscellaneous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344,278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344,278</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Total estimated offering expenses (excluding underwriting commissions)</w:t>
            </w:r>
          </w:p>
        </w:tc>
        <w:tc>
          <w:tcPr>
            <w:tcW w:w="200" w:type="dxa"/>
            <w:vAlign w:val="bottom"/>
            <w:tcBorders>
              <w:top w:val="single" w:sz="8" w:color="CCEEFF"/>
            </w:tcBorders>
            <w:gridSpan w:val="2"/>
          </w:tcPr>
          <w:p>
            <w:pPr>
              <w:ind w:left="8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5"/>
                <w:szCs w:val="15"/>
                <w:color w:val="auto"/>
              </w:rPr>
              <w:t>1,000,000</w:t>
            </w: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gridSpan w:val="2"/>
          </w:tcPr>
          <w:p>
            <w:pPr>
              <w:ind w:left="10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5"/>
                <w:szCs w:val="15"/>
                <w:color w:val="auto"/>
              </w:rPr>
              <w:t>1,000,000</w:t>
            </w: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Proceeds after estimated offering expenses</w:t>
            </w:r>
          </w:p>
        </w:tc>
        <w:tc>
          <w:tcPr>
            <w:tcW w:w="1000" w:type="dxa"/>
            <w:vAlign w:val="bottom"/>
            <w:gridSpan w:val="4"/>
            <w:shd w:val="clear" w:color="auto" w:fill="CCEEFF"/>
          </w:tcPr>
          <w:p>
            <w:pPr>
              <w:ind w:left="80"/>
              <w:spacing w:after="0"/>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126,000,000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ind w:left="100"/>
              <w:spacing w:after="0"/>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144,750,000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5400" w:type="dxa"/>
            <w:vAlign w:val="bottom"/>
          </w:tcPr>
          <w:p>
            <w:pPr>
              <w:spacing w:after="0" w:line="267" w:lineRule="exact"/>
              <w:rPr>
                <w:sz w:val="20"/>
                <w:szCs w:val="20"/>
                <w:color w:val="auto"/>
              </w:rPr>
            </w:pPr>
            <w:r>
              <w:rPr>
                <w:rFonts w:ascii="Arial" w:cs="Arial" w:eastAsia="Arial" w:hAnsi="Arial"/>
                <w:sz w:val="15"/>
                <w:szCs w:val="15"/>
                <w:color w:val="auto"/>
              </w:rPr>
              <w:t>Held in trust account</w:t>
            </w:r>
            <w:r>
              <w:rPr>
                <w:rFonts w:ascii="Arial" w:cs="Arial" w:eastAsia="Arial" w:hAnsi="Arial"/>
                <w:sz w:val="24"/>
                <w:szCs w:val="24"/>
                <w:color w:val="auto"/>
                <w:vertAlign w:val="superscript"/>
              </w:rPr>
              <w:t>(3)</w:t>
            </w:r>
          </w:p>
        </w:tc>
        <w:tc>
          <w:tcPr>
            <w:tcW w:w="1000" w:type="dxa"/>
            <w:vAlign w:val="bottom"/>
            <w:gridSpan w:val="4"/>
          </w:tcPr>
          <w:p>
            <w:pPr>
              <w:ind w:left="80"/>
              <w:spacing w:after="0"/>
              <w:rPr>
                <w:sz w:val="20"/>
                <w:szCs w:val="20"/>
                <w:color w:val="auto"/>
              </w:rPr>
            </w:pPr>
            <w:r>
              <w:rPr>
                <w:rFonts w:ascii="Arial" w:cs="Arial" w:eastAsia="Arial" w:hAnsi="Arial"/>
                <w:sz w:val="15"/>
                <w:szCs w:val="15"/>
                <w:color w:val="auto"/>
                <w:w w:val="98"/>
              </w:rPr>
              <w:t>$125,000,000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4"/>
          </w:tcPr>
          <w:p>
            <w:pPr>
              <w:ind w:left="100"/>
              <w:spacing w:after="0"/>
              <w:rPr>
                <w:sz w:val="20"/>
                <w:szCs w:val="20"/>
                <w:color w:val="auto"/>
              </w:rPr>
            </w:pPr>
            <w:r>
              <w:rPr>
                <w:rFonts w:ascii="Arial" w:cs="Arial" w:eastAsia="Arial" w:hAnsi="Arial"/>
                <w:sz w:val="15"/>
                <w:szCs w:val="15"/>
                <w:color w:val="auto"/>
                <w:w w:val="98"/>
              </w:rPr>
              <w:t>$143,750,000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 of public offering size</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8"/>
        </w:trPr>
        <w:tc>
          <w:tcPr>
            <w:tcW w:w="5400" w:type="dxa"/>
            <w:vAlign w:val="bottom"/>
            <w:vMerge w:val="restart"/>
          </w:tcPr>
          <w:p>
            <w:pPr>
              <w:spacing w:after="0"/>
              <w:rPr>
                <w:sz w:val="20"/>
                <w:szCs w:val="20"/>
                <w:color w:val="auto"/>
              </w:rPr>
            </w:pPr>
            <w:r>
              <w:rPr>
                <w:rFonts w:ascii="Arial" w:cs="Arial" w:eastAsia="Arial" w:hAnsi="Arial"/>
                <w:sz w:val="15"/>
                <w:szCs w:val="15"/>
                <w:color w:val="auto"/>
              </w:rPr>
              <w:t>Not held in trust account</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1,000,000</w:t>
            </w:r>
          </w:p>
        </w:tc>
        <w:tc>
          <w:tcPr>
            <w:tcW w:w="18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5"/>
                <w:szCs w:val="15"/>
                <w:color w:val="auto"/>
              </w:rPr>
              <w:t>1,000,000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5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-3479165</wp:posOffset>
            </wp:positionV>
            <wp:extent cx="736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-3479165</wp:posOffset>
            </wp:positionV>
            <wp:extent cx="3683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shows the use of the $1,000,000 of net proceeds not held in the trust account.</w:t>
      </w:r>
      <w:r>
        <w:rPr>
          <w:rFonts w:ascii="Arial" w:cs="Arial" w:eastAsia="Arial" w:hAnsi="Arial"/>
          <w:sz w:val="24"/>
          <w:szCs w:val="24"/>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50165</wp:posOffset>
            </wp:positionV>
            <wp:extent cx="496443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w w:val="99"/>
              </w:rPr>
              <w:t>% OF TOTAL</w:t>
            </w:r>
          </w:p>
        </w:tc>
      </w:tr>
      <w:tr>
        <w:trPr>
          <w:trHeight w:val="45"/>
        </w:trPr>
        <w:tc>
          <w:tcPr>
            <w:tcW w:w="59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195"/>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Legal, accounting, due diligence, travel, and other expenses in connection with any</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4"/>
        </w:trPr>
        <w:tc>
          <w:tcPr>
            <w:tcW w:w="5920" w:type="dxa"/>
            <w:vAlign w:val="bottom"/>
            <w:shd w:val="clear" w:color="auto" w:fill="CCEEFF"/>
          </w:tcPr>
          <w:p>
            <w:pPr>
              <w:ind w:left="140"/>
              <w:spacing w:after="0" w:line="204" w:lineRule="exact"/>
              <w:rPr>
                <w:sz w:val="20"/>
                <w:szCs w:val="20"/>
                <w:color w:val="auto"/>
              </w:rPr>
            </w:pPr>
            <w:r>
              <w:rPr>
                <w:rFonts w:ascii="Arial" w:cs="Arial" w:eastAsia="Arial" w:hAnsi="Arial"/>
                <w:sz w:val="14"/>
                <w:szCs w:val="14"/>
                <w:color w:val="auto"/>
              </w:rPr>
              <w:t>business combination</w:t>
            </w:r>
            <w:r>
              <w:rPr>
                <w:rFonts w:ascii="Arial" w:cs="Arial" w:eastAsia="Arial" w:hAnsi="Arial"/>
                <w:sz w:val="23"/>
                <w:szCs w:val="23"/>
                <w:color w:val="auto"/>
                <w:vertAlign w:val="superscript"/>
              </w:rPr>
              <w:t>(6)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35.0%</w:t>
            </w:r>
          </w:p>
        </w:tc>
      </w:tr>
      <w:tr>
        <w:trPr>
          <w:trHeight w:val="207"/>
        </w:trPr>
        <w:tc>
          <w:tcPr>
            <w:tcW w:w="5920" w:type="dxa"/>
            <w:vAlign w:val="bottom"/>
          </w:tcPr>
          <w:p>
            <w:pPr>
              <w:spacing w:after="0"/>
              <w:rPr>
                <w:sz w:val="20"/>
                <w:szCs w:val="20"/>
                <w:color w:val="auto"/>
              </w:rPr>
            </w:pPr>
            <w:r>
              <w:rPr>
                <w:rFonts w:ascii="Arial" w:cs="Arial" w:eastAsia="Arial" w:hAnsi="Arial"/>
                <w:sz w:val="15"/>
                <w:szCs w:val="15"/>
                <w:color w:val="auto"/>
              </w:rPr>
              <w:t>Legal and accounting fees related to regulatory reporting obligations</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150,000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15.0%</w:t>
            </w:r>
          </w:p>
        </w:tc>
      </w:tr>
      <w:tr>
        <w:trPr>
          <w:trHeight w:val="26"/>
        </w:trPr>
        <w:tc>
          <w:tcPr>
            <w:tcW w:w="5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2"/>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Consulting, travel and miscellaneous expenses incurred during search for initial</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business combination target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r>
      <w:tr>
        <w:trPr>
          <w:trHeight w:val="207"/>
        </w:trPr>
        <w:tc>
          <w:tcPr>
            <w:tcW w:w="5920" w:type="dxa"/>
            <w:vAlign w:val="bottom"/>
          </w:tcPr>
          <w:p>
            <w:pPr>
              <w:spacing w:after="0"/>
              <w:rPr>
                <w:sz w:val="20"/>
                <w:szCs w:val="20"/>
                <w:color w:val="auto"/>
              </w:rPr>
            </w:pPr>
            <w:r>
              <w:rPr>
                <w:rFonts w:ascii="Arial" w:cs="Arial" w:eastAsia="Arial" w:hAnsi="Arial"/>
                <w:sz w:val="15"/>
                <w:szCs w:val="15"/>
                <w:color w:val="auto"/>
              </w:rPr>
              <w:t>Payment for office space, administrative and support services</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240,000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24.0%</w:t>
            </w:r>
          </w:p>
        </w:tc>
      </w:tr>
      <w:tr>
        <w:trPr>
          <w:trHeight w:val="26"/>
        </w:trPr>
        <w:tc>
          <w:tcPr>
            <w:tcW w:w="5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3"/>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Nasdaq continued listing fees</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55,000</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5.5%</w:t>
            </w:r>
          </w:p>
        </w:tc>
      </w:tr>
      <w:tr>
        <w:trPr>
          <w:trHeight w:val="198"/>
        </w:trPr>
        <w:tc>
          <w:tcPr>
            <w:tcW w:w="5920" w:type="dxa"/>
            <w:vAlign w:val="bottom"/>
          </w:tcPr>
          <w:p>
            <w:pPr>
              <w:spacing w:after="0"/>
              <w:rPr>
                <w:sz w:val="20"/>
                <w:szCs w:val="20"/>
                <w:color w:val="auto"/>
              </w:rPr>
            </w:pPr>
            <w:r>
              <w:rPr>
                <w:rFonts w:ascii="Arial" w:cs="Arial" w:eastAsia="Arial" w:hAnsi="Arial"/>
                <w:sz w:val="15"/>
                <w:szCs w:val="15"/>
                <w:color w:val="auto"/>
              </w:rPr>
              <w:t>Working capital to cover miscellaneous expenses and reserves</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105,000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10.5%</w:t>
            </w:r>
          </w:p>
        </w:tc>
      </w:tr>
      <w:tr>
        <w:trPr>
          <w:trHeight w:val="38"/>
        </w:trPr>
        <w:tc>
          <w:tcPr>
            <w:tcW w:w="59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314"/>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1,000,000</w:t>
            </w:r>
          </w:p>
        </w:tc>
        <w:tc>
          <w:tcPr>
            <w:tcW w:w="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-1329055</wp:posOffset>
            </wp:positionV>
            <wp:extent cx="2070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7010" cy="7620"/>
                    </a:xfrm>
                    <a:prstGeom prst="rect">
                      <a:avLst/>
                    </a:prstGeom>
                    <a:noFill/>
                  </pic:spPr>
                </pic:pic>
              </a:graphicData>
            </a:graphic>
          </wp:anchor>
        </w:drawing>
        <w:drawing>
          <wp:anchor simplePos="0" relativeHeight="251657728" behindDoc="1" locked="0" layoutInCell="0" allowOverlap="1">
            <wp:simplePos x="0" y="0"/>
            <wp:positionH relativeFrom="column">
              <wp:posOffset>4041775</wp:posOffset>
            </wp:positionH>
            <wp:positionV relativeFrom="paragraph">
              <wp:posOffset>-1329055</wp:posOffset>
            </wp:positionV>
            <wp:extent cx="1035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3505" cy="7620"/>
                    </a:xfrm>
                    <a:prstGeom prst="rect">
                      <a:avLst/>
                    </a:prstGeom>
                    <a:noFill/>
                  </pic:spPr>
                </pic:pic>
              </a:graphicData>
            </a:graphic>
          </wp:anchor>
        </w:drawing>
      </w:r>
    </w:p>
    <w:p>
      <w:pPr>
        <w:spacing w:after="0" w:line="21" w:lineRule="exact"/>
        <w:rPr>
          <w:sz w:val="20"/>
          <w:szCs w:val="20"/>
          <w:color w:val="auto"/>
        </w:rPr>
      </w:pPr>
    </w:p>
    <w:p>
      <w:pPr>
        <w:ind w:left="900" w:right="899" w:hanging="305"/>
        <w:spacing w:after="0" w:line="233" w:lineRule="auto"/>
        <w:tabs>
          <w:tab w:leader="none" w:pos="90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amounts payable to public shareholders who properly redeem their shares in connection with our successful completion of our initial business combination.</w:t>
      </w:r>
    </w:p>
    <w:p>
      <w:pPr>
        <w:spacing w:after="0" w:line="33" w:lineRule="exact"/>
        <w:rPr>
          <w:rFonts w:ascii="Arial" w:cs="Arial" w:eastAsia="Arial" w:hAnsi="Arial"/>
          <w:sz w:val="11"/>
          <w:szCs w:val="11"/>
          <w:color w:val="auto"/>
        </w:rPr>
      </w:pPr>
    </w:p>
    <w:p>
      <w:pPr>
        <w:ind w:left="900" w:right="619" w:hanging="305"/>
        <w:spacing w:after="0" w:line="225" w:lineRule="auto"/>
        <w:tabs>
          <w:tab w:leader="none" w:pos="90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 addition, a portion of the offering expenses have been paid from the proceeds of loans from our sponsor of up to $300,000 as described in this prospectus. To date, we have fully borrowed $200,000 under the promissory note with our sponsor. These loans will be repaid upon completion of this offering out of the $1,000,000 of offering proceeds that has been allocated for the payment of offering expenses (other than underwriting commissions) and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3" w:lineRule="exact"/>
        <w:rPr>
          <w:rFonts w:ascii="Arial" w:cs="Arial" w:eastAsia="Arial" w:hAnsi="Arial"/>
          <w:sz w:val="11"/>
          <w:szCs w:val="11"/>
          <w:color w:val="auto"/>
        </w:rPr>
      </w:pPr>
    </w:p>
    <w:p>
      <w:pPr>
        <w:ind w:left="900" w:right="639" w:hanging="305"/>
        <w:spacing w:after="0" w:line="253" w:lineRule="auto"/>
        <w:tabs>
          <w:tab w:leader="none" w:pos="90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underwriters have agreed to defer underwriting commissions of 3.5% of the gross proceeds of this offering. Upon and concurrently with the completion of our initial business combination, $4,375,000, which constitutes the underwriters’ deferred commissions (or $5,031,250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2" w:name="page63"/>
    <w:bookmarkEnd w:id="6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900" w:right="679"/>
        <w:spacing w:after="0" w:line="229" w:lineRule="auto"/>
        <w:rPr>
          <w:sz w:val="20"/>
          <w:szCs w:val="20"/>
          <w:color w:val="auto"/>
        </w:rPr>
      </w:pPr>
      <w:r>
        <w:rPr>
          <w:rFonts w:ascii="Arial" w:cs="Arial" w:eastAsia="Arial" w:hAnsi="Arial"/>
          <w:sz w:val="11"/>
          <w:szCs w:val="11"/>
          <w:color w:val="auto"/>
        </w:rPr>
        <w:t>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4" w:lineRule="exact"/>
        <w:rPr>
          <w:sz w:val="20"/>
          <w:szCs w:val="20"/>
          <w:color w:val="auto"/>
        </w:rPr>
      </w:pPr>
    </w:p>
    <w:p>
      <w:pPr>
        <w:ind w:left="900" w:right="719" w:hanging="305"/>
        <w:spacing w:after="0" w:line="223" w:lineRule="auto"/>
        <w:tabs>
          <w:tab w:leader="none" w:pos="9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$125,000 per year; however, we can provide no assurances regarding this amount.</w:t>
      </w:r>
    </w:p>
    <w:p>
      <w:pPr>
        <w:spacing w:after="0" w:line="33" w:lineRule="exact"/>
        <w:rPr>
          <w:rFonts w:ascii="Arial" w:cs="Arial" w:eastAsia="Arial" w:hAnsi="Arial"/>
          <w:sz w:val="11"/>
          <w:szCs w:val="11"/>
          <w:color w:val="auto"/>
        </w:rPr>
      </w:pPr>
    </w:p>
    <w:p>
      <w:pPr>
        <w:ind w:left="900" w:hanging="305"/>
        <w:spacing w:after="0"/>
        <w:tabs>
          <w:tab w:leader="none" w:pos="9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Assumes no exercise of the underwriters’ over-allotment option.</w:t>
      </w:r>
    </w:p>
    <w:p>
      <w:pPr>
        <w:spacing w:after="0" w:line="36" w:lineRule="exact"/>
        <w:rPr>
          <w:rFonts w:ascii="Arial" w:cs="Arial" w:eastAsia="Arial" w:hAnsi="Arial"/>
          <w:sz w:val="11"/>
          <w:szCs w:val="11"/>
          <w:color w:val="auto"/>
        </w:rPr>
      </w:pPr>
    </w:p>
    <w:p>
      <w:pPr>
        <w:ind w:left="900" w:right="619" w:hanging="305"/>
        <w:spacing w:after="0" w:line="233" w:lineRule="auto"/>
        <w:tabs>
          <w:tab w:leader="none" w:pos="9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estimated amounts that may also be used in connection with our initial business combination to fund a “no shop” provision and commitment fees for financing.</w:t>
      </w:r>
    </w:p>
    <w:p>
      <w:pPr>
        <w:spacing w:after="0" w:line="138" w:lineRule="exact"/>
        <w:rPr>
          <w:sz w:val="20"/>
          <w:szCs w:val="20"/>
          <w:color w:val="auto"/>
        </w:rPr>
      </w:pPr>
    </w:p>
    <w:p>
      <w:pPr>
        <w:ind w:left="600" w:right="599"/>
        <w:spacing w:after="0" w:line="242" w:lineRule="auto"/>
        <w:rPr>
          <w:sz w:val="20"/>
          <w:szCs w:val="20"/>
          <w:color w:val="auto"/>
        </w:rPr>
      </w:pPr>
      <w:r>
        <w:rPr>
          <w:rFonts w:ascii="Arial" w:cs="Arial" w:eastAsia="Arial" w:hAnsi="Arial"/>
          <w:sz w:val="14"/>
          <w:szCs w:val="14"/>
          <w:color w:val="auto"/>
        </w:rPr>
        <w:t>The rules of Nasdaq provide that at least 90% of the gross proceeds from this offering and the sale of the private placement shares be deposited in a trust account. Of the $129,500,000 in proceeds we receive from this offering and the sale of the private placement shares described in this prospectus, or $148,625,000 if the underwriters’ over-allotment option is exercised in full, $125,000,000 ($10.00 per share), or $143,750,000 if the underwriters’ over-allotment option is exercised in full ($10.00 per share), will be deposited into a trust account located in the United States with Continental Stock Transfer &amp; Trust Company acting as trustee, and $4,500,000, or up to $4,875,000 if the underwriters’ over-allotment option is exercised in full, will be used to pay expenses in connection with the closing of this offering (including the portion of the underwriting commissions payable upon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until the earliest of (i) the completion of our initial business combination, (ii) the redemption of our public shares if we have not consummated an initial business combination within 24 months from the closing of this offering, subject to applicable law, and (iii) the redemption of our public shares properly submitted in connection with a shareholder vote to approve an amendment to our amended and restated memorandum and articles of association</w:t>
      </w:r>
    </w:p>
    <w:p>
      <w:pPr>
        <w:spacing w:after="0" w:line="8" w:lineRule="exact"/>
        <w:rPr>
          <w:sz w:val="20"/>
          <w:szCs w:val="20"/>
          <w:color w:val="auto"/>
        </w:rPr>
      </w:pPr>
    </w:p>
    <w:p>
      <w:pPr>
        <w:ind w:left="600" w:right="659" w:hanging="5"/>
        <w:spacing w:after="0" w:line="242" w:lineRule="auto"/>
        <w:tabs>
          <w:tab w:leader="none" w:pos="83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spacing w:after="0" w:line="1" w:lineRule="exact"/>
        <w:rPr>
          <w:rFonts w:ascii="Arial" w:cs="Arial" w:eastAsia="Arial" w:hAnsi="Arial"/>
          <w:sz w:val="14"/>
          <w:szCs w:val="14"/>
          <w:color w:val="auto"/>
        </w:rPr>
      </w:pPr>
    </w:p>
    <w:p>
      <w:pPr>
        <w:ind w:left="600" w:right="719" w:hanging="5"/>
        <w:spacing w:after="0" w:line="233" w:lineRule="auto"/>
        <w:tabs>
          <w:tab w:leader="none" w:pos="837" w:val="left"/>
        </w:tabs>
        <w:numPr>
          <w:ilvl w:val="0"/>
          <w:numId w:val="11"/>
        </w:numPr>
        <w:rPr>
          <w:rFonts w:ascii="Arial" w:cs="Arial" w:eastAsia="Arial" w:hAnsi="Arial"/>
          <w:sz w:val="15"/>
          <w:szCs w:val="15"/>
          <w:color w:val="auto"/>
        </w:rPr>
      </w:pPr>
      <w:r>
        <w:rPr>
          <w:rFonts w:ascii="Arial" w:cs="Arial" w:eastAsia="Arial" w:hAnsi="Arial"/>
          <w:sz w:val="15"/>
          <w:szCs w:val="15"/>
          <w:color w:val="auto"/>
        </w:rPr>
        <w:t>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38"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31" w:lineRule="exact"/>
        <w:rPr>
          <w:sz w:val="20"/>
          <w:szCs w:val="20"/>
          <w:color w:val="auto"/>
        </w:rPr>
      </w:pPr>
    </w:p>
    <w:p>
      <w:pPr>
        <w:ind w:left="600" w:right="719"/>
        <w:spacing w:after="0" w:line="242" w:lineRule="auto"/>
        <w:rPr>
          <w:sz w:val="20"/>
          <w:szCs w:val="20"/>
          <w:color w:val="auto"/>
        </w:rPr>
      </w:pPr>
      <w:r>
        <w:rPr>
          <w:rFonts w:ascii="Arial" w:cs="Arial" w:eastAsia="Arial" w:hAnsi="Arial"/>
          <w:sz w:val="14"/>
          <w:szCs w:val="14"/>
          <w:color w:val="auto"/>
        </w:rPr>
        <w:t>We believe that amounts not held in trust, together with funds available to us from loans from our sponsor, members of our management team or any of their affiliates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w:t>
      </w:r>
    </w:p>
    <w:p>
      <w:pPr>
        <w:spacing w:after="0" w:line="2" w:lineRule="exact"/>
        <w:rPr>
          <w:sz w:val="20"/>
          <w:szCs w:val="20"/>
          <w:color w:val="auto"/>
        </w:rPr>
      </w:pPr>
    </w:p>
    <w:p>
      <w:pPr>
        <w:ind w:left="600" w:right="639"/>
        <w:spacing w:after="0" w:line="231" w:lineRule="auto"/>
        <w:rPr>
          <w:sz w:val="20"/>
          <w:szCs w:val="20"/>
          <w:color w:val="auto"/>
        </w:rPr>
      </w:pPr>
      <w:r>
        <w:rPr>
          <w:rFonts w:ascii="Arial" w:cs="Arial" w:eastAsia="Arial" w:hAnsi="Arial"/>
          <w:sz w:val="15"/>
          <w:szCs w:val="15"/>
          <w:color w:val="auto"/>
        </w:rPr>
        <w:t>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3" w:name="page64"/>
    <w:bookmarkEnd w:id="6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jc w:val="both"/>
        <w:ind w:left="600" w:right="919"/>
        <w:spacing w:after="0" w:line="233" w:lineRule="auto"/>
        <w:rPr>
          <w:sz w:val="20"/>
          <w:szCs w:val="20"/>
          <w:color w:val="auto"/>
        </w:rPr>
      </w:pPr>
      <w:r>
        <w:rPr>
          <w:rFonts w:ascii="Arial" w:cs="Arial" w:eastAsia="Arial" w:hAnsi="Arial"/>
          <w:sz w:val="15"/>
          <w:szCs w:val="15"/>
          <w:color w:val="auto"/>
        </w:rPr>
        <w:t>We will reimburse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38" w:lineRule="exact"/>
        <w:rPr>
          <w:sz w:val="20"/>
          <w:szCs w:val="20"/>
          <w:color w:val="auto"/>
        </w:rPr>
      </w:pPr>
    </w:p>
    <w:p>
      <w:pPr>
        <w:ind w:left="600" w:right="699"/>
        <w:spacing w:after="0" w:line="230" w:lineRule="auto"/>
        <w:rPr>
          <w:sz w:val="20"/>
          <w:szCs w:val="20"/>
          <w:color w:val="auto"/>
        </w:rPr>
      </w:pPr>
      <w:r>
        <w:rPr>
          <w:rFonts w:ascii="Arial" w:cs="Arial" w:eastAsia="Arial" w:hAnsi="Arial"/>
          <w:sz w:val="15"/>
          <w:szCs w:val="15"/>
          <w:color w:val="auto"/>
        </w:rPr>
        <w:t>Our sponsor has agreed to loan us up to $300,000 to be used for a portion of the expenses of this offering. To date, we have fully borrowed $200,000 under the promissory note with our sponsor. These loans are non-interest bearing, unsecured and are due at the earlier of December 31, 2020 and the closing of this offering. The loans will be repaid upon the closing of this offering out of the $1,000,000 of offering proceeds that has been allocated to the payment of offering expenses.</w:t>
      </w:r>
    </w:p>
    <w:p>
      <w:pPr>
        <w:spacing w:after="0" w:line="139"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 shares would be identical to the private placement shares. Except as set forth above,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4" w:name="page65"/>
    <w:bookmarkEnd w:id="6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DIVIDEND POLICY</w:t>
      </w:r>
    </w:p>
    <w:p>
      <w:pPr>
        <w:spacing w:after="0" w:line="155" w:lineRule="exact"/>
        <w:rPr>
          <w:sz w:val="20"/>
          <w:szCs w:val="20"/>
          <w:color w:val="auto"/>
        </w:rPr>
      </w:pPr>
    </w:p>
    <w:p>
      <w:pPr>
        <w:ind w:left="600" w:right="679"/>
        <w:spacing w:after="0" w:line="245" w:lineRule="auto"/>
        <w:rPr>
          <w:sz w:val="20"/>
          <w:szCs w:val="20"/>
          <w:color w:val="auto"/>
        </w:rPr>
      </w:pPr>
      <w:r>
        <w:rPr>
          <w:rFonts w:ascii="Arial" w:cs="Arial" w:eastAsia="Arial" w:hAnsi="Arial"/>
          <w:sz w:val="14"/>
          <w:szCs w:val="14"/>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(excluding the private placement shares) upon the consummation of this offering. Further, if we incur any indebtedness in connection with a business combination, our ability to declare dividends may be limited by restrictive covenants we may agree to in connection therewith.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96520</wp:posOffset>
            </wp:positionV>
            <wp:extent cx="602805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5" w:name="page66"/>
    <w:bookmarkEnd w:id="6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155" w:lineRule="exact"/>
        <w:rPr>
          <w:sz w:val="20"/>
          <w:szCs w:val="20"/>
          <w:color w:val="auto"/>
        </w:rPr>
      </w:pPr>
    </w:p>
    <w:p>
      <w:pPr>
        <w:ind w:left="600" w:right="599"/>
        <w:spacing w:after="0" w:line="230" w:lineRule="auto"/>
        <w:rPr>
          <w:sz w:val="20"/>
          <w:szCs w:val="20"/>
          <w:color w:val="auto"/>
        </w:rPr>
      </w:pPr>
      <w:r>
        <w:rPr>
          <w:rFonts w:ascii="Arial" w:cs="Arial" w:eastAsia="Arial" w:hAnsi="Arial"/>
          <w:sz w:val="15"/>
          <w:szCs w:val="15"/>
          <w:color w:val="auto"/>
        </w:rPr>
        <w:t>The difference between the public offering price per Class A ordinary share and the pro forma net tangible book value per Class A ordinary share after this offering constitutes the dilution to investors in this offering.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39"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At April 2, 2020, our net tangible book deficit was $(4,245), or approximately $(0.00) per ordinary share. After giving effect to the sale of 12,500,000 Class A ordinary shares we are offering with this prospectus (or 14,375,000 Class A ordinary shares if the underwriters’ over-allotment option is exercised in full), the sale of the private placement shares and the deduction of underwriting commissions and estimated expenses of this offering, our pro forma net tangible book value at April 2, 2020 would have been $5,000,005, or $1.13 per share (or $5,000,005, or $1.00 per share, if the underwriters’ over-allotment option is exercised in full), representing an immediate increase in net tangible book value (as decreased by the value of 11,664,575 Class A ordinary shares that may be redeemed for cash, or 13,473,950 Class A ordinary shares if the underwriters’ over-allotment option is exercised in full) of $1.13 per share (or $1.00 if the underwriters’ over-allotment option is exercised in full) to our sponsor as of the date of this prospectus and an immediate dilution to public shareholders from this offering of $10.00 per public share. Total dilution to public shareholders from this offering will be $8.87 per share (or $9.00 if the underwriters’ over-allotment option is exercised in full).</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illustrates the dilution to the public shareholders on a per-share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107950</wp:posOffset>
            </wp:positionV>
            <wp:extent cx="496443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0"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rPr>
              <w:t>Without Over-</w:t>
            </w:r>
          </w:p>
        </w:tc>
        <w:tc>
          <w:tcPr>
            <w:tcW w:w="20" w:type="dxa"/>
            <w:vAlign w:val="bottom"/>
          </w:tcPr>
          <w:p>
            <w:pPr>
              <w:spacing w:after="0"/>
              <w:rPr>
                <w:sz w:val="12"/>
                <w:szCs w:val="12"/>
                <w:color w:val="auto"/>
              </w:rPr>
            </w:pPr>
          </w:p>
        </w:tc>
        <w:tc>
          <w:tcPr>
            <w:tcW w:w="116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rPr>
              <w:t>With Over-</w:t>
            </w:r>
          </w:p>
        </w:tc>
      </w:tr>
      <w:tr>
        <w:trPr>
          <w:trHeight w:val="162"/>
        </w:trPr>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rPr>
              <w:t>allotment</w:t>
            </w:r>
          </w:p>
        </w:tc>
        <w:tc>
          <w:tcPr>
            <w:tcW w:w="20" w:type="dxa"/>
            <w:vAlign w:val="bottom"/>
          </w:tcPr>
          <w:p>
            <w:pPr>
              <w:spacing w:after="0"/>
              <w:rPr>
                <w:sz w:val="14"/>
                <w:szCs w:val="14"/>
                <w:color w:val="auto"/>
              </w:rPr>
            </w:pPr>
          </w:p>
        </w:tc>
        <w:tc>
          <w:tcPr>
            <w:tcW w:w="116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rPr>
              <w:t>allotment</w:t>
            </w:r>
          </w:p>
        </w:tc>
      </w:tr>
      <w:tr>
        <w:trPr>
          <w:trHeight w:val="69"/>
        </w:trPr>
        <w:tc>
          <w:tcPr>
            <w:tcW w:w="526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r>
      <w:tr>
        <w:trPr>
          <w:trHeight w:val="27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11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$10.00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5"/>
                <w:szCs w:val="15"/>
                <w:color w:val="auto"/>
              </w:rPr>
              <w:t>Net tangible book deficit before this offering</w:t>
            </w:r>
          </w:p>
        </w:tc>
        <w:tc>
          <w:tcPr>
            <w:tcW w:w="660" w:type="dxa"/>
            <w:vAlign w:val="bottom"/>
            <w:gridSpan w:val="3"/>
          </w:tcPr>
          <w:p>
            <w:pPr>
              <w:jc w:val="right"/>
              <w:ind w:right="220"/>
              <w:spacing w:after="0"/>
              <w:rPr>
                <w:sz w:val="20"/>
                <w:szCs w:val="20"/>
                <w:color w:val="auto"/>
              </w:rPr>
            </w:pPr>
            <w:r>
              <w:rPr>
                <w:rFonts w:ascii="Arial" w:cs="Arial" w:eastAsia="Arial" w:hAnsi="Arial"/>
                <w:sz w:val="15"/>
                <w:szCs w:val="15"/>
                <w:color w:val="auto"/>
              </w:rPr>
              <w:t>(0.00)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5"/>
                <w:szCs w:val="15"/>
                <w:color w:val="auto"/>
                <w:w w:val="96"/>
              </w:rPr>
              <w:t>(0.00)</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9"/>
        </w:trPr>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2"/>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Increase attributable to public stockholders</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1.13</w:t>
            </w: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39"/>
        </w:trPr>
        <w:tc>
          <w:tcPr>
            <w:tcW w:w="526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Pro forma net tangible book value after this offering and the sale of the private</w:t>
            </w:r>
          </w:p>
        </w:tc>
        <w:tc>
          <w:tcPr>
            <w:tcW w:w="6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179"/>
        </w:trPr>
        <w:tc>
          <w:tcPr>
            <w:tcW w:w="5260" w:type="dxa"/>
            <w:vAlign w:val="bottom"/>
          </w:tcPr>
          <w:p>
            <w:pPr>
              <w:ind w:left="140"/>
              <w:spacing w:after="0"/>
              <w:rPr>
                <w:sz w:val="20"/>
                <w:szCs w:val="20"/>
                <w:color w:val="auto"/>
              </w:rPr>
            </w:pPr>
            <w:r>
              <w:rPr>
                <w:rFonts w:ascii="Arial" w:cs="Arial" w:eastAsia="Arial" w:hAnsi="Arial"/>
                <w:sz w:val="15"/>
                <w:szCs w:val="15"/>
                <w:color w:val="auto"/>
              </w:rPr>
              <w:t>placement shares</w:t>
            </w:r>
          </w:p>
        </w:tc>
        <w:tc>
          <w:tcPr>
            <w:tcW w:w="1260" w:type="dxa"/>
            <w:vAlign w:val="bottom"/>
            <w:gridSpan w:val="6"/>
          </w:tcPr>
          <w:p>
            <w:pPr>
              <w:ind w:left="820"/>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15"/>
                <w:szCs w:val="15"/>
                <w:color w:val="auto"/>
              </w:rPr>
            </w:pPr>
          </w:p>
        </w:tc>
        <w:tc>
          <w:tcPr>
            <w:tcW w:w="1040" w:type="dxa"/>
            <w:vAlign w:val="bottom"/>
            <w:gridSpan w:val="5"/>
          </w:tcPr>
          <w:p>
            <w:pPr>
              <w:ind w:left="740"/>
              <w:spacing w:after="0"/>
              <w:rPr>
                <w:sz w:val="20"/>
                <w:szCs w:val="20"/>
                <w:color w:val="auto"/>
              </w:rPr>
            </w:pPr>
            <w:r>
              <w:rPr>
                <w:rFonts w:ascii="Arial" w:cs="Arial" w:eastAsia="Arial" w:hAnsi="Arial"/>
                <w:sz w:val="15"/>
                <w:szCs w:val="15"/>
                <w:color w:val="auto"/>
                <w:w w:val="95"/>
              </w:rPr>
              <w:t>1.00</w:t>
            </w:r>
          </w:p>
        </w:tc>
        <w:tc>
          <w:tcPr>
            <w:tcW w:w="140" w:type="dxa"/>
            <w:vAlign w:val="bottom"/>
          </w:tcPr>
          <w:p>
            <w:pPr>
              <w:spacing w:after="0"/>
              <w:rPr>
                <w:sz w:val="15"/>
                <w:szCs w:val="15"/>
                <w:color w:val="auto"/>
              </w:rPr>
            </w:pPr>
          </w:p>
        </w:tc>
      </w:tr>
      <w:tr>
        <w:trPr>
          <w:trHeight w:val="51"/>
        </w:trPr>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Dilution to public shareholders</w:t>
            </w:r>
          </w:p>
        </w:tc>
        <w:tc>
          <w:tcPr>
            <w:tcW w:w="1120" w:type="dxa"/>
            <w:vAlign w:val="bottom"/>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$ 8.87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$ 9.00</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91"/>
        </w:trPr>
        <w:tc>
          <w:tcPr>
            <w:tcW w:w="52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r>
      <w:tr>
        <w:trPr>
          <w:trHeight w:val="256"/>
        </w:trPr>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dilution to public shareholders</w:t>
            </w:r>
          </w:p>
        </w:tc>
        <w:tc>
          <w:tcPr>
            <w:tcW w:w="1260" w:type="dxa"/>
            <w:vAlign w:val="bottom"/>
            <w:tcBorders>
              <w:bottom w:val="single" w:sz="8" w:color="auto"/>
            </w:tcBorders>
            <w:gridSpan w:val="6"/>
          </w:tcPr>
          <w:p>
            <w:pPr>
              <w:ind w:left="820"/>
              <w:spacing w:after="0"/>
              <w:rPr>
                <w:sz w:val="20"/>
                <w:szCs w:val="20"/>
                <w:color w:val="auto"/>
              </w:rPr>
            </w:pPr>
            <w:r>
              <w:rPr>
                <w:rFonts w:ascii="Arial" w:cs="Arial" w:eastAsia="Arial" w:hAnsi="Arial"/>
                <w:sz w:val="15"/>
                <w:szCs w:val="15"/>
                <w:color w:val="auto"/>
                <w:w w:val="98"/>
              </w:rPr>
              <w:t>88.7%</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6"/>
          </w:tcPr>
          <w:p>
            <w:pPr>
              <w:ind w:left="740"/>
              <w:spacing w:after="0"/>
              <w:rPr>
                <w:sz w:val="20"/>
                <w:szCs w:val="20"/>
                <w:color w:val="auto"/>
              </w:rPr>
            </w:pPr>
            <w:r>
              <w:rPr>
                <w:rFonts w:ascii="Arial" w:cs="Arial" w:eastAsia="Arial" w:hAnsi="Arial"/>
                <w:sz w:val="15"/>
                <w:szCs w:val="15"/>
                <w:color w:val="auto"/>
                <w:w w:val="98"/>
              </w:rPr>
              <w:t>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-1299845</wp:posOffset>
            </wp:positionV>
            <wp:extent cx="889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-1299845</wp:posOffset>
            </wp:positionV>
            <wp:extent cx="444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450" cy="7620"/>
                    </a:xfrm>
                    <a:prstGeom prst="rect">
                      <a:avLst/>
                    </a:prstGeom>
                    <a:noFill/>
                  </pic:spPr>
                </pic:pic>
              </a:graphicData>
            </a:graphic>
          </wp:anchor>
        </w:drawing>
      </w:r>
    </w:p>
    <w:p>
      <w:pPr>
        <w:spacing w:after="0" w:line="126" w:lineRule="exact"/>
        <w:rPr>
          <w:sz w:val="20"/>
          <w:szCs w:val="20"/>
          <w:color w:val="auto"/>
        </w:rPr>
      </w:pPr>
    </w:p>
    <w:p>
      <w:pPr>
        <w:ind w:left="600" w:right="639"/>
        <w:spacing w:after="0" w:line="246" w:lineRule="auto"/>
        <w:rPr>
          <w:sz w:val="20"/>
          <w:szCs w:val="20"/>
          <w:color w:val="auto"/>
        </w:rPr>
      </w:pPr>
      <w:r>
        <w:rPr>
          <w:rFonts w:ascii="Arial" w:cs="Arial" w:eastAsia="Arial" w:hAnsi="Arial"/>
          <w:sz w:val="14"/>
          <w:szCs w:val="14"/>
          <w:color w:val="auto"/>
        </w:rPr>
        <w:t>For purposes of presentation, we have reduced our pro forma net tangible book value after this offering (assuming no exercise of the underwriters’ over-allotment option) by $116,645,750 because holders of up to approximately 90.1%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36" w:lineRule="exact"/>
        <w:rPr>
          <w:sz w:val="20"/>
          <w:szCs w:val="20"/>
          <w:color w:val="auto"/>
        </w:rPr>
      </w:pPr>
    </w:p>
    <w:p>
      <w:pPr>
        <w:ind w:left="600" w:right="739"/>
        <w:spacing w:after="0" w:line="236" w:lineRule="auto"/>
        <w:rPr>
          <w:sz w:val="20"/>
          <w:szCs w:val="20"/>
          <w:color w:val="auto"/>
        </w:rPr>
      </w:pPr>
      <w:r>
        <w:rPr>
          <w:rFonts w:ascii="Arial" w:cs="Arial" w:eastAsia="Arial" w:hAnsi="Arial"/>
          <w:sz w:val="15"/>
          <w:szCs w:val="15"/>
          <w:color w:val="auto"/>
        </w:rPr>
        <w:t>The following table sets forth information with respect to our initial shareholders, who hold our Class B ordinary shares and the private placement shares, and the 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105410</wp:posOffset>
            </wp:positionV>
            <wp:extent cx="496443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76"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7"/>
          </w:tcPr>
          <w:p>
            <w:pPr>
              <w:ind w:left="200"/>
              <w:spacing w:after="0"/>
              <w:rPr>
                <w:sz w:val="20"/>
                <w:szCs w:val="20"/>
                <w:color w:val="auto"/>
              </w:rPr>
            </w:pPr>
            <w:r>
              <w:rPr>
                <w:rFonts w:ascii="Arial" w:cs="Arial" w:eastAsia="Arial" w:hAnsi="Arial"/>
                <w:sz w:val="12"/>
                <w:szCs w:val="12"/>
                <w:b w:val="1"/>
                <w:bCs w:val="1"/>
                <w:color w:val="auto"/>
              </w:rPr>
              <w:t>SHARES PURCHASED</w:t>
            </w:r>
          </w:p>
        </w:tc>
        <w:tc>
          <w:tcPr>
            <w:tcW w:w="80" w:type="dxa"/>
            <w:vAlign w:val="bottom"/>
          </w:tcPr>
          <w:p>
            <w:pPr>
              <w:spacing w:after="0"/>
              <w:rPr>
                <w:sz w:val="15"/>
                <w:szCs w:val="15"/>
                <w:color w:val="auto"/>
              </w:rPr>
            </w:pPr>
          </w:p>
        </w:tc>
        <w:tc>
          <w:tcPr>
            <w:tcW w:w="194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TOTAL CONSIDERATION</w:t>
            </w:r>
          </w:p>
        </w:tc>
        <w:tc>
          <w:tcPr>
            <w:tcW w:w="16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56"/>
        </w:trPr>
        <w:tc>
          <w:tcPr>
            <w:tcW w:w="2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63"/>
        </w:trPr>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NUMBER</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PERCENTAGE</w:t>
            </w:r>
          </w:p>
        </w:tc>
        <w:tc>
          <w:tcPr>
            <w:tcW w:w="80" w:type="dxa"/>
            <w:vAlign w:val="bottom"/>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PERCENTAGE</w:t>
            </w:r>
          </w:p>
        </w:tc>
        <w:tc>
          <w:tcPr>
            <w:tcW w:w="16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69"/>
        </w:trPr>
        <w:tc>
          <w:tcPr>
            <w:tcW w:w="28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Class B Ordinary Shares</w:t>
            </w:r>
            <w:r>
              <w:rPr>
                <w:rFonts w:ascii="Arial" w:cs="Arial" w:eastAsia="Arial" w:hAnsi="Arial"/>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3,125,000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19.44%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25,000</w:t>
            </w: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0.02%</w:t>
            </w:r>
          </w:p>
        </w:tc>
        <w:tc>
          <w:tcPr>
            <w:tcW w:w="760" w:type="dxa"/>
            <w:vAlign w:val="bottom"/>
            <w:gridSpan w:val="3"/>
            <w:shd w:val="clear" w:color="auto" w:fill="CCEEFF"/>
          </w:tcPr>
          <w:p>
            <w:pPr>
              <w:jc w:val="center"/>
              <w:ind w:left="226"/>
              <w:spacing w:after="0"/>
              <w:rPr>
                <w:sz w:val="20"/>
                <w:szCs w:val="20"/>
                <w:color w:val="auto"/>
              </w:rPr>
            </w:pPr>
            <w:r>
              <w:rPr>
                <w:rFonts w:ascii="Arial" w:cs="Arial" w:eastAsia="Arial" w:hAnsi="Arial"/>
                <w:sz w:val="15"/>
                <w:szCs w:val="15"/>
                <w:color w:val="auto"/>
              </w:rPr>
              <w:t>$0.008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5"/>
                <w:szCs w:val="15"/>
                <w:color w:val="auto"/>
              </w:rPr>
              <w:t>Private Placement Shareholders</w:t>
            </w:r>
          </w:p>
        </w:tc>
        <w:tc>
          <w:tcPr>
            <w:tcW w:w="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450,000</w:t>
            </w:r>
          </w:p>
        </w:tc>
        <w:tc>
          <w:tcPr>
            <w:tcW w:w="14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2.80%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4,500,000</w:t>
            </w:r>
          </w:p>
        </w:tc>
        <w:tc>
          <w:tcPr>
            <w:tcW w:w="16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3.47%</w:t>
            </w:r>
          </w:p>
        </w:tc>
        <w:tc>
          <w:tcPr>
            <w:tcW w:w="760" w:type="dxa"/>
            <w:vAlign w:val="bottom"/>
            <w:gridSpan w:val="3"/>
          </w:tcPr>
          <w:p>
            <w:pPr>
              <w:jc w:val="center"/>
              <w:ind w:left="226"/>
              <w:spacing w:after="0"/>
              <w:rPr>
                <w:sz w:val="20"/>
                <w:szCs w:val="20"/>
                <w:color w:val="auto"/>
              </w:rPr>
            </w:pPr>
            <w:r>
              <w:rPr>
                <w:rFonts w:ascii="Arial" w:cs="Arial" w:eastAsia="Arial" w:hAnsi="Arial"/>
                <w:sz w:val="15"/>
                <w:szCs w:val="15"/>
                <w:color w:val="auto"/>
              </w:rPr>
              <w:t>$10.00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Public Shareholders</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12,500,000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77.76%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125,000,000</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96.51%</w:t>
            </w:r>
          </w:p>
        </w:tc>
        <w:tc>
          <w:tcPr>
            <w:tcW w:w="760" w:type="dxa"/>
            <w:vAlign w:val="bottom"/>
            <w:gridSpan w:val="3"/>
            <w:shd w:val="clear" w:color="auto" w:fill="CCEEFF"/>
          </w:tcPr>
          <w:p>
            <w:pPr>
              <w:jc w:val="center"/>
              <w:ind w:left="226"/>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10.00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16,075,000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97"/>
              </w:rPr>
              <w:t>100.00%</w:t>
            </w:r>
          </w:p>
        </w:tc>
        <w:tc>
          <w:tcPr>
            <w:tcW w:w="16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129,525,000</w:t>
            </w:r>
          </w:p>
        </w:tc>
        <w:tc>
          <w:tcPr>
            <w:tcW w:w="160" w:type="dxa"/>
            <w:vAlign w:val="bottom"/>
          </w:tcPr>
          <w:p>
            <w:pPr>
              <w:spacing w:after="0"/>
              <w:rPr>
                <w:sz w:val="21"/>
                <w:szCs w:val="21"/>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100.00%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-789940</wp:posOffset>
            </wp:positionV>
            <wp:extent cx="10350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505" cy="762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-789940</wp:posOffset>
            </wp:positionV>
            <wp:extent cx="958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5885" cy="7620"/>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-789940</wp:posOffset>
            </wp:positionV>
            <wp:extent cx="889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-789940</wp:posOffset>
            </wp:positionV>
            <wp:extent cx="444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-789940</wp:posOffset>
            </wp:positionV>
            <wp:extent cx="1035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3505" cy="7620"/>
                    </a:xfrm>
                    <a:prstGeom prst="rect">
                      <a:avLst/>
                    </a:prstGeom>
                    <a:noFill/>
                  </pic:spPr>
                </pic:pic>
              </a:graphicData>
            </a:graphic>
          </wp:anchor>
        </w:drawing>
      </w:r>
    </w:p>
    <w:p>
      <w:pPr>
        <w:spacing w:after="0" w:line="21" w:lineRule="exact"/>
        <w:rPr>
          <w:sz w:val="20"/>
          <w:szCs w:val="20"/>
          <w:color w:val="auto"/>
        </w:rPr>
      </w:pPr>
    </w:p>
    <w:p>
      <w:pPr>
        <w:ind w:left="900" w:hanging="305"/>
        <w:spacing w:after="0"/>
        <w:tabs>
          <w:tab w:leader="none" w:pos="9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Assumes no exercise of the underwriters’ over-allotment option and the corresponding forfeiture of 468,750 Class B ordinary shares held by our sponsor.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6" w:name="page67"/>
    <w:bookmarkEnd w:id="6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79"/>
        <w:spacing w:after="0" w:line="236" w:lineRule="auto"/>
        <w:rPr>
          <w:sz w:val="20"/>
          <w:szCs w:val="20"/>
          <w:color w:val="auto"/>
        </w:rPr>
      </w:pPr>
      <w:r>
        <w:rPr>
          <w:rFonts w:ascii="Arial" w:cs="Arial" w:eastAsia="Arial" w:hAnsi="Arial"/>
          <w:sz w:val="15"/>
          <w:szCs w:val="15"/>
          <w:color w:val="auto"/>
        </w:rPr>
        <w:t>The pro forma net tangible book value per share after this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113030</wp:posOffset>
            </wp:positionV>
            <wp:extent cx="496443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8"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5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rPr>
              <w:t>Without</w:t>
            </w:r>
          </w:p>
        </w:tc>
        <w:tc>
          <w:tcPr>
            <w:tcW w:w="8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With</w:t>
            </w:r>
          </w:p>
        </w:tc>
      </w:tr>
      <w:tr>
        <w:trPr>
          <w:trHeight w:val="162"/>
        </w:trPr>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rPr>
              <w:t>Over-allotment</w:t>
            </w: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Over-allotment</w:t>
            </w:r>
          </w:p>
        </w:tc>
      </w:tr>
      <w:tr>
        <w:trPr>
          <w:trHeight w:val="69"/>
        </w:trPr>
        <w:tc>
          <w:tcPr>
            <w:tcW w:w="520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r>
        <w:trPr>
          <w:trHeight w:val="27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5"/>
                <w:szCs w:val="15"/>
                <w:color w:val="auto"/>
              </w:rPr>
              <w:t>Net tangible book deficit before this offering</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(4,245)</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0"/>
              <w:spacing w:after="0"/>
              <w:rPr>
                <w:sz w:val="20"/>
                <w:szCs w:val="20"/>
                <w:color w:val="auto"/>
              </w:rPr>
            </w:pPr>
            <w:r>
              <w:rPr>
                <w:rFonts w:ascii="Arial" w:cs="Arial" w:eastAsia="Arial" w:hAnsi="Arial"/>
                <w:sz w:val="15"/>
                <w:szCs w:val="15"/>
                <w:color w:val="auto"/>
              </w:rPr>
              <w:t>(4,245)</w:t>
            </w:r>
          </w:p>
        </w:tc>
      </w:tr>
      <w:tr>
        <w:trPr>
          <w:trHeight w:val="49"/>
        </w:trPr>
        <w:tc>
          <w:tcPr>
            <w:tcW w:w="5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9"/>
        </w:trPr>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Net proceeds from this offering and sale of the private placement shares</w:t>
            </w:r>
            <w:r>
              <w:rPr>
                <w:rFonts w:ascii="Arial" w:cs="Arial" w:eastAsia="Arial" w:hAnsi="Arial"/>
                <w:sz w:val="24"/>
                <w:szCs w:val="24"/>
                <w:color w:val="auto"/>
                <w:vertAlign w:val="superscript"/>
              </w:rPr>
              <w:t>(1)</w:t>
            </w: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126,000,000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144,750,000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5"/>
                <w:szCs w:val="15"/>
                <w:color w:val="auto"/>
              </w:rPr>
              <w:t>Plus: Offering costs paid in advance, excluded from tangible book value</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25,000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25,000</w:t>
            </w:r>
          </w:p>
        </w:tc>
      </w:tr>
      <w:tr>
        <w:trPr>
          <w:trHeight w:val="49"/>
        </w:trPr>
        <w:tc>
          <w:tcPr>
            <w:tcW w:w="5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Deferred underwriting commissions</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(4,375,000)</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(5,031,250)</w:t>
            </w:r>
          </w:p>
        </w:tc>
      </w:tr>
      <w:tr>
        <w:trPr>
          <w:trHeight w:val="221"/>
        </w:trPr>
        <w:tc>
          <w:tcPr>
            <w:tcW w:w="5200" w:type="dxa"/>
            <w:vAlign w:val="bottom"/>
          </w:tcPr>
          <w:p>
            <w:pPr>
              <w:spacing w:after="0" w:line="221" w:lineRule="exact"/>
              <w:rPr>
                <w:sz w:val="20"/>
                <w:szCs w:val="20"/>
                <w:color w:val="auto"/>
              </w:rPr>
            </w:pPr>
            <w:r>
              <w:rPr>
                <w:rFonts w:ascii="Arial" w:cs="Arial" w:eastAsia="Arial" w:hAnsi="Arial"/>
                <w:sz w:val="15"/>
                <w:szCs w:val="15"/>
                <w:color w:val="auto"/>
              </w:rPr>
              <w:t>Less: Proceeds held in trust subject to redemption</w:t>
            </w:r>
            <w:r>
              <w:rPr>
                <w:rFonts w:ascii="Arial" w:cs="Arial" w:eastAsia="Arial" w:hAnsi="Arial"/>
                <w:sz w:val="24"/>
                <w:szCs w:val="24"/>
                <w:color w:val="auto"/>
                <w:vertAlign w:val="superscript"/>
              </w:rPr>
              <w:t>(2)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(116,645,750)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w w:val="96"/>
              </w:rPr>
              <w:t>(134,739,500)</w:t>
            </w:r>
          </w:p>
        </w:tc>
      </w:tr>
      <w:tr>
        <w:trPr>
          <w:trHeight w:val="61"/>
        </w:trPr>
        <w:tc>
          <w:tcPr>
            <w:tcW w:w="5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84"/>
        </w:trPr>
        <w:tc>
          <w:tcPr>
            <w:tcW w:w="52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5,000,005</w:t>
            </w:r>
          </w:p>
        </w:tc>
        <w:tc>
          <w:tcPr>
            <w:tcW w:w="80" w:type="dxa"/>
            <w:vAlign w:val="bottom"/>
            <w:shd w:val="clear" w:color="auto" w:fill="CCEEFF"/>
          </w:tcPr>
          <w:p>
            <w:pPr>
              <w:spacing w:after="0"/>
              <w:rPr>
                <w:sz w:val="24"/>
                <w:szCs w:val="24"/>
                <w:color w:val="auto"/>
              </w:rPr>
            </w:pPr>
          </w:p>
        </w:tc>
      </w:tr>
      <w:tr>
        <w:trPr>
          <w:trHeight w:val="91"/>
        </w:trPr>
        <w:tc>
          <w:tcPr>
            <w:tcW w:w="52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r>
      <w:tr>
        <w:trPr>
          <w:trHeight w:val="265"/>
        </w:trPr>
        <w:tc>
          <w:tcPr>
            <w:tcW w:w="5200" w:type="dxa"/>
            <w:vAlign w:val="bottom"/>
          </w:tcPr>
          <w:p>
            <w:pPr>
              <w:spacing w:after="0"/>
              <w:rPr>
                <w:sz w:val="20"/>
                <w:szCs w:val="20"/>
                <w:color w:val="auto"/>
              </w:rPr>
            </w:pPr>
            <w:r>
              <w:rPr>
                <w:rFonts w:ascii="Arial" w:cs="Arial" w:eastAsia="Arial" w:hAnsi="Arial"/>
                <w:sz w:val="15"/>
                <w:szCs w:val="15"/>
                <w:b w:val="1"/>
                <w:bCs w:val="1"/>
                <w:color w:val="auto"/>
              </w:rPr>
              <w:t>Denominator:</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9"/>
        </w:trPr>
        <w:tc>
          <w:tcPr>
            <w:tcW w:w="5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Ordinary shares outstanding prior to this offering</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3,593,750</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3,593,750</w:t>
            </w:r>
          </w:p>
        </w:tc>
      </w:tr>
      <w:tr>
        <w:trPr>
          <w:trHeight w:val="230"/>
        </w:trPr>
        <w:tc>
          <w:tcPr>
            <w:tcW w:w="5200" w:type="dxa"/>
            <w:vAlign w:val="bottom"/>
          </w:tcPr>
          <w:p>
            <w:pPr>
              <w:spacing w:after="0"/>
              <w:rPr>
                <w:sz w:val="20"/>
                <w:szCs w:val="20"/>
                <w:color w:val="auto"/>
              </w:rPr>
            </w:pPr>
            <w:r>
              <w:rPr>
                <w:rFonts w:ascii="Arial" w:cs="Arial" w:eastAsia="Arial" w:hAnsi="Arial"/>
                <w:sz w:val="15"/>
                <w:szCs w:val="15"/>
                <w:color w:val="auto"/>
              </w:rPr>
              <w:t>Ordinary shares forfeited if over-allotment is not exercised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(468,750)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r>
      <w:tr>
        <w:trPr>
          <w:trHeight w:val="49"/>
        </w:trPr>
        <w:tc>
          <w:tcPr>
            <w:tcW w:w="5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Ordinary shares offered and sale of private placement shares</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12,950,000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14,862,500</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1"/>
        </w:trPr>
        <w:tc>
          <w:tcPr>
            <w:tcW w:w="5200" w:type="dxa"/>
            <w:vAlign w:val="bottom"/>
          </w:tcPr>
          <w:p>
            <w:pPr>
              <w:spacing w:after="0"/>
              <w:rPr>
                <w:sz w:val="20"/>
                <w:szCs w:val="20"/>
                <w:color w:val="auto"/>
              </w:rPr>
            </w:pPr>
            <w:r>
              <w:rPr>
                <w:rFonts w:ascii="Arial" w:cs="Arial" w:eastAsia="Arial" w:hAnsi="Arial"/>
                <w:sz w:val="15"/>
                <w:szCs w:val="15"/>
                <w:color w:val="auto"/>
              </w:rPr>
              <w:t>Less: Ordinary shares subject to redemption</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(11,664,575)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5"/>
                <w:szCs w:val="15"/>
                <w:color w:val="auto"/>
              </w:rPr>
              <w:t>(13,473,950)</w:t>
            </w:r>
          </w:p>
        </w:tc>
      </w:tr>
      <w:tr>
        <w:trPr>
          <w:trHeight w:val="61"/>
        </w:trPr>
        <w:tc>
          <w:tcPr>
            <w:tcW w:w="5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37"/>
        </w:trPr>
        <w:tc>
          <w:tcPr>
            <w:tcW w:w="52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4,410,425</w:t>
            </w:r>
          </w:p>
        </w:tc>
        <w:tc>
          <w:tcPr>
            <w:tcW w:w="1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4,982,300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-2496185</wp:posOffset>
            </wp:positionV>
            <wp:extent cx="1035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3505" cy="7620"/>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-2496185</wp:posOffset>
            </wp:positionV>
            <wp:extent cx="5143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7620"/>
                    </a:xfrm>
                    <a:prstGeom prst="rect">
                      <a:avLst/>
                    </a:prstGeom>
                    <a:noFill/>
                  </pic:spPr>
                </pic:pic>
              </a:graphicData>
            </a:graphic>
          </wp:anchor>
        </w:drawing>
      </w:r>
    </w:p>
    <w:p>
      <w:pPr>
        <w:spacing w:after="0" w:line="21" w:lineRule="exact"/>
        <w:rPr>
          <w:sz w:val="20"/>
          <w:szCs w:val="20"/>
          <w:color w:val="auto"/>
        </w:rPr>
      </w:pPr>
    </w:p>
    <w:p>
      <w:pPr>
        <w:ind w:left="900" w:right="1019" w:hanging="305"/>
        <w:spacing w:after="0" w:line="233" w:lineRule="auto"/>
        <w:tabs>
          <w:tab w:leader="none" w:pos="9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Expenses applied against gross proceeds include offering expenses of $1,000,000 and underwriting commissions of $2,500,000 or $2,875,000 if the underwriters exercise their over-allotment option (excluding deferred underwriting fees). See “Use of Proceeds.”</w:t>
      </w:r>
    </w:p>
    <w:p>
      <w:pPr>
        <w:spacing w:after="0" w:line="33" w:lineRule="exact"/>
        <w:rPr>
          <w:rFonts w:ascii="Arial" w:cs="Arial" w:eastAsia="Arial" w:hAnsi="Arial"/>
          <w:sz w:val="11"/>
          <w:szCs w:val="11"/>
          <w:color w:val="auto"/>
        </w:rPr>
      </w:pPr>
    </w:p>
    <w:p>
      <w:pPr>
        <w:ind w:left="900" w:right="739" w:hanging="305"/>
        <w:spacing w:after="0" w:line="225" w:lineRule="auto"/>
        <w:tabs>
          <w:tab w:leader="none" w:pos="9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and Other Transactions with Respect to Our Securities.”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7" w:name="page68"/>
    <w:bookmarkEnd w:id="6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155" w:lineRule="exact"/>
        <w:rPr>
          <w:sz w:val="20"/>
          <w:szCs w:val="20"/>
          <w:color w:val="auto"/>
        </w:rPr>
      </w:pPr>
    </w:p>
    <w:p>
      <w:pPr>
        <w:ind w:left="600" w:right="699"/>
        <w:spacing w:after="0" w:line="231" w:lineRule="auto"/>
        <w:rPr>
          <w:sz w:val="20"/>
          <w:szCs w:val="20"/>
          <w:color w:val="auto"/>
        </w:rPr>
      </w:pPr>
      <w:r>
        <w:rPr>
          <w:rFonts w:ascii="Arial" w:cs="Arial" w:eastAsia="Arial" w:hAnsi="Arial"/>
          <w:sz w:val="15"/>
          <w:szCs w:val="15"/>
          <w:color w:val="auto"/>
        </w:rPr>
        <w:t>The following table sets forth our capitalization at April 2, 2020, and as adjusted to give effect to the filing of our amended and restated memorandum and articles of association, the sale of our Class A ordinary shares in this offering and the private placement shares and the application of the estimated net proceeds derived from the sale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113665</wp:posOffset>
            </wp:positionV>
            <wp:extent cx="496443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9"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6"/>
          </w:tcPr>
          <w:p>
            <w:pPr>
              <w:jc w:val="right"/>
              <w:ind w:right="620"/>
              <w:spacing w:after="0"/>
              <w:rPr>
                <w:sz w:val="20"/>
                <w:szCs w:val="20"/>
                <w:color w:val="auto"/>
              </w:rPr>
            </w:pPr>
            <w:r>
              <w:rPr>
                <w:rFonts w:ascii="Arial" w:cs="Arial" w:eastAsia="Arial" w:hAnsi="Arial"/>
                <w:sz w:val="12"/>
                <w:szCs w:val="12"/>
                <w:b w:val="1"/>
                <w:bCs w:val="1"/>
                <w:color w:val="auto"/>
                <w:w w:val="98"/>
              </w:rPr>
              <w:t>April 2, 2020</w:t>
            </w:r>
          </w:p>
        </w:tc>
        <w:tc>
          <w:tcPr>
            <w:tcW w:w="0" w:type="dxa"/>
            <w:vAlign w:val="bottom"/>
          </w:tcPr>
          <w:p>
            <w:pPr>
              <w:spacing w:after="0"/>
              <w:rPr>
                <w:sz w:val="1"/>
                <w:szCs w:val="1"/>
                <w:color w:val="auto"/>
              </w:rPr>
            </w:pPr>
          </w:p>
        </w:tc>
      </w:tr>
      <w:tr>
        <w:trPr>
          <w:trHeight w:val="69"/>
        </w:trPr>
        <w:tc>
          <w:tcPr>
            <w:tcW w:w="58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Actual</w:t>
            </w:r>
          </w:p>
        </w:tc>
        <w:tc>
          <w:tcPr>
            <w:tcW w:w="32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rPr>
              <w:t>As Adjusted (1)</w:t>
            </w:r>
          </w:p>
        </w:tc>
        <w:tc>
          <w:tcPr>
            <w:tcW w:w="0" w:type="dxa"/>
            <w:vAlign w:val="bottom"/>
          </w:tcPr>
          <w:p>
            <w:pPr>
              <w:spacing w:after="0"/>
              <w:rPr>
                <w:sz w:val="1"/>
                <w:szCs w:val="1"/>
                <w:color w:val="auto"/>
              </w:rPr>
            </w:pPr>
          </w:p>
        </w:tc>
      </w:tr>
      <w:tr>
        <w:trPr>
          <w:trHeight w:val="69"/>
        </w:trPr>
        <w:tc>
          <w:tcPr>
            <w:tcW w:w="5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5880" w:type="dxa"/>
            <w:vAlign w:val="bottom"/>
            <w:shd w:val="clear" w:color="auto" w:fill="CCEEFF"/>
          </w:tcPr>
          <w:p>
            <w:pPr>
              <w:spacing w:after="0"/>
              <w:rPr>
                <w:sz w:val="20"/>
                <w:szCs w:val="20"/>
                <w:color w:val="auto"/>
              </w:rPr>
            </w:pPr>
            <w:r>
              <w:rPr>
                <w:rFonts w:ascii="Arial" w:cs="Arial" w:eastAsia="Arial" w:hAnsi="Arial"/>
                <w:sz w:val="15"/>
                <w:szCs w:val="15"/>
                <w:color w:val="auto"/>
              </w:rPr>
              <w:t>Note payable - related party</w:t>
            </w:r>
            <w:r>
              <w:rPr>
                <w:rFonts w:ascii="Arial" w:cs="Arial" w:eastAsia="Arial" w:hAnsi="Arial"/>
                <w:sz w:val="24"/>
                <w:szCs w:val="24"/>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5880" w:type="dxa"/>
            <w:vAlign w:val="bottom"/>
          </w:tcPr>
          <w:p>
            <w:pPr>
              <w:spacing w:after="0" w:line="221" w:lineRule="exact"/>
              <w:rPr>
                <w:sz w:val="20"/>
                <w:szCs w:val="20"/>
                <w:color w:val="auto"/>
              </w:rPr>
            </w:pPr>
            <w:r>
              <w:rPr>
                <w:rFonts w:ascii="Arial" w:cs="Arial" w:eastAsia="Arial" w:hAnsi="Arial"/>
                <w:sz w:val="15"/>
                <w:szCs w:val="15"/>
                <w:color w:val="auto"/>
              </w:rPr>
              <w:t>Deferred underwriting commissions</w:t>
            </w:r>
            <w:r>
              <w:rPr>
                <w:rFonts w:ascii="Arial" w:cs="Arial" w:eastAsia="Arial" w:hAnsi="Arial"/>
                <w:sz w:val="24"/>
                <w:szCs w:val="24"/>
                <w:color w:val="auto"/>
                <w:vertAlign w:val="superscript"/>
              </w:rPr>
              <w:t>(3)</w:t>
            </w:r>
          </w:p>
        </w:tc>
        <w:tc>
          <w:tcPr>
            <w:tcW w:w="8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5"/>
                <w:szCs w:val="15"/>
                <w:color w:val="auto"/>
              </w:rPr>
              <w:t>4,375,000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880" w:type="dxa"/>
            <w:vAlign w:val="bottom"/>
            <w:shd w:val="clear" w:color="auto" w:fill="CCEEFF"/>
          </w:tcPr>
          <w:p>
            <w:pPr>
              <w:spacing w:after="0"/>
              <w:rPr>
                <w:sz w:val="20"/>
                <w:szCs w:val="20"/>
                <w:color w:val="auto"/>
              </w:rPr>
            </w:pPr>
            <w:r>
              <w:rPr>
                <w:rFonts w:ascii="Arial" w:cs="Arial" w:eastAsia="Arial" w:hAnsi="Arial"/>
                <w:sz w:val="15"/>
                <w:szCs w:val="15"/>
                <w:color w:val="auto"/>
              </w:rPr>
              <w:t>Class A ordinary shares, $0.0001 par value, 479,000,000 shares authorized; -0- and</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5880" w:type="dxa"/>
            <w:vAlign w:val="bottom"/>
            <w:shd w:val="clear" w:color="auto" w:fill="CCEEFF"/>
          </w:tcPr>
          <w:p>
            <w:pPr>
              <w:ind w:left="140"/>
              <w:spacing w:after="0" w:line="163" w:lineRule="exact"/>
              <w:rPr>
                <w:sz w:val="20"/>
                <w:szCs w:val="20"/>
                <w:color w:val="auto"/>
              </w:rPr>
            </w:pPr>
            <w:r>
              <w:rPr>
                <w:rFonts w:ascii="Arial" w:cs="Arial" w:eastAsia="Arial" w:hAnsi="Arial"/>
                <w:sz w:val="15"/>
                <w:szCs w:val="15"/>
                <w:color w:val="auto"/>
              </w:rPr>
              <w:t>11,664,575 shares are subject to possible redemption, actual and as adjusted,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respectively</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116,645,750</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5"/>
                <w:szCs w:val="15"/>
                <w:color w:val="auto"/>
              </w:rPr>
              <w:t>Preference shares, $0.0001 par value; 1,000,000 shares authorized; none issued</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Arial" w:cs="Arial" w:eastAsia="Arial" w:hAnsi="Arial"/>
                <w:sz w:val="15"/>
                <w:szCs w:val="15"/>
                <w:color w:val="auto"/>
              </w:rPr>
              <w:t>and outstanding, actual and as adjusted</w:t>
            </w:r>
          </w:p>
        </w:tc>
        <w:tc>
          <w:tcPr>
            <w:tcW w:w="80" w:type="dxa"/>
            <w:vAlign w:val="bottom"/>
          </w:tcPr>
          <w:p>
            <w:pPr>
              <w:spacing w:after="0"/>
              <w:rPr>
                <w:sz w:val="15"/>
                <w:szCs w:val="15"/>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9"/>
        </w:trPr>
        <w:tc>
          <w:tcPr>
            <w:tcW w:w="5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5"/>
                <w:szCs w:val="15"/>
                <w:color w:val="auto"/>
              </w:rPr>
              <w:t>Class A ordinary shares, $0.0001 par value, 479,000,000 shares authorized; -0- and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1,285,425 shares issued and outstanding (excluding -0- and 11,664,575 shares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line="227" w:lineRule="exact"/>
              <w:rPr>
                <w:sz w:val="20"/>
                <w:szCs w:val="20"/>
                <w:color w:val="auto"/>
              </w:rPr>
            </w:pPr>
            <w:r>
              <w:rPr>
                <w:rFonts w:ascii="Arial" w:cs="Arial" w:eastAsia="Arial" w:hAnsi="Arial"/>
                <w:sz w:val="15"/>
                <w:szCs w:val="15"/>
                <w:color w:val="auto"/>
              </w:rPr>
              <w:t>subject to possible redemption), actual and as adjusted, respectively</w:t>
            </w:r>
            <w:r>
              <w:rPr>
                <w:rFonts w:ascii="Arial" w:cs="Arial" w:eastAsia="Arial" w:hAnsi="Arial"/>
                <w:sz w:val="24"/>
                <w:szCs w:val="24"/>
                <w:color w:val="auto"/>
                <w:vertAlign w:val="superscript"/>
              </w:rPr>
              <w:t>(4)</w:t>
            </w:r>
          </w:p>
        </w:tc>
        <w:tc>
          <w:tcPr>
            <w:tcW w:w="8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5"/>
                <w:szCs w:val="15"/>
                <w:color w:val="auto"/>
              </w:rPr>
              <w:t>Class B ordinary shares, $0.0001 par value, 20,000,000 shares authorized,</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880" w:type="dxa"/>
            <w:vAlign w:val="bottom"/>
          </w:tcPr>
          <w:p>
            <w:pPr>
              <w:ind w:left="140"/>
              <w:spacing w:after="0" w:line="163" w:lineRule="exact"/>
              <w:rPr>
                <w:sz w:val="20"/>
                <w:szCs w:val="20"/>
                <w:color w:val="auto"/>
              </w:rPr>
            </w:pPr>
            <w:r>
              <w:rPr>
                <w:rFonts w:ascii="Arial" w:cs="Arial" w:eastAsia="Arial" w:hAnsi="Arial"/>
                <w:sz w:val="15"/>
                <w:szCs w:val="15"/>
                <w:color w:val="auto"/>
              </w:rPr>
              <w:t>3,593,750 and 3,125,000 shares issued and outstanding, actual and as adjusted,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359</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49"/>
        </w:trPr>
        <w:tc>
          <w:tcPr>
            <w:tcW w:w="5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24,641</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5,003,808</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80" w:type="dxa"/>
            <w:vAlign w:val="bottom"/>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5"/>
                <w:szCs w:val="15"/>
                <w:color w:val="auto"/>
              </w:rPr>
              <w:t>(4,245)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5"/>
                <w:szCs w:val="15"/>
                <w:color w:val="auto"/>
              </w:rPr>
              <w:t>(4,245)</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88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20,755</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880" w:type="dxa"/>
            <w:vAlign w:val="bottom"/>
            <w:vMerge w:val="restart"/>
          </w:tcPr>
          <w:p>
            <w:pPr>
              <w:spacing w:after="0"/>
              <w:rPr>
                <w:sz w:val="20"/>
                <w:szCs w:val="20"/>
                <w:color w:val="auto"/>
              </w:rPr>
            </w:pPr>
            <w:r>
              <w:rPr>
                <w:rFonts w:ascii="Arial" w:cs="Arial" w:eastAsia="Arial" w:hAnsi="Arial"/>
                <w:sz w:val="15"/>
                <w:szCs w:val="15"/>
                <w:color w:val="auto"/>
              </w:rPr>
              <w:t>Total capitalization</w:t>
            </w:r>
          </w:p>
        </w:tc>
        <w:tc>
          <w:tcPr>
            <w:tcW w:w="52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20,755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ind w:left="320"/>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126,020,755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vMerge w:val="continue"/>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5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-2636520</wp:posOffset>
            </wp:positionV>
            <wp:extent cx="2070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7010" cy="762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-2636520</wp:posOffset>
            </wp:positionV>
            <wp:extent cx="1035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3505" cy="7620"/>
                    </a:xfrm>
                    <a:prstGeom prst="rect">
                      <a:avLst/>
                    </a:prstGeom>
                    <a:noFill/>
                  </pic:spPr>
                </pic:pic>
              </a:graphicData>
            </a:graphic>
          </wp:anchor>
        </w:drawing>
      </w:r>
    </w:p>
    <w:p>
      <w:pPr>
        <w:spacing w:after="0" w:line="21" w:lineRule="exact"/>
        <w:rPr>
          <w:sz w:val="20"/>
          <w:szCs w:val="20"/>
          <w:color w:val="auto"/>
        </w:rPr>
      </w:pPr>
    </w:p>
    <w:p>
      <w:pPr>
        <w:ind w:left="900" w:hanging="305"/>
        <w:spacing w:after="0"/>
        <w:tabs>
          <w:tab w:leader="none" w:pos="9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Assumes no exercise of the underwriters’ over-allotment option and the corresponding forfeiture of 468,750 Class B ordinary shares held by our sponsor.</w:t>
      </w:r>
    </w:p>
    <w:p>
      <w:pPr>
        <w:spacing w:after="0" w:line="36" w:lineRule="exact"/>
        <w:rPr>
          <w:rFonts w:ascii="Arial" w:cs="Arial" w:eastAsia="Arial" w:hAnsi="Arial"/>
          <w:sz w:val="11"/>
          <w:szCs w:val="11"/>
          <w:color w:val="auto"/>
        </w:rPr>
      </w:pPr>
    </w:p>
    <w:p>
      <w:pPr>
        <w:ind w:left="900" w:right="819" w:hanging="305"/>
        <w:spacing w:after="0" w:line="233" w:lineRule="auto"/>
        <w:tabs>
          <w:tab w:leader="none" w:pos="9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Our sponsor may loan us up to $300,000 under an unsecured promissory note to be used for a portion of the expenses of this offering. To date, we have fully borrowed $200,000 from our sponsor to cover for expenses in connection with this offering.</w:t>
      </w:r>
    </w:p>
    <w:p>
      <w:pPr>
        <w:spacing w:after="0" w:line="33" w:lineRule="exact"/>
        <w:rPr>
          <w:rFonts w:ascii="Arial" w:cs="Arial" w:eastAsia="Arial" w:hAnsi="Arial"/>
          <w:sz w:val="11"/>
          <w:szCs w:val="11"/>
          <w:color w:val="auto"/>
        </w:rPr>
      </w:pPr>
    </w:p>
    <w:p>
      <w:pPr>
        <w:ind w:left="900" w:right="759" w:hanging="305"/>
        <w:spacing w:after="0" w:line="225" w:lineRule="auto"/>
        <w:tabs>
          <w:tab w:leader="none" w:pos="9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$0.35 per share, or $4.375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 The Company records deferred underwriting commissions upon the closing of the initial public offering as a reduction of additional paid-in capital. Since the actual additional paid-in capital was reduced by the recording of the accrued deferred underwriting commission, total capitalization, as adjusted, includes the amount of the deferred underwriting commission to reflect total capitalization.</w:t>
      </w:r>
    </w:p>
    <w:p>
      <w:pPr>
        <w:spacing w:after="0" w:line="33" w:lineRule="exact"/>
        <w:rPr>
          <w:rFonts w:ascii="Arial" w:cs="Arial" w:eastAsia="Arial" w:hAnsi="Arial"/>
          <w:sz w:val="11"/>
          <w:szCs w:val="11"/>
          <w:color w:val="auto"/>
        </w:rPr>
      </w:pPr>
    </w:p>
    <w:p>
      <w:pPr>
        <w:ind w:left="900" w:right="679" w:hanging="305"/>
        <w:spacing w:after="0" w:line="225" w:lineRule="auto"/>
        <w:tabs>
          <w:tab w:leader="none" w:pos="9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8" w:name="page69"/>
    <w:bookmarkEnd w:id="6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 FINANCIAL CONDITION AND RESULTS OF OPERATIONS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Overview</w:t>
      </w:r>
    </w:p>
    <w:p>
      <w:pPr>
        <w:spacing w:after="0" w:line="148"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We are a blank check company incorporated on March 27, 2020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shares, our shares, debt or a combination of cash, equity and debt.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issuance of additional shares in a business combination:</w:t>
      </w:r>
    </w:p>
    <w:p>
      <w:pPr>
        <w:spacing w:after="0" w:line="83" w:lineRule="exact"/>
        <w:rPr>
          <w:sz w:val="20"/>
          <w:szCs w:val="20"/>
          <w:color w:val="auto"/>
        </w:rPr>
      </w:pPr>
    </w:p>
    <w:p>
      <w:pPr>
        <w:ind w:left="1100" w:right="819"/>
        <w:spacing w:after="0" w:line="233" w:lineRule="auto"/>
        <w:rPr>
          <w:sz w:val="20"/>
          <w:szCs w:val="20"/>
          <w:color w:val="auto"/>
        </w:rPr>
      </w:pPr>
      <w:r>
        <w:rPr>
          <w:rFonts w:ascii="Arial" w:cs="Arial" w:eastAsia="Arial" w:hAnsi="Arial"/>
          <w:sz w:val="15"/>
          <w:szCs w:val="15"/>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79" w:lineRule="exact"/>
        <w:rPr>
          <w:sz w:val="20"/>
          <w:szCs w:val="20"/>
          <w:color w:val="auto"/>
        </w:rPr>
      </w:pPr>
    </w:p>
    <w:p>
      <w:pPr>
        <w:ind w:left="1100" w:right="979"/>
        <w:spacing w:after="0" w:line="236" w:lineRule="auto"/>
        <w:rPr>
          <w:sz w:val="20"/>
          <w:szCs w:val="20"/>
          <w:color w:val="auto"/>
        </w:rPr>
      </w:pPr>
      <w:r>
        <w:rPr>
          <w:rFonts w:ascii="Arial" w:cs="Arial" w:eastAsia="Arial" w:hAnsi="Arial"/>
          <w:sz w:val="15"/>
          <w:szCs w:val="15"/>
          <w:color w:val="auto"/>
        </w:rPr>
        <w:t>may subordinate the rights of holders of Class A ordinary shares if preference shares are issued with rights senior to those afforded our Class A ordinary shares;</w:t>
      </w:r>
    </w:p>
    <w:p>
      <w:pPr>
        <w:spacing w:after="0" w:line="80" w:lineRule="exact"/>
        <w:rPr>
          <w:sz w:val="20"/>
          <w:szCs w:val="20"/>
          <w:color w:val="auto"/>
        </w:rPr>
      </w:pPr>
    </w:p>
    <w:p>
      <w:pPr>
        <w:ind w:left="1100" w:right="699"/>
        <w:spacing w:after="0" w:line="233" w:lineRule="auto"/>
        <w:rPr>
          <w:sz w:val="20"/>
          <w:szCs w:val="20"/>
          <w:color w:val="auto"/>
        </w:rPr>
      </w:pPr>
      <w:r>
        <w:rPr>
          <w:rFonts w:ascii="Arial" w:cs="Arial" w:eastAsia="Arial" w:hAnsi="Arial"/>
          <w:sz w:val="15"/>
          <w:szCs w:val="15"/>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79" w:lineRule="exact"/>
        <w:rPr>
          <w:sz w:val="20"/>
          <w:szCs w:val="20"/>
          <w:color w:val="auto"/>
        </w:rPr>
      </w:pPr>
    </w:p>
    <w:p>
      <w:pPr>
        <w:ind w:left="1100" w:right="659"/>
        <w:spacing w:after="0" w:line="236" w:lineRule="auto"/>
        <w:rPr>
          <w:sz w:val="20"/>
          <w:szCs w:val="20"/>
          <w:color w:val="auto"/>
        </w:rPr>
      </w:pPr>
      <w:r>
        <w:rPr>
          <w:rFonts w:ascii="Arial" w:cs="Arial" w:eastAsia="Arial" w:hAnsi="Arial"/>
          <w:sz w:val="15"/>
          <w:szCs w:val="15"/>
          <w:color w:val="auto"/>
        </w:rPr>
        <w:t>may have the effect of delaying or preventing a change of control of us by diluting the share ownership or voting rights of a person seeking to obtain control of us; and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may adversely affect prevailing market prices for our Class A ordinary shares.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Similarly, if we issue debt or otherwise incur significant debt, it could result in:</w:t>
      </w:r>
    </w:p>
    <w:p>
      <w:pPr>
        <w:spacing w:after="0" w:line="83" w:lineRule="exact"/>
        <w:rPr>
          <w:sz w:val="20"/>
          <w:szCs w:val="20"/>
          <w:color w:val="auto"/>
        </w:rPr>
      </w:pPr>
    </w:p>
    <w:p>
      <w:pPr>
        <w:ind w:left="1100" w:right="1199"/>
        <w:spacing w:after="0" w:line="236" w:lineRule="auto"/>
        <w:rPr>
          <w:sz w:val="20"/>
          <w:szCs w:val="20"/>
          <w:color w:val="auto"/>
        </w:rPr>
      </w:pPr>
      <w:r>
        <w:rPr>
          <w:rFonts w:ascii="Arial" w:cs="Arial" w:eastAsia="Arial" w:hAnsi="Arial"/>
          <w:sz w:val="15"/>
          <w:szCs w:val="15"/>
          <w:color w:val="auto"/>
        </w:rPr>
        <w:t>default and foreclosure on our assets if our operating revenues after an initial business combination are insufficient to repay our debt obligations;</w:t>
      </w:r>
    </w:p>
    <w:p>
      <w:pPr>
        <w:spacing w:after="0" w:line="80" w:lineRule="exact"/>
        <w:rPr>
          <w:sz w:val="20"/>
          <w:szCs w:val="20"/>
          <w:color w:val="auto"/>
        </w:rPr>
      </w:pPr>
    </w:p>
    <w:p>
      <w:pPr>
        <w:jc w:val="both"/>
        <w:ind w:left="1100" w:right="859"/>
        <w:spacing w:after="0" w:line="233" w:lineRule="auto"/>
        <w:rPr>
          <w:sz w:val="20"/>
          <w:szCs w:val="20"/>
          <w:color w:val="auto"/>
        </w:rPr>
      </w:pPr>
      <w:r>
        <w:rPr>
          <w:rFonts w:ascii="Arial" w:cs="Arial" w:eastAsia="Arial" w:hAnsi="Arial"/>
          <w:sz w:val="15"/>
          <w:szCs w:val="15"/>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immediate payment of all principal and accrued interest, if any, if the debt is payable on demand;</w:t>
      </w:r>
    </w:p>
    <w:p>
      <w:pPr>
        <w:spacing w:after="0" w:line="83" w:lineRule="exact"/>
        <w:rPr>
          <w:sz w:val="20"/>
          <w:szCs w:val="20"/>
          <w:color w:val="auto"/>
        </w:rPr>
      </w:pPr>
    </w:p>
    <w:p>
      <w:pPr>
        <w:ind w:left="1100" w:right="619"/>
        <w:spacing w:after="0" w:line="236" w:lineRule="auto"/>
        <w:rPr>
          <w:sz w:val="20"/>
          <w:szCs w:val="20"/>
          <w:color w:val="auto"/>
        </w:rPr>
      </w:pPr>
      <w:r>
        <w:rPr>
          <w:rFonts w:ascii="Arial" w:cs="Arial" w:eastAsia="Arial" w:hAnsi="Arial"/>
          <w:sz w:val="15"/>
          <w:szCs w:val="15"/>
          <w:color w:val="auto"/>
        </w:rPr>
        <w:t>our inability to obtain necessary additional financing if the debt contains covenants restricting our ability to obtain such financing while the debt is outstanding;</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inability to pay dividends on our Class A ordinary shares;</w:t>
      </w:r>
    </w:p>
    <w:p>
      <w:pPr>
        <w:spacing w:after="0" w:line="83" w:lineRule="exact"/>
        <w:rPr>
          <w:sz w:val="20"/>
          <w:szCs w:val="20"/>
          <w:color w:val="auto"/>
        </w:rPr>
      </w:pPr>
    </w:p>
    <w:p>
      <w:pPr>
        <w:jc w:val="both"/>
        <w:ind w:left="1100" w:right="679"/>
        <w:spacing w:after="0" w:line="233" w:lineRule="auto"/>
        <w:rPr>
          <w:sz w:val="20"/>
          <w:szCs w:val="20"/>
          <w:color w:val="auto"/>
        </w:rPr>
      </w:pPr>
      <w:r>
        <w:rPr>
          <w:rFonts w:ascii="Arial" w:cs="Arial" w:eastAsia="Arial" w:hAnsi="Arial"/>
          <w:sz w:val="15"/>
          <w:szCs w:val="15"/>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79" w:lineRule="exact"/>
        <w:rPr>
          <w:sz w:val="20"/>
          <w:szCs w:val="20"/>
          <w:color w:val="auto"/>
        </w:rPr>
      </w:pPr>
    </w:p>
    <w:p>
      <w:pPr>
        <w:ind w:left="1100" w:right="779"/>
        <w:spacing w:after="0" w:line="236" w:lineRule="auto"/>
        <w:rPr>
          <w:sz w:val="20"/>
          <w:szCs w:val="20"/>
          <w:color w:val="auto"/>
        </w:rPr>
      </w:pPr>
      <w:r>
        <w:rPr>
          <w:rFonts w:ascii="Arial" w:cs="Arial" w:eastAsia="Arial" w:hAnsi="Arial"/>
          <w:sz w:val="15"/>
          <w:szCs w:val="15"/>
          <w:color w:val="auto"/>
        </w:rPr>
        <w:t>limitations on our flexibility in planning for and reacting to changes in our business and in the industry in which we operate;</w:t>
      </w:r>
    </w:p>
    <w:p>
      <w:pPr>
        <w:spacing w:after="0" w:line="80" w:lineRule="exact"/>
        <w:rPr>
          <w:sz w:val="20"/>
          <w:szCs w:val="20"/>
          <w:color w:val="auto"/>
        </w:rPr>
      </w:pPr>
    </w:p>
    <w:p>
      <w:pPr>
        <w:ind w:left="1100" w:right="1119"/>
        <w:spacing w:after="0" w:line="236" w:lineRule="auto"/>
        <w:rPr>
          <w:sz w:val="20"/>
          <w:szCs w:val="20"/>
          <w:color w:val="auto"/>
        </w:rPr>
      </w:pPr>
      <w:r>
        <w:rPr>
          <w:rFonts w:ascii="Arial" w:cs="Arial" w:eastAsia="Arial" w:hAnsi="Arial"/>
          <w:sz w:val="15"/>
          <w:szCs w:val="15"/>
          <w:color w:val="auto"/>
        </w:rPr>
        <w:t>increased vulnerability to adverse changes in general economic, industry and competitive conditions and adverse changes in government regulation; and</w:t>
      </w:r>
    </w:p>
    <w:p>
      <w:pPr>
        <w:spacing w:after="0" w:line="80" w:lineRule="exact"/>
        <w:rPr>
          <w:sz w:val="20"/>
          <w:szCs w:val="20"/>
          <w:color w:val="auto"/>
        </w:rPr>
      </w:pPr>
    </w:p>
    <w:p>
      <w:pPr>
        <w:ind w:left="1100" w:right="779"/>
        <w:spacing w:after="0" w:line="233" w:lineRule="auto"/>
        <w:rPr>
          <w:sz w:val="20"/>
          <w:szCs w:val="20"/>
          <w:color w:val="auto"/>
        </w:rPr>
      </w:pPr>
      <w:r>
        <w:rPr>
          <w:rFonts w:ascii="Arial" w:cs="Arial" w:eastAsia="Arial" w:hAnsi="Arial"/>
          <w:sz w:val="15"/>
          <w:szCs w:val="15"/>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9" w:name="page70"/>
    <w:bookmarkEnd w:id="6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19"/>
        <w:spacing w:after="0" w:line="233" w:lineRule="auto"/>
        <w:rPr>
          <w:sz w:val="20"/>
          <w:szCs w:val="20"/>
          <w:color w:val="auto"/>
        </w:rPr>
      </w:pPr>
      <w:r>
        <w:rPr>
          <w:rFonts w:ascii="Arial" w:cs="Arial" w:eastAsia="Arial" w:hAnsi="Arial"/>
          <w:sz w:val="15"/>
          <w:szCs w:val="15"/>
          <w:color w:val="auto"/>
        </w:rPr>
        <w:t>As indicated in the accompanying financial statements, as of April 2, 2020, we had no cash and deferred offering costs of $25,000. Further, we expect to incur significant costs in the pursuit of our initial business combination. We cannot assure you that our plans to raise capital or to complete our initial business combination will be successful.</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Results of Operations and Known Trends or Future Events</w:t>
      </w:r>
    </w:p>
    <w:p>
      <w:pPr>
        <w:spacing w:after="0" w:line="14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Liquidity and Capital Resources</w:t>
      </w:r>
    </w:p>
    <w:p>
      <w:pPr>
        <w:spacing w:after="0" w:line="148" w:lineRule="exact"/>
        <w:rPr>
          <w:sz w:val="20"/>
          <w:szCs w:val="20"/>
          <w:color w:val="auto"/>
        </w:rPr>
      </w:pPr>
    </w:p>
    <w:p>
      <w:pPr>
        <w:ind w:left="600" w:right="639"/>
        <w:spacing w:after="0" w:line="242" w:lineRule="auto"/>
        <w:rPr>
          <w:sz w:val="20"/>
          <w:szCs w:val="20"/>
          <w:color w:val="auto"/>
        </w:rPr>
      </w:pPr>
      <w:r>
        <w:rPr>
          <w:rFonts w:ascii="Arial" w:cs="Arial" w:eastAsia="Arial" w:hAnsi="Arial"/>
          <w:sz w:val="14"/>
          <w:szCs w:val="14"/>
          <w:color w:val="auto"/>
        </w:rPr>
        <w:t>Our liquidity needs have been satisfied prior to the completion of this offering through receipt of a $25,000 capital contribution from our sponsor in exchange for the issuance of the founder shares to our sponsor and a commitment from our sponsor to loan up to $300,000 to us to cover our expenses in connection with this offering. We estimate that the net proceeds from (i) the sale of the Class A ordinary shares in this offering, after deducting offering expenses of $1.0 million, underwriting commissions of $2,500,000, or $2,875,000 if the underwriters’ over-allotment option is exercised in full (excluding deferred underwriting commissions of $4,375,000, or $5,031,250 if the underwriters’ over-allotment option is exercised in full), and (ii) the sale of the private placement shares for a purchase price of $4,500,000 (or $4,875,000 if the underwriters’ over-allotment option is exercised in full) will be $126.0 million (or $144.75 million if the underwriters’ over-allotment option is exercised in full). $125.0 million (or $143.75 million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$1.0 million will not be held in the trust account. In the event that our offering expenses exceed our estimate of</w:t>
      </w:r>
    </w:p>
    <w:p>
      <w:pPr>
        <w:spacing w:after="0" w:line="8" w:lineRule="exact"/>
        <w:rPr>
          <w:sz w:val="20"/>
          <w:szCs w:val="20"/>
          <w:color w:val="auto"/>
        </w:rPr>
      </w:pPr>
    </w:p>
    <w:p>
      <w:pPr>
        <w:ind w:left="600" w:right="619"/>
        <w:spacing w:after="0" w:line="231" w:lineRule="auto"/>
        <w:rPr>
          <w:sz w:val="20"/>
          <w:szCs w:val="20"/>
          <w:color w:val="auto"/>
        </w:rPr>
      </w:pPr>
      <w:r>
        <w:rPr>
          <w:rFonts w:ascii="Arial" w:cs="Arial" w:eastAsia="Arial" w:hAnsi="Arial"/>
          <w:sz w:val="15"/>
          <w:szCs w:val="15"/>
          <w:color w:val="auto"/>
        </w:rPr>
        <w:t>$1.0 million, we may fund such excess with funds not to be held in the trust account. In such case, the amount of funds we intend to be held outside the trust account would decrease by a corresponding amount. Conversely, in the event that the offering expenses are less than our estimate of $1.0 million, the amount of funds we intend to be held outside the trust account would increase by a corresponding amount.</w:t>
      </w:r>
    </w:p>
    <w:p>
      <w:pPr>
        <w:spacing w:after="0" w:line="13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3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Prior to the completion of our initial business combination, we will have available to us the $1.0 million of proceeds held outside the trust account, as well as certain funds from loans from our sponsor, members of our management team or any of their affiliates.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29" w:lineRule="exact"/>
        <w:rPr>
          <w:sz w:val="20"/>
          <w:szCs w:val="20"/>
          <w:color w:val="auto"/>
        </w:rPr>
      </w:pPr>
    </w:p>
    <w:p>
      <w:pPr>
        <w:ind w:left="600" w:right="619"/>
        <w:spacing w:after="0" w:line="254" w:lineRule="auto"/>
        <w:rPr>
          <w:sz w:val="20"/>
          <w:szCs w:val="20"/>
          <w:color w:val="auto"/>
        </w:rPr>
      </w:pPr>
      <w:r>
        <w:rPr>
          <w:rFonts w:ascii="Arial" w:cs="Arial" w:eastAsia="Arial" w:hAnsi="Arial"/>
          <w:sz w:val="14"/>
          <w:szCs w:val="14"/>
          <w:color w:val="auto"/>
        </w:rPr>
        <w:t>We do not believe we will need to raise additional funds following this offering in order to meet the expenditures required for operating our business prior to the completion of our initial business combination, other than funds available from loans from our sponsor, members of our management team or any of their affiliates. However, if our estimates of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0" w:name="page71"/>
    <w:bookmarkEnd w:id="7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costs of identifying a target business, undertaking in-depth due diligence and negotiating an initial business combination are less than the actual amount necessary to do so, we may have insufficient funds available to operate our business prior to the completion of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of the post-business combination company at a price of $10.00 per share at the option of the lender. The shares would be identical to the private placement shares.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13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expect our primary liquidity requirements during that period to include approximately $350,000 for legal, accounting, due diligence, travel and other expenses in connection with any business combinations; $150,000 for legal and accounting fees related to regulatory reporting obligations; $100,000 for consulting, travel and miscellaneous expenses incurred during the search for an initial business combination target; $55,000 for Nasdaq continued listing fees; and $105,000 for general working capital that will be used for miscellaneous expenses and reserves. We will also reimburse our sponsor for office space, secretarial and administrative services provided to us in the amount of $10,000 per month ($240,000 in the aggregate).</w:t>
      </w:r>
    </w:p>
    <w:p>
      <w:pPr>
        <w:spacing w:after="0" w:line="139"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0" w:lineRule="exact"/>
        <w:rPr>
          <w:sz w:val="20"/>
          <w:szCs w:val="20"/>
          <w:color w:val="auto"/>
        </w:rPr>
      </w:pPr>
    </w:p>
    <w:p>
      <w:pPr>
        <w:ind w:left="600" w:right="759"/>
        <w:spacing w:after="0" w:line="247" w:lineRule="auto"/>
        <w:rPr>
          <w:sz w:val="20"/>
          <w:szCs w:val="20"/>
          <w:color w:val="auto"/>
        </w:rPr>
      </w:pPr>
      <w:r>
        <w:rPr>
          <w:rFonts w:ascii="Arial" w:cs="Arial" w:eastAsia="Arial" w:hAnsi="Arial"/>
          <w:sz w:val="14"/>
          <w:szCs w:val="14"/>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24 months from the closing of this offering because we do not have sufficient funds available to us, we will be forced to cease operations and liquidate the trust account.</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1" w:name="page72"/>
    <w:bookmarkEnd w:id="7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1" w:lineRule="exact"/>
        <w:rPr>
          <w:sz w:val="20"/>
          <w:szCs w:val="20"/>
          <w:color w:val="auto"/>
        </w:rPr>
      </w:pPr>
    </w:p>
    <w:p>
      <w:pPr>
        <w:ind w:left="1100" w:right="1879"/>
        <w:spacing w:after="0" w:line="356" w:lineRule="auto"/>
        <w:rPr>
          <w:sz w:val="20"/>
          <w:szCs w:val="20"/>
          <w:color w:val="auto"/>
        </w:rPr>
      </w:pPr>
      <w:r>
        <w:rPr>
          <w:rFonts w:ascii="Arial" w:cs="Arial" w:eastAsia="Arial" w:hAnsi="Arial"/>
          <w:sz w:val="15"/>
          <w:szCs w:val="15"/>
          <w:color w:val="auto"/>
        </w:rPr>
        <w:t>staffing for financial, accounting and external reporting areas, including segregation of duties; reconciliation of accounts;</w:t>
      </w:r>
    </w:p>
    <w:p>
      <w:pPr>
        <w:ind w:left="1100" w:right="2919"/>
        <w:spacing w:after="0" w:line="356" w:lineRule="auto"/>
        <w:rPr>
          <w:sz w:val="20"/>
          <w:szCs w:val="20"/>
          <w:color w:val="auto"/>
        </w:rPr>
      </w:pPr>
      <w:r>
        <w:rPr>
          <w:rFonts w:ascii="Arial" w:cs="Arial" w:eastAsia="Arial" w:hAnsi="Arial"/>
          <w:sz w:val="15"/>
          <w:szCs w:val="15"/>
          <w:color w:val="auto"/>
        </w:rPr>
        <w:t>proper recording of expenses and liabilities in the period to which they relate; evidence of internal review and approval of accounting transactions;</w:t>
      </w:r>
    </w:p>
    <w:p>
      <w:pPr>
        <w:ind w:left="1100" w:right="1659"/>
        <w:spacing w:after="0" w:line="362" w:lineRule="auto"/>
        <w:rPr>
          <w:sz w:val="20"/>
          <w:szCs w:val="20"/>
          <w:color w:val="auto"/>
        </w:rPr>
      </w:pPr>
      <w:r>
        <w:rPr>
          <w:rFonts w:ascii="Arial" w:cs="Arial" w:eastAsia="Arial" w:hAnsi="Arial"/>
          <w:sz w:val="15"/>
          <w:szCs w:val="15"/>
          <w:color w:val="auto"/>
        </w:rPr>
        <w:t>documentation of processes, assumptions and conclusions underlying significant estimates; and documentation of accounting policies and procedures.</w:t>
      </w:r>
    </w:p>
    <w:p>
      <w:pPr>
        <w:spacing w:after="0" w:line="50"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9" w:lineRule="exact"/>
        <w:rPr>
          <w:sz w:val="20"/>
          <w:szCs w:val="20"/>
          <w:color w:val="auto"/>
        </w:rPr>
      </w:pPr>
    </w:p>
    <w:p>
      <w:pPr>
        <w:ind w:left="600" w:right="799"/>
        <w:spacing w:after="0" w:line="231" w:lineRule="auto"/>
        <w:rPr>
          <w:sz w:val="20"/>
          <w:szCs w:val="20"/>
          <w:color w:val="auto"/>
        </w:rPr>
      </w:pPr>
      <w:r>
        <w:rPr>
          <w:rFonts w:ascii="Arial" w:cs="Arial" w:eastAsia="Arial" w:hAnsi="Arial"/>
          <w:sz w:val="15"/>
          <w:szCs w:val="15"/>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60"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The net proceeds of this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91" w:lineRule="exact"/>
        <w:rPr>
          <w:sz w:val="20"/>
          <w:szCs w:val="20"/>
          <w:color w:val="auto"/>
        </w:rPr>
      </w:pPr>
    </w:p>
    <w:p>
      <w:pPr>
        <w:ind w:left="600" w:right="1539"/>
        <w:spacing w:after="0" w:line="368" w:lineRule="auto"/>
        <w:rPr>
          <w:sz w:val="20"/>
          <w:szCs w:val="20"/>
          <w:color w:val="auto"/>
        </w:rPr>
      </w:pPr>
      <w:r>
        <w:rPr>
          <w:rFonts w:ascii="Arial" w:cs="Arial" w:eastAsia="Arial" w:hAnsi="Arial"/>
          <w:sz w:val="14"/>
          <w:szCs w:val="14"/>
          <w:b w:val="1"/>
          <w:bCs w:val="1"/>
          <w:color w:val="auto"/>
        </w:rPr>
        <w:t xml:space="preserve">Off-Balance Sheet Arrangements; Commitments and Contractual Obligations; Quarterly Results </w:t>
      </w:r>
      <w:r>
        <w:rPr>
          <w:rFonts w:ascii="Arial" w:cs="Arial" w:eastAsia="Arial" w:hAnsi="Arial"/>
          <w:sz w:val="14"/>
          <w:szCs w:val="14"/>
          <w:color w:val="auto"/>
        </w:rPr>
        <w:t>As of April 2, 2020, we did not have any off-balance sheet arrangements as defined in Item 303(a)(4)(ii) of</w:t>
      </w:r>
    </w:p>
    <w:p>
      <w:pPr>
        <w:spacing w:after="0" w:line="1" w:lineRule="exact"/>
        <w:rPr>
          <w:sz w:val="20"/>
          <w:szCs w:val="20"/>
          <w:color w:val="auto"/>
        </w:rPr>
      </w:pPr>
    </w:p>
    <w:p>
      <w:pPr>
        <w:ind w:left="600" w:right="739"/>
        <w:spacing w:after="0" w:line="236" w:lineRule="auto"/>
        <w:rPr>
          <w:sz w:val="20"/>
          <w:szCs w:val="20"/>
          <w:color w:val="auto"/>
        </w:rPr>
      </w:pPr>
      <w:r>
        <w:rPr>
          <w:rFonts w:ascii="Arial" w:cs="Arial" w:eastAsia="Arial" w:hAnsi="Arial"/>
          <w:sz w:val="15"/>
          <w:szCs w:val="15"/>
          <w:color w:val="auto"/>
        </w:rPr>
        <w:t>Regulation S-K and did not have any commitments or contractual obligations. No unaudited quarterly operating data is included in this prospectus as we have not conducted any operations to date.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JOBS Act</w:t>
      </w:r>
    </w:p>
    <w:p>
      <w:pPr>
        <w:spacing w:after="0" w:line="160"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8"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2" w:name="page73"/>
    <w:bookmarkEnd w:id="7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1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report on our system of internal controls over financial reporting pursuant to Section 404 of the Sarbanes-Oxley Act,</w:t>
      </w:r>
    </w:p>
    <w:p>
      <w:pPr>
        <w:ind w:left="600" w:right="639" w:hanging="5"/>
        <w:spacing w:after="0" w:line="229" w:lineRule="auto"/>
        <w:tabs>
          <w:tab w:leader="none" w:pos="804"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3" w:name="page74"/>
    <w:bookmarkEnd w:id="7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PROPOSED BUSINESS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Introduction</w:t>
      </w:r>
    </w:p>
    <w:p>
      <w:pPr>
        <w:spacing w:after="0" w:line="14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38" w:lineRule="exact"/>
        <w:rPr>
          <w:sz w:val="20"/>
          <w:szCs w:val="20"/>
          <w:color w:val="auto"/>
        </w:rPr>
      </w:pPr>
    </w:p>
    <w:p>
      <w:pPr>
        <w:ind w:left="600" w:right="699"/>
        <w:spacing w:after="0" w:line="226" w:lineRule="auto"/>
        <w:rPr>
          <w:sz w:val="20"/>
          <w:szCs w:val="20"/>
          <w:color w:val="auto"/>
        </w:rPr>
      </w:pPr>
      <w:r>
        <w:rPr>
          <w:rFonts w:ascii="Arial" w:cs="Arial" w:eastAsia="Arial" w:hAnsi="Arial"/>
          <w:sz w:val="15"/>
          <w:szCs w:val="15"/>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w:t>
      </w:r>
    </w:p>
    <w:p>
      <w:pPr>
        <w:spacing w:after="0" w:line="1" w:lineRule="exact"/>
        <w:rPr>
          <w:sz w:val="20"/>
          <w:szCs w:val="20"/>
          <w:color w:val="auto"/>
        </w:rPr>
      </w:pPr>
    </w:p>
    <w:p>
      <w:pPr>
        <w:ind w:left="600" w:right="699"/>
        <w:spacing w:after="0" w:line="231" w:lineRule="auto"/>
        <w:rPr>
          <w:sz w:val="20"/>
          <w:szCs w:val="20"/>
          <w:color w:val="auto"/>
        </w:rPr>
      </w:pPr>
      <w:r>
        <w:rPr>
          <w:rFonts w:ascii="Arial" w:cs="Arial" w:eastAsia="Arial" w:hAnsi="Arial"/>
          <w:sz w:val="15"/>
          <w:szCs w:val="15"/>
          <w:color w:val="auto"/>
        </w:rPr>
        <w:t>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Our Founders</w:t>
      </w:r>
    </w:p>
    <w:p>
      <w:pPr>
        <w:spacing w:after="0" w:line="160"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Our sponsor is an affiliate of Perceptive Advisors, a leading life sciences focused investment firm with over $7 billion of regulatory assets under management as of December 31, 2019.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 We have not selected any business combination target and we have not, nor has anyone on our behalf, initiated any substantive discussions, directly or indirectly, with any business combination target.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Our Board of Directors and Management</w:t>
      </w:r>
    </w:p>
    <w:p>
      <w:pPr>
        <w:spacing w:after="0" w:line="160"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Joseph Edelman serves as the Chairman of our board of directors. Mr. Edelman is Founder, Chief Executive Officer 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38" w:lineRule="exact"/>
        <w:rPr>
          <w:sz w:val="20"/>
          <w:szCs w:val="20"/>
          <w:color w:val="auto"/>
        </w:rPr>
      </w:pPr>
    </w:p>
    <w:p>
      <w:pPr>
        <w:ind w:left="600" w:right="619"/>
        <w:spacing w:after="0" w:line="250" w:lineRule="auto"/>
        <w:rPr>
          <w:sz w:val="20"/>
          <w:szCs w:val="20"/>
          <w:color w:val="auto"/>
        </w:rPr>
      </w:pPr>
      <w:r>
        <w:rPr>
          <w:rFonts w:ascii="Arial" w:cs="Arial" w:eastAsia="Arial" w:hAnsi="Arial"/>
          <w:sz w:val="14"/>
          <w:szCs w:val="14"/>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II (Nasdaq: ARYB) as well as Solid Biosciences (Nasdaq: SLDB), Renovia, and Xontogeny, which are portfolio companies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4" w:name="page75"/>
    <w:bookmarkEnd w:id="7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139" w:lineRule="exact"/>
        <w:rPr>
          <w:sz w:val="20"/>
          <w:szCs w:val="20"/>
          <w:color w:val="auto"/>
        </w:rPr>
      </w:pPr>
    </w:p>
    <w:p>
      <w:pPr>
        <w:ind w:left="600" w:right="599"/>
        <w:spacing w:after="0" w:line="246" w:lineRule="auto"/>
        <w:rPr>
          <w:sz w:val="20"/>
          <w:szCs w:val="20"/>
          <w:color w:val="auto"/>
        </w:rPr>
      </w:pPr>
      <w:r>
        <w:rPr>
          <w:rFonts w:ascii="Arial" w:cs="Arial" w:eastAsia="Arial" w:hAnsi="Arial"/>
          <w:sz w:val="14"/>
          <w:szCs w:val="14"/>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ARYA Sciences Acquisition Corp II (Nasdaq: ARYB). Prior to joining Perceptive Advisors, Mr. Altman was a trader and analyst at First New York Securities from 2005 to 2007. Mr. Altman graduated from the University of Vermont with a BS in Business Administration.</w:t>
      </w:r>
    </w:p>
    <w:p>
      <w:pPr>
        <w:spacing w:after="0" w:line="136" w:lineRule="exact"/>
        <w:rPr>
          <w:sz w:val="20"/>
          <w:szCs w:val="20"/>
          <w:color w:val="auto"/>
        </w:rPr>
      </w:pPr>
    </w:p>
    <w:p>
      <w:pPr>
        <w:ind w:left="600" w:right="799"/>
        <w:spacing w:after="0" w:line="228" w:lineRule="auto"/>
        <w:rPr>
          <w:sz w:val="20"/>
          <w:szCs w:val="20"/>
          <w:color w:val="auto"/>
        </w:rPr>
      </w:pPr>
      <w:r>
        <w:rPr>
          <w:rFonts w:ascii="Arial" w:cs="Arial" w:eastAsia="Arial" w:hAnsi="Arial"/>
          <w:sz w:val="15"/>
          <w:szCs w:val="15"/>
          <w:color w:val="auto"/>
        </w:rPr>
        <w:t>Konstantin Poukalov, our Chief Business Officer, joined Perceptive Advisors in 2019 and is a Managing Director at 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29" w:lineRule="exact"/>
        <w:rPr>
          <w:sz w:val="20"/>
          <w:szCs w:val="20"/>
          <w:color w:val="auto"/>
        </w:rPr>
      </w:pPr>
    </w:p>
    <w:p>
      <w:pPr>
        <w:ind w:left="600" w:right="799"/>
        <w:spacing w:after="0" w:line="233" w:lineRule="auto"/>
        <w:rPr>
          <w:sz w:val="20"/>
          <w:szCs w:val="20"/>
          <w:color w:val="auto"/>
        </w:rPr>
      </w:pPr>
      <w:r>
        <w:rPr>
          <w:rFonts w:ascii="Arial" w:cs="Arial" w:eastAsia="Arial" w:hAnsi="Arial"/>
          <w:sz w:val="15"/>
          <w:szCs w:val="15"/>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138"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Dr. Todd Wider has agreed to serve on our board of directors. Dr. Wider is an active, honorary member of the medical 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39" w:lineRule="exact"/>
        <w:rPr>
          <w:sz w:val="20"/>
          <w:szCs w:val="20"/>
          <w:color w:val="auto"/>
        </w:rPr>
      </w:pPr>
    </w:p>
    <w:p>
      <w:pPr>
        <w:ind w:left="600" w:right="699"/>
        <w:spacing w:after="0" w:line="215" w:lineRule="auto"/>
        <w:rPr>
          <w:sz w:val="20"/>
          <w:szCs w:val="20"/>
          <w:color w:val="auto"/>
        </w:rPr>
      </w:pPr>
      <w:r>
        <w:rPr>
          <w:rFonts w:ascii="Arial" w:cs="Arial" w:eastAsia="Arial" w:hAnsi="Arial"/>
          <w:sz w:val="14"/>
          <w:szCs w:val="14"/>
          <w:color w:val="auto"/>
        </w:rPr>
        <w:t>Bradley L. Campbell has agreed to serve on our board of directors. He has nearly 20 years of experience in the 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for the treatment of Fabry Disease. He also oversees the Technical Operations, Market Access, Program Management and Clinical Operations functions. Previously,</w:t>
      </w:r>
    </w:p>
    <w:p>
      <w:pPr>
        <w:spacing w:after="0" w:line="1" w:lineRule="exact"/>
        <w:rPr>
          <w:sz w:val="20"/>
          <w:szCs w:val="20"/>
          <w:color w:val="auto"/>
        </w:rPr>
      </w:pPr>
    </w:p>
    <w:p>
      <w:pPr>
        <w:ind w:left="600" w:right="719"/>
        <w:spacing w:after="0" w:line="226" w:lineRule="auto"/>
        <w:rPr>
          <w:sz w:val="20"/>
          <w:szCs w:val="20"/>
          <w:color w:val="auto"/>
        </w:rPr>
      </w:pPr>
      <w:r>
        <w:rPr>
          <w:rFonts w:ascii="Arial" w:cs="Arial" w:eastAsia="Arial" w:hAnsi="Arial"/>
          <w:sz w:val="15"/>
          <w:szCs w:val="15"/>
          <w:color w:val="auto"/>
        </w:rPr>
        <w:t>Mr. Campbell served as Chief Operating Officer of Amicus from December 2013 to January 2015 and, prior thereto, as Chief Business Officer of Amicus from February 2012 to December 2013. From January 2010 to February 2012,</w:t>
      </w:r>
    </w:p>
    <w:p>
      <w:pPr>
        <w:spacing w:after="0" w:line="1" w:lineRule="exact"/>
        <w:rPr>
          <w:sz w:val="20"/>
          <w:szCs w:val="20"/>
          <w:color w:val="auto"/>
        </w:rPr>
      </w:pPr>
    </w:p>
    <w:p>
      <w:pPr>
        <w:ind w:left="600" w:right="679"/>
        <w:spacing w:after="0" w:line="242" w:lineRule="auto"/>
        <w:rPr>
          <w:sz w:val="20"/>
          <w:szCs w:val="20"/>
          <w:color w:val="auto"/>
        </w:rPr>
      </w:pPr>
      <w:r>
        <w:rPr>
          <w:rFonts w:ascii="Arial" w:cs="Arial" w:eastAsia="Arial" w:hAnsi="Arial"/>
          <w:sz w:val="14"/>
          <w:szCs w:val="14"/>
          <w:color w:val="auto"/>
        </w:rPr>
        <w:t>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w:t>
      </w:r>
    </w:p>
    <w:p>
      <w:pPr>
        <w:spacing w:after="0" w:line="2" w:lineRule="exact"/>
        <w:rPr>
          <w:sz w:val="20"/>
          <w:szCs w:val="20"/>
          <w:color w:val="auto"/>
        </w:rPr>
      </w:pPr>
    </w:p>
    <w:p>
      <w:pPr>
        <w:ind w:left="600" w:right="719"/>
        <w:spacing w:after="0" w:line="236" w:lineRule="auto"/>
        <w:rPr>
          <w:sz w:val="20"/>
          <w:szCs w:val="20"/>
          <w:color w:val="auto"/>
        </w:rPr>
      </w:pPr>
      <w:r>
        <w:rPr>
          <w:rFonts w:ascii="Arial" w:cs="Arial" w:eastAsia="Arial" w:hAnsi="Arial"/>
          <w:sz w:val="15"/>
          <w:szCs w:val="15"/>
          <w:color w:val="auto"/>
        </w:rPr>
        <w:t>Mr. Campbell worked in sales &amp; marketing for Bristol-Myers-Squibb and as a business strategy consultant for Marakon Associates. Currently, Mr. Campbell serves as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5" w:name="page76"/>
    <w:bookmarkEnd w:id="7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19"/>
        <w:spacing w:after="0" w:line="233" w:lineRule="auto"/>
        <w:rPr>
          <w:sz w:val="20"/>
          <w:szCs w:val="20"/>
          <w:color w:val="auto"/>
        </w:rPr>
      </w:pPr>
      <w:r>
        <w:rPr>
          <w:rFonts w:ascii="Arial" w:cs="Arial" w:eastAsia="Arial" w:hAnsi="Arial"/>
          <w:sz w:val="15"/>
          <w:szCs w:val="15"/>
          <w:color w:val="auto"/>
        </w:rPr>
        <w:t>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38"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Saqib Islam has agreed to serve on our board of directors. Mr. Islam has served as the Chief Executive Officer and 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Experience with Special Purpose Acquisition Vehicles</w:t>
      </w:r>
    </w:p>
    <w:p>
      <w:pPr>
        <w:spacing w:after="0" w:line="160" w:lineRule="exact"/>
        <w:rPr>
          <w:sz w:val="20"/>
          <w:szCs w:val="20"/>
          <w:color w:val="auto"/>
        </w:rPr>
      </w:pPr>
    </w:p>
    <w:p>
      <w:pPr>
        <w:ind w:left="600" w:right="879"/>
        <w:spacing w:after="0" w:line="230" w:lineRule="auto"/>
        <w:rPr>
          <w:sz w:val="20"/>
          <w:szCs w:val="20"/>
          <w:color w:val="auto"/>
        </w:rPr>
      </w:pPr>
      <w:r>
        <w:rPr>
          <w:rFonts w:ascii="Arial" w:cs="Arial" w:eastAsia="Arial" w:hAnsi="Arial"/>
          <w:sz w:val="15"/>
          <w:szCs w:val="15"/>
          <w:color w:val="auto"/>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spacing w:after="0" w:line="139" w:lineRule="exact"/>
        <w:rPr>
          <w:sz w:val="20"/>
          <w:szCs w:val="20"/>
          <w:color w:val="auto"/>
        </w:rPr>
      </w:pPr>
    </w:p>
    <w:p>
      <w:pPr>
        <w:ind w:left="600" w:right="779"/>
        <w:spacing w:after="0" w:line="230" w:lineRule="auto"/>
        <w:rPr>
          <w:sz w:val="20"/>
          <w:szCs w:val="20"/>
          <w:color w:val="auto"/>
        </w:rPr>
      </w:pPr>
      <w:r>
        <w:rPr>
          <w:rFonts w:ascii="Arial" w:cs="Arial" w:eastAsia="Arial" w:hAnsi="Arial"/>
          <w:sz w:val="15"/>
          <w:szCs w:val="15"/>
          <w:color w:val="auto"/>
        </w:rPr>
        <w:t>Further, Mr. Edelman is the Chairman of the board of directors of ARYA Sciences Acquisition Corp II, Mr. Stone is the Chief Executive Officer of ARYA Sciences Acquisition Corp II, Mr. Altman is the Chief Financial Officer of ARYA Sciences Acquisition Corp II and Mr. Poukalov is the Chief Business Officer of ARYA Sciences Acquisition Corp II. ARYA Sciences Acquisition Corp II is a special purpose acquisition company formed for substantially similar purposes as our company.</w:t>
      </w:r>
    </w:p>
    <w:p>
      <w:pPr>
        <w:spacing w:after="0" w:line="128" w:lineRule="exact"/>
        <w:rPr>
          <w:sz w:val="20"/>
          <w:szCs w:val="20"/>
          <w:color w:val="auto"/>
        </w:rPr>
      </w:pPr>
    </w:p>
    <w:p>
      <w:pPr>
        <w:jc w:val="both"/>
        <w:ind w:left="600" w:right="639"/>
        <w:spacing w:after="0" w:line="248" w:lineRule="auto"/>
        <w:rPr>
          <w:sz w:val="20"/>
          <w:szCs w:val="20"/>
          <w:color w:val="auto"/>
        </w:rPr>
      </w:pPr>
      <w:r>
        <w:rPr>
          <w:rFonts w:ascii="Arial" w:cs="Arial" w:eastAsia="Arial" w:hAnsi="Arial"/>
          <w:sz w:val="14"/>
          <w:szCs w:val="14"/>
          <w:color w:val="auto"/>
        </w:rPr>
        <w:t>Our founders and our directors and officers, Perceptive Advisors, or its affiliates expect in the future to become affiliated with other public special public acquisition companies that may have acquisition objectives that are similar to ours. See “Risk Factors—Our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34"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Industry Opportunity</w:t>
      </w:r>
    </w:p>
    <w:p>
      <w:pPr>
        <w:spacing w:after="0" w:line="160" w:lineRule="exact"/>
        <w:rPr>
          <w:sz w:val="20"/>
          <w:szCs w:val="20"/>
          <w:color w:val="auto"/>
        </w:rPr>
      </w:pPr>
    </w:p>
    <w:p>
      <w:pPr>
        <w:ind w:left="600" w:right="779"/>
        <w:spacing w:after="0" w:line="229" w:lineRule="auto"/>
        <w:rPr>
          <w:sz w:val="20"/>
          <w:szCs w:val="20"/>
          <w:color w:val="auto"/>
        </w:rPr>
      </w:pPr>
      <w:r>
        <w:rPr>
          <w:rFonts w:ascii="Arial" w:cs="Arial" w:eastAsia="Arial" w:hAnsi="Arial"/>
          <w:sz w:val="15"/>
          <w:szCs w:val="15"/>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6" w:name="page77"/>
    <w:bookmarkEnd w:id="7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The Current Life Sciences IPO Market</w:t>
      </w:r>
    </w:p>
    <w:p>
      <w:pPr>
        <w:spacing w:after="0" w:line="160" w:lineRule="exact"/>
        <w:rPr>
          <w:sz w:val="20"/>
          <w:szCs w:val="20"/>
          <w:color w:val="auto"/>
        </w:rPr>
      </w:pPr>
    </w:p>
    <w:p>
      <w:pPr>
        <w:ind w:left="600" w:right="839"/>
        <w:spacing w:after="0" w:line="250" w:lineRule="auto"/>
        <w:rPr>
          <w:sz w:val="20"/>
          <w:szCs w:val="20"/>
          <w:color w:val="auto"/>
        </w:rPr>
      </w:pPr>
      <w:r>
        <w:rPr>
          <w:rFonts w:ascii="Arial" w:cs="Arial" w:eastAsia="Arial" w:hAnsi="Arial"/>
          <w:sz w:val="14"/>
          <w:szCs w:val="14"/>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132" w:lineRule="exact"/>
        <w:rPr>
          <w:sz w:val="20"/>
          <w:szCs w:val="20"/>
          <w:color w:val="auto"/>
        </w:rPr>
      </w:pPr>
    </w:p>
    <w:p>
      <w:pPr>
        <w:ind w:left="600" w:right="819"/>
        <w:spacing w:after="0" w:line="248" w:lineRule="auto"/>
        <w:rPr>
          <w:sz w:val="20"/>
          <w:szCs w:val="20"/>
          <w:color w:val="auto"/>
        </w:rPr>
      </w:pPr>
      <w:r>
        <w:rPr>
          <w:rFonts w:ascii="Arial" w:cs="Arial" w:eastAsia="Arial" w:hAnsi="Arial"/>
          <w:sz w:val="14"/>
          <w:szCs w:val="14"/>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22"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We believe that life sciences and medical technology companies, at a certain stage in their development, will see material benefits from being publicly-traded, including greater access to capital, more liquid securities and increased customer awareness. An acquisition by a special purpose acquisition company with a management team that is well-known to, and respected by, life sciences founders, their current third-party investors and their management teams, we believe, can provide a more transparent and efficient mechanism to bring a private healthcare company to the public markets.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Acquisition Strategy</w:t>
      </w:r>
    </w:p>
    <w:p>
      <w:pPr>
        <w:spacing w:after="0" w:line="148"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138"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79" w:lineRule="exact"/>
        <w:rPr>
          <w:sz w:val="20"/>
          <w:szCs w:val="20"/>
          <w:color w:val="auto"/>
        </w:rPr>
      </w:pPr>
    </w:p>
    <w:p>
      <w:pPr>
        <w:ind w:left="1100" w:right="619"/>
        <w:spacing w:after="0" w:line="236" w:lineRule="auto"/>
        <w:rPr>
          <w:sz w:val="20"/>
          <w:szCs w:val="20"/>
          <w:color w:val="auto"/>
        </w:rPr>
      </w:pPr>
      <w:r>
        <w:rPr>
          <w:rFonts w:ascii="Arial" w:cs="Arial" w:eastAsia="Arial" w:hAnsi="Arial"/>
          <w:sz w:val="15"/>
          <w:szCs w:val="15"/>
          <w:color w:val="auto"/>
        </w:rPr>
        <w:t>have a scientific or other competitive advantage in the markets in which they operate and which can benefit from access to additional capital as well as our industry relationships and expertise;</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are ready to be public, with strong management, corporate governance and reporting policies in place;</w:t>
      </w:r>
    </w:p>
    <w:p>
      <w:pPr>
        <w:spacing w:after="0" w:line="83" w:lineRule="exact"/>
        <w:rPr>
          <w:sz w:val="20"/>
          <w:szCs w:val="20"/>
          <w:color w:val="auto"/>
        </w:rPr>
      </w:pPr>
    </w:p>
    <w:p>
      <w:pPr>
        <w:ind w:left="1100" w:right="1139"/>
        <w:spacing w:after="0" w:line="236" w:lineRule="auto"/>
        <w:rPr>
          <w:sz w:val="20"/>
          <w:szCs w:val="20"/>
          <w:color w:val="auto"/>
        </w:rPr>
      </w:pPr>
      <w:r>
        <w:rPr>
          <w:rFonts w:ascii="Arial" w:cs="Arial" w:eastAsia="Arial" w:hAnsi="Arial"/>
          <w:sz w:val="15"/>
          <w:szCs w:val="15"/>
          <w:color w:val="auto"/>
        </w:rPr>
        <w:t>will likely be well received by public investors and are expected to have good access to the public capital markets;</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have significant embedded and/or underexploited growth opportunities;</w:t>
      </w:r>
    </w:p>
    <w:p>
      <w:pPr>
        <w:spacing w:after="0" w:line="83" w:lineRule="exact"/>
        <w:rPr>
          <w:sz w:val="20"/>
          <w:szCs w:val="20"/>
          <w:color w:val="auto"/>
        </w:rPr>
      </w:pPr>
    </w:p>
    <w:p>
      <w:pPr>
        <w:ind w:left="1100" w:right="619"/>
        <w:spacing w:after="0" w:line="236" w:lineRule="auto"/>
        <w:rPr>
          <w:sz w:val="20"/>
          <w:szCs w:val="20"/>
          <w:color w:val="auto"/>
        </w:rPr>
      </w:pPr>
      <w:r>
        <w:rPr>
          <w:rFonts w:ascii="Arial" w:cs="Arial" w:eastAsia="Arial" w:hAnsi="Arial"/>
          <w:sz w:val="15"/>
          <w:szCs w:val="15"/>
          <w:color w:val="auto"/>
        </w:rPr>
        <w:t>exhibit unrecognized value or other characteristics that we believe have been misevaluated by the market based on our rigorous analysis and scientific and business due diligence review; and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will offer attractive risk-adjusted equity returns for our shareholders.</w:t>
      </w:r>
    </w:p>
    <w:p>
      <w:pPr>
        <w:spacing w:after="0" w:line="142" w:lineRule="exact"/>
        <w:rPr>
          <w:sz w:val="20"/>
          <w:szCs w:val="20"/>
          <w:color w:val="auto"/>
        </w:rPr>
      </w:pPr>
    </w:p>
    <w:p>
      <w:pPr>
        <w:ind w:left="600" w:right="719"/>
        <w:spacing w:after="0" w:line="231" w:lineRule="auto"/>
        <w:rPr>
          <w:sz w:val="20"/>
          <w:szCs w:val="20"/>
          <w:color w:val="auto"/>
        </w:rPr>
      </w:pPr>
      <w:r>
        <w:rPr>
          <w:rFonts w:ascii="Arial" w:cs="Arial" w:eastAsia="Arial" w:hAnsi="Arial"/>
          <w:sz w:val="15"/>
          <w:szCs w:val="15"/>
          <w:color w:val="auto"/>
        </w:rPr>
        <w:t>We intend to focus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7" w:name="page78"/>
    <w:bookmarkEnd w:id="7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Initial Business Combination</w:t>
      </w:r>
    </w:p>
    <w:p>
      <w:pPr>
        <w:spacing w:after="0" w:line="160" w:lineRule="exact"/>
        <w:rPr>
          <w:sz w:val="20"/>
          <w:szCs w:val="20"/>
          <w:color w:val="auto"/>
        </w:rPr>
      </w:pPr>
    </w:p>
    <w:p>
      <w:pPr>
        <w:ind w:left="600" w:right="639"/>
        <w:spacing w:after="0" w:line="244" w:lineRule="auto"/>
        <w:rPr>
          <w:sz w:val="20"/>
          <w:szCs w:val="20"/>
          <w:color w:val="auto"/>
        </w:rPr>
      </w:pPr>
      <w:r>
        <w:rPr>
          <w:rFonts w:ascii="Arial" w:cs="Arial" w:eastAsia="Arial" w:hAnsi="Arial"/>
          <w:sz w:val="14"/>
          <w:szCs w:val="14"/>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37"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34"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8" w:name="page79"/>
    <w:bookmarkEnd w:id="7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Other Considerations</w:t>
      </w:r>
    </w:p>
    <w:p>
      <w:pPr>
        <w:spacing w:after="0" w:line="160"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3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Affiliates of Perceptive Advisors and members of our board of directors will directly or indirectly own founder shares and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129" w:lineRule="exact"/>
        <w:rPr>
          <w:sz w:val="20"/>
          <w:szCs w:val="20"/>
          <w:color w:val="auto"/>
        </w:rPr>
      </w:pPr>
    </w:p>
    <w:p>
      <w:pPr>
        <w:ind w:left="600" w:right="659"/>
        <w:spacing w:after="0" w:line="245" w:lineRule="auto"/>
        <w:rPr>
          <w:sz w:val="20"/>
          <w:szCs w:val="20"/>
          <w:color w:val="auto"/>
        </w:rPr>
      </w:pPr>
      <w:r>
        <w:rPr>
          <w:rFonts w:ascii="Arial" w:cs="Arial" w:eastAsia="Arial" w:hAnsi="Arial"/>
          <w:sz w:val="14"/>
          <w:szCs w:val="14"/>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35" w:lineRule="exact"/>
        <w:rPr>
          <w:sz w:val="20"/>
          <w:szCs w:val="20"/>
          <w:color w:val="auto"/>
        </w:rPr>
      </w:pPr>
    </w:p>
    <w:p>
      <w:pPr>
        <w:ind w:left="600" w:right="679"/>
        <w:spacing w:after="0" w:line="231" w:lineRule="auto"/>
        <w:rPr>
          <w:sz w:val="20"/>
          <w:szCs w:val="20"/>
          <w:color w:val="auto"/>
        </w:rPr>
      </w:pPr>
      <w:r>
        <w:rPr>
          <w:rFonts w:ascii="Arial" w:cs="Arial" w:eastAsia="Arial" w:hAnsi="Arial"/>
          <w:sz w:val="15"/>
          <w:szCs w:val="15"/>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139"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28"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In addition, certain of our founders, officers and directors presently have, and any of them in the future may have additional, fiduciary and contractual duties to other entities, including without limitation, ARYA Sciences Acquisition Corp</w:t>
      </w:r>
    </w:p>
    <w:p>
      <w:pPr>
        <w:spacing w:after="0" w:line="1" w:lineRule="exact"/>
        <w:rPr>
          <w:sz w:val="20"/>
          <w:szCs w:val="20"/>
          <w:color w:val="auto"/>
        </w:rPr>
      </w:pPr>
    </w:p>
    <w:p>
      <w:pPr>
        <w:ind w:left="600" w:right="619" w:hanging="5"/>
        <w:spacing w:after="0" w:line="244" w:lineRule="auto"/>
        <w:tabs>
          <w:tab w:leader="none" w:pos="723"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II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9" w:name="page80"/>
    <w:bookmarkEnd w:id="7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jc w:val="both"/>
        <w:ind w:left="600" w:right="879"/>
        <w:spacing w:after="0" w:line="233" w:lineRule="auto"/>
        <w:rPr>
          <w:sz w:val="20"/>
          <w:szCs w:val="20"/>
          <w:color w:val="auto"/>
        </w:rPr>
      </w:pPr>
      <w:r>
        <w:rPr>
          <w:rFonts w:ascii="Arial" w:cs="Arial" w:eastAsia="Arial" w:hAnsi="Arial"/>
          <w:sz w:val="15"/>
          <w:szCs w:val="15"/>
          <w:color w:val="auto"/>
        </w:rPr>
        <w:t>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However, we do not expect these duties to materially affect our ability to complete our initial business combination.</w:t>
      </w:r>
    </w:p>
    <w:p>
      <w:pPr>
        <w:spacing w:after="0" w:line="142"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companies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138" w:lineRule="exact"/>
        <w:rPr>
          <w:sz w:val="20"/>
          <w:szCs w:val="20"/>
          <w:color w:val="auto"/>
        </w:rPr>
      </w:pPr>
    </w:p>
    <w:p>
      <w:pPr>
        <w:ind w:left="600" w:right="919"/>
        <w:spacing w:after="0" w:line="236" w:lineRule="auto"/>
        <w:rPr>
          <w:sz w:val="20"/>
          <w:szCs w:val="20"/>
          <w:color w:val="auto"/>
        </w:rPr>
      </w:pPr>
      <w:r>
        <w:rPr>
          <w:rFonts w:ascii="Arial" w:cs="Arial" w:eastAsia="Arial" w:hAnsi="Arial"/>
          <w:sz w:val="15"/>
          <w:szCs w:val="15"/>
          <w:color w:val="auto"/>
        </w:rPr>
        <w:t>Unlike other SPAC IPOs, investors in this offering will not receive warrants that would become exercisable following completion of our initial business combination.</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Status as a Public Company</w:t>
      </w:r>
    </w:p>
    <w:p>
      <w:pPr>
        <w:spacing w:after="0" w:line="160" w:lineRule="exact"/>
        <w:rPr>
          <w:sz w:val="20"/>
          <w:szCs w:val="20"/>
          <w:color w:val="auto"/>
        </w:rPr>
      </w:pPr>
    </w:p>
    <w:p>
      <w:pPr>
        <w:ind w:left="600" w:right="679"/>
        <w:spacing w:after="0" w:line="245" w:lineRule="auto"/>
        <w:rPr>
          <w:sz w:val="20"/>
          <w:szCs w:val="20"/>
          <w:color w:val="auto"/>
        </w:rPr>
      </w:pPr>
      <w:r>
        <w:rPr>
          <w:rFonts w:ascii="Arial" w:cs="Arial" w:eastAsia="Arial" w:hAnsi="Arial"/>
          <w:sz w:val="14"/>
          <w:szCs w:val="14"/>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25"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39" w:lineRule="exact"/>
        <w:rPr>
          <w:sz w:val="20"/>
          <w:szCs w:val="20"/>
          <w:color w:val="auto"/>
        </w:rPr>
      </w:pPr>
    </w:p>
    <w:p>
      <w:pPr>
        <w:ind w:left="600" w:right="739"/>
        <w:spacing w:after="0" w:line="254" w:lineRule="auto"/>
        <w:rPr>
          <w:sz w:val="20"/>
          <w:szCs w:val="20"/>
          <w:color w:val="auto"/>
        </w:rPr>
      </w:pPr>
      <w:r>
        <w:rPr>
          <w:rFonts w:ascii="Arial" w:cs="Arial" w:eastAsia="Arial" w:hAnsi="Arial"/>
          <w:sz w:val="14"/>
          <w:szCs w:val="14"/>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29" w:lineRule="exact"/>
        <w:rPr>
          <w:sz w:val="20"/>
          <w:szCs w:val="20"/>
          <w:color w:val="auto"/>
        </w:rPr>
      </w:pPr>
    </w:p>
    <w:p>
      <w:pPr>
        <w:ind w:left="600" w:right="719"/>
        <w:spacing w:after="0" w:line="229" w:lineRule="auto"/>
        <w:rPr>
          <w:sz w:val="20"/>
          <w:szCs w:val="20"/>
          <w:color w:val="auto"/>
        </w:rPr>
      </w:pPr>
      <w:r>
        <w:rPr>
          <w:rFonts w:ascii="Arial" w:cs="Arial" w:eastAsia="Arial" w:hAnsi="Arial"/>
          <w:sz w:val="15"/>
          <w:szCs w:val="15"/>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0" w:name="page81"/>
    <w:bookmarkEnd w:id="8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Financial Position</w:t>
      </w:r>
    </w:p>
    <w:p>
      <w:pPr>
        <w:spacing w:after="0" w:line="148" w:lineRule="exact"/>
        <w:rPr>
          <w:sz w:val="20"/>
          <w:szCs w:val="20"/>
          <w:color w:val="auto"/>
        </w:rPr>
      </w:pPr>
    </w:p>
    <w:p>
      <w:pPr>
        <w:ind w:left="600" w:right="659"/>
        <w:spacing w:after="0" w:line="245" w:lineRule="auto"/>
        <w:rPr>
          <w:sz w:val="20"/>
          <w:szCs w:val="20"/>
          <w:color w:val="auto"/>
        </w:rPr>
      </w:pPr>
      <w:r>
        <w:rPr>
          <w:rFonts w:ascii="Arial" w:cs="Arial" w:eastAsia="Arial" w:hAnsi="Arial"/>
          <w:sz w:val="14"/>
          <w:szCs w:val="14"/>
          <w:color w:val="auto"/>
        </w:rPr>
        <w:t>With funds available for a business combination initially in the amount of $121,625,000, after payment of the estimated expenses of this offering and $4,375,000 of deferred underwriting fees (or $139,718,750 after payment of the estimated expenses of this offering and $5,031,250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Effecting Our Initial Business Combination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General</w:t>
      </w:r>
    </w:p>
    <w:p>
      <w:pPr>
        <w:spacing w:after="0" w:line="160"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placements shares,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41"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41"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1" w:name="page82"/>
    <w:bookmarkEnd w:id="8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Sources of Target Businesses</w:t>
      </w:r>
    </w:p>
    <w:p>
      <w:pPr>
        <w:spacing w:after="0" w:line="160"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Our process of identifying acquisition targets will leverage Perceptive Advisors’ and our management team’s unique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Perceptive Advisors, our founders, directors and officers, combined with their individual and collective reputations in the investment community, will help to create prospective business combination opportunities.</w:t>
      </w:r>
    </w:p>
    <w:p>
      <w:pPr>
        <w:spacing w:after="0" w:line="13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In addition, we anticipate that target business candidates may be brought to our attention from various unaffiliated sources, including investment bankers and private investment funds.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w:t>
      </w:r>
    </w:p>
    <w:p>
      <w:pPr>
        <w:spacing w:after="0" w:line="126" w:lineRule="exact"/>
        <w:rPr>
          <w:sz w:val="20"/>
          <w:szCs w:val="20"/>
          <w:color w:val="auto"/>
        </w:rPr>
      </w:pPr>
    </w:p>
    <w:p>
      <w:pPr>
        <w:ind w:left="600" w:right="639"/>
        <w:spacing w:after="0" w:line="244" w:lineRule="auto"/>
        <w:rPr>
          <w:sz w:val="20"/>
          <w:szCs w:val="20"/>
          <w:color w:val="auto"/>
        </w:rPr>
      </w:pPr>
      <w:r>
        <w:rPr>
          <w:rFonts w:ascii="Arial" w:cs="Arial" w:eastAsia="Arial" w:hAnsi="Arial"/>
          <w:sz w:val="14"/>
          <w:szCs w:val="14"/>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None of our sponsor, executive officers or directors, or any of their respective affiliates, will be allowed to receive any compensation, finder’s fees or consulting fees from a prospective business combination target in connection with a contemplated acquisition of such target by us. We have agreed to pay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w:t>
      </w:r>
    </w:p>
    <w:p>
      <w:pPr>
        <w:spacing w:after="0" w:line="138"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3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Each of our officers and directors presently has, and any of them in the future may have additional, fiduciary or contractual obligations to other entities, including any future special purpose acquisition companies we expect they may be involved in and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82" w:name="page83"/>
    <w:bookmarkEnd w:id="8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Evaluation of a Target Business and Structuring of Our Initial Business Combination</w:t>
      </w:r>
    </w:p>
    <w:p>
      <w:pPr>
        <w:spacing w:after="0" w:line="160"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39"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The time required to identify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Lack of Business Diversification</w:t>
      </w:r>
    </w:p>
    <w:p>
      <w:pPr>
        <w:spacing w:after="0" w:line="160" w:lineRule="exact"/>
        <w:rPr>
          <w:sz w:val="20"/>
          <w:szCs w:val="20"/>
          <w:color w:val="auto"/>
        </w:rPr>
      </w:pPr>
    </w:p>
    <w:p>
      <w:pPr>
        <w:ind w:left="600" w:right="599"/>
        <w:spacing w:after="0" w:line="230" w:lineRule="auto"/>
        <w:rPr>
          <w:sz w:val="20"/>
          <w:szCs w:val="20"/>
          <w:color w:val="auto"/>
        </w:rPr>
      </w:pPr>
      <w:r>
        <w:rPr>
          <w:rFonts w:ascii="Arial" w:cs="Arial" w:eastAsia="Arial" w:hAnsi="Arial"/>
          <w:sz w:val="15"/>
          <w:szCs w:val="15"/>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81" w:lineRule="exact"/>
        <w:rPr>
          <w:sz w:val="20"/>
          <w:szCs w:val="20"/>
          <w:color w:val="auto"/>
        </w:rPr>
      </w:pPr>
    </w:p>
    <w:p>
      <w:pPr>
        <w:ind w:left="1100" w:right="719"/>
        <w:spacing w:after="0" w:line="233" w:lineRule="auto"/>
        <w:rPr>
          <w:sz w:val="20"/>
          <w:szCs w:val="20"/>
          <w:color w:val="auto"/>
        </w:rPr>
      </w:pPr>
      <w:r>
        <w:rPr>
          <w:rFonts w:ascii="Arial" w:cs="Arial" w:eastAsia="Arial" w:hAnsi="Arial"/>
          <w:sz w:val="15"/>
          <w:szCs w:val="15"/>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cause us to depend on the marketing and sale of a single product or limited number of products or services.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Limited Ability to Evaluate the Target’s Management Team</w:t>
      </w:r>
    </w:p>
    <w:p>
      <w:pPr>
        <w:spacing w:after="0" w:line="160"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5" w:lineRule="exact"/>
        <w:rPr>
          <w:sz w:val="20"/>
          <w:szCs w:val="20"/>
          <w:color w:val="auto"/>
        </w:rPr>
      </w:pPr>
    </w:p>
    <w:p>
      <w:pPr>
        <w:ind w:left="600" w:right="699"/>
        <w:spacing w:after="0" w:line="233" w:lineRule="auto"/>
        <w:rPr>
          <w:sz w:val="20"/>
          <w:szCs w:val="20"/>
          <w:color w:val="auto"/>
        </w:rPr>
      </w:pPr>
      <w:r>
        <w:rPr>
          <w:rFonts w:ascii="Arial" w:cs="Arial" w:eastAsia="Arial" w:hAnsi="Arial"/>
          <w:sz w:val="15"/>
          <w:szCs w:val="15"/>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38"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3" w:name="page84"/>
    <w:bookmarkEnd w:id="8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Shareholders May Not Have the Ability to Approve Our Initial Business Combination</w:t>
      </w:r>
    </w:p>
    <w:p>
      <w:pPr>
        <w:spacing w:after="0" w:line="160" w:lineRule="exact"/>
        <w:rPr>
          <w:sz w:val="20"/>
          <w:szCs w:val="20"/>
          <w:color w:val="auto"/>
        </w:rPr>
      </w:pPr>
    </w:p>
    <w:p>
      <w:pPr>
        <w:jc w:val="both"/>
        <w:ind w:left="600" w:right="799"/>
        <w:spacing w:after="0" w:line="231" w:lineRule="auto"/>
        <w:rPr>
          <w:sz w:val="20"/>
          <w:szCs w:val="20"/>
          <w:color w:val="auto"/>
        </w:rPr>
      </w:pPr>
      <w:r>
        <w:rPr>
          <w:rFonts w:ascii="Arial" w:cs="Arial" w:eastAsia="Arial" w:hAnsi="Arial"/>
          <w:sz w:val="15"/>
          <w:szCs w:val="15"/>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rule, or we may decide to seek shareholder approval for business or other reasons.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Under Nasdaq’s listing rules, shareholder approval would be required for our initial business combination if, for example:</w:t>
      </w:r>
    </w:p>
    <w:p>
      <w:pPr>
        <w:spacing w:after="0" w:line="95" w:lineRule="exact"/>
        <w:rPr>
          <w:sz w:val="20"/>
          <w:szCs w:val="20"/>
          <w:color w:val="auto"/>
        </w:rPr>
      </w:pPr>
    </w:p>
    <w:p>
      <w:pPr>
        <w:ind w:left="1100" w:right="719"/>
        <w:spacing w:after="0" w:line="242" w:lineRule="auto"/>
        <w:rPr>
          <w:sz w:val="20"/>
          <w:szCs w:val="20"/>
          <w:color w:val="auto"/>
        </w:rPr>
      </w:pPr>
      <w:r>
        <w:rPr>
          <w:rFonts w:ascii="Arial" w:cs="Arial" w:eastAsia="Arial" w:hAnsi="Arial"/>
          <w:sz w:val="14"/>
          <w:szCs w:val="14"/>
          <w:color w:val="auto"/>
        </w:rPr>
        <w:t>we issue (other than in a public offering for cash) ordinary shares that will either (a) be equal to or in excess of 20% of the number of ordinary shares then issued and outstanding (excluding the private placement shares) or</w:t>
      </w:r>
    </w:p>
    <w:p>
      <w:pPr>
        <w:spacing w:after="0" w:line="1" w:lineRule="exact"/>
        <w:rPr>
          <w:sz w:val="20"/>
          <w:szCs w:val="20"/>
          <w:color w:val="auto"/>
        </w:rPr>
      </w:pPr>
    </w:p>
    <w:p>
      <w:pPr>
        <w:ind w:left="1100" w:right="739" w:hanging="5"/>
        <w:spacing w:after="0" w:line="236" w:lineRule="auto"/>
        <w:tabs>
          <w:tab w:leader="none" w:pos="1321" w:val="left"/>
        </w:tabs>
        <w:numPr>
          <w:ilvl w:val="0"/>
          <w:numId w:val="17"/>
        </w:numPr>
        <w:rPr>
          <w:rFonts w:ascii="Arial" w:cs="Arial" w:eastAsia="Arial" w:hAnsi="Arial"/>
          <w:sz w:val="15"/>
          <w:szCs w:val="15"/>
          <w:color w:val="auto"/>
        </w:rPr>
      </w:pPr>
      <w:r>
        <w:rPr>
          <w:rFonts w:ascii="Arial" w:cs="Arial" w:eastAsia="Arial" w:hAnsi="Arial"/>
          <w:sz w:val="15"/>
          <w:szCs w:val="15"/>
          <w:color w:val="auto"/>
        </w:rPr>
        <w:t>have voting power equal to or in excess of 20% of the voting power then issued and outstanding (excluding the private placement shares);</w:t>
      </w:r>
    </w:p>
    <w:p>
      <w:pPr>
        <w:spacing w:after="0" w:line="80" w:lineRule="exact"/>
        <w:rPr>
          <w:sz w:val="20"/>
          <w:szCs w:val="20"/>
          <w:color w:val="auto"/>
        </w:rPr>
      </w:pPr>
    </w:p>
    <w:p>
      <w:pPr>
        <w:ind w:left="1100" w:right="659"/>
        <w:spacing w:after="0" w:line="231" w:lineRule="auto"/>
        <w:rPr>
          <w:sz w:val="20"/>
          <w:szCs w:val="20"/>
          <w:color w:val="auto"/>
        </w:rPr>
      </w:pPr>
      <w:r>
        <w:rPr>
          <w:rFonts w:ascii="Arial" w:cs="Arial" w:eastAsia="Arial" w:hAnsi="Arial"/>
          <w:sz w:val="15"/>
          <w:szCs w:val="15"/>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ordinary shares or voting power of 5% or more; or</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the issuance or potential issuance of ordinary shares will result in our undergoing a change of control.</w:t>
      </w:r>
    </w:p>
    <w:p>
      <w:pPr>
        <w:spacing w:after="0" w:line="142" w:lineRule="exact"/>
        <w:rPr>
          <w:sz w:val="20"/>
          <w:szCs w:val="20"/>
          <w:color w:val="auto"/>
        </w:rPr>
      </w:pPr>
    </w:p>
    <w:p>
      <w:pPr>
        <w:ind w:left="600" w:right="859"/>
        <w:spacing w:after="0" w:line="236" w:lineRule="auto"/>
        <w:rPr>
          <w:sz w:val="20"/>
          <w:szCs w:val="20"/>
          <w:color w:val="auto"/>
        </w:rPr>
      </w:pPr>
      <w:r>
        <w:rPr>
          <w:rFonts w:ascii="Arial" w:cs="Arial" w:eastAsia="Arial" w:hAnsi="Arial"/>
          <w:sz w:val="15"/>
          <w:szCs w:val="15"/>
          <w:color w:val="auto"/>
        </w:rPr>
        <w:t>The Companies Law and Cayman Islands law do not currently require, and we are not aware of any other applicable law that will require, shareholder approval of our initial business combination.</w:t>
      </w:r>
    </w:p>
    <w:p>
      <w:pPr>
        <w:spacing w:after="0" w:line="126"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79" w:lineRule="exact"/>
        <w:rPr>
          <w:sz w:val="20"/>
          <w:szCs w:val="20"/>
          <w:color w:val="auto"/>
        </w:rPr>
      </w:pPr>
    </w:p>
    <w:p>
      <w:pPr>
        <w:jc w:val="both"/>
        <w:ind w:left="1100" w:right="639"/>
        <w:spacing w:after="0" w:line="233" w:lineRule="auto"/>
        <w:rPr>
          <w:sz w:val="20"/>
          <w:szCs w:val="20"/>
          <w:color w:val="auto"/>
        </w:rPr>
      </w:pPr>
      <w:r>
        <w:rPr>
          <w:rFonts w:ascii="Arial" w:cs="Arial" w:eastAsia="Arial" w:hAnsi="Arial"/>
          <w:sz w:val="15"/>
          <w:szCs w:val="15"/>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expected cost of holding a shareholder vote;</w:t>
      </w:r>
    </w:p>
    <w:p>
      <w:pPr>
        <w:spacing w:after="0" w:line="83" w:lineRule="exact"/>
        <w:rPr>
          <w:sz w:val="20"/>
          <w:szCs w:val="20"/>
          <w:color w:val="auto"/>
        </w:rPr>
      </w:pPr>
    </w:p>
    <w:p>
      <w:pPr>
        <w:ind w:left="1100" w:right="2239"/>
        <w:spacing w:after="0" w:line="356" w:lineRule="auto"/>
        <w:rPr>
          <w:sz w:val="20"/>
          <w:szCs w:val="20"/>
          <w:color w:val="auto"/>
        </w:rPr>
      </w:pPr>
      <w:r>
        <w:rPr>
          <w:rFonts w:ascii="Arial" w:cs="Arial" w:eastAsia="Arial" w:hAnsi="Arial"/>
          <w:sz w:val="15"/>
          <w:szCs w:val="15"/>
          <w:color w:val="auto"/>
        </w:rPr>
        <w:t>the risk that the shareholders would fail to approve the proposed business combination; other time and budget constraints of the company; and</w:t>
      </w:r>
    </w:p>
    <w:p>
      <w:pPr>
        <w:ind w:left="1100" w:right="1399"/>
        <w:spacing w:after="0" w:line="236" w:lineRule="auto"/>
        <w:rPr>
          <w:sz w:val="20"/>
          <w:szCs w:val="20"/>
          <w:color w:val="auto"/>
        </w:rPr>
      </w:pPr>
      <w:r>
        <w:rPr>
          <w:rFonts w:ascii="Arial" w:cs="Arial" w:eastAsia="Arial" w:hAnsi="Arial"/>
          <w:sz w:val="15"/>
          <w:szCs w:val="15"/>
          <w:color w:val="auto"/>
        </w:rPr>
        <w:t>additional legal complexities of a proposed business combination that would be time-consuming and burdensome to present to shareholders.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Permitted Purchases and Other Transactions with Respect to Our Securities</w:t>
      </w:r>
    </w:p>
    <w:p>
      <w:pPr>
        <w:spacing w:after="0" w:line="148" w:lineRule="exact"/>
        <w:rPr>
          <w:sz w:val="20"/>
          <w:szCs w:val="20"/>
          <w:color w:val="auto"/>
        </w:rPr>
      </w:pPr>
    </w:p>
    <w:p>
      <w:pPr>
        <w:ind w:left="600" w:right="739"/>
        <w:spacing w:after="0" w:line="228" w:lineRule="auto"/>
        <w:rPr>
          <w:sz w:val="20"/>
          <w:szCs w:val="20"/>
          <w:color w:val="auto"/>
        </w:rPr>
      </w:pPr>
      <w:r>
        <w:rPr>
          <w:rFonts w:ascii="Arial" w:cs="Arial" w:eastAsia="Arial" w:hAnsi="Arial"/>
          <w:sz w:val="15"/>
          <w:szCs w:val="15"/>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38" w:lineRule="exact"/>
        <w:rPr>
          <w:sz w:val="20"/>
          <w:szCs w:val="20"/>
          <w:color w:val="auto"/>
        </w:rPr>
      </w:pPr>
    </w:p>
    <w:p>
      <w:pPr>
        <w:ind w:left="600" w:right="639"/>
        <w:spacing w:after="0" w:line="267" w:lineRule="auto"/>
        <w:rPr>
          <w:sz w:val="20"/>
          <w:szCs w:val="20"/>
          <w:color w:val="auto"/>
        </w:rPr>
      </w:pPr>
      <w:r>
        <w:rPr>
          <w:rFonts w:ascii="Arial" w:cs="Arial" w:eastAsia="Arial" w:hAnsi="Arial"/>
          <w:sz w:val="14"/>
          <w:szCs w:val="14"/>
          <w:color w:val="auto"/>
        </w:rPr>
        <w:t>In the event that our sponsor, directors, officers, advisors or their affiliates purchase shares in privately negotiated transactions from public shareholders who have already elected to exercise their redemption rights or submitted a proxy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4" w:name="page85"/>
    <w:bookmarkEnd w:id="8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59"/>
        <w:spacing w:after="0" w:line="229" w:lineRule="auto"/>
        <w:rPr>
          <w:sz w:val="20"/>
          <w:szCs w:val="20"/>
          <w:color w:val="auto"/>
        </w:rPr>
      </w:pPr>
      <w:r>
        <w:rPr>
          <w:rFonts w:ascii="Arial" w:cs="Arial" w:eastAsia="Arial" w:hAnsi="Arial"/>
          <w:sz w:val="15"/>
          <w:szCs w:val="15"/>
          <w:color w:val="auto"/>
        </w:rPr>
        <w:t>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41"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The purpose of any such transactions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41" w:lineRule="exact"/>
        <w:rPr>
          <w:sz w:val="20"/>
          <w:szCs w:val="20"/>
          <w:color w:val="auto"/>
        </w:rPr>
      </w:pPr>
    </w:p>
    <w:p>
      <w:pPr>
        <w:ind w:left="600" w:right="979"/>
        <w:spacing w:after="0" w:line="233" w:lineRule="auto"/>
        <w:rPr>
          <w:sz w:val="20"/>
          <w:szCs w:val="20"/>
          <w:color w:val="auto"/>
        </w:rPr>
      </w:pPr>
      <w:r>
        <w:rPr>
          <w:rFonts w:ascii="Arial" w:cs="Arial" w:eastAsia="Arial" w:hAnsi="Arial"/>
          <w:sz w:val="15"/>
          <w:szCs w:val="15"/>
          <w:color w:val="auto"/>
        </w:rPr>
        <w:t>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w:t>
      </w:r>
    </w:p>
    <w:p>
      <w:pPr>
        <w:spacing w:after="0" w:line="126"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38"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Redemption Rights for Public Shareholders upon Completion of Our Initial Business Combination</w:t>
      </w:r>
    </w:p>
    <w:p>
      <w:pPr>
        <w:spacing w:after="0" w:line="160"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holder must identify itself in order to validly redeem its shares. Further, we will not proceed with redeeming our public shares, even if a public shareholder has properly elected to redeem its shares, if a business combination does not close.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5" w:name="page86"/>
    <w:bookmarkEnd w:id="8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1039"/>
        <w:spacing w:after="0" w:line="236" w:lineRule="auto"/>
        <w:rPr>
          <w:sz w:val="20"/>
          <w:szCs w:val="20"/>
          <w:color w:val="auto"/>
        </w:rPr>
      </w:pPr>
      <w:r>
        <w:rPr>
          <w:rFonts w:ascii="Arial" w:cs="Arial" w:eastAsia="Arial" w:hAnsi="Arial"/>
          <w:sz w:val="15"/>
          <w:szCs w:val="15"/>
          <w:color w:val="auto"/>
        </w:rPr>
        <w:t>if we do not complete our initial business combination within 24 months from the closing of this offering or (B) with respect to any other provision relating to the rights of holders of our Class A ordinary shares.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Limitations on Redemptions</w:t>
      </w:r>
    </w:p>
    <w:p>
      <w:pPr>
        <w:spacing w:after="0" w:line="148" w:lineRule="exact"/>
        <w:rPr>
          <w:sz w:val="20"/>
          <w:szCs w:val="20"/>
          <w:color w:val="auto"/>
        </w:rPr>
      </w:pPr>
    </w:p>
    <w:p>
      <w:pPr>
        <w:ind w:left="600" w:right="719"/>
        <w:spacing w:after="0" w:line="228" w:lineRule="auto"/>
        <w:rPr>
          <w:sz w:val="20"/>
          <w:szCs w:val="20"/>
          <w:color w:val="auto"/>
        </w:rPr>
      </w:pPr>
      <w:r>
        <w:rPr>
          <w:rFonts w:ascii="Arial" w:cs="Arial" w:eastAsia="Arial" w:hAnsi="Arial"/>
          <w:sz w:val="15"/>
          <w:szCs w:val="15"/>
          <w:color w:val="auto"/>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Manner of Conducting Redemptions</w:t>
      </w:r>
    </w:p>
    <w:p>
      <w:pPr>
        <w:spacing w:after="0" w:line="148"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(excluding the private placement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spacing w:after="0" w:line="138" w:lineRule="exact"/>
        <w:rPr>
          <w:sz w:val="20"/>
          <w:szCs w:val="20"/>
          <w:color w:val="auto"/>
        </w:rPr>
      </w:pPr>
    </w:p>
    <w:p>
      <w:pPr>
        <w:ind w:left="600" w:right="599"/>
        <w:spacing w:after="0" w:line="236" w:lineRule="auto"/>
        <w:rPr>
          <w:sz w:val="20"/>
          <w:szCs w:val="20"/>
          <w:color w:val="auto"/>
        </w:rPr>
      </w:pPr>
      <w:r>
        <w:rPr>
          <w:rFonts w:ascii="Arial" w:cs="Arial" w:eastAsia="Arial" w:hAnsi="Arial"/>
          <w:sz w:val="15"/>
          <w:szCs w:val="15"/>
          <w:color w:val="auto"/>
        </w:rPr>
        <w:t>If we held a shareholder vote to approve our initial business combination, we will, pursuant to our amended and restated memorandum and articles of association:</w:t>
      </w:r>
    </w:p>
    <w:p>
      <w:pPr>
        <w:spacing w:after="0" w:line="80" w:lineRule="exact"/>
        <w:rPr>
          <w:sz w:val="20"/>
          <w:szCs w:val="20"/>
          <w:color w:val="auto"/>
        </w:rPr>
      </w:pPr>
    </w:p>
    <w:p>
      <w:pPr>
        <w:ind w:left="1100" w:right="879"/>
        <w:spacing w:after="0" w:line="236" w:lineRule="auto"/>
        <w:rPr>
          <w:sz w:val="20"/>
          <w:szCs w:val="20"/>
          <w:color w:val="auto"/>
        </w:rPr>
      </w:pPr>
      <w:r>
        <w:rPr>
          <w:rFonts w:ascii="Arial" w:cs="Arial" w:eastAsia="Arial" w:hAnsi="Arial"/>
          <w:sz w:val="15"/>
          <w:szCs w:val="15"/>
          <w:color w:val="auto"/>
        </w:rPr>
        <w:t>conduct the redemptions in conjunction with a proxy solicitation pursuant to Regulation 14A of the Exchange Act, which regulates the solicitation of proxies, and not pursuant to the tender offer rules; and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file proxy materials with the SEC.</w:t>
      </w:r>
    </w:p>
    <w:p>
      <w:pPr>
        <w:spacing w:after="0" w:line="142" w:lineRule="exact"/>
        <w:rPr>
          <w:sz w:val="20"/>
          <w:szCs w:val="20"/>
          <w:color w:val="auto"/>
        </w:rPr>
      </w:pPr>
    </w:p>
    <w:p>
      <w:pPr>
        <w:ind w:left="600" w:right="919"/>
        <w:spacing w:after="0" w:line="233" w:lineRule="auto"/>
        <w:rPr>
          <w:sz w:val="20"/>
          <w:szCs w:val="20"/>
          <w:color w:val="auto"/>
        </w:rPr>
      </w:pPr>
      <w:r>
        <w:rPr>
          <w:rFonts w:ascii="Arial" w:cs="Arial" w:eastAsia="Arial" w:hAnsi="Arial"/>
          <w:sz w:val="15"/>
          <w:szCs w:val="15"/>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26" w:lineRule="exact"/>
        <w:rPr>
          <w:sz w:val="20"/>
          <w:szCs w:val="20"/>
          <w:color w:val="auto"/>
        </w:rPr>
      </w:pPr>
    </w:p>
    <w:p>
      <w:pPr>
        <w:ind w:left="600" w:right="599"/>
        <w:spacing w:after="0" w:line="245" w:lineRule="auto"/>
        <w:rPr>
          <w:sz w:val="20"/>
          <w:szCs w:val="20"/>
          <w:color w:val="auto"/>
        </w:rPr>
      </w:pPr>
      <w:r>
        <w:rPr>
          <w:rFonts w:ascii="Arial" w:cs="Arial" w:eastAsia="Arial" w:hAnsi="Arial"/>
          <w:sz w:val="14"/>
          <w:szCs w:val="14"/>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Each public shareholder may elect to redeem their public shares irrespective of whether they vote for or against the proposed transaction or vote at all. In addition, our sponsor and our management team have entered into an agreement with us, pursuant to which they have agreed to waive their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6" w:name="page87"/>
    <w:bookmarkEnd w:id="8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139" w:lineRule="exact"/>
        <w:rPr>
          <w:sz w:val="20"/>
          <w:szCs w:val="20"/>
          <w:color w:val="auto"/>
        </w:rPr>
      </w:pPr>
    </w:p>
    <w:p>
      <w:pPr>
        <w:ind w:left="600" w:right="679"/>
        <w:spacing w:after="0" w:line="236" w:lineRule="auto"/>
        <w:rPr>
          <w:sz w:val="20"/>
          <w:szCs w:val="20"/>
          <w:color w:val="auto"/>
        </w:rPr>
      </w:pPr>
      <w:r>
        <w:rPr>
          <w:rFonts w:ascii="Arial" w:cs="Arial" w:eastAsia="Arial" w:hAnsi="Arial"/>
          <w:sz w:val="15"/>
          <w:szCs w:val="15"/>
          <w:color w:val="auto"/>
        </w:rPr>
        <w:t>If we conduct redemptions pursuant to the tender offer rules of the SEC, we will, pursuant to our amended and restated memorandum and articles of association:</w:t>
      </w:r>
    </w:p>
    <w:p>
      <w:pPr>
        <w:spacing w:after="0" w:line="80" w:lineRule="exact"/>
        <w:rPr>
          <w:sz w:val="20"/>
          <w:szCs w:val="20"/>
          <w:color w:val="auto"/>
        </w:rPr>
      </w:pPr>
    </w:p>
    <w:p>
      <w:pPr>
        <w:ind w:left="1100" w:right="619"/>
        <w:spacing w:after="0" w:line="236" w:lineRule="auto"/>
        <w:rPr>
          <w:sz w:val="20"/>
          <w:szCs w:val="20"/>
          <w:color w:val="auto"/>
        </w:rPr>
      </w:pPr>
      <w:r>
        <w:rPr>
          <w:rFonts w:ascii="Arial" w:cs="Arial" w:eastAsia="Arial" w:hAnsi="Arial"/>
          <w:sz w:val="15"/>
          <w:szCs w:val="15"/>
          <w:color w:val="auto"/>
        </w:rPr>
        <w:t>conduct the redemptions pursuant to Rule 13e-4 and Regulation 14E of the Exchange Act, which regulate issuer tender offers; and</w:t>
      </w:r>
    </w:p>
    <w:p>
      <w:pPr>
        <w:spacing w:after="0" w:line="80" w:lineRule="exact"/>
        <w:rPr>
          <w:sz w:val="20"/>
          <w:szCs w:val="20"/>
          <w:color w:val="auto"/>
        </w:rPr>
      </w:pPr>
    </w:p>
    <w:p>
      <w:pPr>
        <w:ind w:left="1100" w:right="659"/>
        <w:spacing w:after="0" w:line="254" w:lineRule="auto"/>
        <w:rPr>
          <w:sz w:val="20"/>
          <w:szCs w:val="20"/>
          <w:color w:val="auto"/>
        </w:rPr>
      </w:pPr>
      <w:r>
        <w:rPr>
          <w:rFonts w:ascii="Arial" w:cs="Arial" w:eastAsia="Arial" w:hAnsi="Arial"/>
          <w:sz w:val="14"/>
          <w:szCs w:val="14"/>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29" w:lineRule="exact"/>
        <w:rPr>
          <w:sz w:val="20"/>
          <w:szCs w:val="20"/>
          <w:color w:val="auto"/>
        </w:rPr>
      </w:pPr>
    </w:p>
    <w:p>
      <w:pPr>
        <w:ind w:left="600" w:right="1059"/>
        <w:spacing w:after="0" w:line="233" w:lineRule="auto"/>
        <w:rPr>
          <w:sz w:val="20"/>
          <w:szCs w:val="20"/>
          <w:color w:val="auto"/>
        </w:rPr>
      </w:pPr>
      <w:r>
        <w:rPr>
          <w:rFonts w:ascii="Arial" w:cs="Arial" w:eastAsia="Arial" w:hAnsi="Arial"/>
          <w:sz w:val="15"/>
          <w:szCs w:val="15"/>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26"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204" w:lineRule="exact"/>
        <w:rPr>
          <w:sz w:val="20"/>
          <w:szCs w:val="20"/>
          <w:color w:val="auto"/>
        </w:rPr>
      </w:pPr>
    </w:p>
    <w:p>
      <w:pPr>
        <w:ind w:left="600" w:right="1139"/>
        <w:spacing w:after="0" w:line="258" w:lineRule="auto"/>
        <w:rPr>
          <w:sz w:val="20"/>
          <w:szCs w:val="20"/>
          <w:color w:val="auto"/>
        </w:rPr>
      </w:pPr>
      <w:r>
        <w:rPr>
          <w:rFonts w:ascii="Arial" w:cs="Arial" w:eastAsia="Arial" w:hAnsi="Arial"/>
          <w:sz w:val="15"/>
          <w:szCs w:val="15"/>
          <w:b w:val="1"/>
          <w:bCs w:val="1"/>
          <w:color w:val="auto"/>
        </w:rPr>
        <w:t>Limitation on Redemption upon Completion of Our Initial Business Combination If We Seek Shareholder Approval</w:t>
      </w:r>
    </w:p>
    <w:p>
      <w:pPr>
        <w:spacing w:after="0" w:line="113"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team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39" w:lineRule="exact"/>
        <w:rPr>
          <w:sz w:val="20"/>
          <w:szCs w:val="20"/>
          <w:color w:val="auto"/>
        </w:rPr>
      </w:pPr>
    </w:p>
    <w:p>
      <w:pPr>
        <w:ind w:left="600" w:right="659"/>
        <w:spacing w:after="0" w:line="236" w:lineRule="auto"/>
        <w:rPr>
          <w:sz w:val="20"/>
          <w:szCs w:val="20"/>
          <w:color w:val="auto"/>
        </w:rPr>
      </w:pPr>
      <w:r>
        <w:rPr>
          <w:rFonts w:ascii="Arial" w:cs="Arial" w:eastAsia="Arial" w:hAnsi="Arial"/>
          <w:sz w:val="15"/>
          <w:szCs w:val="15"/>
          <w:color w:val="auto"/>
        </w:rPr>
        <w:t>However, we would not be restricting our shareholders’ ability to vote all of their shares (including Excess Shares) for or against our initial business combination.</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Tendering Share Certificates in Connection with a Tender Offer or Redemption Rights</w:t>
      </w:r>
    </w:p>
    <w:p>
      <w:pPr>
        <w:spacing w:after="0" w:line="160" w:lineRule="exact"/>
        <w:rPr>
          <w:sz w:val="20"/>
          <w:szCs w:val="20"/>
          <w:color w:val="auto"/>
        </w:rPr>
      </w:pPr>
    </w:p>
    <w:p>
      <w:pPr>
        <w:ind w:left="600" w:right="659"/>
        <w:spacing w:after="0" w:line="230" w:lineRule="auto"/>
        <w:rPr>
          <w:sz w:val="20"/>
          <w:szCs w:val="20"/>
          <w:color w:val="auto"/>
        </w:rPr>
      </w:pPr>
      <w:r>
        <w:rPr>
          <w:rFonts w:ascii="Arial" w:cs="Arial" w:eastAsia="Arial" w:hAnsi="Arial"/>
          <w:sz w:val="15"/>
          <w:szCs w:val="15"/>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7" w:name="page88"/>
    <w:bookmarkEnd w:id="8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19"/>
        <w:spacing w:after="0" w:line="228" w:lineRule="auto"/>
        <w:rPr>
          <w:sz w:val="20"/>
          <w:szCs w:val="20"/>
          <w:color w:val="auto"/>
        </w:rPr>
      </w:pPr>
      <w:r>
        <w:rPr>
          <w:rFonts w:ascii="Arial" w:cs="Arial" w:eastAsia="Arial" w:hAnsi="Arial"/>
          <w:sz w:val="15"/>
          <w:szCs w:val="15"/>
          <w:color w:val="auto"/>
        </w:rPr>
        <w:t>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may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42" w:lineRule="exact"/>
        <w:rPr>
          <w:sz w:val="20"/>
          <w:szCs w:val="20"/>
          <w:color w:val="auto"/>
        </w:rPr>
      </w:pPr>
    </w:p>
    <w:p>
      <w:pPr>
        <w:ind w:left="600" w:right="759"/>
        <w:spacing w:after="0" w:line="229" w:lineRule="auto"/>
        <w:rPr>
          <w:sz w:val="20"/>
          <w:szCs w:val="20"/>
          <w:color w:val="auto"/>
        </w:rPr>
      </w:pPr>
      <w:r>
        <w:rPr>
          <w:rFonts w:ascii="Arial" w:cs="Arial" w:eastAsia="Arial" w:hAnsi="Arial"/>
          <w:sz w:val="15"/>
          <w:szCs w:val="15"/>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41"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27"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39"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39" w:lineRule="exact"/>
        <w:rPr>
          <w:sz w:val="20"/>
          <w:szCs w:val="20"/>
          <w:color w:val="auto"/>
        </w:rPr>
      </w:pPr>
    </w:p>
    <w:p>
      <w:pPr>
        <w:ind w:left="600" w:right="1379"/>
        <w:spacing w:after="0" w:line="236" w:lineRule="auto"/>
        <w:rPr>
          <w:sz w:val="20"/>
          <w:szCs w:val="20"/>
          <w:color w:val="auto"/>
        </w:rPr>
      </w:pPr>
      <w:r>
        <w:rPr>
          <w:rFonts w:ascii="Arial" w:cs="Arial" w:eastAsia="Arial" w:hAnsi="Arial"/>
          <w:sz w:val="15"/>
          <w:szCs w:val="15"/>
          <w:color w:val="auto"/>
        </w:rPr>
        <w:t>If our initial proposed business combination is not completed, we may continue to try to complete a business combination with a different target until 24 months from the closing of this offering.</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Redemption of Public Shares and Liquidation If No Initial Business Combination</w:t>
      </w:r>
    </w:p>
    <w:p>
      <w:pPr>
        <w:spacing w:after="0" w:line="160" w:lineRule="exact"/>
        <w:rPr>
          <w:sz w:val="20"/>
          <w:szCs w:val="20"/>
          <w:color w:val="auto"/>
        </w:rPr>
      </w:pPr>
    </w:p>
    <w:p>
      <w:pPr>
        <w:ind w:left="600" w:right="699"/>
        <w:spacing w:after="0" w:line="247" w:lineRule="auto"/>
        <w:rPr>
          <w:sz w:val="20"/>
          <w:szCs w:val="20"/>
          <w:color w:val="auto"/>
        </w:rPr>
      </w:pPr>
      <w:r>
        <w:rPr>
          <w:rFonts w:ascii="Arial" w:cs="Arial" w:eastAsia="Arial" w:hAnsi="Arial"/>
          <w:sz w:val="14"/>
          <w:szCs w:val="14"/>
          <w:color w:val="auto"/>
        </w:rPr>
        <w:t>Our amended and restated memorandum and articles of association will provide that we will have only 24 months from the closing of this offering to consummate an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8" w:name="page89"/>
    <w:bookmarkEnd w:id="8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19"/>
        <w:spacing w:after="0" w:line="245" w:lineRule="auto"/>
        <w:rPr>
          <w:sz w:val="20"/>
          <w:szCs w:val="20"/>
          <w:color w:val="auto"/>
        </w:rPr>
      </w:pPr>
      <w:r>
        <w:rPr>
          <w:rFonts w:ascii="Arial" w:cs="Arial" w:eastAsia="Arial" w:hAnsi="Arial"/>
          <w:sz w:val="14"/>
          <w:szCs w:val="14"/>
          <w:color w:val="auto"/>
        </w:rPr>
        <w:t>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38"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41" w:lineRule="exact"/>
        <w:rPr>
          <w:sz w:val="20"/>
          <w:szCs w:val="20"/>
          <w:color w:val="auto"/>
        </w:rPr>
      </w:pPr>
    </w:p>
    <w:p>
      <w:pPr>
        <w:ind w:left="600" w:right="659"/>
        <w:spacing w:after="0" w:line="227" w:lineRule="auto"/>
        <w:rPr>
          <w:sz w:val="20"/>
          <w:szCs w:val="20"/>
          <w:color w:val="auto"/>
        </w:rPr>
      </w:pPr>
      <w:r>
        <w:rPr>
          <w:rFonts w:ascii="Arial" w:cs="Arial" w:eastAsia="Arial" w:hAnsi="Arial"/>
          <w:sz w:val="15"/>
          <w:szCs w:val="15"/>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35" w:lineRule="exact"/>
        <w:rPr>
          <w:sz w:val="20"/>
          <w:szCs w:val="20"/>
          <w:color w:val="auto"/>
        </w:rPr>
      </w:pPr>
    </w:p>
    <w:p>
      <w:pPr>
        <w:ind w:left="600" w:right="619"/>
        <w:spacing w:after="0" w:line="231" w:lineRule="auto"/>
        <w:rPr>
          <w:sz w:val="20"/>
          <w:szCs w:val="20"/>
          <w:color w:val="auto"/>
        </w:rPr>
      </w:pPr>
      <w:r>
        <w:rPr>
          <w:rFonts w:ascii="Arial" w:cs="Arial" w:eastAsia="Arial" w:hAnsi="Arial"/>
          <w:sz w:val="15"/>
          <w:szCs w:val="15"/>
          <w:color w:val="auto"/>
        </w:rPr>
        <w:t>We expect that all costs and expenses associated with implementing our plan of dissolution, as well as payments to any creditors, will be funded from amounts remaining out of the $1,000,000 of proceeds held outside the trust account plus up to $100,000 of funds from the trust account available to us to pay dissolution expenses, although we cannot assure you that there will be sufficient funds for such purpose.</w:t>
      </w:r>
    </w:p>
    <w:p>
      <w:pPr>
        <w:spacing w:after="0" w:line="13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If we were to expend all of the net proceeds of this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39" w:lineRule="exact"/>
        <w:rPr>
          <w:sz w:val="20"/>
          <w:szCs w:val="20"/>
          <w:color w:val="auto"/>
        </w:rPr>
      </w:pPr>
    </w:p>
    <w:p>
      <w:pPr>
        <w:ind w:left="600" w:right="719"/>
        <w:spacing w:after="0" w:line="228" w:lineRule="auto"/>
        <w:rPr>
          <w:sz w:val="20"/>
          <w:szCs w:val="20"/>
          <w:color w:val="auto"/>
        </w:rPr>
      </w:pPr>
      <w:r>
        <w:rPr>
          <w:rFonts w:ascii="Arial" w:cs="Arial" w:eastAsia="Arial" w:hAnsi="Arial"/>
          <w:sz w:val="15"/>
          <w:szCs w:val="15"/>
          <w:color w:val="auto"/>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9" w:name="page90"/>
    <w:bookmarkEnd w:id="8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w:t>
      </w:r>
    </w:p>
    <w:p>
      <w:pPr>
        <w:spacing w:after="0" w:line="6" w:lineRule="exact"/>
        <w:rPr>
          <w:sz w:val="20"/>
          <w:szCs w:val="20"/>
          <w:color w:val="auto"/>
        </w:rPr>
      </w:pPr>
    </w:p>
    <w:p>
      <w:pPr>
        <w:ind w:left="600" w:right="619" w:hanging="5"/>
        <w:spacing w:after="0" w:line="245" w:lineRule="auto"/>
        <w:tabs>
          <w:tab w:leader="none" w:pos="8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135"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41"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8" w:lineRule="exact"/>
        <w:rPr>
          <w:sz w:val="20"/>
          <w:szCs w:val="20"/>
          <w:color w:val="auto"/>
        </w:rPr>
      </w:pPr>
    </w:p>
    <w:p>
      <w:pPr>
        <w:ind w:left="600" w:right="619"/>
        <w:spacing w:after="0" w:line="248" w:lineRule="auto"/>
        <w:rPr>
          <w:sz w:val="20"/>
          <w:szCs w:val="20"/>
          <w:color w:val="auto"/>
        </w:rPr>
      </w:pPr>
      <w:r>
        <w:rPr>
          <w:rFonts w:ascii="Arial" w:cs="Arial" w:eastAsia="Arial" w:hAnsi="Arial"/>
          <w:sz w:val="14"/>
          <w:szCs w:val="14"/>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0" w:name="page91"/>
    <w:bookmarkEnd w:id="9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59"/>
        <w:spacing w:after="0" w:line="236" w:lineRule="auto"/>
        <w:rPr>
          <w:sz w:val="20"/>
          <w:szCs w:val="20"/>
          <w:color w:val="auto"/>
        </w:rPr>
      </w:pPr>
      <w:r>
        <w:rPr>
          <w:rFonts w:ascii="Arial" w:cs="Arial" w:eastAsia="Arial" w:hAnsi="Arial"/>
          <w:sz w:val="15"/>
          <w:szCs w:val="15"/>
          <w:color w:val="auto"/>
        </w:rPr>
        <w:t>us that is not dismissed, any distributions received by shareholders could be viewed under applicable debtor/creditor and/or bankruptcy laws as either a “preferential transfer” or a “fraudulent conveyance.”</w:t>
      </w:r>
    </w:p>
    <w:p>
      <w:pPr>
        <w:spacing w:after="0" w:line="138" w:lineRule="exact"/>
        <w:rPr>
          <w:sz w:val="20"/>
          <w:szCs w:val="20"/>
          <w:color w:val="auto"/>
        </w:rPr>
      </w:pPr>
    </w:p>
    <w:p>
      <w:pPr>
        <w:ind w:left="600" w:right="739"/>
        <w:spacing w:after="0" w:line="230" w:lineRule="auto"/>
        <w:rPr>
          <w:sz w:val="20"/>
          <w:szCs w:val="20"/>
          <w:color w:val="auto"/>
        </w:rPr>
      </w:pPr>
      <w:r>
        <w:rPr>
          <w:rFonts w:ascii="Arial" w:cs="Arial" w:eastAsia="Arial" w:hAnsi="Arial"/>
          <w:sz w:val="15"/>
          <w:szCs w:val="15"/>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39" w:lineRule="exact"/>
        <w:rPr>
          <w:sz w:val="20"/>
          <w:szCs w:val="20"/>
          <w:color w:val="auto"/>
        </w:rPr>
      </w:pPr>
    </w:p>
    <w:p>
      <w:pPr>
        <w:ind w:left="600" w:right="659"/>
        <w:spacing w:after="0" w:line="242" w:lineRule="auto"/>
        <w:rPr>
          <w:sz w:val="20"/>
          <w:szCs w:val="20"/>
          <w:color w:val="auto"/>
        </w:rPr>
      </w:pPr>
      <w:r>
        <w:rPr>
          <w:rFonts w:ascii="Arial" w:cs="Arial" w:eastAsia="Arial" w:hAnsi="Arial"/>
          <w:sz w:val="14"/>
          <w:szCs w:val="14"/>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spacing w:after="0" w:line="3" w:lineRule="exact"/>
        <w:rPr>
          <w:sz w:val="20"/>
          <w:szCs w:val="20"/>
          <w:color w:val="auto"/>
        </w:rPr>
      </w:pPr>
    </w:p>
    <w:p>
      <w:pPr>
        <w:ind w:left="600" w:right="619" w:hanging="5"/>
        <w:spacing w:after="0" w:line="228" w:lineRule="auto"/>
        <w:tabs>
          <w:tab w:leader="none" w:pos="837" w:val="left"/>
        </w:tabs>
        <w:numPr>
          <w:ilvl w:val="0"/>
          <w:numId w:val="19"/>
        </w:numPr>
        <w:rPr>
          <w:rFonts w:ascii="Arial" w:cs="Arial" w:eastAsia="Arial" w:hAnsi="Arial"/>
          <w:sz w:val="15"/>
          <w:szCs w:val="15"/>
          <w:color w:val="auto"/>
        </w:rPr>
      </w:pPr>
      <w:r>
        <w:rPr>
          <w:rFonts w:ascii="Arial" w:cs="Arial" w:eastAsia="Arial" w:hAnsi="Arial"/>
          <w:sz w:val="15"/>
          <w:szCs w:val="15"/>
          <w:color w:val="auto"/>
        </w:rPr>
        <w:t>with respect to any other provision relating to the rights of holders of our Class A ordinary shares, and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56" w:lineRule="exact"/>
        <w:rPr>
          <w:sz w:val="20"/>
          <w:szCs w:val="20"/>
          <w:color w:val="auto"/>
        </w:rPr>
      </w:pPr>
    </w:p>
    <w:p>
      <w:pPr>
        <w:ind w:left="600" w:right="699"/>
        <w:spacing w:after="0" w:line="258" w:lineRule="auto"/>
        <w:rPr>
          <w:sz w:val="20"/>
          <w:szCs w:val="20"/>
          <w:color w:val="auto"/>
        </w:rPr>
      </w:pPr>
      <w:r>
        <w:rPr>
          <w:rFonts w:ascii="Arial" w:cs="Arial" w:eastAsia="Arial" w:hAnsi="Arial"/>
          <w:sz w:val="15"/>
          <w:szCs w:val="15"/>
          <w:b w:val="1"/>
          <w:bCs w:val="1"/>
          <w:color w:val="auto"/>
        </w:rPr>
        <w:t>Comparison of Redemption or Purchase Prices in Connection with Our Initial Business Combination and If We Fail to Complete Our Initial Business Combination.</w:t>
      </w:r>
    </w:p>
    <w:p>
      <w:pPr>
        <w:spacing w:after="0" w:line="113" w:lineRule="exact"/>
        <w:rPr>
          <w:sz w:val="20"/>
          <w:szCs w:val="20"/>
          <w:color w:val="auto"/>
        </w:rPr>
      </w:pPr>
    </w:p>
    <w:p>
      <w:pPr>
        <w:ind w:left="600" w:right="819"/>
        <w:spacing w:after="0" w:line="233" w:lineRule="auto"/>
        <w:rPr>
          <w:sz w:val="20"/>
          <w:szCs w:val="20"/>
          <w:color w:val="auto"/>
        </w:rPr>
      </w:pPr>
      <w:r>
        <w:rPr>
          <w:rFonts w:ascii="Arial" w:cs="Arial" w:eastAsia="Arial" w:hAnsi="Arial"/>
          <w:sz w:val="15"/>
          <w:szCs w:val="15"/>
          <w:color w:val="auto"/>
        </w:rPr>
        <w:t>The following table compares the redemptions and other permitted purchases of public shares that may take place in connection with the completion of our initial business combination and if we do not consummate an initial business combination within 24 months from the closing of this offering.</w:t>
      </w:r>
    </w:p>
    <w:p>
      <w:pPr>
        <w:spacing w:after="0" w:line="261" w:lineRule="exact"/>
        <w:rPr>
          <w:sz w:val="20"/>
          <w:szCs w:val="20"/>
          <w:color w:val="auto"/>
        </w:rPr>
      </w:pPr>
    </w:p>
    <w:tbl>
      <w:tblPr>
        <w:tblLayout w:type="fixed"/>
        <w:tblInd w:w="2560" w:type="dxa"/>
        <w:tblCellMar>
          <w:top w:w="0" w:type="dxa"/>
          <w:left w:w="0" w:type="dxa"/>
          <w:bottom w:w="0" w:type="dxa"/>
          <w:right w:w="0" w:type="dxa"/>
        </w:tblCellMar>
      </w:tblPr>
      <w:tr>
        <w:trPr>
          <w:trHeight w:val="140"/>
        </w:trPr>
        <w:tc>
          <w:tcPr>
            <w:tcW w:w="1760" w:type="dxa"/>
            <w:vAlign w:val="bottom"/>
          </w:tcPr>
          <w:p>
            <w:pPr>
              <w:spacing w:after="0"/>
              <w:rPr>
                <w:sz w:val="20"/>
                <w:szCs w:val="20"/>
                <w:color w:val="auto"/>
              </w:rPr>
            </w:pPr>
            <w:r>
              <w:rPr>
                <w:rFonts w:ascii="Arial" w:cs="Arial" w:eastAsia="Arial" w:hAnsi="Arial"/>
                <w:sz w:val="12"/>
                <w:szCs w:val="12"/>
                <w:b w:val="1"/>
                <w:bCs w:val="1"/>
                <w:color w:val="auto"/>
              </w:rPr>
              <w:t>REDEMPTIONS IN</w:t>
            </w:r>
          </w:p>
        </w:tc>
        <w:tc>
          <w:tcPr>
            <w:tcW w:w="2040" w:type="dxa"/>
            <w:vAlign w:val="bottom"/>
          </w:tcPr>
          <w:p>
            <w:pPr>
              <w:ind w:left="280"/>
              <w:spacing w:after="0"/>
              <w:rPr>
                <w:sz w:val="20"/>
                <w:szCs w:val="20"/>
                <w:color w:val="auto"/>
              </w:rPr>
            </w:pPr>
            <w:r>
              <w:rPr>
                <w:rFonts w:ascii="Arial" w:cs="Arial" w:eastAsia="Arial" w:hAnsi="Arial"/>
                <w:sz w:val="12"/>
                <w:szCs w:val="12"/>
                <w:b w:val="1"/>
                <w:bCs w:val="1"/>
                <w:color w:val="auto"/>
              </w:rPr>
              <w:t>OTHER PERMITTED</w:t>
            </w:r>
          </w:p>
        </w:tc>
        <w:tc>
          <w:tcPr>
            <w:tcW w:w="1860" w:type="dxa"/>
            <w:vAlign w:val="bottom"/>
          </w:tcPr>
          <w:p>
            <w:pPr>
              <w:spacing w:after="0"/>
              <w:rPr>
                <w:sz w:val="12"/>
                <w:szCs w:val="12"/>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b w:val="1"/>
                <w:bCs w:val="1"/>
                <w:color w:val="auto"/>
              </w:rPr>
              <w:t>CONNECTION WITH OUR</w:t>
            </w:r>
          </w:p>
        </w:tc>
        <w:tc>
          <w:tcPr>
            <w:tcW w:w="2040" w:type="dxa"/>
            <w:vAlign w:val="bottom"/>
          </w:tcPr>
          <w:p>
            <w:pPr>
              <w:ind w:left="280"/>
              <w:spacing w:after="0"/>
              <w:rPr>
                <w:sz w:val="20"/>
                <w:szCs w:val="20"/>
                <w:color w:val="auto"/>
              </w:rPr>
            </w:pPr>
            <w:r>
              <w:rPr>
                <w:rFonts w:ascii="Arial" w:cs="Arial" w:eastAsia="Arial" w:hAnsi="Arial"/>
                <w:sz w:val="12"/>
                <w:szCs w:val="12"/>
                <w:b w:val="1"/>
                <w:bCs w:val="1"/>
                <w:color w:val="auto"/>
              </w:rPr>
              <w:t>PURCHASES OF PUBLIC</w:t>
            </w:r>
          </w:p>
        </w:tc>
        <w:tc>
          <w:tcPr>
            <w:tcW w:w="1860" w:type="dxa"/>
            <w:vAlign w:val="bottom"/>
          </w:tcPr>
          <w:p>
            <w:pPr>
              <w:ind w:left="280"/>
              <w:spacing w:after="0"/>
              <w:rPr>
                <w:sz w:val="20"/>
                <w:szCs w:val="20"/>
                <w:color w:val="auto"/>
              </w:rPr>
            </w:pPr>
            <w:r>
              <w:rPr>
                <w:rFonts w:ascii="Arial" w:cs="Arial" w:eastAsia="Arial" w:hAnsi="Arial"/>
                <w:sz w:val="12"/>
                <w:szCs w:val="12"/>
                <w:b w:val="1"/>
                <w:bCs w:val="1"/>
                <w:color w:val="auto"/>
              </w:rPr>
              <w:t>REDEMPTIONS IF WE FAIL</w:t>
            </w:r>
          </w:p>
        </w:tc>
      </w:tr>
      <w:tr>
        <w:trPr>
          <w:trHeight w:val="140"/>
        </w:trPr>
        <w:tc>
          <w:tcPr>
            <w:tcW w:w="1760" w:type="dxa"/>
            <w:vAlign w:val="bottom"/>
          </w:tcPr>
          <w:p>
            <w:pPr>
              <w:spacing w:after="0"/>
              <w:rPr>
                <w:sz w:val="20"/>
                <w:szCs w:val="20"/>
                <w:color w:val="auto"/>
              </w:rPr>
            </w:pPr>
            <w:r>
              <w:rPr>
                <w:rFonts w:ascii="Arial" w:cs="Arial" w:eastAsia="Arial" w:hAnsi="Arial"/>
                <w:sz w:val="12"/>
                <w:szCs w:val="12"/>
                <w:b w:val="1"/>
                <w:bCs w:val="1"/>
                <w:color w:val="auto"/>
              </w:rPr>
              <w:t>INITIAL BUSINESS</w:t>
            </w:r>
          </w:p>
        </w:tc>
        <w:tc>
          <w:tcPr>
            <w:tcW w:w="2040" w:type="dxa"/>
            <w:vAlign w:val="bottom"/>
          </w:tcPr>
          <w:p>
            <w:pPr>
              <w:ind w:left="280"/>
              <w:spacing w:after="0"/>
              <w:rPr>
                <w:sz w:val="20"/>
                <w:szCs w:val="20"/>
                <w:color w:val="auto"/>
              </w:rPr>
            </w:pPr>
            <w:r>
              <w:rPr>
                <w:rFonts w:ascii="Arial" w:cs="Arial" w:eastAsia="Arial" w:hAnsi="Arial"/>
                <w:sz w:val="12"/>
                <w:szCs w:val="12"/>
                <w:b w:val="1"/>
                <w:bCs w:val="1"/>
                <w:color w:val="auto"/>
              </w:rPr>
              <w:t>SHARES BY OUR</w:t>
            </w:r>
          </w:p>
        </w:tc>
        <w:tc>
          <w:tcPr>
            <w:tcW w:w="1860" w:type="dxa"/>
            <w:vAlign w:val="bottom"/>
          </w:tcPr>
          <w:p>
            <w:pPr>
              <w:ind w:left="280"/>
              <w:spacing w:after="0"/>
              <w:rPr>
                <w:sz w:val="20"/>
                <w:szCs w:val="20"/>
                <w:color w:val="auto"/>
              </w:rPr>
            </w:pPr>
            <w:r>
              <w:rPr>
                <w:rFonts w:ascii="Arial" w:cs="Arial" w:eastAsia="Arial" w:hAnsi="Arial"/>
                <w:sz w:val="12"/>
                <w:szCs w:val="12"/>
                <w:b w:val="1"/>
                <w:bCs w:val="1"/>
                <w:color w:val="auto"/>
              </w:rPr>
              <w:t>TO COMPLETE AN INITIAL</w:t>
            </w:r>
          </w:p>
        </w:tc>
      </w:tr>
      <w:tr>
        <w:trPr>
          <w:trHeight w:val="162"/>
        </w:trPr>
        <w:tc>
          <w:tcPr>
            <w:tcW w:w="1760" w:type="dxa"/>
            <w:vAlign w:val="bottom"/>
          </w:tcPr>
          <w:p>
            <w:pPr>
              <w:spacing w:after="0"/>
              <w:rPr>
                <w:sz w:val="20"/>
                <w:szCs w:val="20"/>
                <w:color w:val="auto"/>
              </w:rPr>
            </w:pPr>
            <w:r>
              <w:rPr>
                <w:rFonts w:ascii="Arial" w:cs="Arial" w:eastAsia="Arial" w:hAnsi="Arial"/>
                <w:sz w:val="12"/>
                <w:szCs w:val="12"/>
                <w:b w:val="1"/>
                <w:bCs w:val="1"/>
                <w:color w:val="auto"/>
              </w:rPr>
              <w:t>COMBINATION</w:t>
            </w:r>
          </w:p>
        </w:tc>
        <w:tc>
          <w:tcPr>
            <w:tcW w:w="2040" w:type="dxa"/>
            <w:vAlign w:val="bottom"/>
          </w:tcPr>
          <w:p>
            <w:pPr>
              <w:ind w:left="280"/>
              <w:spacing w:after="0"/>
              <w:rPr>
                <w:sz w:val="20"/>
                <w:szCs w:val="20"/>
                <w:color w:val="auto"/>
              </w:rPr>
            </w:pPr>
            <w:r>
              <w:rPr>
                <w:rFonts w:ascii="Arial" w:cs="Arial" w:eastAsia="Arial" w:hAnsi="Arial"/>
                <w:sz w:val="12"/>
                <w:szCs w:val="12"/>
                <w:b w:val="1"/>
                <w:bCs w:val="1"/>
                <w:color w:val="auto"/>
              </w:rPr>
              <w:t>AFFILIATES</w:t>
            </w:r>
          </w:p>
        </w:tc>
        <w:tc>
          <w:tcPr>
            <w:tcW w:w="1860" w:type="dxa"/>
            <w:vAlign w:val="bottom"/>
          </w:tcPr>
          <w:p>
            <w:pPr>
              <w:ind w:left="280"/>
              <w:spacing w:after="0"/>
              <w:rPr>
                <w:sz w:val="20"/>
                <w:szCs w:val="20"/>
                <w:color w:val="auto"/>
              </w:rPr>
            </w:pPr>
            <w:r>
              <w:rPr>
                <w:rFonts w:ascii="Arial" w:cs="Arial" w:eastAsia="Arial" w:hAnsi="Arial"/>
                <w:sz w:val="12"/>
                <w:szCs w:val="12"/>
                <w:b w:val="1"/>
                <w:bCs w:val="1"/>
                <w:color w:val="auto"/>
              </w:rPr>
              <w:t>BUSINESS 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28575</wp:posOffset>
            </wp:positionV>
            <wp:extent cx="371602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16020" cy="762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80" w:lineRule="exact"/>
        <w:rPr>
          <w:sz w:val="20"/>
          <w:szCs w:val="20"/>
          <w:color w:val="auto"/>
        </w:rPr>
      </w:pPr>
    </w:p>
    <w:p>
      <w:pPr>
        <w:ind w:left="740" w:hanging="146"/>
        <w:spacing w:after="0" w:line="293" w:lineRule="auto"/>
        <w:rPr>
          <w:sz w:val="20"/>
          <w:szCs w:val="20"/>
          <w:color w:val="auto"/>
        </w:rPr>
      </w:pPr>
      <w:r>
        <w:rPr>
          <w:rFonts w:ascii="Arial" w:cs="Arial" w:eastAsia="Arial" w:hAnsi="Arial"/>
          <w:sz w:val="14"/>
          <w:szCs w:val="14"/>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Redemptions at the time of our initial business combination may be made pursuant to a tender offer or in connection with a shareholder vote. The redemption price will be the same whether we conduct redemptions pursuant to a tender offer or in connection with a shareholder vote. In either case, our public shareholders may redeem their public shares for cash equal to the aggregate amount then on deposit in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180"/>
        <w:spacing w:after="0" w:line="244" w:lineRule="auto"/>
        <w:rPr>
          <w:sz w:val="20"/>
          <w:szCs w:val="20"/>
          <w:color w:val="auto"/>
        </w:rPr>
      </w:pPr>
      <w:r>
        <w:rPr>
          <w:rFonts w:ascii="Arial" w:cs="Arial" w:eastAsia="Arial" w:hAnsi="Arial"/>
          <w:sz w:val="14"/>
          <w:szCs w:val="14"/>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95885</wp:posOffset>
            </wp:positionV>
            <wp:extent cx="6028055"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739"/>
        <w:spacing w:after="0" w:line="242" w:lineRule="auto"/>
        <w:rPr>
          <w:sz w:val="20"/>
          <w:szCs w:val="20"/>
          <w:color w:val="auto"/>
        </w:rPr>
      </w:pPr>
      <w:r>
        <w:rPr>
          <w:rFonts w:ascii="Arial" w:cs="Arial" w:eastAsia="Arial" w:hAnsi="Arial"/>
          <w:sz w:val="14"/>
          <w:szCs w:val="14"/>
          <w:color w:val="auto"/>
        </w:rPr>
        <w:t>If we do not consummate an initial business combination within</w:t>
      </w:r>
    </w:p>
    <w:p>
      <w:pPr>
        <w:spacing w:after="0" w:line="2" w:lineRule="exact"/>
        <w:rPr>
          <w:sz w:val="20"/>
          <w:szCs w:val="20"/>
          <w:color w:val="auto"/>
        </w:rPr>
      </w:pPr>
    </w:p>
    <w:p>
      <w:pPr>
        <w:ind w:right="619"/>
        <w:spacing w:after="0" w:line="244" w:lineRule="auto"/>
        <w:rPr>
          <w:sz w:val="20"/>
          <w:szCs w:val="20"/>
          <w:color w:val="auto"/>
        </w:rPr>
      </w:pPr>
      <w:r>
        <w:rPr>
          <w:rFonts w:ascii="Arial" w:cs="Arial" w:eastAsia="Arial" w:hAnsi="Arial"/>
          <w:sz w:val="14"/>
          <w:szCs w:val="14"/>
          <w:color w:val="auto"/>
        </w:rPr>
        <w:t>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w:t>
      </w:r>
    </w:p>
    <w:p>
      <w:pPr>
        <w:sectPr>
          <w:pgSz w:w="11900" w:h="16838" w:orient="portrait"/>
          <w:cols w:equalWidth="0" w:num="4">
            <w:col w:w="1940" w:space="620"/>
            <w:col w:w="1720" w:space="140"/>
            <w:col w:w="1940" w:space="280"/>
            <w:col w:w="2379"/>
          </w:cols>
          <w:pgMar w:left="1440" w:top="248" w:right="1440" w:bottom="1440" w:gutter="0" w:footer="0" w:header="0"/>
          <w:type w:val="continuous"/>
        </w:sectPr>
      </w:pPr>
    </w:p>
    <w:bookmarkStart w:id="91" w:name="page92"/>
    <w:bookmarkEnd w:id="9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560"/>
        <w:spacing w:after="0"/>
        <w:tabs>
          <w:tab w:leader="none" w:pos="4580" w:val="left"/>
        </w:tabs>
        <w:rPr>
          <w:sz w:val="20"/>
          <w:szCs w:val="20"/>
          <w:color w:val="auto"/>
        </w:rPr>
      </w:pPr>
      <w:r>
        <w:rPr>
          <w:rFonts w:ascii="Arial" w:cs="Arial" w:eastAsia="Arial" w:hAnsi="Arial"/>
          <w:sz w:val="12"/>
          <w:szCs w:val="12"/>
          <w:b w:val="1"/>
          <w:bCs w:val="1"/>
          <w:color w:val="auto"/>
        </w:rPr>
        <w:t>REDEMPTIONS IN</w:t>
      </w:r>
      <w:r>
        <w:rPr>
          <w:sz w:val="20"/>
          <w:szCs w:val="20"/>
          <w:color w:val="auto"/>
        </w:rPr>
        <w:tab/>
      </w:r>
      <w:r>
        <w:rPr>
          <w:rFonts w:ascii="Arial" w:cs="Arial" w:eastAsia="Arial" w:hAnsi="Arial"/>
          <w:sz w:val="12"/>
          <w:szCs w:val="12"/>
          <w:b w:val="1"/>
          <w:bCs w:val="1"/>
          <w:color w:val="auto"/>
        </w:rPr>
        <w:t>OTHER PERMITTED</w:t>
      </w:r>
    </w:p>
    <w:p>
      <w:pPr>
        <w:spacing w:after="0" w:line="16" w:lineRule="exact"/>
        <w:rPr>
          <w:sz w:val="20"/>
          <w:szCs w:val="20"/>
          <w:color w:val="auto"/>
        </w:rPr>
      </w:pPr>
    </w:p>
    <w:p>
      <w:pPr>
        <w:jc w:val="right"/>
        <w:spacing w:after="0"/>
        <w:tabs>
          <w:tab w:leader="none" w:pos="1460" w:val="left"/>
        </w:tabs>
        <w:rPr>
          <w:sz w:val="20"/>
          <w:szCs w:val="20"/>
          <w:color w:val="auto"/>
        </w:rPr>
      </w:pPr>
      <w:r>
        <w:rPr>
          <w:rFonts w:ascii="Arial" w:cs="Arial" w:eastAsia="Arial" w:hAnsi="Arial"/>
          <w:sz w:val="12"/>
          <w:szCs w:val="12"/>
          <w:b w:val="1"/>
          <w:bCs w:val="1"/>
          <w:color w:val="auto"/>
        </w:rPr>
        <w:t>CONNECTION WITH OUR</w:t>
      </w:r>
      <w:r>
        <w:rPr>
          <w:sz w:val="20"/>
          <w:szCs w:val="20"/>
          <w:color w:val="auto"/>
        </w:rPr>
        <w:tab/>
      </w:r>
      <w:r>
        <w:rPr>
          <w:rFonts w:ascii="Arial" w:cs="Arial" w:eastAsia="Arial" w:hAnsi="Arial"/>
          <w:sz w:val="12"/>
          <w:szCs w:val="12"/>
          <w:b w:val="1"/>
          <w:bCs w:val="1"/>
          <w:color w:val="auto"/>
        </w:rPr>
        <w:t>PURCHASES OF PUBLIC</w:t>
      </w:r>
    </w:p>
    <w:p>
      <w:pPr>
        <w:spacing w:after="0" w:line="2" w:lineRule="exact"/>
        <w:rPr>
          <w:sz w:val="20"/>
          <w:szCs w:val="20"/>
          <w:color w:val="auto"/>
        </w:rPr>
      </w:pPr>
    </w:p>
    <w:p>
      <w:pPr>
        <w:ind w:left="2560"/>
        <w:spacing w:after="0"/>
        <w:tabs>
          <w:tab w:leader="none" w:pos="4580" w:val="left"/>
        </w:tabs>
        <w:rPr>
          <w:sz w:val="20"/>
          <w:szCs w:val="20"/>
          <w:color w:val="auto"/>
        </w:rPr>
      </w:pPr>
      <w:r>
        <w:rPr>
          <w:rFonts w:ascii="Arial" w:cs="Arial" w:eastAsia="Arial" w:hAnsi="Arial"/>
          <w:sz w:val="12"/>
          <w:szCs w:val="12"/>
          <w:b w:val="1"/>
          <w:bCs w:val="1"/>
          <w:color w:val="auto"/>
        </w:rPr>
        <w:t>INITIAL BUSINESS</w:t>
      </w:r>
      <w:r>
        <w:rPr>
          <w:sz w:val="20"/>
          <w:szCs w:val="20"/>
          <w:color w:val="auto"/>
        </w:rPr>
        <w:tab/>
      </w:r>
      <w:r>
        <w:rPr>
          <w:rFonts w:ascii="Arial" w:cs="Arial" w:eastAsia="Arial" w:hAnsi="Arial"/>
          <w:sz w:val="12"/>
          <w:szCs w:val="12"/>
          <w:b w:val="1"/>
          <w:bCs w:val="1"/>
          <w:color w:val="auto"/>
        </w:rPr>
        <w:t>SHARES BY OUR</w:t>
      </w:r>
    </w:p>
    <w:p>
      <w:pPr>
        <w:spacing w:after="0" w:line="2" w:lineRule="exact"/>
        <w:rPr>
          <w:sz w:val="20"/>
          <w:szCs w:val="20"/>
          <w:color w:val="auto"/>
        </w:rPr>
      </w:pPr>
    </w:p>
    <w:p>
      <w:pPr>
        <w:ind w:left="2560"/>
        <w:spacing w:after="0"/>
        <w:tabs>
          <w:tab w:leader="none" w:pos="4580" w:val="left"/>
        </w:tabs>
        <w:rPr>
          <w:sz w:val="20"/>
          <w:szCs w:val="20"/>
          <w:color w:val="auto"/>
        </w:rPr>
      </w:pPr>
      <w:r>
        <w:rPr>
          <w:rFonts w:ascii="Arial" w:cs="Arial" w:eastAsia="Arial" w:hAnsi="Arial"/>
          <w:sz w:val="12"/>
          <w:szCs w:val="12"/>
          <w:b w:val="1"/>
          <w:bCs w:val="1"/>
          <w:color w:val="auto"/>
        </w:rPr>
        <w:t>COMBINATION</w:t>
      </w:r>
      <w:r>
        <w:rPr>
          <w:sz w:val="20"/>
          <w:szCs w:val="20"/>
          <w:color w:val="auto"/>
        </w:rPr>
        <w:tab/>
      </w:r>
      <w:r>
        <w:rPr>
          <w:rFonts w:ascii="Arial" w:cs="Arial" w:eastAsia="Arial" w:hAnsi="Arial"/>
          <w:sz w:val="12"/>
          <w:szCs w:val="12"/>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35560</wp:posOffset>
            </wp:positionV>
            <wp:extent cx="24085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both"/>
        <w:ind w:right="799"/>
        <w:spacing w:after="0" w:line="263" w:lineRule="auto"/>
        <w:rPr>
          <w:sz w:val="20"/>
          <w:szCs w:val="20"/>
          <w:color w:val="auto"/>
        </w:rPr>
      </w:pPr>
      <w:r>
        <w:rPr>
          <w:rFonts w:ascii="Arial" w:cs="Arial" w:eastAsia="Arial" w:hAnsi="Arial"/>
          <w:sz w:val="12"/>
          <w:szCs w:val="12"/>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1303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30300" cy="762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6080" w:space="560"/>
            <w:col w:w="2379"/>
          </w:cols>
          <w:pgMar w:left="1440" w:top="248" w:right="1440" w:bottom="1440" w:gutter="0" w:footer="0" w:header="0"/>
        </w:sectPr>
      </w:pPr>
    </w:p>
    <w:p>
      <w:pPr>
        <w:ind w:left="2560"/>
        <w:spacing w:after="0"/>
        <w:rPr>
          <w:sz w:val="20"/>
          <w:szCs w:val="20"/>
          <w:color w:val="auto"/>
        </w:rPr>
      </w:pPr>
      <w:r>
        <w:rPr>
          <w:rFonts w:ascii="Arial" w:cs="Arial" w:eastAsia="Arial" w:hAnsi="Arial"/>
          <w:sz w:val="15"/>
          <w:szCs w:val="15"/>
          <w:color w:val="auto"/>
        </w:rPr>
        <w:t>the trust account</w:t>
      </w:r>
    </w:p>
    <w:p>
      <w:pPr>
        <w:ind w:left="2560"/>
        <w:spacing w:after="0" w:line="226" w:lineRule="auto"/>
        <w:rPr>
          <w:sz w:val="20"/>
          <w:szCs w:val="20"/>
          <w:color w:val="auto"/>
        </w:rPr>
      </w:pPr>
      <w:r>
        <w:rPr>
          <w:rFonts w:ascii="Arial" w:cs="Arial" w:eastAsia="Arial" w:hAnsi="Arial"/>
          <w:sz w:val="15"/>
          <w:szCs w:val="15"/>
          <w:color w:val="auto"/>
        </w:rPr>
        <w:t>calculated as of two</w:t>
      </w:r>
    </w:p>
    <w:p>
      <w:pPr>
        <w:ind w:left="2560"/>
        <w:spacing w:after="0" w:line="227" w:lineRule="auto"/>
        <w:rPr>
          <w:sz w:val="20"/>
          <w:szCs w:val="20"/>
          <w:color w:val="auto"/>
        </w:rPr>
      </w:pPr>
      <w:r>
        <w:rPr>
          <w:rFonts w:ascii="Arial" w:cs="Arial" w:eastAsia="Arial" w:hAnsi="Arial"/>
          <w:sz w:val="15"/>
          <w:szCs w:val="15"/>
          <w:color w:val="auto"/>
        </w:rPr>
        <w:t>business days prior to the</w:t>
      </w:r>
    </w:p>
    <w:p>
      <w:pPr>
        <w:ind w:left="2560"/>
        <w:spacing w:after="0"/>
        <w:rPr>
          <w:sz w:val="20"/>
          <w:szCs w:val="20"/>
          <w:color w:val="auto"/>
        </w:rPr>
      </w:pPr>
      <w:r>
        <w:rPr>
          <w:rFonts w:ascii="Arial" w:cs="Arial" w:eastAsia="Arial" w:hAnsi="Arial"/>
          <w:sz w:val="14"/>
          <w:szCs w:val="14"/>
          <w:color w:val="auto"/>
        </w:rPr>
        <w:t>consummation of the initial</w:t>
      </w:r>
    </w:p>
    <w:p>
      <w:pPr>
        <w:ind w:left="2560"/>
        <w:spacing w:after="0" w:line="229" w:lineRule="auto"/>
        <w:rPr>
          <w:sz w:val="20"/>
          <w:szCs w:val="20"/>
          <w:color w:val="auto"/>
        </w:rPr>
      </w:pPr>
      <w:r>
        <w:rPr>
          <w:rFonts w:ascii="Arial" w:cs="Arial" w:eastAsia="Arial" w:hAnsi="Arial"/>
          <w:sz w:val="15"/>
          <w:szCs w:val="15"/>
          <w:color w:val="auto"/>
        </w:rPr>
        <w:t>business combination</w:t>
      </w:r>
    </w:p>
    <w:p>
      <w:pPr>
        <w:ind w:left="2560"/>
        <w:spacing w:after="0" w:line="226" w:lineRule="auto"/>
        <w:rPr>
          <w:sz w:val="20"/>
          <w:szCs w:val="20"/>
          <w:color w:val="auto"/>
        </w:rPr>
      </w:pPr>
      <w:r>
        <w:rPr>
          <w:rFonts w:ascii="Arial" w:cs="Arial" w:eastAsia="Arial" w:hAnsi="Arial"/>
          <w:sz w:val="15"/>
          <w:szCs w:val="15"/>
          <w:color w:val="auto"/>
        </w:rPr>
        <w:t>(which is initially</w:t>
      </w:r>
    </w:p>
    <w:p>
      <w:pPr>
        <w:ind w:left="2560"/>
        <w:spacing w:after="0" w:line="227" w:lineRule="auto"/>
        <w:rPr>
          <w:sz w:val="20"/>
          <w:szCs w:val="20"/>
          <w:color w:val="auto"/>
        </w:rPr>
      </w:pPr>
      <w:r>
        <w:rPr>
          <w:rFonts w:ascii="Arial" w:cs="Arial" w:eastAsia="Arial" w:hAnsi="Arial"/>
          <w:sz w:val="15"/>
          <w:szCs w:val="15"/>
          <w:color w:val="auto"/>
        </w:rPr>
        <w:t>anticipated to be $10.00</w:t>
      </w:r>
    </w:p>
    <w:p>
      <w:pPr>
        <w:ind w:left="2560"/>
        <w:spacing w:after="0" w:line="227" w:lineRule="auto"/>
        <w:rPr>
          <w:sz w:val="20"/>
          <w:szCs w:val="20"/>
          <w:color w:val="auto"/>
        </w:rPr>
      </w:pPr>
      <w:r>
        <w:rPr>
          <w:rFonts w:ascii="Arial" w:cs="Arial" w:eastAsia="Arial" w:hAnsi="Arial"/>
          <w:sz w:val="15"/>
          <w:szCs w:val="15"/>
          <w:color w:val="auto"/>
        </w:rPr>
        <w:t>per share), including</w:t>
      </w:r>
    </w:p>
    <w:p>
      <w:pPr>
        <w:ind w:left="2560"/>
        <w:spacing w:after="0" w:line="226" w:lineRule="auto"/>
        <w:rPr>
          <w:sz w:val="20"/>
          <w:szCs w:val="20"/>
          <w:color w:val="auto"/>
        </w:rPr>
      </w:pPr>
      <w:r>
        <w:rPr>
          <w:rFonts w:ascii="Arial" w:cs="Arial" w:eastAsia="Arial" w:hAnsi="Arial"/>
          <w:sz w:val="15"/>
          <w:szCs w:val="15"/>
          <w:color w:val="auto"/>
        </w:rPr>
        <w:t>interest earned on the</w:t>
      </w:r>
    </w:p>
    <w:p>
      <w:pPr>
        <w:ind w:left="2560"/>
        <w:spacing w:after="0" w:line="227" w:lineRule="auto"/>
        <w:rPr>
          <w:sz w:val="20"/>
          <w:szCs w:val="20"/>
          <w:color w:val="auto"/>
        </w:rPr>
      </w:pPr>
      <w:r>
        <w:rPr>
          <w:rFonts w:ascii="Arial" w:cs="Arial" w:eastAsia="Arial" w:hAnsi="Arial"/>
          <w:sz w:val="15"/>
          <w:szCs w:val="15"/>
          <w:color w:val="auto"/>
        </w:rPr>
        <w:t>funds held in the trust</w:t>
      </w:r>
    </w:p>
    <w:p>
      <w:pPr>
        <w:ind w:left="2560"/>
        <w:spacing w:after="0"/>
        <w:rPr>
          <w:sz w:val="20"/>
          <w:szCs w:val="20"/>
          <w:color w:val="auto"/>
        </w:rPr>
      </w:pPr>
      <w:r>
        <w:rPr>
          <w:rFonts w:ascii="Arial" w:cs="Arial" w:eastAsia="Arial" w:hAnsi="Arial"/>
          <w:sz w:val="14"/>
          <w:szCs w:val="14"/>
          <w:color w:val="auto"/>
        </w:rPr>
        <w:t>account and not previously</w:t>
      </w:r>
    </w:p>
    <w:p>
      <w:pPr>
        <w:ind w:left="2560"/>
        <w:spacing w:after="0" w:line="229" w:lineRule="auto"/>
        <w:rPr>
          <w:sz w:val="20"/>
          <w:szCs w:val="20"/>
          <w:color w:val="auto"/>
        </w:rPr>
      </w:pPr>
      <w:r>
        <w:rPr>
          <w:rFonts w:ascii="Arial" w:cs="Arial" w:eastAsia="Arial" w:hAnsi="Arial"/>
          <w:sz w:val="15"/>
          <w:szCs w:val="15"/>
          <w:color w:val="auto"/>
        </w:rPr>
        <w:t>released to us to pay our</w:t>
      </w:r>
    </w:p>
    <w:p>
      <w:pPr>
        <w:ind w:left="2560"/>
        <w:spacing w:after="0" w:line="226" w:lineRule="auto"/>
        <w:rPr>
          <w:sz w:val="20"/>
          <w:szCs w:val="20"/>
          <w:color w:val="auto"/>
        </w:rPr>
      </w:pPr>
      <w:r>
        <w:rPr>
          <w:rFonts w:ascii="Arial" w:cs="Arial" w:eastAsia="Arial" w:hAnsi="Arial"/>
          <w:sz w:val="15"/>
          <w:szCs w:val="15"/>
          <w:color w:val="auto"/>
        </w:rPr>
        <w:t>income taxes, if any,</w:t>
      </w:r>
    </w:p>
    <w:p>
      <w:pPr>
        <w:ind w:left="2560"/>
        <w:spacing w:after="0" w:line="227" w:lineRule="auto"/>
        <w:rPr>
          <w:sz w:val="20"/>
          <w:szCs w:val="20"/>
          <w:color w:val="auto"/>
        </w:rPr>
      </w:pPr>
      <w:r>
        <w:rPr>
          <w:rFonts w:ascii="Arial" w:cs="Arial" w:eastAsia="Arial" w:hAnsi="Arial"/>
          <w:sz w:val="15"/>
          <w:szCs w:val="15"/>
          <w:color w:val="auto"/>
        </w:rPr>
        <w:t>divided by the number of</w:t>
      </w:r>
    </w:p>
    <w:p>
      <w:pPr>
        <w:ind w:left="2560"/>
        <w:spacing w:after="0" w:line="227" w:lineRule="auto"/>
        <w:rPr>
          <w:sz w:val="20"/>
          <w:szCs w:val="20"/>
          <w:color w:val="auto"/>
        </w:rPr>
      </w:pPr>
      <w:r>
        <w:rPr>
          <w:rFonts w:ascii="Arial" w:cs="Arial" w:eastAsia="Arial" w:hAnsi="Arial"/>
          <w:sz w:val="15"/>
          <w:szCs w:val="15"/>
          <w:color w:val="auto"/>
        </w:rPr>
        <w:t>the then-outstanding</w:t>
      </w:r>
    </w:p>
    <w:p>
      <w:pPr>
        <w:ind w:left="2560"/>
        <w:spacing w:after="0" w:line="226" w:lineRule="auto"/>
        <w:rPr>
          <w:sz w:val="20"/>
          <w:szCs w:val="20"/>
          <w:color w:val="auto"/>
        </w:rPr>
      </w:pPr>
      <w:r>
        <w:rPr>
          <w:rFonts w:ascii="Arial" w:cs="Arial" w:eastAsia="Arial" w:hAnsi="Arial"/>
          <w:sz w:val="15"/>
          <w:szCs w:val="15"/>
          <w:color w:val="auto"/>
        </w:rPr>
        <w:t>public shares, subject to</w:t>
      </w:r>
    </w:p>
    <w:p>
      <w:pPr>
        <w:ind w:left="2560"/>
        <w:spacing w:after="0" w:line="227" w:lineRule="auto"/>
        <w:rPr>
          <w:sz w:val="20"/>
          <w:szCs w:val="20"/>
          <w:color w:val="auto"/>
        </w:rPr>
      </w:pPr>
      <w:r>
        <w:rPr>
          <w:rFonts w:ascii="Arial" w:cs="Arial" w:eastAsia="Arial" w:hAnsi="Arial"/>
          <w:sz w:val="15"/>
          <w:szCs w:val="15"/>
          <w:color w:val="auto"/>
        </w:rPr>
        <w:t>the limitation that no</w:t>
      </w:r>
    </w:p>
    <w:p>
      <w:pPr>
        <w:ind w:left="2560"/>
        <w:spacing w:after="0" w:line="227" w:lineRule="auto"/>
        <w:rPr>
          <w:sz w:val="20"/>
          <w:szCs w:val="20"/>
          <w:color w:val="auto"/>
        </w:rPr>
      </w:pPr>
      <w:r>
        <w:rPr>
          <w:rFonts w:ascii="Arial" w:cs="Arial" w:eastAsia="Arial" w:hAnsi="Arial"/>
          <w:sz w:val="15"/>
          <w:szCs w:val="15"/>
          <w:color w:val="auto"/>
        </w:rPr>
        <w:t>redemptions will take</w:t>
      </w:r>
    </w:p>
    <w:p>
      <w:pPr>
        <w:ind w:left="2560"/>
        <w:spacing w:after="0" w:line="226" w:lineRule="auto"/>
        <w:rPr>
          <w:sz w:val="20"/>
          <w:szCs w:val="20"/>
          <w:color w:val="auto"/>
        </w:rPr>
      </w:pPr>
      <w:r>
        <w:rPr>
          <w:rFonts w:ascii="Arial" w:cs="Arial" w:eastAsia="Arial" w:hAnsi="Arial"/>
          <w:sz w:val="15"/>
          <w:szCs w:val="15"/>
          <w:color w:val="auto"/>
        </w:rPr>
        <w:t>place if all of the</w:t>
      </w:r>
    </w:p>
    <w:p>
      <w:pPr>
        <w:ind w:left="2560"/>
        <w:spacing w:after="0" w:line="227" w:lineRule="auto"/>
        <w:rPr>
          <w:sz w:val="20"/>
          <w:szCs w:val="20"/>
          <w:color w:val="auto"/>
        </w:rPr>
      </w:pPr>
      <w:r>
        <w:rPr>
          <w:rFonts w:ascii="Arial" w:cs="Arial" w:eastAsia="Arial" w:hAnsi="Arial"/>
          <w:sz w:val="15"/>
          <w:szCs w:val="15"/>
          <w:color w:val="auto"/>
        </w:rPr>
        <w:t>redemptions would cause</w:t>
      </w:r>
    </w:p>
    <w:p>
      <w:pPr>
        <w:ind w:left="2560"/>
        <w:spacing w:after="0" w:line="226" w:lineRule="auto"/>
        <w:rPr>
          <w:sz w:val="20"/>
          <w:szCs w:val="20"/>
          <w:color w:val="auto"/>
        </w:rPr>
      </w:pPr>
      <w:r>
        <w:rPr>
          <w:rFonts w:ascii="Arial" w:cs="Arial" w:eastAsia="Arial" w:hAnsi="Arial"/>
          <w:sz w:val="15"/>
          <w:szCs w:val="15"/>
          <w:color w:val="auto"/>
        </w:rPr>
        <w:t>our net tangible assets to</w:t>
      </w:r>
    </w:p>
    <w:p>
      <w:pPr>
        <w:ind w:left="2560"/>
        <w:spacing w:after="0" w:line="227" w:lineRule="auto"/>
        <w:rPr>
          <w:sz w:val="20"/>
          <w:szCs w:val="20"/>
          <w:color w:val="auto"/>
        </w:rPr>
      </w:pPr>
      <w:r>
        <w:rPr>
          <w:rFonts w:ascii="Arial" w:cs="Arial" w:eastAsia="Arial" w:hAnsi="Arial"/>
          <w:sz w:val="15"/>
          <w:szCs w:val="15"/>
          <w:color w:val="auto"/>
        </w:rPr>
        <w:t>be less than $5,000,001</w:t>
      </w:r>
    </w:p>
    <w:p>
      <w:pPr>
        <w:ind w:left="2560"/>
        <w:spacing w:after="0" w:line="227" w:lineRule="auto"/>
        <w:rPr>
          <w:sz w:val="20"/>
          <w:szCs w:val="20"/>
          <w:color w:val="auto"/>
        </w:rPr>
      </w:pPr>
      <w:r>
        <w:rPr>
          <w:rFonts w:ascii="Arial" w:cs="Arial" w:eastAsia="Arial" w:hAnsi="Arial"/>
          <w:sz w:val="15"/>
          <w:szCs w:val="15"/>
          <w:color w:val="auto"/>
        </w:rPr>
        <w:t>and any limitations</w:t>
      </w:r>
    </w:p>
    <w:p>
      <w:pPr>
        <w:ind w:left="2560"/>
        <w:spacing w:after="0"/>
        <w:rPr>
          <w:sz w:val="20"/>
          <w:szCs w:val="20"/>
          <w:color w:val="auto"/>
        </w:rPr>
      </w:pPr>
      <w:r>
        <w:rPr>
          <w:rFonts w:ascii="Arial" w:cs="Arial" w:eastAsia="Arial" w:hAnsi="Arial"/>
          <w:sz w:val="14"/>
          <w:szCs w:val="14"/>
          <w:color w:val="auto"/>
        </w:rPr>
        <w:t>(including but not limited to</w:t>
      </w:r>
    </w:p>
    <w:p>
      <w:pPr>
        <w:ind w:left="2560"/>
        <w:spacing w:after="0" w:line="229" w:lineRule="auto"/>
        <w:rPr>
          <w:sz w:val="20"/>
          <w:szCs w:val="20"/>
          <w:color w:val="auto"/>
        </w:rPr>
      </w:pPr>
      <w:r>
        <w:rPr>
          <w:rFonts w:ascii="Arial" w:cs="Arial" w:eastAsia="Arial" w:hAnsi="Arial"/>
          <w:sz w:val="15"/>
          <w:szCs w:val="15"/>
          <w:color w:val="auto"/>
        </w:rPr>
        <w:t>cash requirements)</w:t>
      </w:r>
    </w:p>
    <w:p>
      <w:pPr>
        <w:ind w:left="2560"/>
        <w:spacing w:after="0" w:line="226" w:lineRule="auto"/>
        <w:rPr>
          <w:sz w:val="20"/>
          <w:szCs w:val="20"/>
          <w:color w:val="auto"/>
        </w:rPr>
      </w:pPr>
      <w:r>
        <w:rPr>
          <w:rFonts w:ascii="Arial" w:cs="Arial" w:eastAsia="Arial" w:hAnsi="Arial"/>
          <w:sz w:val="15"/>
          <w:szCs w:val="15"/>
          <w:color w:val="auto"/>
        </w:rPr>
        <w:t>agreed to in connection</w:t>
      </w:r>
    </w:p>
    <w:p>
      <w:pPr>
        <w:ind w:left="2560"/>
        <w:spacing w:after="0" w:line="227" w:lineRule="auto"/>
        <w:rPr>
          <w:sz w:val="20"/>
          <w:szCs w:val="20"/>
          <w:color w:val="auto"/>
        </w:rPr>
      </w:pPr>
      <w:r>
        <w:rPr>
          <w:rFonts w:ascii="Arial" w:cs="Arial" w:eastAsia="Arial" w:hAnsi="Arial"/>
          <w:sz w:val="15"/>
          <w:szCs w:val="15"/>
          <w:color w:val="auto"/>
        </w:rPr>
        <w:t>with the negotiation of</w:t>
      </w:r>
    </w:p>
    <w:p>
      <w:pPr>
        <w:ind w:left="2560"/>
        <w:spacing w:after="0" w:line="227" w:lineRule="auto"/>
        <w:rPr>
          <w:sz w:val="20"/>
          <w:szCs w:val="20"/>
          <w:color w:val="auto"/>
        </w:rPr>
      </w:pPr>
      <w:r>
        <w:rPr>
          <w:rFonts w:ascii="Arial" w:cs="Arial" w:eastAsia="Arial" w:hAnsi="Arial"/>
          <w:sz w:val="15"/>
          <w:szCs w:val="15"/>
          <w:color w:val="auto"/>
        </w:rPr>
        <w:t>terms of a proposed</w:t>
      </w:r>
    </w:p>
    <w:p>
      <w:pPr>
        <w:ind w:left="2560"/>
        <w:spacing w:after="0"/>
        <w:rPr>
          <w:sz w:val="20"/>
          <w:szCs w:val="20"/>
          <w:color w:val="auto"/>
        </w:rPr>
      </w:pPr>
      <w:r>
        <w:rPr>
          <w:rFonts w:ascii="Arial" w:cs="Arial" w:eastAsia="Arial" w:hAnsi="Arial"/>
          <w:sz w:val="15"/>
          <w:szCs w:val="15"/>
          <w:color w:val="auto"/>
        </w:rPr>
        <w:t>business combination.</w:t>
      </w:r>
    </w:p>
    <w:p>
      <w:pPr>
        <w:spacing w:after="0" w:line="275" w:lineRule="exact"/>
        <w:rPr>
          <w:sz w:val="20"/>
          <w:szCs w:val="20"/>
          <w:color w:val="auto"/>
        </w:rPr>
      </w:pPr>
    </w:p>
    <w:p>
      <w:pPr>
        <w:ind w:left="600"/>
        <w:spacing w:after="0"/>
        <w:tabs>
          <w:tab w:leader="none" w:pos="2540" w:val="left"/>
        </w:tabs>
        <w:rPr>
          <w:sz w:val="20"/>
          <w:szCs w:val="20"/>
          <w:color w:val="auto"/>
        </w:rPr>
      </w:pPr>
      <w:r>
        <w:rPr>
          <w:rFonts w:ascii="Arial" w:cs="Arial" w:eastAsia="Arial" w:hAnsi="Arial"/>
          <w:sz w:val="15"/>
          <w:szCs w:val="15"/>
          <w:b w:val="1"/>
          <w:bCs w:val="1"/>
          <w:color w:val="auto"/>
        </w:rPr>
        <w:t>Impact to remaining</w:t>
      </w:r>
      <w:r>
        <w:rPr>
          <w:sz w:val="20"/>
          <w:szCs w:val="20"/>
          <w:color w:val="auto"/>
        </w:rPr>
        <w:tab/>
      </w:r>
      <w:r>
        <w:rPr>
          <w:rFonts w:ascii="Arial" w:cs="Arial" w:eastAsia="Arial" w:hAnsi="Arial"/>
          <w:sz w:val="14"/>
          <w:szCs w:val="14"/>
          <w:color w:val="auto"/>
        </w:rPr>
        <w:t>The redemptions in</w:t>
      </w:r>
    </w:p>
    <w:p>
      <w:pPr>
        <w:ind w:left="740"/>
        <w:spacing w:after="0" w:line="238" w:lineRule="auto"/>
        <w:tabs>
          <w:tab w:leader="none" w:pos="2540" w:val="left"/>
        </w:tabs>
        <w:rPr>
          <w:sz w:val="20"/>
          <w:szCs w:val="20"/>
          <w:color w:val="auto"/>
        </w:rPr>
      </w:pPr>
      <w:r>
        <w:rPr>
          <w:rFonts w:ascii="Arial" w:cs="Arial" w:eastAsia="Arial" w:hAnsi="Arial"/>
          <w:sz w:val="15"/>
          <w:szCs w:val="15"/>
          <w:b w:val="1"/>
          <w:bCs w:val="1"/>
          <w:color w:val="auto"/>
        </w:rPr>
        <w:t>shareholders</w:t>
      </w:r>
      <w:r>
        <w:rPr>
          <w:sz w:val="20"/>
          <w:szCs w:val="20"/>
          <w:color w:val="auto"/>
        </w:rPr>
        <w:tab/>
      </w:r>
      <w:r>
        <w:rPr>
          <w:rFonts w:ascii="Arial" w:cs="Arial" w:eastAsia="Arial" w:hAnsi="Arial"/>
          <w:sz w:val="15"/>
          <w:szCs w:val="15"/>
          <w:color w:val="auto"/>
        </w:rPr>
        <w:t>connection with our initial</w:t>
      </w:r>
    </w:p>
    <w:p>
      <w:pPr>
        <w:ind w:left="2560"/>
        <w:spacing w:after="0" w:line="226" w:lineRule="auto"/>
        <w:rPr>
          <w:sz w:val="20"/>
          <w:szCs w:val="20"/>
          <w:color w:val="auto"/>
        </w:rPr>
      </w:pPr>
      <w:r>
        <w:rPr>
          <w:rFonts w:ascii="Arial" w:cs="Arial" w:eastAsia="Arial" w:hAnsi="Arial"/>
          <w:sz w:val="15"/>
          <w:szCs w:val="15"/>
          <w:color w:val="auto"/>
        </w:rPr>
        <w:t>business combination will</w:t>
      </w:r>
    </w:p>
    <w:p>
      <w:pPr>
        <w:ind w:left="2560"/>
        <w:spacing w:after="0" w:line="227" w:lineRule="auto"/>
        <w:rPr>
          <w:sz w:val="20"/>
          <w:szCs w:val="20"/>
          <w:color w:val="auto"/>
        </w:rPr>
      </w:pPr>
      <w:r>
        <w:rPr>
          <w:rFonts w:ascii="Arial" w:cs="Arial" w:eastAsia="Arial" w:hAnsi="Arial"/>
          <w:sz w:val="15"/>
          <w:szCs w:val="15"/>
          <w:color w:val="auto"/>
        </w:rPr>
        <w:t>reduce the book value per</w:t>
      </w:r>
    </w:p>
    <w:p>
      <w:pPr>
        <w:ind w:left="2560"/>
        <w:spacing w:after="0" w:line="227" w:lineRule="auto"/>
        <w:rPr>
          <w:sz w:val="20"/>
          <w:szCs w:val="20"/>
          <w:color w:val="auto"/>
        </w:rPr>
      </w:pPr>
      <w:r>
        <w:rPr>
          <w:rFonts w:ascii="Arial" w:cs="Arial" w:eastAsia="Arial" w:hAnsi="Arial"/>
          <w:sz w:val="15"/>
          <w:szCs w:val="15"/>
          <w:color w:val="auto"/>
        </w:rPr>
        <w:t>share for our remaining</w:t>
      </w:r>
    </w:p>
    <w:p>
      <w:pPr>
        <w:ind w:left="2560"/>
        <w:spacing w:after="0" w:line="226" w:lineRule="auto"/>
        <w:rPr>
          <w:sz w:val="20"/>
          <w:szCs w:val="20"/>
          <w:color w:val="auto"/>
        </w:rPr>
      </w:pPr>
      <w:r>
        <w:rPr>
          <w:rFonts w:ascii="Arial" w:cs="Arial" w:eastAsia="Arial" w:hAnsi="Arial"/>
          <w:sz w:val="15"/>
          <w:szCs w:val="15"/>
          <w:color w:val="auto"/>
        </w:rPr>
        <w:t>shareholders, who will</w:t>
      </w:r>
    </w:p>
    <w:p>
      <w:pPr>
        <w:ind w:left="2560"/>
        <w:spacing w:after="0" w:line="227" w:lineRule="auto"/>
        <w:rPr>
          <w:sz w:val="20"/>
          <w:szCs w:val="20"/>
          <w:color w:val="auto"/>
        </w:rPr>
      </w:pPr>
      <w:r>
        <w:rPr>
          <w:rFonts w:ascii="Arial" w:cs="Arial" w:eastAsia="Arial" w:hAnsi="Arial"/>
          <w:sz w:val="15"/>
          <w:szCs w:val="15"/>
          <w:color w:val="auto"/>
        </w:rPr>
        <w:t>bear the burden of the</w:t>
      </w:r>
    </w:p>
    <w:p>
      <w:pPr>
        <w:ind w:left="2560"/>
        <w:spacing w:after="0" w:line="227" w:lineRule="auto"/>
        <w:rPr>
          <w:sz w:val="20"/>
          <w:szCs w:val="20"/>
          <w:color w:val="auto"/>
        </w:rPr>
      </w:pPr>
      <w:r>
        <w:rPr>
          <w:rFonts w:ascii="Arial" w:cs="Arial" w:eastAsia="Arial" w:hAnsi="Arial"/>
          <w:sz w:val="15"/>
          <w:szCs w:val="15"/>
          <w:color w:val="auto"/>
        </w:rPr>
        <w:t>deferred underwriting</w:t>
      </w:r>
    </w:p>
    <w:p>
      <w:pPr>
        <w:ind w:left="2560"/>
        <w:spacing w:after="0" w:line="226" w:lineRule="auto"/>
        <w:rPr>
          <w:sz w:val="20"/>
          <w:szCs w:val="20"/>
          <w:color w:val="auto"/>
        </w:rPr>
      </w:pPr>
      <w:r>
        <w:rPr>
          <w:rFonts w:ascii="Arial" w:cs="Arial" w:eastAsia="Arial" w:hAnsi="Arial"/>
          <w:sz w:val="15"/>
          <w:szCs w:val="15"/>
          <w:color w:val="auto"/>
        </w:rPr>
        <w:t>commissions and taxes</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payable.</w:t>
      </w:r>
    </w:p>
    <w:p>
      <w:pPr>
        <w:spacing w:after="0" w:line="20" w:lineRule="exact"/>
        <w:rPr>
          <w:sz w:val="20"/>
          <w:szCs w:val="20"/>
          <w:color w:val="auto"/>
        </w:rPr>
      </w:pPr>
      <w:r>
        <w:rPr>
          <w:sz w:val="20"/>
          <w:szCs w:val="20"/>
          <w:color w:val="auto"/>
        </w:rPr>
        <w:br w:type="column"/>
      </w:r>
    </w:p>
    <w:p>
      <w:pPr>
        <w:ind w:left="180"/>
        <w:spacing w:after="0" w:line="243" w:lineRule="auto"/>
        <w:rPr>
          <w:sz w:val="20"/>
          <w:szCs w:val="20"/>
          <w:color w:val="auto"/>
        </w:rPr>
      </w:pPr>
      <w:r>
        <w:rPr>
          <w:rFonts w:ascii="Arial" w:cs="Arial" w:eastAsia="Arial" w:hAnsi="Arial"/>
          <w:sz w:val="14"/>
          <w:szCs w:val="14"/>
          <w:color w:val="auto"/>
        </w:rPr>
        <w:t>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 however, if the purchasers determine at the time of any such purchases that the purchases are subject to such rules, the purchasers will be required to comply with such rules.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right="40"/>
        <w:spacing w:after="0" w:line="246" w:lineRule="auto"/>
        <w:rPr>
          <w:sz w:val="20"/>
          <w:szCs w:val="20"/>
          <w:color w:val="auto"/>
        </w:rPr>
      </w:pPr>
      <w:r>
        <w:rPr>
          <w:rFonts w:ascii="Arial" w:cs="Arial" w:eastAsia="Arial" w:hAnsi="Arial"/>
          <w:sz w:val="14"/>
          <w:szCs w:val="14"/>
          <w:color w:val="auto"/>
        </w:rPr>
        <w:t>If the permitted purchases described above are made, there would be no impact to our remaining shareholders because the purchase price would not be paid by us.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103505</wp:posOffset>
            </wp:positionV>
            <wp:extent cx="602805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19"/>
        <w:spacing w:after="0" w:line="247" w:lineRule="auto"/>
        <w:rPr>
          <w:sz w:val="20"/>
          <w:szCs w:val="20"/>
          <w:color w:val="auto"/>
        </w:rPr>
      </w:pPr>
      <w:r>
        <w:rPr>
          <w:rFonts w:ascii="Arial" w:cs="Arial" w:eastAsia="Arial" w:hAnsi="Arial"/>
          <w:sz w:val="14"/>
          <w:szCs w:val="14"/>
          <w:color w:val="auto"/>
        </w:rPr>
        <w:t>pay our income taxes, if any (less up to $100,000 of interest to pay dissolution expenses) divided by the number of then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19"/>
        <w:spacing w:after="0" w:line="228" w:lineRule="auto"/>
        <w:rPr>
          <w:sz w:val="20"/>
          <w:szCs w:val="20"/>
          <w:color w:val="auto"/>
        </w:rPr>
      </w:pPr>
      <w:r>
        <w:rPr>
          <w:rFonts w:ascii="Arial" w:cs="Arial" w:eastAsia="Arial" w:hAnsi="Arial"/>
          <w:sz w:val="15"/>
          <w:szCs w:val="15"/>
          <w:color w:val="auto"/>
        </w:rPr>
        <w:t>The redemption of our public shares if we fail to complete our initial business combination will reduce the book value per share for the shares held by our sponsor, who will be our only remaining shareholder after such redemptions.</w:t>
      </w:r>
    </w:p>
    <w:p>
      <w:pPr>
        <w:sectPr>
          <w:pgSz w:w="11900" w:h="16838" w:orient="portrait"/>
          <w:cols w:equalWidth="0" w:num="3">
            <w:col w:w="4320" w:space="100"/>
            <w:col w:w="1920" w:space="300"/>
            <w:col w:w="2379"/>
          </w:cols>
          <w:pgMar w:left="1440" w:top="248" w:right="1440" w:bottom="1440" w:gutter="0" w:footer="0" w:header="0"/>
          <w:type w:val="continuous"/>
        </w:sectPr>
      </w:pPr>
    </w:p>
    <w:bookmarkStart w:id="92" w:name="page93"/>
    <w:bookmarkEnd w:id="9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Comparison of This Offering to Those of Blank Check Companies Subject to Rule 419</w:t>
      </w:r>
    </w:p>
    <w:p>
      <w:pPr>
        <w:spacing w:after="0" w:line="160" w:lineRule="exact"/>
        <w:rPr>
          <w:sz w:val="20"/>
          <w:szCs w:val="20"/>
          <w:color w:val="auto"/>
        </w:rPr>
      </w:pPr>
    </w:p>
    <w:p>
      <w:pPr>
        <w:ind w:left="600" w:right="719"/>
        <w:spacing w:after="0" w:line="230" w:lineRule="auto"/>
        <w:rPr>
          <w:sz w:val="20"/>
          <w:szCs w:val="20"/>
          <w:color w:val="auto"/>
        </w:rPr>
      </w:pPr>
      <w:r>
        <w:rPr>
          <w:rFonts w:ascii="Arial" w:cs="Arial" w:eastAsia="Arial" w:hAnsi="Arial"/>
          <w:sz w:val="15"/>
          <w:szCs w:val="15"/>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Escrow of offering</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proceeds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16624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62430" cy="7620"/>
                    </a:xfrm>
                    <a:prstGeom prst="rect">
                      <a:avLst/>
                    </a:prstGeom>
                    <a:noFill/>
                  </pic:spPr>
                </pic:pic>
              </a:graphicData>
            </a:graphic>
          </wp:anchor>
        </w:drawing>
      </w:r>
    </w:p>
    <w:p>
      <w:pPr>
        <w:spacing w:after="0" w:line="11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$125,000,000 of the net proceeds of this offering and the sale of the private placement shares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166941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69415" cy="7620"/>
                    </a:xfrm>
                    <a:prstGeom prst="rect">
                      <a:avLst/>
                    </a:prstGeom>
                    <a:noFill/>
                  </pic:spPr>
                </pic:pic>
              </a:graphicData>
            </a:graphic>
          </wp:anchor>
        </w:drawing>
      </w:r>
    </w:p>
    <w:p>
      <w:pPr>
        <w:spacing w:after="0" w:line="114" w:lineRule="exact"/>
        <w:rPr>
          <w:sz w:val="20"/>
          <w:szCs w:val="20"/>
          <w:color w:val="auto"/>
        </w:rPr>
      </w:pPr>
    </w:p>
    <w:p>
      <w:pPr>
        <w:ind w:right="639"/>
        <w:spacing w:after="0" w:line="228" w:lineRule="auto"/>
        <w:rPr>
          <w:sz w:val="20"/>
          <w:szCs w:val="20"/>
          <w:color w:val="auto"/>
        </w:rPr>
      </w:pPr>
      <w:r>
        <w:rPr>
          <w:rFonts w:ascii="Arial" w:cs="Arial" w:eastAsia="Arial" w:hAnsi="Arial"/>
          <w:sz w:val="15"/>
          <w:szCs w:val="15"/>
          <w:color w:val="auto"/>
        </w:rPr>
        <w:t>Approximately $106,312,500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0" w:lineRule="exact"/>
        <w:rPr>
          <w:sz w:val="20"/>
          <w:szCs w:val="20"/>
          <w:color w:val="auto"/>
        </w:rPr>
      </w:pPr>
    </w:p>
    <w:p>
      <w:pPr>
        <w:sectPr>
          <w:pgSz w:w="11900" w:h="16838" w:orient="portrait"/>
          <w:cols w:equalWidth="0" w:num="3">
            <w:col w:w="2100" w:space="720"/>
            <w:col w:w="2560" w:space="400"/>
            <w:col w:w="3239"/>
          </w:cols>
          <w:pgMar w:left="1440" w:top="248" w:right="1440" w:bottom="1440" w:gutter="0" w:footer="0" w:header="0"/>
          <w:type w:val="continuous"/>
        </w:sectPr>
      </w:pPr>
    </w:p>
    <w:p>
      <w:pPr>
        <w:spacing w:after="0" w:line="76" w:lineRule="exact"/>
        <w:rPr>
          <w:sz w:val="20"/>
          <w:szCs w:val="20"/>
          <w:color w:val="auto"/>
        </w:rPr>
      </w:pPr>
    </w:p>
    <w:p>
      <w:pPr>
        <w:ind w:left="600"/>
        <w:spacing w:after="0"/>
        <w:tabs>
          <w:tab w:leader="none" w:pos="2800" w:val="left"/>
        </w:tabs>
        <w:rPr>
          <w:sz w:val="20"/>
          <w:szCs w:val="20"/>
          <w:color w:val="auto"/>
        </w:rPr>
      </w:pPr>
      <w:r>
        <w:rPr>
          <w:rFonts w:ascii="Arial" w:cs="Arial" w:eastAsia="Arial" w:hAnsi="Arial"/>
          <w:sz w:val="15"/>
          <w:szCs w:val="15"/>
          <w:b w:val="1"/>
          <w:bCs w:val="1"/>
          <w:color w:val="auto"/>
        </w:rPr>
        <w:t>Investment of net</w:t>
      </w:r>
      <w:r>
        <w:rPr>
          <w:sz w:val="20"/>
          <w:szCs w:val="20"/>
          <w:color w:val="auto"/>
        </w:rPr>
        <w:tab/>
      </w:r>
      <w:r>
        <w:rPr>
          <w:rFonts w:ascii="Arial" w:cs="Arial" w:eastAsia="Arial" w:hAnsi="Arial"/>
          <w:sz w:val="14"/>
          <w:szCs w:val="14"/>
          <w:color w:val="auto"/>
        </w:rPr>
        <w:t>$125,000,000 of the net proceeds of</w:t>
      </w:r>
    </w:p>
    <w:p>
      <w:pPr>
        <w:ind w:left="600"/>
        <w:spacing w:after="0" w:line="238" w:lineRule="auto"/>
        <w:tabs>
          <w:tab w:leader="none" w:pos="2800" w:val="left"/>
        </w:tabs>
        <w:rPr>
          <w:sz w:val="20"/>
          <w:szCs w:val="20"/>
          <w:color w:val="auto"/>
        </w:rPr>
      </w:pPr>
      <w:r>
        <w:rPr>
          <w:rFonts w:ascii="Arial" w:cs="Arial" w:eastAsia="Arial" w:hAnsi="Arial"/>
          <w:sz w:val="15"/>
          <w:szCs w:val="15"/>
          <w:b w:val="1"/>
          <w:bCs w:val="1"/>
          <w:color w:val="auto"/>
        </w:rPr>
        <w:t>proceeds</w:t>
      </w:r>
      <w:r>
        <w:rPr>
          <w:sz w:val="20"/>
          <w:szCs w:val="20"/>
          <w:color w:val="auto"/>
        </w:rPr>
        <w:tab/>
      </w:r>
      <w:r>
        <w:rPr>
          <w:rFonts w:ascii="Arial" w:cs="Arial" w:eastAsia="Arial" w:hAnsi="Arial"/>
          <w:sz w:val="15"/>
          <w:szCs w:val="15"/>
          <w:color w:val="auto"/>
        </w:rPr>
        <w:t>this offering and the sale of the private</w:t>
      </w:r>
    </w:p>
    <w:p>
      <w:pPr>
        <w:ind w:left="2820"/>
        <w:spacing w:after="0" w:line="226" w:lineRule="auto"/>
        <w:rPr>
          <w:sz w:val="20"/>
          <w:szCs w:val="20"/>
          <w:color w:val="auto"/>
        </w:rPr>
      </w:pPr>
      <w:r>
        <w:rPr>
          <w:rFonts w:ascii="Arial" w:cs="Arial" w:eastAsia="Arial" w:hAnsi="Arial"/>
          <w:sz w:val="15"/>
          <w:szCs w:val="15"/>
          <w:color w:val="auto"/>
        </w:rPr>
        <w:t>placement shares held in trust will be</w:t>
      </w:r>
    </w:p>
    <w:p>
      <w:pPr>
        <w:ind w:left="2820"/>
        <w:spacing w:after="0" w:line="227" w:lineRule="auto"/>
        <w:rPr>
          <w:sz w:val="20"/>
          <w:szCs w:val="20"/>
          <w:color w:val="auto"/>
        </w:rPr>
      </w:pPr>
      <w:r>
        <w:rPr>
          <w:rFonts w:ascii="Arial" w:cs="Arial" w:eastAsia="Arial" w:hAnsi="Arial"/>
          <w:sz w:val="15"/>
          <w:szCs w:val="15"/>
          <w:color w:val="auto"/>
        </w:rPr>
        <w:t>invested only in U.S. government</w:t>
      </w:r>
    </w:p>
    <w:p>
      <w:pPr>
        <w:ind w:left="2820"/>
        <w:spacing w:after="0" w:line="227" w:lineRule="auto"/>
        <w:rPr>
          <w:sz w:val="20"/>
          <w:szCs w:val="20"/>
          <w:color w:val="auto"/>
        </w:rPr>
      </w:pPr>
      <w:r>
        <w:rPr>
          <w:rFonts w:ascii="Arial" w:cs="Arial" w:eastAsia="Arial" w:hAnsi="Arial"/>
          <w:sz w:val="15"/>
          <w:szCs w:val="15"/>
          <w:color w:val="auto"/>
        </w:rPr>
        <w:t>treasury obligations with a maturity of</w:t>
      </w:r>
    </w:p>
    <w:p>
      <w:pPr>
        <w:ind w:left="2820"/>
        <w:spacing w:after="0" w:line="226" w:lineRule="auto"/>
        <w:rPr>
          <w:sz w:val="20"/>
          <w:szCs w:val="20"/>
          <w:color w:val="auto"/>
        </w:rPr>
      </w:pPr>
      <w:r>
        <w:rPr>
          <w:rFonts w:ascii="Arial" w:cs="Arial" w:eastAsia="Arial" w:hAnsi="Arial"/>
          <w:sz w:val="15"/>
          <w:szCs w:val="15"/>
          <w:color w:val="auto"/>
        </w:rPr>
        <w:t>185 days or less or in money market</w:t>
      </w:r>
    </w:p>
    <w:p>
      <w:pPr>
        <w:ind w:left="2820"/>
        <w:spacing w:after="0" w:line="227" w:lineRule="auto"/>
        <w:rPr>
          <w:sz w:val="20"/>
          <w:szCs w:val="20"/>
          <w:color w:val="auto"/>
        </w:rPr>
      </w:pPr>
      <w:r>
        <w:rPr>
          <w:rFonts w:ascii="Arial" w:cs="Arial" w:eastAsia="Arial" w:hAnsi="Arial"/>
          <w:sz w:val="15"/>
          <w:szCs w:val="15"/>
          <w:color w:val="auto"/>
        </w:rPr>
        <w:t>funds meeting certain conditions under</w:t>
      </w:r>
    </w:p>
    <w:p>
      <w:pPr>
        <w:ind w:left="2820"/>
        <w:spacing w:after="0" w:line="227" w:lineRule="auto"/>
        <w:rPr>
          <w:sz w:val="20"/>
          <w:szCs w:val="20"/>
          <w:color w:val="auto"/>
        </w:rPr>
      </w:pPr>
      <w:r>
        <w:rPr>
          <w:rFonts w:ascii="Arial" w:cs="Arial" w:eastAsia="Arial" w:hAnsi="Arial"/>
          <w:sz w:val="15"/>
          <w:szCs w:val="15"/>
          <w:color w:val="auto"/>
        </w:rPr>
        <w:t>Rule 2a-7 under the Investment</w:t>
      </w:r>
    </w:p>
    <w:p>
      <w:pPr>
        <w:ind w:left="2820"/>
        <w:spacing w:after="0"/>
        <w:rPr>
          <w:sz w:val="20"/>
          <w:szCs w:val="20"/>
          <w:color w:val="auto"/>
        </w:rPr>
      </w:pPr>
      <w:r>
        <w:rPr>
          <w:rFonts w:ascii="Arial" w:cs="Arial" w:eastAsia="Arial" w:hAnsi="Arial"/>
          <w:sz w:val="14"/>
          <w:szCs w:val="14"/>
          <w:color w:val="auto"/>
        </w:rPr>
        <w:t>Company Act which invest only in direct</w:t>
      </w:r>
    </w:p>
    <w:p>
      <w:pPr>
        <w:spacing w:after="0" w:line="2" w:lineRule="exact"/>
        <w:rPr>
          <w:sz w:val="20"/>
          <w:szCs w:val="20"/>
          <w:color w:val="auto"/>
        </w:rPr>
      </w:pPr>
    </w:p>
    <w:p>
      <w:pPr>
        <w:ind w:left="2820"/>
        <w:spacing w:after="0"/>
        <w:rPr>
          <w:sz w:val="20"/>
          <w:szCs w:val="20"/>
          <w:color w:val="auto"/>
        </w:rPr>
      </w:pPr>
      <w:r>
        <w:rPr>
          <w:rFonts w:ascii="Arial" w:cs="Arial" w:eastAsia="Arial" w:hAnsi="Arial"/>
          <w:sz w:val="15"/>
          <w:szCs w:val="15"/>
          <w:color w:val="auto"/>
        </w:rPr>
        <w:t>U.S. government treasury obligations.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19"/>
        <w:spacing w:after="0" w:line="246" w:lineRule="auto"/>
        <w:rPr>
          <w:sz w:val="20"/>
          <w:szCs w:val="20"/>
          <w:color w:val="auto"/>
        </w:rPr>
      </w:pPr>
      <w:r>
        <w:rPr>
          <w:rFonts w:ascii="Arial" w:cs="Arial" w:eastAsia="Arial" w:hAnsi="Arial"/>
          <w:sz w:val="14"/>
          <w:szCs w:val="14"/>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683" w:lineRule="exact"/>
        <w:rPr>
          <w:sz w:val="20"/>
          <w:szCs w:val="20"/>
          <w:color w:val="auto"/>
        </w:rPr>
      </w:pPr>
    </w:p>
    <w:p>
      <w:pPr>
        <w:sectPr>
          <w:pgSz w:w="11900" w:h="16838" w:orient="portrait"/>
          <w:cols w:equalWidth="0" w:num="2">
            <w:col w:w="5420" w:space="360"/>
            <w:col w:w="3239"/>
          </w:cols>
          <w:pgMar w:left="1440" w:top="248" w:right="1440" w:bottom="1440" w:gutter="0" w:footer="0" w:header="0"/>
          <w:type w:val="continuous"/>
        </w:sectPr>
      </w:pPr>
    </w:p>
    <w:p>
      <w:pPr>
        <w:spacing w:after="0" w:line="75" w:lineRule="exact"/>
        <w:rPr>
          <w:sz w:val="20"/>
          <w:szCs w:val="20"/>
          <w:color w:val="auto"/>
        </w:rPr>
      </w:pPr>
    </w:p>
    <w:p>
      <w:pPr>
        <w:ind w:left="740" w:right="300" w:hanging="146"/>
        <w:spacing w:after="0" w:line="293" w:lineRule="auto"/>
        <w:rPr>
          <w:sz w:val="20"/>
          <w:szCs w:val="20"/>
          <w:color w:val="auto"/>
        </w:rPr>
      </w:pPr>
      <w:r>
        <w:rPr>
          <w:rFonts w:ascii="Arial" w:cs="Arial" w:eastAsia="Arial" w:hAnsi="Arial"/>
          <w:sz w:val="14"/>
          <w:szCs w:val="14"/>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0" w:hanging="146"/>
        <w:spacing w:after="0" w:line="242" w:lineRule="auto"/>
        <w:rPr>
          <w:sz w:val="20"/>
          <w:szCs w:val="20"/>
          <w:color w:val="auto"/>
        </w:rPr>
      </w:pPr>
      <w:r>
        <w:rPr>
          <w:rFonts w:ascii="Arial" w:cs="Arial" w:eastAsia="Arial" w:hAnsi="Arial"/>
          <w:sz w:val="15"/>
          <w:szCs w:val="15"/>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Interest income (if any) on proceeds from the trust account to be paid to shareholders is reduced by (i) any income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9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177"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95885</wp:posOffset>
            </wp:positionV>
            <wp:extent cx="602805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39"/>
        <w:spacing w:after="0" w:line="247" w:lineRule="auto"/>
        <w:rPr>
          <w:sz w:val="20"/>
          <w:szCs w:val="20"/>
          <w:color w:val="auto"/>
        </w:rPr>
      </w:pPr>
      <w:r>
        <w:rPr>
          <w:rFonts w:ascii="Arial" w:cs="Arial" w:eastAsia="Arial" w:hAnsi="Arial"/>
          <w:sz w:val="14"/>
          <w:szCs w:val="14"/>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19"/>
        <w:spacing w:after="0" w:line="233" w:lineRule="auto"/>
        <w:rPr>
          <w:sz w:val="20"/>
          <w:szCs w:val="20"/>
          <w:color w:val="auto"/>
        </w:rPr>
      </w:pPr>
      <w:r>
        <w:rPr>
          <w:rFonts w:ascii="Arial" w:cs="Arial" w:eastAsia="Arial" w:hAnsi="Arial"/>
          <w:sz w:val="15"/>
          <w:szCs w:val="15"/>
          <w:color w:val="auto"/>
        </w:rPr>
        <w:t>The fair value or net assets of a target business must represent at least 80% of the maximum offering proceeds.</w:t>
      </w:r>
    </w:p>
    <w:p>
      <w:pPr>
        <w:sectPr>
          <w:pgSz w:w="11900" w:h="16838" w:orient="portrait"/>
          <w:cols w:equalWidth="0" w:num="3">
            <w:col w:w="2400" w:space="420"/>
            <w:col w:w="2560" w:space="400"/>
            <w:col w:w="3239"/>
          </w:cols>
          <w:pgMar w:left="1440" w:top="248" w:right="1440" w:bottom="1440" w:gutter="0" w:footer="0" w:header="0"/>
          <w:type w:val="continuous"/>
        </w:sectPr>
      </w:pPr>
    </w:p>
    <w:bookmarkStart w:id="93" w:name="page94"/>
    <w:bookmarkEnd w:id="9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600" w:right="60"/>
        <w:spacing w:after="0" w:line="258" w:lineRule="auto"/>
        <w:rPr>
          <w:sz w:val="20"/>
          <w:szCs w:val="20"/>
          <w:color w:val="auto"/>
        </w:rPr>
      </w:pPr>
      <w:r>
        <w:rPr>
          <w:rFonts w:ascii="Arial" w:cs="Arial" w:eastAsia="Arial" w:hAnsi="Arial"/>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166243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62430" cy="7620"/>
                    </a:xfrm>
                    <a:prstGeom prst="rect">
                      <a:avLst/>
                    </a:prstGeom>
                    <a:noFill/>
                  </pic:spPr>
                </pic:pic>
              </a:graphicData>
            </a:graphic>
          </wp:anchor>
        </w:drawing>
      </w:r>
    </w:p>
    <w:p>
      <w:pPr>
        <w:spacing w:after="0" w:line="114"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The public shares are expected to begin trading on or promptly after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166941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69415" cy="7620"/>
                    </a:xfrm>
                    <a:prstGeom prst="rect">
                      <a:avLst/>
                    </a:prstGeom>
                    <a:noFill/>
                  </pic:spPr>
                </pic:pic>
              </a:graphicData>
            </a:graphic>
          </wp:anchor>
        </w:drawing>
      </w:r>
    </w:p>
    <w:p>
      <w:pPr>
        <w:spacing w:after="0" w:line="114" w:lineRule="exact"/>
        <w:rPr>
          <w:sz w:val="20"/>
          <w:szCs w:val="20"/>
          <w:color w:val="auto"/>
        </w:rPr>
      </w:pPr>
    </w:p>
    <w:p>
      <w:pPr>
        <w:ind w:right="699"/>
        <w:spacing w:after="0" w:line="248" w:lineRule="auto"/>
        <w:rPr>
          <w:sz w:val="20"/>
          <w:szCs w:val="20"/>
          <w:color w:val="auto"/>
        </w:rPr>
      </w:pPr>
      <w:r>
        <w:rPr>
          <w:rFonts w:ascii="Arial" w:cs="Arial" w:eastAsia="Arial" w:hAnsi="Arial"/>
          <w:sz w:val="14"/>
          <w:szCs w:val="14"/>
          <w:color w:val="auto"/>
        </w:rPr>
        <w:t>No trading of the Class A ordinary shares would be permitted until the completion of a business combination. During this period, the securities would be held in the escrow or trust account.</w:t>
      </w:r>
    </w:p>
    <w:p>
      <w:pPr>
        <w:spacing w:after="0" w:line="1006" w:lineRule="exact"/>
        <w:rPr>
          <w:sz w:val="20"/>
          <w:szCs w:val="20"/>
          <w:color w:val="auto"/>
        </w:rPr>
      </w:pPr>
    </w:p>
    <w:p>
      <w:pPr>
        <w:sectPr>
          <w:pgSz w:w="11900" w:h="16838" w:orient="portrait"/>
          <w:cols w:equalWidth="0" w:num="3">
            <w:col w:w="2100" w:space="720"/>
            <w:col w:w="2600" w:space="360"/>
            <w:col w:w="3239"/>
          </w:cols>
          <w:pgMar w:left="1440" w:top="248" w:right="1440" w:bottom="1440" w:gutter="0" w:footer="0" w:header="0"/>
        </w:sectPr>
      </w:pPr>
    </w:p>
    <w:p>
      <w:pPr>
        <w:spacing w:after="0" w:line="75" w:lineRule="exact"/>
        <w:rPr>
          <w:sz w:val="20"/>
          <w:szCs w:val="20"/>
          <w:color w:val="auto"/>
        </w:rPr>
      </w:pPr>
    </w:p>
    <w:p>
      <w:pPr>
        <w:ind w:left="600"/>
        <w:spacing w:after="0"/>
        <w:tabs>
          <w:tab w:leader="none" w:pos="2800" w:val="left"/>
        </w:tabs>
        <w:rPr>
          <w:sz w:val="20"/>
          <w:szCs w:val="20"/>
          <w:color w:val="auto"/>
        </w:rPr>
      </w:pPr>
      <w:r>
        <w:rPr>
          <w:rFonts w:ascii="Arial" w:cs="Arial" w:eastAsia="Arial" w:hAnsi="Arial"/>
          <w:sz w:val="15"/>
          <w:szCs w:val="15"/>
          <w:b w:val="1"/>
          <w:bCs w:val="1"/>
          <w:color w:val="auto"/>
        </w:rPr>
        <w:t>Election to remain an</w:t>
      </w:r>
      <w:r>
        <w:rPr>
          <w:sz w:val="20"/>
          <w:szCs w:val="20"/>
          <w:color w:val="auto"/>
        </w:rPr>
        <w:tab/>
      </w:r>
      <w:r>
        <w:rPr>
          <w:rFonts w:ascii="Arial" w:cs="Arial" w:eastAsia="Arial" w:hAnsi="Arial"/>
          <w:sz w:val="14"/>
          <w:szCs w:val="14"/>
          <w:color w:val="auto"/>
        </w:rPr>
        <w:t>We will provide our public shareholders</w:t>
      </w:r>
    </w:p>
    <w:p>
      <w:pPr>
        <w:ind w:left="600"/>
        <w:spacing w:after="0" w:line="238" w:lineRule="auto"/>
        <w:tabs>
          <w:tab w:leader="none" w:pos="2800" w:val="left"/>
        </w:tabs>
        <w:rPr>
          <w:sz w:val="20"/>
          <w:szCs w:val="20"/>
          <w:color w:val="auto"/>
        </w:rPr>
      </w:pPr>
      <w:r>
        <w:rPr>
          <w:rFonts w:ascii="Arial" w:cs="Arial" w:eastAsia="Arial" w:hAnsi="Arial"/>
          <w:sz w:val="15"/>
          <w:szCs w:val="15"/>
          <w:b w:val="1"/>
          <w:bCs w:val="1"/>
          <w:color w:val="auto"/>
        </w:rPr>
        <w:t>investor</w:t>
      </w:r>
      <w:r>
        <w:rPr>
          <w:sz w:val="20"/>
          <w:szCs w:val="20"/>
          <w:color w:val="auto"/>
        </w:rPr>
        <w:tab/>
      </w:r>
      <w:r>
        <w:rPr>
          <w:rFonts w:ascii="Arial" w:cs="Arial" w:eastAsia="Arial" w:hAnsi="Arial"/>
          <w:sz w:val="15"/>
          <w:szCs w:val="15"/>
          <w:color w:val="auto"/>
        </w:rPr>
        <w:t>with the opportunity to redeem their</w:t>
      </w:r>
    </w:p>
    <w:p>
      <w:pPr>
        <w:ind w:left="2820"/>
        <w:spacing w:after="0" w:line="226" w:lineRule="auto"/>
        <w:rPr>
          <w:sz w:val="20"/>
          <w:szCs w:val="20"/>
          <w:color w:val="auto"/>
        </w:rPr>
      </w:pPr>
      <w:r>
        <w:rPr>
          <w:rFonts w:ascii="Arial" w:cs="Arial" w:eastAsia="Arial" w:hAnsi="Arial"/>
          <w:sz w:val="15"/>
          <w:szCs w:val="15"/>
          <w:color w:val="auto"/>
        </w:rPr>
        <w:t>public shares for cash at a per share</w:t>
      </w:r>
    </w:p>
    <w:p>
      <w:pPr>
        <w:ind w:left="2820"/>
        <w:spacing w:after="0" w:line="227" w:lineRule="auto"/>
        <w:rPr>
          <w:sz w:val="20"/>
          <w:szCs w:val="20"/>
          <w:color w:val="auto"/>
        </w:rPr>
      </w:pPr>
      <w:r>
        <w:rPr>
          <w:rFonts w:ascii="Arial" w:cs="Arial" w:eastAsia="Arial" w:hAnsi="Arial"/>
          <w:sz w:val="15"/>
          <w:szCs w:val="15"/>
          <w:color w:val="auto"/>
        </w:rPr>
        <w:t>price equal to the aggregate amount</w:t>
      </w:r>
    </w:p>
    <w:p>
      <w:pPr>
        <w:ind w:left="2820"/>
        <w:spacing w:after="0" w:line="227" w:lineRule="auto"/>
        <w:rPr>
          <w:sz w:val="20"/>
          <w:szCs w:val="20"/>
          <w:color w:val="auto"/>
        </w:rPr>
      </w:pPr>
      <w:r>
        <w:rPr>
          <w:rFonts w:ascii="Arial" w:cs="Arial" w:eastAsia="Arial" w:hAnsi="Arial"/>
          <w:sz w:val="15"/>
          <w:szCs w:val="15"/>
          <w:color w:val="auto"/>
        </w:rPr>
        <w:t>then on deposit in the trust account</w:t>
      </w:r>
    </w:p>
    <w:p>
      <w:pPr>
        <w:ind w:left="2820"/>
        <w:spacing w:after="0"/>
        <w:rPr>
          <w:sz w:val="20"/>
          <w:szCs w:val="20"/>
          <w:color w:val="auto"/>
        </w:rPr>
      </w:pPr>
      <w:r>
        <w:rPr>
          <w:rFonts w:ascii="Arial" w:cs="Arial" w:eastAsia="Arial" w:hAnsi="Arial"/>
          <w:sz w:val="14"/>
          <w:szCs w:val="14"/>
          <w:color w:val="auto"/>
        </w:rPr>
        <w:t>calculated as of two business days prior</w:t>
      </w:r>
    </w:p>
    <w:p>
      <w:pPr>
        <w:ind w:left="2820"/>
        <w:spacing w:after="0" w:line="229" w:lineRule="auto"/>
        <w:rPr>
          <w:sz w:val="20"/>
          <w:szCs w:val="20"/>
          <w:color w:val="auto"/>
        </w:rPr>
      </w:pPr>
      <w:r>
        <w:rPr>
          <w:rFonts w:ascii="Arial" w:cs="Arial" w:eastAsia="Arial" w:hAnsi="Arial"/>
          <w:sz w:val="15"/>
          <w:szCs w:val="15"/>
          <w:color w:val="auto"/>
        </w:rPr>
        <w:t>to the consummation of our initial</w:t>
      </w:r>
    </w:p>
    <w:p>
      <w:pPr>
        <w:ind w:left="2820"/>
        <w:spacing w:after="0"/>
        <w:rPr>
          <w:sz w:val="20"/>
          <w:szCs w:val="20"/>
          <w:color w:val="auto"/>
        </w:rPr>
      </w:pPr>
      <w:r>
        <w:rPr>
          <w:rFonts w:ascii="Arial" w:cs="Arial" w:eastAsia="Arial" w:hAnsi="Arial"/>
          <w:sz w:val="14"/>
          <w:szCs w:val="14"/>
          <w:color w:val="auto"/>
        </w:rPr>
        <w:t>business combination, including interest</w:t>
      </w:r>
    </w:p>
    <w:p>
      <w:pPr>
        <w:ind w:left="2820"/>
        <w:spacing w:after="0" w:line="229" w:lineRule="auto"/>
        <w:rPr>
          <w:sz w:val="20"/>
          <w:szCs w:val="20"/>
          <w:color w:val="auto"/>
        </w:rPr>
      </w:pPr>
      <w:r>
        <w:rPr>
          <w:rFonts w:ascii="Arial" w:cs="Arial" w:eastAsia="Arial" w:hAnsi="Arial"/>
          <w:sz w:val="15"/>
          <w:szCs w:val="15"/>
          <w:color w:val="auto"/>
        </w:rPr>
        <w:t>earned on the funds held in the trust</w:t>
      </w:r>
    </w:p>
    <w:p>
      <w:pPr>
        <w:ind w:left="2820"/>
        <w:spacing w:after="0" w:line="226" w:lineRule="auto"/>
        <w:rPr>
          <w:sz w:val="20"/>
          <w:szCs w:val="20"/>
          <w:color w:val="auto"/>
        </w:rPr>
      </w:pPr>
      <w:r>
        <w:rPr>
          <w:rFonts w:ascii="Arial" w:cs="Arial" w:eastAsia="Arial" w:hAnsi="Arial"/>
          <w:sz w:val="15"/>
          <w:szCs w:val="15"/>
          <w:color w:val="auto"/>
        </w:rPr>
        <w:t>account and not previously released to</w:t>
      </w:r>
    </w:p>
    <w:p>
      <w:pPr>
        <w:ind w:left="2820"/>
        <w:spacing w:after="0" w:line="227" w:lineRule="auto"/>
        <w:rPr>
          <w:sz w:val="20"/>
          <w:szCs w:val="20"/>
          <w:color w:val="auto"/>
        </w:rPr>
      </w:pPr>
      <w:r>
        <w:rPr>
          <w:rFonts w:ascii="Arial" w:cs="Arial" w:eastAsia="Arial" w:hAnsi="Arial"/>
          <w:sz w:val="15"/>
          <w:szCs w:val="15"/>
          <w:color w:val="auto"/>
        </w:rPr>
        <w:t>us to pay our income taxes, if any,</w:t>
      </w:r>
    </w:p>
    <w:p>
      <w:pPr>
        <w:ind w:left="2820"/>
        <w:spacing w:after="0" w:line="227" w:lineRule="auto"/>
        <w:rPr>
          <w:sz w:val="20"/>
          <w:szCs w:val="20"/>
          <w:color w:val="auto"/>
        </w:rPr>
      </w:pPr>
      <w:r>
        <w:rPr>
          <w:rFonts w:ascii="Arial" w:cs="Arial" w:eastAsia="Arial" w:hAnsi="Arial"/>
          <w:sz w:val="15"/>
          <w:szCs w:val="15"/>
          <w:color w:val="auto"/>
        </w:rPr>
        <w:t>divided by the number of the then-</w:t>
      </w:r>
    </w:p>
    <w:p>
      <w:pPr>
        <w:ind w:left="2820"/>
        <w:spacing w:after="0" w:line="226" w:lineRule="auto"/>
        <w:rPr>
          <w:sz w:val="20"/>
          <w:szCs w:val="20"/>
          <w:color w:val="auto"/>
        </w:rPr>
      </w:pPr>
      <w:r>
        <w:rPr>
          <w:rFonts w:ascii="Arial" w:cs="Arial" w:eastAsia="Arial" w:hAnsi="Arial"/>
          <w:sz w:val="15"/>
          <w:szCs w:val="15"/>
          <w:color w:val="auto"/>
        </w:rPr>
        <w:t>outstanding public shares, upon the</w:t>
      </w:r>
    </w:p>
    <w:p>
      <w:pPr>
        <w:ind w:left="2820"/>
        <w:spacing w:after="0" w:line="227" w:lineRule="auto"/>
        <w:rPr>
          <w:sz w:val="20"/>
          <w:szCs w:val="20"/>
          <w:color w:val="auto"/>
        </w:rPr>
      </w:pPr>
      <w:r>
        <w:rPr>
          <w:rFonts w:ascii="Arial" w:cs="Arial" w:eastAsia="Arial" w:hAnsi="Arial"/>
          <w:sz w:val="15"/>
          <w:szCs w:val="15"/>
          <w:color w:val="auto"/>
        </w:rPr>
        <w:t>completion of our initial business</w:t>
      </w:r>
    </w:p>
    <w:p>
      <w:pPr>
        <w:ind w:left="2820"/>
        <w:spacing w:after="0" w:line="227" w:lineRule="auto"/>
        <w:rPr>
          <w:sz w:val="20"/>
          <w:szCs w:val="20"/>
          <w:color w:val="auto"/>
        </w:rPr>
      </w:pPr>
      <w:r>
        <w:rPr>
          <w:rFonts w:ascii="Arial" w:cs="Arial" w:eastAsia="Arial" w:hAnsi="Arial"/>
          <w:sz w:val="15"/>
          <w:szCs w:val="15"/>
          <w:color w:val="auto"/>
        </w:rPr>
        <w:t>combination, subject to the limitations</w:t>
      </w:r>
    </w:p>
    <w:p>
      <w:pPr>
        <w:ind w:left="2820"/>
        <w:spacing w:after="0" w:line="226" w:lineRule="auto"/>
        <w:rPr>
          <w:sz w:val="20"/>
          <w:szCs w:val="20"/>
          <w:color w:val="auto"/>
        </w:rPr>
      </w:pPr>
      <w:r>
        <w:rPr>
          <w:rFonts w:ascii="Arial" w:cs="Arial" w:eastAsia="Arial" w:hAnsi="Arial"/>
          <w:sz w:val="15"/>
          <w:szCs w:val="15"/>
          <w:color w:val="auto"/>
        </w:rPr>
        <w:t>described herein. We may not be</w:t>
      </w:r>
    </w:p>
    <w:p>
      <w:pPr>
        <w:ind w:left="2820"/>
        <w:spacing w:after="0" w:line="227" w:lineRule="auto"/>
        <w:rPr>
          <w:sz w:val="20"/>
          <w:szCs w:val="20"/>
          <w:color w:val="auto"/>
        </w:rPr>
      </w:pPr>
      <w:r>
        <w:rPr>
          <w:rFonts w:ascii="Arial" w:cs="Arial" w:eastAsia="Arial" w:hAnsi="Arial"/>
          <w:sz w:val="15"/>
          <w:szCs w:val="15"/>
          <w:color w:val="auto"/>
        </w:rPr>
        <w:t>required by applicable law or stock</w:t>
      </w:r>
    </w:p>
    <w:p>
      <w:pPr>
        <w:ind w:left="2820"/>
        <w:spacing w:after="0" w:line="226" w:lineRule="auto"/>
        <w:rPr>
          <w:sz w:val="20"/>
          <w:szCs w:val="20"/>
          <w:color w:val="auto"/>
        </w:rPr>
      </w:pPr>
      <w:r>
        <w:rPr>
          <w:rFonts w:ascii="Arial" w:cs="Arial" w:eastAsia="Arial" w:hAnsi="Arial"/>
          <w:sz w:val="15"/>
          <w:szCs w:val="15"/>
          <w:color w:val="auto"/>
        </w:rPr>
        <w:t>exchange rule to hold a shareholder</w:t>
      </w:r>
    </w:p>
    <w:p>
      <w:pPr>
        <w:ind w:left="2820"/>
        <w:spacing w:after="0" w:line="227" w:lineRule="auto"/>
        <w:rPr>
          <w:sz w:val="20"/>
          <w:szCs w:val="20"/>
          <w:color w:val="auto"/>
        </w:rPr>
      </w:pPr>
      <w:r>
        <w:rPr>
          <w:rFonts w:ascii="Arial" w:cs="Arial" w:eastAsia="Arial" w:hAnsi="Arial"/>
          <w:sz w:val="15"/>
          <w:szCs w:val="15"/>
          <w:color w:val="auto"/>
        </w:rPr>
        <w:t>vote. If we are not required by</w:t>
      </w:r>
    </w:p>
    <w:p>
      <w:pPr>
        <w:ind w:left="2820"/>
        <w:spacing w:after="0" w:line="227" w:lineRule="auto"/>
        <w:rPr>
          <w:sz w:val="20"/>
          <w:szCs w:val="20"/>
          <w:color w:val="auto"/>
        </w:rPr>
      </w:pPr>
      <w:r>
        <w:rPr>
          <w:rFonts w:ascii="Arial" w:cs="Arial" w:eastAsia="Arial" w:hAnsi="Arial"/>
          <w:sz w:val="15"/>
          <w:szCs w:val="15"/>
          <w:color w:val="auto"/>
        </w:rPr>
        <w:t>applicable law or stock exchange rule</w:t>
      </w:r>
    </w:p>
    <w:p>
      <w:pPr>
        <w:ind w:left="2820"/>
        <w:spacing w:after="0" w:line="226" w:lineRule="auto"/>
        <w:rPr>
          <w:sz w:val="20"/>
          <w:szCs w:val="20"/>
          <w:color w:val="auto"/>
        </w:rPr>
      </w:pPr>
      <w:r>
        <w:rPr>
          <w:rFonts w:ascii="Arial" w:cs="Arial" w:eastAsia="Arial" w:hAnsi="Arial"/>
          <w:sz w:val="15"/>
          <w:szCs w:val="15"/>
          <w:color w:val="auto"/>
        </w:rPr>
        <w:t>and do not otherwise decide to hold a</w:t>
      </w:r>
    </w:p>
    <w:p>
      <w:pPr>
        <w:ind w:left="2820"/>
        <w:spacing w:after="0" w:line="227" w:lineRule="auto"/>
        <w:rPr>
          <w:sz w:val="20"/>
          <w:szCs w:val="20"/>
          <w:color w:val="auto"/>
        </w:rPr>
      </w:pPr>
      <w:r>
        <w:rPr>
          <w:rFonts w:ascii="Arial" w:cs="Arial" w:eastAsia="Arial" w:hAnsi="Arial"/>
          <w:sz w:val="15"/>
          <w:szCs w:val="15"/>
          <w:color w:val="auto"/>
        </w:rPr>
        <w:t>shareholder vote, we will, pursuant to</w:t>
      </w:r>
    </w:p>
    <w:p>
      <w:pPr>
        <w:ind w:left="2820"/>
        <w:spacing w:after="0" w:line="227" w:lineRule="auto"/>
        <w:rPr>
          <w:sz w:val="20"/>
          <w:szCs w:val="20"/>
          <w:color w:val="auto"/>
        </w:rPr>
      </w:pPr>
      <w:r>
        <w:rPr>
          <w:rFonts w:ascii="Arial" w:cs="Arial" w:eastAsia="Arial" w:hAnsi="Arial"/>
          <w:sz w:val="15"/>
          <w:szCs w:val="15"/>
          <w:color w:val="auto"/>
        </w:rPr>
        <w:t>our amended and restated</w:t>
      </w:r>
    </w:p>
    <w:p>
      <w:pPr>
        <w:ind w:left="2820"/>
        <w:spacing w:after="0" w:line="226" w:lineRule="auto"/>
        <w:rPr>
          <w:sz w:val="20"/>
          <w:szCs w:val="20"/>
          <w:color w:val="auto"/>
        </w:rPr>
      </w:pPr>
      <w:r>
        <w:rPr>
          <w:rFonts w:ascii="Arial" w:cs="Arial" w:eastAsia="Arial" w:hAnsi="Arial"/>
          <w:sz w:val="15"/>
          <w:szCs w:val="15"/>
          <w:color w:val="auto"/>
        </w:rPr>
        <w:t>memorandum and articles of</w:t>
      </w:r>
    </w:p>
    <w:p>
      <w:pPr>
        <w:ind w:left="2820"/>
        <w:spacing w:after="0" w:line="227" w:lineRule="auto"/>
        <w:rPr>
          <w:sz w:val="20"/>
          <w:szCs w:val="20"/>
          <w:color w:val="auto"/>
        </w:rPr>
      </w:pPr>
      <w:r>
        <w:rPr>
          <w:rFonts w:ascii="Arial" w:cs="Arial" w:eastAsia="Arial" w:hAnsi="Arial"/>
          <w:sz w:val="15"/>
          <w:szCs w:val="15"/>
          <w:color w:val="auto"/>
        </w:rPr>
        <w:t>association, conduct the redemptions</w:t>
      </w:r>
    </w:p>
    <w:p>
      <w:pPr>
        <w:ind w:left="2820"/>
        <w:spacing w:after="0" w:line="227" w:lineRule="auto"/>
        <w:rPr>
          <w:sz w:val="20"/>
          <w:szCs w:val="20"/>
          <w:color w:val="auto"/>
        </w:rPr>
      </w:pPr>
      <w:r>
        <w:rPr>
          <w:rFonts w:ascii="Arial" w:cs="Arial" w:eastAsia="Arial" w:hAnsi="Arial"/>
          <w:sz w:val="15"/>
          <w:szCs w:val="15"/>
          <w:color w:val="auto"/>
        </w:rPr>
        <w:t>pursuant to the tender offer rules of the</w:t>
      </w:r>
    </w:p>
    <w:p>
      <w:pPr>
        <w:ind w:left="2820"/>
        <w:spacing w:after="0" w:line="226" w:lineRule="auto"/>
        <w:rPr>
          <w:sz w:val="20"/>
          <w:szCs w:val="20"/>
          <w:color w:val="auto"/>
        </w:rPr>
      </w:pPr>
      <w:r>
        <w:rPr>
          <w:rFonts w:ascii="Arial" w:cs="Arial" w:eastAsia="Arial" w:hAnsi="Arial"/>
          <w:sz w:val="15"/>
          <w:szCs w:val="15"/>
          <w:color w:val="auto"/>
        </w:rPr>
        <w:t>SEC and file tender offer documents</w:t>
      </w:r>
    </w:p>
    <w:p>
      <w:pPr>
        <w:ind w:left="2820"/>
        <w:spacing w:after="0" w:line="227" w:lineRule="auto"/>
        <w:rPr>
          <w:sz w:val="20"/>
          <w:szCs w:val="20"/>
          <w:color w:val="auto"/>
        </w:rPr>
      </w:pPr>
      <w:r>
        <w:rPr>
          <w:rFonts w:ascii="Arial" w:cs="Arial" w:eastAsia="Arial" w:hAnsi="Arial"/>
          <w:sz w:val="15"/>
          <w:szCs w:val="15"/>
          <w:color w:val="auto"/>
        </w:rPr>
        <w:t>with the SEC which will contain</w:t>
      </w:r>
    </w:p>
    <w:p>
      <w:pPr>
        <w:ind w:left="2820"/>
        <w:spacing w:after="0" w:line="226" w:lineRule="auto"/>
        <w:rPr>
          <w:sz w:val="20"/>
          <w:szCs w:val="20"/>
          <w:color w:val="auto"/>
        </w:rPr>
      </w:pPr>
      <w:r>
        <w:rPr>
          <w:rFonts w:ascii="Arial" w:cs="Arial" w:eastAsia="Arial" w:hAnsi="Arial"/>
          <w:sz w:val="15"/>
          <w:szCs w:val="15"/>
          <w:color w:val="auto"/>
        </w:rPr>
        <w:t>substantially the same financial and</w:t>
      </w:r>
    </w:p>
    <w:p>
      <w:pPr>
        <w:ind w:left="2820"/>
        <w:spacing w:after="0" w:line="227" w:lineRule="auto"/>
        <w:rPr>
          <w:sz w:val="20"/>
          <w:szCs w:val="20"/>
          <w:color w:val="auto"/>
        </w:rPr>
      </w:pPr>
      <w:r>
        <w:rPr>
          <w:rFonts w:ascii="Arial" w:cs="Arial" w:eastAsia="Arial" w:hAnsi="Arial"/>
          <w:sz w:val="15"/>
          <w:szCs w:val="15"/>
          <w:color w:val="auto"/>
        </w:rPr>
        <w:t>other information about the initial</w:t>
      </w:r>
    </w:p>
    <w:p>
      <w:pPr>
        <w:ind w:left="2820"/>
        <w:spacing w:after="0" w:line="227" w:lineRule="auto"/>
        <w:rPr>
          <w:sz w:val="20"/>
          <w:szCs w:val="20"/>
          <w:color w:val="auto"/>
        </w:rPr>
      </w:pPr>
      <w:r>
        <w:rPr>
          <w:rFonts w:ascii="Arial" w:cs="Arial" w:eastAsia="Arial" w:hAnsi="Arial"/>
          <w:sz w:val="15"/>
          <w:szCs w:val="15"/>
          <w:color w:val="auto"/>
        </w:rPr>
        <w:t>business combination and the</w:t>
      </w:r>
    </w:p>
    <w:p>
      <w:pPr>
        <w:ind w:left="2820"/>
        <w:spacing w:after="0" w:line="226" w:lineRule="auto"/>
        <w:rPr>
          <w:sz w:val="20"/>
          <w:szCs w:val="20"/>
          <w:color w:val="auto"/>
        </w:rPr>
      </w:pPr>
      <w:r>
        <w:rPr>
          <w:rFonts w:ascii="Arial" w:cs="Arial" w:eastAsia="Arial" w:hAnsi="Arial"/>
          <w:sz w:val="15"/>
          <w:szCs w:val="15"/>
          <w:color w:val="auto"/>
        </w:rPr>
        <w:t>redemption rights as is required under</w:t>
      </w:r>
    </w:p>
    <w:p>
      <w:pPr>
        <w:ind w:left="2820"/>
        <w:spacing w:after="0" w:line="227" w:lineRule="auto"/>
        <w:rPr>
          <w:sz w:val="20"/>
          <w:szCs w:val="20"/>
          <w:color w:val="auto"/>
        </w:rPr>
      </w:pPr>
      <w:r>
        <w:rPr>
          <w:rFonts w:ascii="Arial" w:cs="Arial" w:eastAsia="Arial" w:hAnsi="Arial"/>
          <w:sz w:val="15"/>
          <w:szCs w:val="15"/>
          <w:color w:val="auto"/>
        </w:rPr>
        <w:t>the SEC’s proxy rules. If, however, we</w:t>
      </w:r>
    </w:p>
    <w:p>
      <w:pPr>
        <w:ind w:left="2820"/>
        <w:spacing w:after="0" w:line="227" w:lineRule="auto"/>
        <w:rPr>
          <w:sz w:val="20"/>
          <w:szCs w:val="20"/>
          <w:color w:val="auto"/>
        </w:rPr>
      </w:pPr>
      <w:r>
        <w:rPr>
          <w:rFonts w:ascii="Arial" w:cs="Arial" w:eastAsia="Arial" w:hAnsi="Arial"/>
          <w:sz w:val="15"/>
          <w:szCs w:val="15"/>
          <w:color w:val="auto"/>
        </w:rPr>
        <w:t>hold a shareholder vote, we will, like</w:t>
      </w:r>
    </w:p>
    <w:p>
      <w:pPr>
        <w:ind w:left="2820"/>
        <w:spacing w:after="0" w:line="226" w:lineRule="auto"/>
        <w:rPr>
          <w:sz w:val="20"/>
          <w:szCs w:val="20"/>
          <w:color w:val="auto"/>
        </w:rPr>
      </w:pPr>
      <w:r>
        <w:rPr>
          <w:rFonts w:ascii="Arial" w:cs="Arial" w:eastAsia="Arial" w:hAnsi="Arial"/>
          <w:sz w:val="15"/>
          <w:szCs w:val="15"/>
          <w:color w:val="auto"/>
        </w:rPr>
        <w:t>many blank check companies, offer to</w:t>
      </w:r>
    </w:p>
    <w:p>
      <w:pPr>
        <w:ind w:left="2820"/>
        <w:spacing w:after="0" w:line="227" w:lineRule="auto"/>
        <w:rPr>
          <w:sz w:val="20"/>
          <w:szCs w:val="20"/>
          <w:color w:val="auto"/>
        </w:rPr>
      </w:pPr>
      <w:r>
        <w:rPr>
          <w:rFonts w:ascii="Arial" w:cs="Arial" w:eastAsia="Arial" w:hAnsi="Arial"/>
          <w:sz w:val="15"/>
          <w:szCs w:val="15"/>
          <w:color w:val="auto"/>
        </w:rPr>
        <w:t>redeem shares in conjunction with a</w:t>
      </w:r>
    </w:p>
    <w:p>
      <w:pPr>
        <w:ind w:left="2820"/>
        <w:spacing w:after="0" w:line="227" w:lineRule="auto"/>
        <w:rPr>
          <w:sz w:val="20"/>
          <w:szCs w:val="20"/>
          <w:color w:val="auto"/>
        </w:rPr>
      </w:pPr>
      <w:r>
        <w:rPr>
          <w:rFonts w:ascii="Arial" w:cs="Arial" w:eastAsia="Arial" w:hAnsi="Arial"/>
          <w:sz w:val="15"/>
          <w:szCs w:val="15"/>
          <w:color w:val="auto"/>
        </w:rPr>
        <w:t>proxy solicitation pursuant to the proxy</w:t>
      </w:r>
    </w:p>
    <w:p>
      <w:pPr>
        <w:ind w:left="2820"/>
        <w:spacing w:after="0" w:line="226" w:lineRule="auto"/>
        <w:rPr>
          <w:sz w:val="20"/>
          <w:szCs w:val="20"/>
          <w:color w:val="auto"/>
        </w:rPr>
      </w:pPr>
      <w:r>
        <w:rPr>
          <w:rFonts w:ascii="Arial" w:cs="Arial" w:eastAsia="Arial" w:hAnsi="Arial"/>
          <w:sz w:val="15"/>
          <w:szCs w:val="15"/>
          <w:color w:val="auto"/>
        </w:rPr>
        <w:t>rules and not pursuant to the tender</w:t>
      </w:r>
    </w:p>
    <w:p>
      <w:pPr>
        <w:ind w:left="2820"/>
        <w:spacing w:after="0" w:line="227" w:lineRule="auto"/>
        <w:rPr>
          <w:sz w:val="20"/>
          <w:szCs w:val="20"/>
          <w:color w:val="auto"/>
        </w:rPr>
      </w:pPr>
      <w:r>
        <w:rPr>
          <w:rFonts w:ascii="Arial" w:cs="Arial" w:eastAsia="Arial" w:hAnsi="Arial"/>
          <w:sz w:val="15"/>
          <w:szCs w:val="15"/>
          <w:color w:val="auto"/>
        </w:rPr>
        <w:t>offer rules. If we seek shareholder</w:t>
      </w:r>
    </w:p>
    <w:p>
      <w:pPr>
        <w:ind w:left="2820"/>
        <w:spacing w:after="0" w:line="226" w:lineRule="auto"/>
        <w:rPr>
          <w:sz w:val="20"/>
          <w:szCs w:val="20"/>
          <w:color w:val="auto"/>
        </w:rPr>
      </w:pPr>
      <w:r>
        <w:rPr>
          <w:rFonts w:ascii="Arial" w:cs="Arial" w:eastAsia="Arial" w:hAnsi="Arial"/>
          <w:sz w:val="15"/>
          <w:szCs w:val="15"/>
          <w:color w:val="auto"/>
        </w:rPr>
        <w:t>approval, we will complete our initial</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15"/>
          <w:szCs w:val="15"/>
          <w:color w:val="auto"/>
        </w:rPr>
        <w:t>business combination only if a majority</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619"/>
        <w:spacing w:after="0" w:line="227" w:lineRule="auto"/>
        <w:rPr>
          <w:sz w:val="20"/>
          <w:szCs w:val="20"/>
          <w:color w:val="auto"/>
        </w:rPr>
      </w:pPr>
      <w:r>
        <w:rPr>
          <w:rFonts w:ascii="Arial" w:cs="Arial" w:eastAsia="Arial" w:hAnsi="Arial"/>
          <w:sz w:val="15"/>
          <w:szCs w:val="15"/>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5420" w:space="360"/>
            <w:col w:w="3239"/>
          </w:cols>
          <w:pgMar w:left="1440" w:top="248" w:right="1440" w:bottom="1440" w:gutter="0" w:footer="0" w:header="0"/>
          <w:type w:val="continuous"/>
        </w:sectPr>
      </w:pPr>
    </w:p>
    <w:bookmarkStart w:id="94" w:name="page95"/>
    <w:bookmarkEnd w:id="94"/>
    <w:tbl>
      <w:tblPr>
        <w:tblLayout w:type="fixed"/>
        <w:tblInd w:w="600" w:type="dxa"/>
        <w:tblCellMar>
          <w:top w:w="0" w:type="dxa"/>
          <w:left w:w="0" w:type="dxa"/>
          <w:bottom w:w="0" w:type="dxa"/>
          <w:right w:w="0" w:type="dxa"/>
        </w:tblCellMar>
      </w:tblPr>
      <w:tr>
        <w:trPr>
          <w:trHeight w:val="161"/>
        </w:trPr>
        <w:tc>
          <w:tcPr>
            <w:tcW w:w="1900" w:type="dxa"/>
            <w:vAlign w:val="bottom"/>
          </w:tcPr>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tc>
        <w:tc>
          <w:tcPr>
            <w:tcW w:w="320" w:type="dxa"/>
            <w:vAlign w:val="bottom"/>
          </w:tcPr>
          <w:p>
            <w:pPr>
              <w:spacing w:after="0"/>
              <w:rPr>
                <w:sz w:val="13"/>
                <w:szCs w:val="13"/>
                <w:color w:val="auto"/>
              </w:rPr>
            </w:pPr>
          </w:p>
        </w:tc>
        <w:tc>
          <w:tcPr>
            <w:tcW w:w="2620" w:type="dxa"/>
            <w:vAlign w:val="bottom"/>
          </w:tcPr>
          <w:p>
            <w:pPr>
              <w:spacing w:after="0"/>
              <w:rPr>
                <w:sz w:val="13"/>
                <w:szCs w:val="13"/>
                <w:color w:val="auto"/>
              </w:rPr>
            </w:pPr>
          </w:p>
        </w:tc>
      </w:tr>
      <w:tr>
        <w:trPr>
          <w:trHeight w:val="349"/>
        </w:trPr>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ind w:left="500"/>
              <w:spacing w:after="0"/>
              <w:rPr>
                <w:sz w:val="20"/>
                <w:szCs w:val="20"/>
                <w:color w:val="auto"/>
              </w:rPr>
            </w:pPr>
            <w:r>
              <w:rPr>
                <w:rFonts w:ascii="Arial" w:cs="Arial" w:eastAsia="Arial" w:hAnsi="Arial"/>
                <w:sz w:val="12"/>
                <w:szCs w:val="12"/>
                <w:b w:val="1"/>
                <w:bCs w:val="1"/>
                <w:color w:val="auto"/>
              </w:rPr>
              <w:t>TERMS OF OUR OFFERING</w:t>
            </w:r>
          </w:p>
        </w:tc>
      </w:tr>
      <w:tr>
        <w:trPr>
          <w:trHeight w:val="45"/>
        </w:trPr>
        <w:tc>
          <w:tcPr>
            <w:tcW w:w="1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r>
        <w:trPr>
          <w:trHeight w:val="207"/>
        </w:trPr>
        <w:tc>
          <w:tcPr>
            <w:tcW w:w="190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rPr>
              <w:t>of the ordinary shares, represented in</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person or by proxy and entitled to vote</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7"/>
              </w:rPr>
              <w:t>thereon, voted at a shareholder meeting</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are voted in favor of the business</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combination. Additionally, each public</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shareholder may elect to redeem their</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public shares irrespective of whether</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they vote for or against the proposed</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transaction or vote at all. Our amended</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9"/>
              </w:rPr>
              <w:t>and restated memorandum and articles</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of association will require that at least</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five clear days’ notice will be given of</w:t>
            </w:r>
          </w:p>
        </w:tc>
      </w:tr>
      <w:tr>
        <w:trPr>
          <w:trHeight w:val="177"/>
        </w:trPr>
        <w:tc>
          <w:tcPr>
            <w:tcW w:w="1900" w:type="dxa"/>
            <w:vAlign w:val="bottom"/>
          </w:tcPr>
          <w:p>
            <w:pPr>
              <w:spacing w:after="0"/>
              <w:rPr>
                <w:sz w:val="15"/>
                <w:szCs w:val="15"/>
                <w:color w:val="auto"/>
              </w:rPr>
            </w:pP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rPr>
              <w:t>any such shareholder meeting.</w:t>
            </w:r>
          </w:p>
        </w:tc>
      </w:tr>
      <w:tr>
        <w:trPr>
          <w:trHeight w:val="433"/>
        </w:trPr>
        <w:tc>
          <w:tcPr>
            <w:tcW w:w="1900" w:type="dxa"/>
            <w:vAlign w:val="bottom"/>
          </w:tcPr>
          <w:p>
            <w:pPr>
              <w:spacing w:after="0"/>
              <w:rPr>
                <w:sz w:val="20"/>
                <w:szCs w:val="20"/>
                <w:color w:val="auto"/>
              </w:rPr>
            </w:pPr>
            <w:r>
              <w:rPr>
                <w:rFonts w:ascii="Arial" w:cs="Arial" w:eastAsia="Arial" w:hAnsi="Arial"/>
                <w:sz w:val="15"/>
                <w:szCs w:val="15"/>
                <w:b w:val="1"/>
                <w:bCs w:val="1"/>
                <w:color w:val="auto"/>
              </w:rPr>
              <w:t>Business combination</w:t>
            </w: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rPr>
              <w:t>If we do not consummate an initial</w:t>
            </w:r>
          </w:p>
        </w:tc>
      </w:tr>
      <w:tr>
        <w:trPr>
          <w:trHeight w:val="181"/>
        </w:trPr>
        <w:tc>
          <w:tcPr>
            <w:tcW w:w="1900" w:type="dxa"/>
            <w:vAlign w:val="bottom"/>
          </w:tcPr>
          <w:p>
            <w:pPr>
              <w:ind w:left="140"/>
              <w:spacing w:after="0"/>
              <w:rPr>
                <w:sz w:val="20"/>
                <w:szCs w:val="20"/>
                <w:color w:val="auto"/>
              </w:rPr>
            </w:pPr>
            <w:r>
              <w:rPr>
                <w:rFonts w:ascii="Arial" w:cs="Arial" w:eastAsia="Arial" w:hAnsi="Arial"/>
                <w:sz w:val="15"/>
                <w:szCs w:val="15"/>
                <w:b w:val="1"/>
                <w:bCs w:val="1"/>
                <w:color w:val="auto"/>
              </w:rPr>
              <w:t>deadline</w:t>
            </w: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w w:val="99"/>
              </w:rPr>
              <w:t>business combination within 24 months</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from the closing of this offering, we will</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(i) cease all operations except for the</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purpose of winding up; (ii) as promptly</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as reasonably possible but not more</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than ten business days thereafter,</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9"/>
              </w:rPr>
              <w:t>redeem 100% of the public shares, at a</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per-share price, payable in cash, equal</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to the aggregate amount then on</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deposit in the trust account, including</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9"/>
              </w:rPr>
              <w:t>interest earned on the funds held in the</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trust account and not previously</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9"/>
              </w:rPr>
              <w:t>released to us to pay our income taxes,</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8"/>
              </w:rPr>
              <w:t>if any (less up to $100,000 of interest to</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pay dissolution expenses), divided by</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the number of the then-outstanding</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public shares, which redemption will</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completely extinguish public</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shareholders’ rights as shareholders</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(including the right to receive further</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liquidation distributions, if any); and</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(iii) as promptly as reasonably possible</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following such redemption, subject to</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the approval of our remaining</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shareholders and our board of</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8"/>
              </w:rPr>
              <w:t>directors, liquidate and dissolve, subject</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9"/>
              </w:rPr>
              <w:t>in the case of clauses (ii) and (iii) to our</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obligations under Cayman Islands law</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to provide for claims of creditors and</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the requirements of other applicable</w:t>
            </w:r>
          </w:p>
        </w:tc>
      </w:tr>
      <w:tr>
        <w:trPr>
          <w:trHeight w:val="177"/>
        </w:trPr>
        <w:tc>
          <w:tcPr>
            <w:tcW w:w="1900" w:type="dxa"/>
            <w:vAlign w:val="bottom"/>
          </w:tcPr>
          <w:p>
            <w:pPr>
              <w:spacing w:after="0"/>
              <w:rPr>
                <w:sz w:val="15"/>
                <w:szCs w:val="15"/>
                <w:color w:val="auto"/>
              </w:rPr>
            </w:pP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rPr>
              <w:t>law.</w:t>
            </w:r>
          </w:p>
        </w:tc>
      </w:tr>
      <w:tr>
        <w:trPr>
          <w:trHeight w:val="451"/>
        </w:trPr>
        <w:tc>
          <w:tcPr>
            <w:tcW w:w="1900" w:type="dxa"/>
            <w:vAlign w:val="bottom"/>
          </w:tcPr>
          <w:p>
            <w:pPr>
              <w:spacing w:after="0"/>
              <w:rPr>
                <w:sz w:val="20"/>
                <w:szCs w:val="20"/>
                <w:color w:val="auto"/>
              </w:rPr>
            </w:pPr>
            <w:r>
              <w:rPr>
                <w:rFonts w:ascii="Arial" w:cs="Arial" w:eastAsia="Arial" w:hAnsi="Arial"/>
                <w:sz w:val="15"/>
                <w:szCs w:val="15"/>
                <w:b w:val="1"/>
                <w:bCs w:val="1"/>
                <w:color w:val="auto"/>
              </w:rPr>
              <w:t>Release of funds</w:t>
            </w: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rPr>
              <w:t>Except with respect to interest earned</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on the funds held in the trust account</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that may be released to us to pay our</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w w:val="98"/>
              </w:rPr>
              <w:t>income taxes, if any, until the earliest of</w:t>
            </w:r>
          </w:p>
        </w:tc>
      </w:tr>
      <w:tr>
        <w:trPr>
          <w:trHeight w:val="163"/>
        </w:trPr>
        <w:tc>
          <w:tcPr>
            <w:tcW w:w="1900" w:type="dxa"/>
            <w:vAlign w:val="bottom"/>
          </w:tcPr>
          <w:p>
            <w:pPr>
              <w:spacing w:after="0"/>
              <w:rPr>
                <w:sz w:val="14"/>
                <w:szCs w:val="14"/>
                <w:color w:val="auto"/>
              </w:rPr>
            </w:pPr>
          </w:p>
        </w:tc>
        <w:tc>
          <w:tcPr>
            <w:tcW w:w="2940" w:type="dxa"/>
            <w:vAlign w:val="bottom"/>
            <w:gridSpan w:val="2"/>
          </w:tcPr>
          <w:p>
            <w:pPr>
              <w:ind w:left="320"/>
              <w:spacing w:after="0" w:line="163" w:lineRule="exact"/>
              <w:rPr>
                <w:sz w:val="20"/>
                <w:szCs w:val="20"/>
                <w:color w:val="auto"/>
              </w:rPr>
            </w:pPr>
            <w:r>
              <w:rPr>
                <w:rFonts w:ascii="Arial" w:cs="Arial" w:eastAsia="Arial" w:hAnsi="Arial"/>
                <w:sz w:val="15"/>
                <w:szCs w:val="15"/>
                <w:color w:val="auto"/>
              </w:rPr>
              <w:t>(i) the completion of our initial business</w:t>
            </w:r>
          </w:p>
        </w:tc>
      </w:tr>
      <w:tr>
        <w:trPr>
          <w:trHeight w:val="177"/>
        </w:trPr>
        <w:tc>
          <w:tcPr>
            <w:tcW w:w="1900" w:type="dxa"/>
            <w:vAlign w:val="bottom"/>
          </w:tcPr>
          <w:p>
            <w:pPr>
              <w:spacing w:after="0"/>
              <w:rPr>
                <w:sz w:val="15"/>
                <w:szCs w:val="15"/>
                <w:color w:val="auto"/>
              </w:rPr>
            </w:pPr>
          </w:p>
        </w:tc>
        <w:tc>
          <w:tcPr>
            <w:tcW w:w="2940" w:type="dxa"/>
            <w:vAlign w:val="bottom"/>
            <w:gridSpan w:val="2"/>
          </w:tcPr>
          <w:p>
            <w:pPr>
              <w:ind w:left="320"/>
              <w:spacing w:after="0"/>
              <w:rPr>
                <w:sz w:val="20"/>
                <w:szCs w:val="20"/>
                <w:color w:val="auto"/>
              </w:rPr>
            </w:pPr>
            <w:r>
              <w:rPr>
                <w:rFonts w:ascii="Arial" w:cs="Arial" w:eastAsia="Arial" w:hAnsi="Arial"/>
                <w:sz w:val="15"/>
                <w:szCs w:val="15"/>
                <w:color w:val="auto"/>
              </w:rPr>
              <w:t>combination, (ii) the redemption of our</w:t>
            </w:r>
          </w:p>
        </w:tc>
      </w:tr>
      <w:tr>
        <w:trPr>
          <w:trHeight w:val="347"/>
        </w:trPr>
        <w:tc>
          <w:tcPr>
            <w:tcW w:w="1900" w:type="dxa"/>
            <w:vAlign w:val="bottom"/>
          </w:tcPr>
          <w:p>
            <w:pPr>
              <w:spacing w:after="0"/>
              <w:rPr>
                <w:sz w:val="24"/>
                <w:szCs w:val="24"/>
                <w:color w:val="auto"/>
              </w:rPr>
            </w:pPr>
          </w:p>
        </w:tc>
        <w:tc>
          <w:tcPr>
            <w:tcW w:w="2940" w:type="dxa"/>
            <w:vAlign w:val="bottom"/>
            <w:gridSpan w:val="2"/>
          </w:tcPr>
          <w:p>
            <w:pPr>
              <w:ind w:left="1920"/>
              <w:spacing w:after="0"/>
              <w:rPr>
                <w:sz w:val="20"/>
                <w:szCs w:val="20"/>
                <w:color w:val="auto"/>
              </w:rPr>
            </w:pPr>
            <w:r>
              <w:rPr>
                <w:rFonts w:ascii="Arial" w:cs="Arial" w:eastAsia="Arial" w:hAnsi="Arial"/>
                <w:sz w:val="14"/>
                <w:szCs w:val="14"/>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99060</wp:posOffset>
            </wp:positionV>
            <wp:extent cx="6028055"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166941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69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59"/>
        <w:spacing w:after="0" w:line="229" w:lineRule="auto"/>
        <w:rPr>
          <w:sz w:val="20"/>
          <w:szCs w:val="20"/>
          <w:color w:val="auto"/>
        </w:rPr>
      </w:pPr>
      <w:r>
        <w:rPr>
          <w:rFonts w:ascii="Arial" w:cs="Arial" w:eastAsia="Arial" w:hAnsi="Arial"/>
          <w:sz w:val="15"/>
          <w:szCs w:val="15"/>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99"/>
        <w:spacing w:after="0" w:line="229" w:lineRule="auto"/>
        <w:rPr>
          <w:sz w:val="20"/>
          <w:szCs w:val="20"/>
          <w:color w:val="auto"/>
        </w:rPr>
      </w:pPr>
      <w:r>
        <w:rPr>
          <w:rFonts w:ascii="Arial" w:cs="Arial" w:eastAsia="Arial" w:hAnsi="Arial"/>
          <w:sz w:val="15"/>
          <w:szCs w:val="15"/>
          <w:color w:val="auto"/>
        </w:rPr>
        <w:t>The proceeds held in the escrow account are not released until the earlier of the completion of a business combination and the failure to effect a business combination within the allotted time.</w:t>
      </w:r>
    </w:p>
    <w:p>
      <w:pPr>
        <w:sectPr>
          <w:pgSz w:w="11900" w:h="16838" w:orient="portrait"/>
          <w:cols w:equalWidth="0" w:num="2">
            <w:col w:w="5440" w:space="340"/>
            <w:col w:w="3239"/>
          </w:cols>
          <w:pgMar w:left="1440" w:top="248" w:right="1440" w:bottom="1440" w:gutter="0" w:footer="0" w:header="0"/>
        </w:sectPr>
      </w:pPr>
    </w:p>
    <w:bookmarkStart w:id="95" w:name="page96"/>
    <w:bookmarkEnd w:id="9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3320"/>
        <w:spacing w:after="0"/>
        <w:tabs>
          <w:tab w:leader="none" w:pos="5920" w:val="left"/>
        </w:tabs>
        <w:rPr>
          <w:sz w:val="20"/>
          <w:szCs w:val="20"/>
          <w:color w:val="auto"/>
        </w:rPr>
      </w:pPr>
      <w:r>
        <w:rPr>
          <w:rFonts w:ascii="Arial" w:cs="Arial" w:eastAsia="Arial" w:hAnsi="Arial"/>
          <w:sz w:val="12"/>
          <w:szCs w:val="12"/>
          <w:b w:val="1"/>
          <w:bCs w:val="1"/>
          <w:color w:val="auto"/>
        </w:rPr>
        <w:t>TERMS OF OUR OFFERING</w:t>
      </w:r>
      <w:r>
        <w:rPr>
          <w:sz w:val="20"/>
          <w:szCs w:val="20"/>
          <w:color w:val="auto"/>
        </w:rPr>
        <w:tab/>
      </w:r>
      <w:r>
        <w:rPr>
          <w:rFonts w:ascii="Arial" w:cs="Arial" w:eastAsia="Arial" w:hAnsi="Arial"/>
          <w:sz w:val="12"/>
          <w:szCs w:val="12"/>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44450</wp:posOffset>
            </wp:positionV>
            <wp:extent cx="35534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53460" cy="7620"/>
                    </a:xfrm>
                    <a:prstGeom prst="rect">
                      <a:avLst/>
                    </a:prstGeom>
                    <a:noFill/>
                  </pic:spPr>
                </pic:pic>
              </a:graphicData>
            </a:graphic>
          </wp:anchor>
        </w:drawing>
      </w:r>
    </w:p>
    <w:p>
      <w:pPr>
        <w:spacing w:after="0" w:line="105" w:lineRule="exact"/>
        <w:rPr>
          <w:sz w:val="20"/>
          <w:szCs w:val="20"/>
          <w:color w:val="auto"/>
        </w:rPr>
      </w:pPr>
    </w:p>
    <w:p>
      <w:pPr>
        <w:ind w:left="2820"/>
        <w:spacing w:after="0"/>
        <w:rPr>
          <w:sz w:val="20"/>
          <w:szCs w:val="20"/>
          <w:color w:val="auto"/>
        </w:rPr>
      </w:pPr>
      <w:r>
        <w:rPr>
          <w:rFonts w:ascii="Arial" w:cs="Arial" w:eastAsia="Arial" w:hAnsi="Arial"/>
          <w:sz w:val="15"/>
          <w:szCs w:val="15"/>
          <w:color w:val="auto"/>
        </w:rPr>
        <w:t>public shares if we have not</w:t>
      </w:r>
    </w:p>
    <w:p>
      <w:pPr>
        <w:ind w:left="2820"/>
        <w:spacing w:after="0" w:line="226" w:lineRule="auto"/>
        <w:rPr>
          <w:sz w:val="20"/>
          <w:szCs w:val="20"/>
          <w:color w:val="auto"/>
        </w:rPr>
      </w:pPr>
      <w:r>
        <w:rPr>
          <w:rFonts w:ascii="Arial" w:cs="Arial" w:eastAsia="Arial" w:hAnsi="Arial"/>
          <w:sz w:val="15"/>
          <w:szCs w:val="15"/>
          <w:color w:val="auto"/>
        </w:rPr>
        <w:t>consummated an initial business</w:t>
      </w:r>
    </w:p>
    <w:p>
      <w:pPr>
        <w:ind w:left="2820"/>
        <w:spacing w:after="0" w:line="227" w:lineRule="auto"/>
        <w:rPr>
          <w:sz w:val="20"/>
          <w:szCs w:val="20"/>
          <w:color w:val="auto"/>
        </w:rPr>
      </w:pPr>
      <w:r>
        <w:rPr>
          <w:rFonts w:ascii="Arial" w:cs="Arial" w:eastAsia="Arial" w:hAnsi="Arial"/>
          <w:sz w:val="15"/>
          <w:szCs w:val="15"/>
          <w:color w:val="auto"/>
        </w:rPr>
        <w:t>combination within 24 months from the</w:t>
      </w:r>
    </w:p>
    <w:p>
      <w:pPr>
        <w:ind w:left="2820"/>
        <w:spacing w:after="0" w:line="226" w:lineRule="auto"/>
        <w:rPr>
          <w:sz w:val="20"/>
          <w:szCs w:val="20"/>
          <w:color w:val="auto"/>
        </w:rPr>
      </w:pPr>
      <w:r>
        <w:rPr>
          <w:rFonts w:ascii="Arial" w:cs="Arial" w:eastAsia="Arial" w:hAnsi="Arial"/>
          <w:sz w:val="15"/>
          <w:szCs w:val="15"/>
          <w:color w:val="auto"/>
        </w:rPr>
        <w:t>closing of this offering, subject to</w:t>
      </w:r>
    </w:p>
    <w:p>
      <w:pPr>
        <w:ind w:left="2820"/>
        <w:spacing w:after="0" w:line="227" w:lineRule="auto"/>
        <w:rPr>
          <w:sz w:val="20"/>
          <w:szCs w:val="20"/>
          <w:color w:val="auto"/>
        </w:rPr>
      </w:pPr>
      <w:r>
        <w:rPr>
          <w:rFonts w:ascii="Arial" w:cs="Arial" w:eastAsia="Arial" w:hAnsi="Arial"/>
          <w:sz w:val="15"/>
          <w:szCs w:val="15"/>
          <w:color w:val="auto"/>
        </w:rPr>
        <w:t>applicable law and (iii) the redemption</w:t>
      </w:r>
    </w:p>
    <w:p>
      <w:pPr>
        <w:ind w:left="2820"/>
        <w:spacing w:after="0" w:line="227" w:lineRule="auto"/>
        <w:rPr>
          <w:sz w:val="20"/>
          <w:szCs w:val="20"/>
          <w:color w:val="auto"/>
        </w:rPr>
      </w:pPr>
      <w:r>
        <w:rPr>
          <w:rFonts w:ascii="Arial" w:cs="Arial" w:eastAsia="Arial" w:hAnsi="Arial"/>
          <w:sz w:val="15"/>
          <w:szCs w:val="15"/>
          <w:color w:val="auto"/>
        </w:rPr>
        <w:t>of our public shares properly submitted</w:t>
      </w:r>
    </w:p>
    <w:p>
      <w:pPr>
        <w:ind w:left="2820"/>
        <w:spacing w:after="0" w:line="226" w:lineRule="auto"/>
        <w:rPr>
          <w:sz w:val="20"/>
          <w:szCs w:val="20"/>
          <w:color w:val="auto"/>
        </w:rPr>
      </w:pPr>
      <w:r>
        <w:rPr>
          <w:rFonts w:ascii="Arial" w:cs="Arial" w:eastAsia="Arial" w:hAnsi="Arial"/>
          <w:sz w:val="15"/>
          <w:szCs w:val="15"/>
          <w:color w:val="auto"/>
        </w:rPr>
        <w:t>in connection with a shareholder vote to</w:t>
      </w:r>
    </w:p>
    <w:p>
      <w:pPr>
        <w:ind w:left="2820"/>
        <w:spacing w:after="0" w:line="227" w:lineRule="auto"/>
        <w:rPr>
          <w:sz w:val="20"/>
          <w:szCs w:val="20"/>
          <w:color w:val="auto"/>
        </w:rPr>
      </w:pPr>
      <w:r>
        <w:rPr>
          <w:rFonts w:ascii="Arial" w:cs="Arial" w:eastAsia="Arial" w:hAnsi="Arial"/>
          <w:sz w:val="15"/>
          <w:szCs w:val="15"/>
          <w:color w:val="auto"/>
        </w:rPr>
        <w:t>approve an amendment to our</w:t>
      </w:r>
    </w:p>
    <w:p>
      <w:pPr>
        <w:ind w:left="2820"/>
        <w:spacing w:after="0" w:line="227" w:lineRule="auto"/>
        <w:rPr>
          <w:sz w:val="20"/>
          <w:szCs w:val="20"/>
          <w:color w:val="auto"/>
        </w:rPr>
      </w:pPr>
      <w:r>
        <w:rPr>
          <w:rFonts w:ascii="Arial" w:cs="Arial" w:eastAsia="Arial" w:hAnsi="Arial"/>
          <w:sz w:val="15"/>
          <w:szCs w:val="15"/>
          <w:color w:val="auto"/>
        </w:rPr>
        <w:t>amended and restated memorandum</w:t>
      </w:r>
    </w:p>
    <w:p>
      <w:pPr>
        <w:ind w:left="2820"/>
        <w:spacing w:after="0" w:line="226" w:lineRule="auto"/>
        <w:rPr>
          <w:sz w:val="20"/>
          <w:szCs w:val="20"/>
          <w:color w:val="auto"/>
        </w:rPr>
      </w:pPr>
      <w:r>
        <w:rPr>
          <w:rFonts w:ascii="Arial" w:cs="Arial" w:eastAsia="Arial" w:hAnsi="Arial"/>
          <w:sz w:val="15"/>
          <w:szCs w:val="15"/>
          <w:color w:val="auto"/>
        </w:rPr>
        <w:t>and articles of association (A) that</w:t>
      </w:r>
    </w:p>
    <w:p>
      <w:pPr>
        <w:ind w:left="2820"/>
        <w:spacing w:after="0" w:line="227" w:lineRule="auto"/>
        <w:rPr>
          <w:sz w:val="20"/>
          <w:szCs w:val="20"/>
          <w:color w:val="auto"/>
        </w:rPr>
      </w:pPr>
      <w:r>
        <w:rPr>
          <w:rFonts w:ascii="Arial" w:cs="Arial" w:eastAsia="Arial" w:hAnsi="Arial"/>
          <w:sz w:val="15"/>
          <w:szCs w:val="15"/>
          <w:color w:val="auto"/>
        </w:rPr>
        <w:t>would modify the substance or timing of</w:t>
      </w:r>
    </w:p>
    <w:p>
      <w:pPr>
        <w:ind w:left="2820"/>
        <w:spacing w:after="0" w:line="226" w:lineRule="auto"/>
        <w:rPr>
          <w:sz w:val="20"/>
          <w:szCs w:val="20"/>
          <w:color w:val="auto"/>
        </w:rPr>
      </w:pPr>
      <w:r>
        <w:rPr>
          <w:rFonts w:ascii="Arial" w:cs="Arial" w:eastAsia="Arial" w:hAnsi="Arial"/>
          <w:sz w:val="15"/>
          <w:szCs w:val="15"/>
          <w:color w:val="auto"/>
        </w:rPr>
        <w:t>our obligation to provide holders of our</w:t>
      </w:r>
    </w:p>
    <w:p>
      <w:pPr>
        <w:ind w:left="2820"/>
        <w:spacing w:after="0" w:line="227" w:lineRule="auto"/>
        <w:rPr>
          <w:sz w:val="20"/>
          <w:szCs w:val="20"/>
          <w:color w:val="auto"/>
        </w:rPr>
      </w:pPr>
      <w:r>
        <w:rPr>
          <w:rFonts w:ascii="Arial" w:cs="Arial" w:eastAsia="Arial" w:hAnsi="Arial"/>
          <w:sz w:val="15"/>
          <w:szCs w:val="15"/>
          <w:color w:val="auto"/>
        </w:rPr>
        <w:t>Class A ordinary shares the right to</w:t>
      </w:r>
    </w:p>
    <w:p>
      <w:pPr>
        <w:ind w:left="2820"/>
        <w:spacing w:after="0" w:line="227" w:lineRule="auto"/>
        <w:rPr>
          <w:sz w:val="20"/>
          <w:szCs w:val="20"/>
          <w:color w:val="auto"/>
        </w:rPr>
      </w:pPr>
      <w:r>
        <w:rPr>
          <w:rFonts w:ascii="Arial" w:cs="Arial" w:eastAsia="Arial" w:hAnsi="Arial"/>
          <w:sz w:val="15"/>
          <w:szCs w:val="15"/>
          <w:color w:val="auto"/>
        </w:rPr>
        <w:t>have their shares redeemed in</w:t>
      </w:r>
    </w:p>
    <w:p>
      <w:pPr>
        <w:ind w:left="2820"/>
        <w:spacing w:after="0" w:line="226" w:lineRule="auto"/>
        <w:rPr>
          <w:sz w:val="20"/>
          <w:szCs w:val="20"/>
          <w:color w:val="auto"/>
        </w:rPr>
      </w:pPr>
      <w:r>
        <w:rPr>
          <w:rFonts w:ascii="Arial" w:cs="Arial" w:eastAsia="Arial" w:hAnsi="Arial"/>
          <w:sz w:val="15"/>
          <w:szCs w:val="15"/>
          <w:color w:val="auto"/>
        </w:rPr>
        <w:t>connection with our initial business</w:t>
      </w:r>
    </w:p>
    <w:p>
      <w:pPr>
        <w:ind w:left="2820"/>
        <w:spacing w:after="0" w:line="227" w:lineRule="auto"/>
        <w:rPr>
          <w:sz w:val="20"/>
          <w:szCs w:val="20"/>
          <w:color w:val="auto"/>
        </w:rPr>
      </w:pPr>
      <w:r>
        <w:rPr>
          <w:rFonts w:ascii="Arial" w:cs="Arial" w:eastAsia="Arial" w:hAnsi="Arial"/>
          <w:sz w:val="15"/>
          <w:szCs w:val="15"/>
          <w:color w:val="auto"/>
        </w:rPr>
        <w:t>combination or to redeem 100% of our</w:t>
      </w:r>
    </w:p>
    <w:p>
      <w:pPr>
        <w:ind w:left="2820"/>
        <w:spacing w:after="0" w:line="227" w:lineRule="auto"/>
        <w:rPr>
          <w:sz w:val="20"/>
          <w:szCs w:val="20"/>
          <w:color w:val="auto"/>
        </w:rPr>
      </w:pPr>
      <w:r>
        <w:rPr>
          <w:rFonts w:ascii="Arial" w:cs="Arial" w:eastAsia="Arial" w:hAnsi="Arial"/>
          <w:sz w:val="15"/>
          <w:szCs w:val="15"/>
          <w:color w:val="auto"/>
        </w:rPr>
        <w:t>public shares if we do not complete our</w:t>
      </w:r>
    </w:p>
    <w:p>
      <w:pPr>
        <w:ind w:left="2820"/>
        <w:spacing w:after="0" w:line="226" w:lineRule="auto"/>
        <w:rPr>
          <w:sz w:val="20"/>
          <w:szCs w:val="20"/>
          <w:color w:val="auto"/>
        </w:rPr>
      </w:pPr>
      <w:r>
        <w:rPr>
          <w:rFonts w:ascii="Arial" w:cs="Arial" w:eastAsia="Arial" w:hAnsi="Arial"/>
          <w:sz w:val="15"/>
          <w:szCs w:val="15"/>
          <w:color w:val="auto"/>
        </w:rPr>
        <w:t>initial business combination within 24</w:t>
      </w:r>
    </w:p>
    <w:p>
      <w:pPr>
        <w:ind w:left="2820"/>
        <w:spacing w:after="0" w:line="227" w:lineRule="auto"/>
        <w:rPr>
          <w:sz w:val="20"/>
          <w:szCs w:val="20"/>
          <w:color w:val="auto"/>
        </w:rPr>
      </w:pPr>
      <w:r>
        <w:rPr>
          <w:rFonts w:ascii="Arial" w:cs="Arial" w:eastAsia="Arial" w:hAnsi="Arial"/>
          <w:sz w:val="15"/>
          <w:szCs w:val="15"/>
          <w:color w:val="auto"/>
        </w:rPr>
        <w:t>months from the closing of this offering</w:t>
      </w:r>
    </w:p>
    <w:p>
      <w:pPr>
        <w:ind w:left="2820"/>
        <w:spacing w:after="0" w:line="227" w:lineRule="auto"/>
        <w:rPr>
          <w:sz w:val="20"/>
          <w:szCs w:val="20"/>
          <w:color w:val="auto"/>
        </w:rPr>
      </w:pPr>
      <w:r>
        <w:rPr>
          <w:rFonts w:ascii="Arial" w:cs="Arial" w:eastAsia="Arial" w:hAnsi="Arial"/>
          <w:sz w:val="15"/>
          <w:szCs w:val="15"/>
          <w:color w:val="auto"/>
        </w:rPr>
        <w:t>or (B) with respect to any other</w:t>
      </w:r>
    </w:p>
    <w:p>
      <w:pPr>
        <w:ind w:left="2820"/>
        <w:spacing w:after="0" w:line="226" w:lineRule="auto"/>
        <w:rPr>
          <w:sz w:val="20"/>
          <w:szCs w:val="20"/>
          <w:color w:val="auto"/>
        </w:rPr>
      </w:pPr>
      <w:r>
        <w:rPr>
          <w:rFonts w:ascii="Arial" w:cs="Arial" w:eastAsia="Arial" w:hAnsi="Arial"/>
          <w:sz w:val="15"/>
          <w:szCs w:val="15"/>
          <w:color w:val="auto"/>
        </w:rPr>
        <w:t>provision relating to the rights of holders</w:t>
      </w:r>
    </w:p>
    <w:p>
      <w:pPr>
        <w:ind w:left="2820"/>
        <w:spacing w:after="0" w:line="227" w:lineRule="auto"/>
        <w:rPr>
          <w:sz w:val="20"/>
          <w:szCs w:val="20"/>
          <w:color w:val="auto"/>
        </w:rPr>
      </w:pPr>
      <w:r>
        <w:rPr>
          <w:rFonts w:ascii="Arial" w:cs="Arial" w:eastAsia="Arial" w:hAnsi="Arial"/>
          <w:sz w:val="15"/>
          <w:szCs w:val="15"/>
          <w:color w:val="auto"/>
        </w:rPr>
        <w:t>of our Class A ordinary shares. Based</w:t>
      </w:r>
    </w:p>
    <w:p>
      <w:pPr>
        <w:ind w:left="2820"/>
        <w:spacing w:after="0" w:line="226" w:lineRule="auto"/>
        <w:rPr>
          <w:sz w:val="20"/>
          <w:szCs w:val="20"/>
          <w:color w:val="auto"/>
        </w:rPr>
      </w:pPr>
      <w:r>
        <w:rPr>
          <w:rFonts w:ascii="Arial" w:cs="Arial" w:eastAsia="Arial" w:hAnsi="Arial"/>
          <w:sz w:val="15"/>
          <w:szCs w:val="15"/>
          <w:color w:val="auto"/>
        </w:rPr>
        <w:t>on current interest rates, we expect that</w:t>
      </w:r>
    </w:p>
    <w:p>
      <w:pPr>
        <w:ind w:left="2820"/>
        <w:spacing w:after="0" w:line="227" w:lineRule="auto"/>
        <w:rPr>
          <w:sz w:val="20"/>
          <w:szCs w:val="20"/>
          <w:color w:val="auto"/>
        </w:rPr>
      </w:pPr>
      <w:r>
        <w:rPr>
          <w:rFonts w:ascii="Arial" w:cs="Arial" w:eastAsia="Arial" w:hAnsi="Arial"/>
          <w:sz w:val="15"/>
          <w:szCs w:val="15"/>
          <w:color w:val="auto"/>
        </w:rPr>
        <w:t>interest income earned on the trust</w:t>
      </w:r>
    </w:p>
    <w:p>
      <w:pPr>
        <w:ind w:left="2820"/>
        <w:spacing w:after="0" w:line="227" w:lineRule="auto"/>
        <w:rPr>
          <w:sz w:val="20"/>
          <w:szCs w:val="20"/>
          <w:color w:val="auto"/>
        </w:rPr>
      </w:pPr>
      <w:r>
        <w:rPr>
          <w:rFonts w:ascii="Arial" w:cs="Arial" w:eastAsia="Arial" w:hAnsi="Arial"/>
          <w:sz w:val="15"/>
          <w:szCs w:val="15"/>
          <w:color w:val="auto"/>
        </w:rPr>
        <w:t>account (if any) will be sufficient to pay</w:t>
      </w:r>
    </w:p>
    <w:p>
      <w:pPr>
        <w:ind w:left="2820"/>
        <w:spacing w:after="0"/>
        <w:rPr>
          <w:sz w:val="20"/>
          <w:szCs w:val="20"/>
          <w:color w:val="auto"/>
        </w:rPr>
      </w:pPr>
      <w:r>
        <w:rPr>
          <w:rFonts w:ascii="Arial" w:cs="Arial" w:eastAsia="Arial" w:hAnsi="Arial"/>
          <w:sz w:val="15"/>
          <w:szCs w:val="15"/>
          <w:color w:val="auto"/>
        </w:rPr>
        <w:t>our income taxes.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Competition</w:t>
      </w:r>
    </w:p>
    <w:p>
      <w:pPr>
        <w:spacing w:after="0" w:line="160"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Facilities</w:t>
      </w:r>
    </w:p>
    <w:p>
      <w:pPr>
        <w:spacing w:after="0" w:line="159" w:lineRule="exact"/>
        <w:rPr>
          <w:sz w:val="20"/>
          <w:szCs w:val="20"/>
          <w:color w:val="auto"/>
        </w:rPr>
      </w:pPr>
    </w:p>
    <w:p>
      <w:pPr>
        <w:ind w:left="600" w:right="619"/>
        <w:spacing w:after="0" w:line="194" w:lineRule="auto"/>
        <w:rPr>
          <w:sz w:val="20"/>
          <w:szCs w:val="20"/>
          <w:color w:val="auto"/>
        </w:rPr>
      </w:pPr>
      <w:r>
        <w:rPr>
          <w:rFonts w:ascii="Arial" w:cs="Arial" w:eastAsia="Arial" w:hAnsi="Arial"/>
          <w:sz w:val="15"/>
          <w:szCs w:val="15"/>
          <w:color w:val="auto"/>
        </w:rPr>
        <w:t>We currently maintain our executive offices at 51 Astor Place, 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New York 10003. The cost for our use of this space is included in the $10,000 per month fee we will pay to our sponsor for office space, administrative and support services. We consider our current office space adequate for our current operations.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Employees</w:t>
      </w:r>
    </w:p>
    <w:p>
      <w:pPr>
        <w:spacing w:after="0" w:line="160" w:lineRule="exact"/>
        <w:rPr>
          <w:sz w:val="20"/>
          <w:szCs w:val="20"/>
          <w:color w:val="auto"/>
        </w:rPr>
      </w:pPr>
    </w:p>
    <w:p>
      <w:pPr>
        <w:ind w:left="600" w:right="759"/>
        <w:spacing w:after="0" w:line="254" w:lineRule="auto"/>
        <w:rPr>
          <w:sz w:val="20"/>
          <w:szCs w:val="20"/>
          <w:color w:val="auto"/>
        </w:rPr>
      </w:pPr>
      <w:r>
        <w:rPr>
          <w:rFonts w:ascii="Arial" w:cs="Arial" w:eastAsia="Arial" w:hAnsi="Arial"/>
          <w:sz w:val="14"/>
          <w:szCs w:val="14"/>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6" w:name="page97"/>
    <w:bookmarkEnd w:id="9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39"/>
        <w:spacing w:after="0" w:line="233" w:lineRule="auto"/>
        <w:rPr>
          <w:sz w:val="20"/>
          <w:szCs w:val="20"/>
          <w:color w:val="auto"/>
        </w:rPr>
      </w:pPr>
      <w:r>
        <w:rPr>
          <w:rFonts w:ascii="Arial" w:cs="Arial" w:eastAsia="Arial" w:hAnsi="Arial"/>
          <w:sz w:val="15"/>
          <w:szCs w:val="15"/>
          <w:color w:val="auto"/>
        </w:rPr>
        <w:t>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Periodic Reporting and Financial Information</w:t>
      </w:r>
    </w:p>
    <w:p>
      <w:pPr>
        <w:spacing w:after="0" w:line="148" w:lineRule="exact"/>
        <w:rPr>
          <w:sz w:val="20"/>
          <w:szCs w:val="20"/>
          <w:color w:val="auto"/>
        </w:rPr>
      </w:pPr>
    </w:p>
    <w:p>
      <w:pPr>
        <w:ind w:left="600" w:right="719"/>
        <w:spacing w:after="0" w:line="231" w:lineRule="auto"/>
        <w:rPr>
          <w:sz w:val="20"/>
          <w:szCs w:val="20"/>
          <w:color w:val="auto"/>
        </w:rPr>
      </w:pPr>
      <w:r>
        <w:rPr>
          <w:rFonts w:ascii="Arial" w:cs="Arial" w:eastAsia="Arial" w:hAnsi="Arial"/>
          <w:sz w:val="15"/>
          <w:szCs w:val="15"/>
          <w:color w:val="auto"/>
        </w:rPr>
        <w:t>We will register our Class A ordinary shares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39"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39"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will be required to evaluate our internal control procedures for the fiscal year ending December 31, 2021 as required by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8" w:lineRule="exact"/>
        <w:rPr>
          <w:sz w:val="20"/>
          <w:szCs w:val="20"/>
          <w:color w:val="auto"/>
        </w:rPr>
      </w:pPr>
    </w:p>
    <w:p>
      <w:pPr>
        <w:ind w:left="600" w:right="619"/>
        <w:spacing w:after="0" w:line="250" w:lineRule="auto"/>
        <w:rPr>
          <w:sz w:val="20"/>
          <w:szCs w:val="20"/>
          <w:color w:val="auto"/>
        </w:rPr>
      </w:pPr>
      <w:r>
        <w:rPr>
          <w:rFonts w:ascii="Arial" w:cs="Arial" w:eastAsia="Arial" w:hAnsi="Arial"/>
          <w:sz w:val="14"/>
          <w:szCs w:val="14"/>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32"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w:t>
      </w:r>
    </w:p>
    <w:p>
      <w:pPr>
        <w:spacing w:after="0" w:line="4" w:lineRule="exact"/>
        <w:rPr>
          <w:sz w:val="20"/>
          <w:szCs w:val="20"/>
          <w:color w:val="auto"/>
        </w:rPr>
      </w:pPr>
    </w:p>
    <w:p>
      <w:pPr>
        <w:ind w:left="600" w:right="679" w:hanging="5"/>
        <w:spacing w:after="0" w:line="233" w:lineRule="auto"/>
        <w:tabs>
          <w:tab w:leader="none" w:pos="772" w:val="left"/>
        </w:tabs>
        <w:numPr>
          <w:ilvl w:val="0"/>
          <w:numId w:val="20"/>
        </w:numPr>
        <w:rPr>
          <w:rFonts w:ascii="Arial" w:cs="Arial" w:eastAsia="Arial" w:hAnsi="Arial"/>
          <w:sz w:val="15"/>
          <w:szCs w:val="15"/>
          <w:color w:val="auto"/>
        </w:rPr>
      </w:pPr>
      <w:r>
        <w:rPr>
          <w:rFonts w:ascii="Arial" w:cs="Arial" w:eastAsia="Arial" w:hAnsi="Arial"/>
          <w:sz w:val="15"/>
          <w:szCs w:val="15"/>
          <w:color w:val="auto"/>
        </w:rPr>
        <w:t>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38"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7" w:name="page98"/>
    <w:bookmarkEnd w:id="9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36" w:lineRule="auto"/>
        <w:rPr>
          <w:sz w:val="20"/>
          <w:szCs w:val="20"/>
          <w:color w:val="auto"/>
        </w:rPr>
      </w:pPr>
      <w:r>
        <w:rPr>
          <w:rFonts w:ascii="Arial" w:cs="Arial" w:eastAsia="Arial" w:hAnsi="Arial"/>
          <w:sz w:val="15"/>
          <w:szCs w:val="15"/>
          <w:color w:val="auto"/>
        </w:rPr>
        <w:t>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600" w:right="779"/>
        <w:spacing w:after="0" w:line="230" w:lineRule="auto"/>
        <w:rPr>
          <w:sz w:val="20"/>
          <w:szCs w:val="20"/>
          <w:color w:val="auto"/>
        </w:rPr>
      </w:pPr>
      <w:r>
        <w:rPr>
          <w:rFonts w:ascii="Arial" w:cs="Arial" w:eastAsia="Arial" w:hAnsi="Arial"/>
          <w:sz w:val="15"/>
          <w:szCs w:val="15"/>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9"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We will remain an emerging growth company until the earlier of (1) the last day of the fiscal year (a) following the fifth anniversary of the completion of this offering, (b) in which we have total annual gross revenue of at least $1.07 billion, or</w:t>
      </w:r>
    </w:p>
    <w:p>
      <w:pPr>
        <w:spacing w:after="0" w:line="1" w:lineRule="exact"/>
        <w:rPr>
          <w:sz w:val="20"/>
          <w:szCs w:val="20"/>
          <w:color w:val="auto"/>
        </w:rPr>
      </w:pPr>
    </w:p>
    <w:p>
      <w:pPr>
        <w:ind w:left="600" w:right="599" w:hanging="5"/>
        <w:spacing w:after="0" w:line="233" w:lineRule="auto"/>
        <w:tabs>
          <w:tab w:leader="none" w:pos="813"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26"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left="600" w:right="779"/>
        <w:spacing w:after="0" w:line="236" w:lineRule="auto"/>
        <w:rPr>
          <w:sz w:val="20"/>
          <w:szCs w:val="20"/>
          <w:color w:val="auto"/>
        </w:rPr>
      </w:pPr>
      <w:r>
        <w:rPr>
          <w:rFonts w:ascii="Arial" w:cs="Arial" w:eastAsia="Arial" w:hAnsi="Arial"/>
          <w:sz w:val="15"/>
          <w:szCs w:val="15"/>
          <w:color w:val="auto"/>
        </w:rPr>
        <w:t>There is no material litigation, arbitration or governmental proceeding currently pending against us or any members of our management team in their capacity as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8" w:name="page99"/>
    <w:bookmarkEnd w:id="9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Officers, Directors and Director Nominees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officers, directors and director nominees are as follows:</w:t>
      </w:r>
    </w:p>
    <w:p>
      <w:pPr>
        <w:spacing w:after="0" w:line="253"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Age</w:t>
            </w:r>
          </w:p>
        </w:tc>
        <w:tc>
          <w:tcPr>
            <w:tcW w:w="180" w:type="dxa"/>
            <w:vAlign w:val="bottom"/>
          </w:tcPr>
          <w:p>
            <w:pPr>
              <w:spacing w:after="0"/>
              <w:rPr>
                <w:sz w:val="14"/>
                <w:szCs w:val="14"/>
                <w:color w:val="auto"/>
              </w:rPr>
            </w:pPr>
          </w:p>
        </w:tc>
        <w:tc>
          <w:tcPr>
            <w:tcW w:w="3540" w:type="dxa"/>
            <w:vAlign w:val="bottom"/>
          </w:tcPr>
          <w:p>
            <w:pPr>
              <w:ind w:left="1520"/>
              <w:spacing w:after="0"/>
              <w:rPr>
                <w:sz w:val="20"/>
                <w:szCs w:val="20"/>
                <w:color w:val="auto"/>
              </w:rPr>
            </w:pPr>
            <w:r>
              <w:rPr>
                <w:rFonts w:ascii="Arial" w:cs="Arial" w:eastAsia="Arial" w:hAnsi="Arial"/>
                <w:sz w:val="12"/>
                <w:szCs w:val="12"/>
                <w:b w:val="1"/>
                <w:bCs w:val="1"/>
                <w:color w:val="auto"/>
              </w:rPr>
              <w:t>Position</w:t>
            </w:r>
          </w:p>
        </w:tc>
      </w:tr>
      <w:tr>
        <w:trPr>
          <w:trHeight w:val="45"/>
        </w:trPr>
        <w:tc>
          <w:tcPr>
            <w:tcW w:w="33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5"/>
                <w:szCs w:val="15"/>
                <w:color w:val="auto"/>
              </w:rPr>
              <w:t>Joseph Edelman</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64</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Chairman</w:t>
            </w:r>
          </w:p>
        </w:tc>
      </w:tr>
      <w:tr>
        <w:trPr>
          <w:trHeight w:val="256"/>
        </w:trPr>
        <w:tc>
          <w:tcPr>
            <w:tcW w:w="3540" w:type="dxa"/>
            <w:vAlign w:val="bottom"/>
            <w:gridSpan w:val="2"/>
          </w:tcPr>
          <w:p>
            <w:pPr>
              <w:spacing w:after="0"/>
              <w:rPr>
                <w:sz w:val="20"/>
                <w:szCs w:val="20"/>
                <w:color w:val="auto"/>
              </w:rPr>
            </w:pPr>
            <w:r>
              <w:rPr>
                <w:rFonts w:ascii="Arial" w:cs="Arial" w:eastAsia="Arial" w:hAnsi="Arial"/>
                <w:sz w:val="15"/>
                <w:szCs w:val="15"/>
                <w:color w:val="auto"/>
              </w:rPr>
              <w:t>Adam Stone</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Chief Executive Officer and Director</w:t>
            </w:r>
          </w:p>
        </w:tc>
      </w:tr>
      <w:tr>
        <w:trPr>
          <w:trHeight w:val="256"/>
        </w:trPr>
        <w:tc>
          <w:tcPr>
            <w:tcW w:w="3540" w:type="dxa"/>
            <w:vAlign w:val="bottom"/>
            <w:gridSpan w:val="2"/>
          </w:tcPr>
          <w:p>
            <w:pPr>
              <w:spacing w:after="0"/>
              <w:rPr>
                <w:sz w:val="20"/>
                <w:szCs w:val="20"/>
                <w:color w:val="auto"/>
              </w:rPr>
            </w:pPr>
            <w:r>
              <w:rPr>
                <w:rFonts w:ascii="Arial" w:cs="Arial" w:eastAsia="Arial" w:hAnsi="Arial"/>
                <w:sz w:val="15"/>
                <w:szCs w:val="15"/>
                <w:color w:val="auto"/>
              </w:rPr>
              <w:t>Michael Altman</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38</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 and Director</w:t>
            </w:r>
          </w:p>
        </w:tc>
      </w:tr>
      <w:tr>
        <w:trPr>
          <w:trHeight w:val="256"/>
        </w:trPr>
        <w:tc>
          <w:tcPr>
            <w:tcW w:w="3540" w:type="dxa"/>
            <w:vAlign w:val="bottom"/>
            <w:gridSpan w:val="2"/>
          </w:tcPr>
          <w:p>
            <w:pPr>
              <w:spacing w:after="0"/>
              <w:rPr>
                <w:sz w:val="20"/>
                <w:szCs w:val="20"/>
                <w:color w:val="auto"/>
              </w:rPr>
            </w:pPr>
            <w:r>
              <w:rPr>
                <w:rFonts w:ascii="Arial" w:cs="Arial" w:eastAsia="Arial" w:hAnsi="Arial"/>
                <w:sz w:val="15"/>
                <w:szCs w:val="15"/>
                <w:color w:val="auto"/>
              </w:rPr>
              <w:t>Konstantin Poukalov</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Chief Business Officer</w:t>
            </w:r>
          </w:p>
        </w:tc>
      </w:tr>
      <w:tr>
        <w:trPr>
          <w:trHeight w:val="256"/>
        </w:trPr>
        <w:tc>
          <w:tcPr>
            <w:tcW w:w="3540" w:type="dxa"/>
            <w:vAlign w:val="bottom"/>
            <w:gridSpan w:val="2"/>
          </w:tcPr>
          <w:p>
            <w:pPr>
              <w:spacing w:after="0"/>
              <w:rPr>
                <w:sz w:val="20"/>
                <w:szCs w:val="20"/>
                <w:color w:val="auto"/>
              </w:rPr>
            </w:pPr>
            <w:r>
              <w:rPr>
                <w:rFonts w:ascii="Arial" w:cs="Arial" w:eastAsia="Arial" w:hAnsi="Arial"/>
                <w:sz w:val="15"/>
                <w:szCs w:val="15"/>
                <w:color w:val="auto"/>
              </w:rPr>
              <w:t>Todd Wider</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55</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Director Nominee</w:t>
            </w:r>
          </w:p>
        </w:tc>
      </w:tr>
      <w:tr>
        <w:trPr>
          <w:trHeight w:val="256"/>
        </w:trPr>
        <w:tc>
          <w:tcPr>
            <w:tcW w:w="3540" w:type="dxa"/>
            <w:vAlign w:val="bottom"/>
            <w:gridSpan w:val="2"/>
          </w:tcPr>
          <w:p>
            <w:pPr>
              <w:spacing w:after="0"/>
              <w:rPr>
                <w:sz w:val="20"/>
                <w:szCs w:val="20"/>
                <w:color w:val="auto"/>
              </w:rPr>
            </w:pPr>
            <w:r>
              <w:rPr>
                <w:rFonts w:ascii="Arial" w:cs="Arial" w:eastAsia="Arial" w:hAnsi="Arial"/>
                <w:sz w:val="15"/>
                <w:szCs w:val="15"/>
                <w:color w:val="auto"/>
              </w:rPr>
              <w:t>Bradley L. Campbell</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45</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Director Nominee</w:t>
            </w:r>
          </w:p>
        </w:tc>
      </w:tr>
      <w:tr>
        <w:trPr>
          <w:trHeight w:val="256"/>
        </w:trPr>
        <w:tc>
          <w:tcPr>
            <w:tcW w:w="3540" w:type="dxa"/>
            <w:vAlign w:val="bottom"/>
            <w:gridSpan w:val="2"/>
          </w:tcPr>
          <w:p>
            <w:pPr>
              <w:spacing w:after="0"/>
              <w:rPr>
                <w:sz w:val="20"/>
                <w:szCs w:val="20"/>
                <w:color w:val="auto"/>
              </w:rPr>
            </w:pPr>
            <w:r>
              <w:rPr>
                <w:rFonts w:ascii="Arial" w:cs="Arial" w:eastAsia="Arial" w:hAnsi="Arial"/>
                <w:sz w:val="15"/>
                <w:szCs w:val="15"/>
                <w:color w:val="auto"/>
              </w:rPr>
              <w:t>Saqib Islam</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51</w:t>
            </w:r>
          </w:p>
        </w:tc>
        <w:tc>
          <w:tcPr>
            <w:tcW w:w="3720" w:type="dxa"/>
            <w:vAlign w:val="bottom"/>
            <w:gridSpan w:val="2"/>
          </w:tcPr>
          <w:p>
            <w:pPr>
              <w:ind w:left="180"/>
              <w:spacing w:after="0"/>
              <w:rPr>
                <w:sz w:val="20"/>
                <w:szCs w:val="20"/>
                <w:color w:val="auto"/>
              </w:rPr>
            </w:pPr>
            <w:r>
              <w:rPr>
                <w:rFonts w:ascii="Arial" w:cs="Arial" w:eastAsia="Arial" w:hAnsi="Arial"/>
                <w:sz w:val="15"/>
                <w:szCs w:val="15"/>
                <w:color w:val="auto"/>
              </w:rPr>
              <w:t>Director Nominee</w:t>
            </w:r>
          </w:p>
        </w:tc>
      </w:tr>
    </w:tbl>
    <w:p>
      <w:pPr>
        <w:spacing w:after="0" w:line="119" w:lineRule="exact"/>
        <w:rPr>
          <w:sz w:val="20"/>
          <w:szCs w:val="20"/>
          <w:color w:val="auto"/>
        </w:rPr>
      </w:pPr>
    </w:p>
    <w:p>
      <w:pPr>
        <w:ind w:left="600" w:right="639"/>
        <w:spacing w:after="0" w:line="248" w:lineRule="auto"/>
        <w:rPr>
          <w:sz w:val="20"/>
          <w:szCs w:val="20"/>
          <w:color w:val="auto"/>
        </w:rPr>
      </w:pPr>
      <w:r>
        <w:rPr>
          <w:rFonts w:ascii="Arial" w:cs="Arial" w:eastAsia="Arial" w:hAnsi="Arial"/>
          <w:sz w:val="14"/>
          <w:szCs w:val="14"/>
          <w:b w:val="1"/>
          <w:bCs w:val="1"/>
          <w:i w:val="1"/>
          <w:iCs w:val="1"/>
          <w:color w:val="auto"/>
        </w:rPr>
        <w:t xml:space="preserve">Joseph Edelman </w:t>
      </w:r>
      <w:r>
        <w:rPr>
          <w:rFonts w:ascii="Arial" w:cs="Arial" w:eastAsia="Arial" w:hAnsi="Arial"/>
          <w:sz w:val="14"/>
          <w:szCs w:val="14"/>
          <w:color w:val="auto"/>
        </w:rPr>
        <w:t>serves as the Chairman of our board of directors. Mr. Edelman is Founder, Chief Executive Officer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w:t>
      </w:r>
    </w:p>
    <w:p>
      <w:pPr>
        <w:spacing w:after="0" w:line="1" w:lineRule="exact"/>
        <w:rPr>
          <w:sz w:val="20"/>
          <w:szCs w:val="20"/>
          <w:color w:val="auto"/>
        </w:rPr>
      </w:pPr>
    </w:p>
    <w:p>
      <w:pPr>
        <w:ind w:left="600" w:right="839"/>
        <w:spacing w:after="0" w:line="233" w:lineRule="auto"/>
        <w:rPr>
          <w:sz w:val="20"/>
          <w:szCs w:val="20"/>
          <w:color w:val="auto"/>
        </w:rPr>
      </w:pPr>
      <w:r>
        <w:rPr>
          <w:rFonts w:ascii="Arial" w:cs="Arial" w:eastAsia="Arial" w:hAnsi="Arial"/>
          <w:sz w:val="15"/>
          <w:szCs w:val="15"/>
          <w:color w:val="auto"/>
        </w:rPr>
        <w:t>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38" w:lineRule="exact"/>
        <w:rPr>
          <w:sz w:val="20"/>
          <w:szCs w:val="20"/>
          <w:color w:val="auto"/>
        </w:rPr>
      </w:pPr>
    </w:p>
    <w:p>
      <w:pPr>
        <w:ind w:left="600" w:right="759"/>
        <w:spacing w:after="0" w:line="236" w:lineRule="auto"/>
        <w:rPr>
          <w:sz w:val="20"/>
          <w:szCs w:val="20"/>
          <w:color w:val="auto"/>
        </w:rPr>
      </w:pPr>
      <w:r>
        <w:rPr>
          <w:rFonts w:ascii="Arial" w:cs="Arial" w:eastAsia="Arial" w:hAnsi="Arial"/>
          <w:sz w:val="15"/>
          <w:szCs w:val="15"/>
          <w:color w:val="auto"/>
        </w:rPr>
        <w:t>We believe that Mr. Edelman’s broad operational and transactional experience make him well qualified to serve as the Chairman of our board of directors.</w:t>
      </w:r>
    </w:p>
    <w:p>
      <w:pPr>
        <w:spacing w:after="0" w:line="108"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b w:val="1"/>
          <w:bCs w:val="1"/>
          <w:i w:val="1"/>
          <w:iCs w:val="1"/>
          <w:color w:val="auto"/>
        </w:rPr>
        <w:t xml:space="preserve">Adam Stone </w:t>
      </w:r>
      <w:r>
        <w:rPr>
          <w:rFonts w:ascii="Arial" w:cs="Arial" w:eastAsia="Arial" w:hAnsi="Arial"/>
          <w:sz w:val="15"/>
          <w:szCs w:val="15"/>
          <w:color w:val="auto"/>
        </w:rPr>
        <w:t>serves as our Chief Executive Officer and is a member of our board of directors. Mr. Stone joined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II (Nasdaq: ARYB) as well as,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43" w:lineRule="exact"/>
        <w:rPr>
          <w:sz w:val="20"/>
          <w:szCs w:val="20"/>
          <w:color w:val="auto"/>
        </w:rPr>
      </w:pPr>
    </w:p>
    <w:p>
      <w:pPr>
        <w:ind w:left="600" w:right="659"/>
        <w:spacing w:after="0" w:line="236" w:lineRule="auto"/>
        <w:rPr>
          <w:sz w:val="20"/>
          <w:szCs w:val="20"/>
          <w:color w:val="auto"/>
        </w:rPr>
      </w:pPr>
      <w:r>
        <w:rPr>
          <w:rFonts w:ascii="Arial" w:cs="Arial" w:eastAsia="Arial" w:hAnsi="Arial"/>
          <w:sz w:val="15"/>
          <w:szCs w:val="15"/>
          <w:color w:val="auto"/>
        </w:rPr>
        <w:t>We believe that Mr. Stone’s broad operational and transactional experience, and his position as Chief Executive Officer, make him well qualified to serve on our board of directors.</w:t>
      </w:r>
    </w:p>
    <w:p>
      <w:pPr>
        <w:spacing w:after="0" w:line="120" w:lineRule="exact"/>
        <w:rPr>
          <w:sz w:val="20"/>
          <w:szCs w:val="20"/>
          <w:color w:val="auto"/>
        </w:rPr>
      </w:pPr>
    </w:p>
    <w:p>
      <w:pPr>
        <w:ind w:left="600" w:right="659"/>
        <w:spacing w:after="0" w:line="232" w:lineRule="auto"/>
        <w:rPr>
          <w:sz w:val="20"/>
          <w:szCs w:val="20"/>
          <w:color w:val="auto"/>
        </w:rPr>
      </w:pPr>
      <w:r>
        <w:rPr>
          <w:rFonts w:ascii="Arial" w:cs="Arial" w:eastAsia="Arial" w:hAnsi="Arial"/>
          <w:sz w:val="15"/>
          <w:szCs w:val="15"/>
          <w:b w:val="1"/>
          <w:bCs w:val="1"/>
          <w:i w:val="1"/>
          <w:iCs w:val="1"/>
          <w:color w:val="auto"/>
        </w:rPr>
        <w:t>Michael Altman</w:t>
      </w:r>
      <w:r>
        <w:rPr>
          <w:rFonts w:ascii="Arial" w:cs="Arial" w:eastAsia="Arial" w:hAnsi="Arial"/>
          <w:sz w:val="15"/>
          <w:szCs w:val="15"/>
          <w:color w:val="auto"/>
        </w:rPr>
        <w:t>, CFA, serves as our Chief Financial Officer and is a member of our board of directors. Mr. Altman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ARYA Sciences Acquisition Corp II (Nasdaq: ARYB). Prior to joining Perceptive Advisors in, Mr. Altman was a trader and analyst at First New York Securities from 2005 to 2007. Mr. Altman graduated from the University of Vermont with a BS in Business Administration.</w:t>
      </w:r>
    </w:p>
    <w:p>
      <w:pPr>
        <w:spacing w:after="0" w:line="127" w:lineRule="exact"/>
        <w:rPr>
          <w:sz w:val="20"/>
          <w:szCs w:val="20"/>
          <w:color w:val="auto"/>
        </w:rPr>
      </w:pPr>
    </w:p>
    <w:p>
      <w:pPr>
        <w:jc w:val="both"/>
        <w:ind w:left="600" w:right="879"/>
        <w:spacing w:after="0" w:line="236" w:lineRule="auto"/>
        <w:rPr>
          <w:sz w:val="20"/>
          <w:szCs w:val="20"/>
          <w:color w:val="auto"/>
        </w:rPr>
      </w:pPr>
      <w:r>
        <w:rPr>
          <w:rFonts w:ascii="Arial" w:cs="Arial" w:eastAsia="Arial" w:hAnsi="Arial"/>
          <w:sz w:val="15"/>
          <w:szCs w:val="15"/>
          <w:color w:val="auto"/>
        </w:rPr>
        <w:t>We believe that Mr. Altman’s broad operational and transactional experience make him well qualified to serve on our board of directors.</w:t>
      </w:r>
    </w:p>
    <w:p>
      <w:pPr>
        <w:spacing w:after="0" w:line="120" w:lineRule="exact"/>
        <w:rPr>
          <w:sz w:val="20"/>
          <w:szCs w:val="20"/>
          <w:color w:val="auto"/>
        </w:rPr>
      </w:pPr>
    </w:p>
    <w:p>
      <w:pPr>
        <w:jc w:val="both"/>
        <w:ind w:left="600" w:right="879"/>
        <w:spacing w:after="0" w:line="242" w:lineRule="auto"/>
        <w:rPr>
          <w:sz w:val="20"/>
          <w:szCs w:val="20"/>
          <w:color w:val="auto"/>
        </w:rPr>
      </w:pPr>
      <w:r>
        <w:rPr>
          <w:rFonts w:ascii="Arial" w:cs="Arial" w:eastAsia="Arial" w:hAnsi="Arial"/>
          <w:sz w:val="15"/>
          <w:szCs w:val="15"/>
          <w:b w:val="1"/>
          <w:bCs w:val="1"/>
          <w:i w:val="1"/>
          <w:iCs w:val="1"/>
          <w:color w:val="auto"/>
        </w:rPr>
        <w:t>Konstantin Poukalov</w:t>
      </w:r>
      <w:r>
        <w:rPr>
          <w:rFonts w:ascii="Arial" w:cs="Arial" w:eastAsia="Arial" w:hAnsi="Arial"/>
          <w:sz w:val="15"/>
          <w:szCs w:val="15"/>
          <w:color w:val="auto"/>
        </w:rPr>
        <w:t>, our Chief Business Officer, joined Perceptive Advisors in 2019 and is a Managing Director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Perceptive Advisors focused on various strategies across the Perceptive platforms. Mr. Poukalov also serves as the Chief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9" w:name="page100"/>
    <w:bookmarkEnd w:id="9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99"/>
        <w:spacing w:after="0" w:line="228" w:lineRule="auto"/>
        <w:rPr>
          <w:sz w:val="20"/>
          <w:szCs w:val="20"/>
          <w:color w:val="auto"/>
        </w:rPr>
      </w:pPr>
      <w:r>
        <w:rPr>
          <w:rFonts w:ascii="Arial" w:cs="Arial" w:eastAsia="Arial" w:hAnsi="Arial"/>
          <w:sz w:val="15"/>
          <w:szCs w:val="15"/>
          <w:color w:val="auto"/>
        </w:rPr>
        <w:t>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24"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b w:val="1"/>
          <w:bCs w:val="1"/>
          <w:i w:val="1"/>
          <w:iCs w:val="1"/>
          <w:color w:val="auto"/>
        </w:rPr>
        <w:t xml:space="preserve">Dr. Todd Wider </w:t>
      </w:r>
      <w:r>
        <w:rPr>
          <w:rFonts w:ascii="Arial" w:cs="Arial" w:eastAsia="Arial" w:hAnsi="Arial"/>
          <w:sz w:val="15"/>
          <w:szCs w:val="15"/>
          <w:color w:val="auto"/>
        </w:rPr>
        <w:t>has agreed to serve on our board of directors. Dr. Wider is an active, honorary member of the medical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 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40" w:lineRule="exact"/>
        <w:rPr>
          <w:sz w:val="20"/>
          <w:szCs w:val="20"/>
          <w:color w:val="auto"/>
        </w:rPr>
      </w:pPr>
    </w:p>
    <w:p>
      <w:pPr>
        <w:ind w:left="600" w:right="619"/>
        <w:spacing w:after="0" w:line="236" w:lineRule="auto"/>
        <w:rPr>
          <w:sz w:val="20"/>
          <w:szCs w:val="20"/>
          <w:color w:val="auto"/>
        </w:rPr>
      </w:pPr>
      <w:r>
        <w:rPr>
          <w:rFonts w:ascii="Arial" w:cs="Arial" w:eastAsia="Arial" w:hAnsi="Arial"/>
          <w:sz w:val="15"/>
          <w:szCs w:val="15"/>
          <w:color w:val="auto"/>
        </w:rPr>
        <w:t>We believe that Dr. Wider’s experience in the healthcare and life sciences industries make him well qualified to serve on our board of directors.</w:t>
      </w:r>
    </w:p>
    <w:p>
      <w:pPr>
        <w:spacing w:after="0" w:line="108" w:lineRule="exact"/>
        <w:rPr>
          <w:sz w:val="20"/>
          <w:szCs w:val="20"/>
          <w:color w:val="auto"/>
        </w:rPr>
      </w:pPr>
    </w:p>
    <w:p>
      <w:pPr>
        <w:ind w:left="600" w:right="719"/>
        <w:spacing w:after="0" w:line="219" w:lineRule="auto"/>
        <w:rPr>
          <w:sz w:val="20"/>
          <w:szCs w:val="20"/>
          <w:color w:val="auto"/>
        </w:rPr>
      </w:pPr>
      <w:r>
        <w:rPr>
          <w:rFonts w:ascii="Arial" w:cs="Arial" w:eastAsia="Arial" w:hAnsi="Arial"/>
          <w:sz w:val="14"/>
          <w:szCs w:val="14"/>
          <w:b w:val="1"/>
          <w:bCs w:val="1"/>
          <w:i w:val="1"/>
          <w:iCs w:val="1"/>
          <w:color w:val="auto"/>
        </w:rPr>
        <w:t xml:space="preserve">Bradley L. Campbell </w:t>
      </w:r>
      <w:r>
        <w:rPr>
          <w:rFonts w:ascii="Arial" w:cs="Arial" w:eastAsia="Arial" w:hAnsi="Arial"/>
          <w:sz w:val="14"/>
          <w:szCs w:val="14"/>
          <w:color w:val="auto"/>
        </w:rPr>
        <w:t>has agreed to serve on our board of directors. He has nearly 20 years of experience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for the treatment of Fabry Disease. He also oversees the Technical Operations, Market Access, Program Management and Clinical Operations functions. Previously,</w:t>
      </w:r>
    </w:p>
    <w:p>
      <w:pPr>
        <w:spacing w:after="0" w:line="3" w:lineRule="exact"/>
        <w:rPr>
          <w:sz w:val="20"/>
          <w:szCs w:val="20"/>
          <w:color w:val="auto"/>
        </w:rPr>
      </w:pPr>
    </w:p>
    <w:p>
      <w:pPr>
        <w:ind w:left="600" w:right="719"/>
        <w:spacing w:after="0" w:line="228" w:lineRule="auto"/>
        <w:rPr>
          <w:sz w:val="20"/>
          <w:szCs w:val="20"/>
          <w:color w:val="auto"/>
        </w:rPr>
      </w:pPr>
      <w:r>
        <w:rPr>
          <w:rFonts w:ascii="Arial" w:cs="Arial" w:eastAsia="Arial" w:hAnsi="Arial"/>
          <w:sz w:val="15"/>
          <w:szCs w:val="15"/>
          <w:color w:val="auto"/>
        </w:rPr>
        <w:t>Mr. Campbell served as Chief Operating Officer of Amicus from December 2013 to January 2015 and, prior thereto, as Chief Business Officer of Amicus from February 2012 to December 2013. From January 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41" w:lineRule="exact"/>
        <w:rPr>
          <w:sz w:val="20"/>
          <w:szCs w:val="20"/>
          <w:color w:val="auto"/>
        </w:rPr>
      </w:pPr>
    </w:p>
    <w:p>
      <w:pPr>
        <w:ind w:left="600" w:right="979"/>
        <w:spacing w:after="0" w:line="236" w:lineRule="auto"/>
        <w:rPr>
          <w:sz w:val="20"/>
          <w:szCs w:val="20"/>
          <w:color w:val="auto"/>
        </w:rPr>
      </w:pPr>
      <w:r>
        <w:rPr>
          <w:rFonts w:ascii="Arial" w:cs="Arial" w:eastAsia="Arial" w:hAnsi="Arial"/>
          <w:sz w:val="15"/>
          <w:szCs w:val="15"/>
          <w:color w:val="auto"/>
        </w:rPr>
        <w:t>We believe that Mr. Campbell’s experience in the healthcare and life sciences industries make him well qualified to serve on our board of directors.</w:t>
      </w:r>
    </w:p>
    <w:p>
      <w:pPr>
        <w:spacing w:after="0" w:line="120" w:lineRule="exact"/>
        <w:rPr>
          <w:sz w:val="20"/>
          <w:szCs w:val="20"/>
          <w:color w:val="auto"/>
        </w:rPr>
      </w:pPr>
    </w:p>
    <w:p>
      <w:pPr>
        <w:ind w:left="600" w:right="679"/>
        <w:spacing w:after="0" w:line="231" w:lineRule="auto"/>
        <w:rPr>
          <w:sz w:val="20"/>
          <w:szCs w:val="20"/>
          <w:color w:val="auto"/>
        </w:rPr>
      </w:pPr>
      <w:r>
        <w:rPr>
          <w:rFonts w:ascii="Arial" w:cs="Arial" w:eastAsia="Arial" w:hAnsi="Arial"/>
          <w:sz w:val="15"/>
          <w:szCs w:val="15"/>
          <w:b w:val="1"/>
          <w:bCs w:val="1"/>
          <w:i w:val="1"/>
          <w:iCs w:val="1"/>
          <w:color w:val="auto"/>
        </w:rPr>
        <w:t xml:space="preserve">Saqib Islam </w:t>
      </w:r>
      <w:r>
        <w:rPr>
          <w:rFonts w:ascii="Arial" w:cs="Arial" w:eastAsia="Arial" w:hAnsi="Arial"/>
          <w:sz w:val="15"/>
          <w:szCs w:val="15"/>
          <w:color w:val="auto"/>
        </w:rPr>
        <w:t>has agreed to serve on our board of directors. Mr. Islam has served as the Chief Executive Officer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0" w:name="page101"/>
    <w:bookmarkEnd w:id="10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19"/>
        <w:spacing w:after="0" w:line="233" w:lineRule="auto"/>
        <w:rPr>
          <w:sz w:val="20"/>
          <w:szCs w:val="20"/>
          <w:color w:val="auto"/>
        </w:rPr>
      </w:pPr>
      <w:r>
        <w:rPr>
          <w:rFonts w:ascii="Arial" w:cs="Arial" w:eastAsia="Arial" w:hAnsi="Arial"/>
          <w:sz w:val="15"/>
          <w:szCs w:val="15"/>
          <w:color w:val="auto"/>
        </w:rPr>
        <w:t>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38" w:lineRule="exact"/>
        <w:rPr>
          <w:sz w:val="20"/>
          <w:szCs w:val="20"/>
          <w:color w:val="auto"/>
        </w:rPr>
      </w:pPr>
    </w:p>
    <w:p>
      <w:pPr>
        <w:ind w:left="600" w:right="639"/>
        <w:spacing w:after="0" w:line="236" w:lineRule="auto"/>
        <w:rPr>
          <w:sz w:val="20"/>
          <w:szCs w:val="20"/>
          <w:color w:val="auto"/>
        </w:rPr>
      </w:pPr>
      <w:r>
        <w:rPr>
          <w:rFonts w:ascii="Arial" w:cs="Arial" w:eastAsia="Arial" w:hAnsi="Arial"/>
          <w:sz w:val="15"/>
          <w:szCs w:val="15"/>
          <w:color w:val="auto"/>
        </w:rPr>
        <w:t>We believe that Mr. Islam’s experience in the healthcare and life sciences industries make him well qualified to serve on our board of directors.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Number and Terms of Office of Officers and Directors</w:t>
      </w:r>
    </w:p>
    <w:p>
      <w:pPr>
        <w:spacing w:after="0" w:line="160" w:lineRule="exact"/>
        <w:rPr>
          <w:sz w:val="20"/>
          <w:szCs w:val="20"/>
          <w:color w:val="auto"/>
        </w:rPr>
      </w:pPr>
    </w:p>
    <w:p>
      <w:pPr>
        <w:ind w:left="600" w:right="679"/>
        <w:spacing w:after="0" w:line="247" w:lineRule="auto"/>
        <w:rPr>
          <w:sz w:val="20"/>
          <w:szCs w:val="20"/>
          <w:color w:val="auto"/>
        </w:rPr>
      </w:pPr>
      <w:r>
        <w:rPr>
          <w:rFonts w:ascii="Arial" w:cs="Arial" w:eastAsia="Arial" w:hAnsi="Arial"/>
          <w:sz w:val="14"/>
          <w:szCs w:val="14"/>
          <w:color w:val="auto"/>
        </w:rPr>
        <w:t>Our board of directors is divided into three classes, with only one class of directors being elected in each year, and with each class (except for those directors appointed prior to our first annual meeting of shareholders) serving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spacing w:after="0" w:line="134" w:lineRule="exact"/>
        <w:rPr>
          <w:sz w:val="20"/>
          <w:szCs w:val="20"/>
          <w:color w:val="auto"/>
        </w:rPr>
      </w:pPr>
    </w:p>
    <w:p>
      <w:pPr>
        <w:ind w:left="600" w:right="599"/>
        <w:spacing w:after="0" w:line="254" w:lineRule="auto"/>
        <w:rPr>
          <w:sz w:val="20"/>
          <w:szCs w:val="20"/>
          <w:color w:val="auto"/>
        </w:rPr>
      </w:pPr>
      <w:r>
        <w:rPr>
          <w:rFonts w:ascii="Arial" w:cs="Arial" w:eastAsia="Arial" w:hAnsi="Arial"/>
          <w:sz w:val="14"/>
          <w:szCs w:val="14"/>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17" w:lineRule="exact"/>
        <w:rPr>
          <w:sz w:val="20"/>
          <w:szCs w:val="20"/>
          <w:color w:val="auto"/>
        </w:rPr>
      </w:pPr>
    </w:p>
    <w:p>
      <w:pPr>
        <w:jc w:val="both"/>
        <w:ind w:left="600" w:right="739"/>
        <w:spacing w:after="0" w:line="254" w:lineRule="auto"/>
        <w:rPr>
          <w:sz w:val="20"/>
          <w:szCs w:val="20"/>
          <w:color w:val="auto"/>
        </w:rPr>
      </w:pPr>
      <w:r>
        <w:rPr>
          <w:rFonts w:ascii="Arial" w:cs="Arial" w:eastAsia="Arial" w:hAnsi="Arial"/>
          <w:sz w:val="14"/>
          <w:szCs w:val="14"/>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29"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Director Independence</w:t>
      </w:r>
    </w:p>
    <w:p>
      <w:pPr>
        <w:spacing w:after="0" w:line="160"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the company’s board of directors, could interfere with the director’s exercise of independent judgment in carrying out the responsibilities of a director. Upon the effectiveness of the registration statement of which this prospectus forms a part, we expect to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will have regularly scheduled meetings at which only independent directors are present.</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Executive Officer and Director Compensation</w:t>
      </w:r>
    </w:p>
    <w:p>
      <w:pPr>
        <w:spacing w:after="0" w:line="160"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In July 2020, our sponsor transferred 30,000 founder shares to each of Messrs. Campbell, Islam and Wider. None of our executive officers or directors have received any cash compensation for services rendered to us. Commencing on the date that our securities are first listed on the Nasdaq through the earlier of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expect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1" w:name="page102"/>
    <w:bookmarkEnd w:id="10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48" w:lineRule="auto"/>
        <w:rPr>
          <w:sz w:val="20"/>
          <w:szCs w:val="20"/>
          <w:color w:val="auto"/>
        </w:rPr>
      </w:pPr>
      <w:r>
        <w:rPr>
          <w:rFonts w:ascii="Arial" w:cs="Arial" w:eastAsia="Arial" w:hAnsi="Arial"/>
          <w:sz w:val="14"/>
          <w:szCs w:val="14"/>
          <w:color w:val="auto"/>
        </w:rPr>
        <w:t>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4"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41" w:lineRule="exact"/>
        <w:rPr>
          <w:sz w:val="20"/>
          <w:szCs w:val="20"/>
          <w:color w:val="auto"/>
        </w:rPr>
      </w:pPr>
    </w:p>
    <w:p>
      <w:pPr>
        <w:ind w:left="600" w:right="679"/>
        <w:spacing w:after="0" w:line="246" w:lineRule="auto"/>
        <w:rPr>
          <w:sz w:val="20"/>
          <w:szCs w:val="20"/>
          <w:color w:val="auto"/>
        </w:rPr>
      </w:pPr>
      <w:r>
        <w:rPr>
          <w:rFonts w:ascii="Arial" w:cs="Arial" w:eastAsia="Arial" w:hAnsi="Arial"/>
          <w:sz w:val="14"/>
          <w:szCs w:val="14"/>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60" w:lineRule="exact"/>
        <w:rPr>
          <w:sz w:val="20"/>
          <w:szCs w:val="20"/>
          <w:color w:val="auto"/>
        </w:rPr>
      </w:pPr>
    </w:p>
    <w:p>
      <w:pPr>
        <w:ind w:left="600" w:right="619"/>
        <w:spacing w:after="0" w:line="246" w:lineRule="auto"/>
        <w:rPr>
          <w:sz w:val="20"/>
          <w:szCs w:val="20"/>
          <w:color w:val="auto"/>
        </w:rPr>
      </w:pPr>
      <w:r>
        <w:rPr>
          <w:rFonts w:ascii="Arial" w:cs="Arial" w:eastAsia="Arial" w:hAnsi="Arial"/>
          <w:sz w:val="14"/>
          <w:szCs w:val="14"/>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 Each committee will operate under a charter that has been approved by our board and will have the composition and responsibilities described below. The charter of each committee will be available on our website.</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Audit Committee</w:t>
      </w:r>
    </w:p>
    <w:p>
      <w:pPr>
        <w:spacing w:after="0" w:line="43"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establish an audit committee of the board of directors. Bradley L. Campbell, Saqib Islam and Todd Wider will serve as members of our audit committee. Our board of directors has determined that each of Bradley L. Campbell, Saqib Islam and Todd Wider are independent. Todd Wider will serve as the Chairman of the audit committee. Each member of the audit committee meets the financial literacy requirements of Nasdaq and our board of directors has determined that Todd Wider qualifies as an “audit committee financial expert” as defined in applicable SEC rules and has accounting or related financial management expertise.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audit committee is responsible for:</w:t>
      </w:r>
    </w:p>
    <w:p>
      <w:pPr>
        <w:spacing w:after="0" w:line="83" w:lineRule="exact"/>
        <w:rPr>
          <w:sz w:val="20"/>
          <w:szCs w:val="20"/>
          <w:color w:val="auto"/>
        </w:rPr>
      </w:pPr>
    </w:p>
    <w:p>
      <w:pPr>
        <w:ind w:left="1100" w:right="999"/>
        <w:spacing w:after="0" w:line="236" w:lineRule="auto"/>
        <w:rPr>
          <w:sz w:val="20"/>
          <w:szCs w:val="20"/>
          <w:color w:val="auto"/>
        </w:rPr>
      </w:pPr>
      <w:r>
        <w:rPr>
          <w:rFonts w:ascii="Arial" w:cs="Arial" w:eastAsia="Arial" w:hAnsi="Arial"/>
          <w:sz w:val="15"/>
          <w:szCs w:val="15"/>
          <w:color w:val="auto"/>
        </w:rPr>
        <w:t>meeting with our independent registered public accounting firm regarding, among other issues, audits, and adequacy of our accounting and control systems;</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monitoring the independence of the independent registered public accounting firm;</w:t>
      </w:r>
    </w:p>
    <w:p>
      <w:pPr>
        <w:spacing w:after="0" w:line="83" w:lineRule="exact"/>
        <w:rPr>
          <w:sz w:val="20"/>
          <w:szCs w:val="20"/>
          <w:color w:val="auto"/>
        </w:rPr>
      </w:pPr>
    </w:p>
    <w:p>
      <w:pPr>
        <w:ind w:left="1100" w:right="639"/>
        <w:spacing w:after="0" w:line="236" w:lineRule="auto"/>
        <w:rPr>
          <w:sz w:val="20"/>
          <w:szCs w:val="20"/>
          <w:color w:val="auto"/>
        </w:rPr>
      </w:pPr>
      <w:r>
        <w:rPr>
          <w:rFonts w:ascii="Arial" w:cs="Arial" w:eastAsia="Arial" w:hAnsi="Arial"/>
          <w:sz w:val="15"/>
          <w:szCs w:val="15"/>
          <w:color w:val="auto"/>
        </w:rPr>
        <w:t>verifying the rotation of the lead (or coordinating) audit partner having primary responsibility for the audit and the audit partner responsible for reviewing the audit as required by law;</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inquiring and discussing with management our compliance with applicable laws and regulations;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2" w:name="page103"/>
    <w:bookmarkEnd w:id="10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right="639"/>
        <w:spacing w:after="0" w:line="236" w:lineRule="auto"/>
        <w:rPr>
          <w:sz w:val="20"/>
          <w:szCs w:val="20"/>
          <w:color w:val="auto"/>
        </w:rPr>
      </w:pPr>
      <w:r>
        <w:rPr>
          <w:rFonts w:ascii="Arial" w:cs="Arial" w:eastAsia="Arial" w:hAnsi="Arial"/>
          <w:sz w:val="15"/>
          <w:szCs w:val="15"/>
          <w:color w:val="auto"/>
        </w:rPr>
        <w:t>pre-approving all audit services and permitted non-audit services to be performed by our independent registered public accounting firm, including the fees and terms of the services to be performed;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appointing or replacing the independent registered public accounting firm;</w:t>
      </w:r>
    </w:p>
    <w:p>
      <w:pPr>
        <w:spacing w:after="0" w:line="83" w:lineRule="exact"/>
        <w:rPr>
          <w:sz w:val="20"/>
          <w:szCs w:val="20"/>
          <w:color w:val="auto"/>
        </w:rPr>
      </w:pPr>
    </w:p>
    <w:p>
      <w:pPr>
        <w:jc w:val="both"/>
        <w:ind w:left="1100" w:right="819"/>
        <w:spacing w:after="0" w:line="233" w:lineRule="auto"/>
        <w:rPr>
          <w:sz w:val="20"/>
          <w:szCs w:val="20"/>
          <w:color w:val="auto"/>
        </w:rPr>
      </w:pPr>
      <w:r>
        <w:rPr>
          <w:rFonts w:ascii="Arial" w:cs="Arial" w:eastAsia="Arial" w:hAnsi="Arial"/>
          <w:sz w:val="15"/>
          <w:szCs w:val="15"/>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79" w:lineRule="exact"/>
        <w:rPr>
          <w:sz w:val="20"/>
          <w:szCs w:val="20"/>
          <w:color w:val="auto"/>
        </w:rPr>
      </w:pPr>
    </w:p>
    <w:p>
      <w:pPr>
        <w:ind w:left="1100" w:right="599"/>
        <w:spacing w:after="0" w:line="233" w:lineRule="auto"/>
        <w:rPr>
          <w:sz w:val="20"/>
          <w:szCs w:val="20"/>
          <w:color w:val="auto"/>
        </w:rPr>
      </w:pPr>
      <w:r>
        <w:rPr>
          <w:rFonts w:ascii="Arial" w:cs="Arial" w:eastAsia="Arial" w:hAnsi="Arial"/>
          <w:sz w:val="15"/>
          <w:szCs w:val="15"/>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79" w:lineRule="exact"/>
        <w:rPr>
          <w:sz w:val="20"/>
          <w:szCs w:val="20"/>
          <w:color w:val="auto"/>
        </w:rPr>
      </w:pPr>
    </w:p>
    <w:p>
      <w:pPr>
        <w:jc w:val="both"/>
        <w:ind w:left="1100" w:right="639"/>
        <w:spacing w:after="0" w:line="233" w:lineRule="auto"/>
        <w:rPr>
          <w:sz w:val="20"/>
          <w:szCs w:val="20"/>
          <w:color w:val="auto"/>
        </w:rPr>
      </w:pPr>
      <w:r>
        <w:rPr>
          <w:rFonts w:ascii="Arial" w:cs="Arial" w:eastAsia="Arial" w:hAnsi="Arial"/>
          <w:sz w:val="15"/>
          <w:szCs w:val="15"/>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79" w:lineRule="exact"/>
        <w:rPr>
          <w:sz w:val="20"/>
          <w:szCs w:val="20"/>
          <w:color w:val="auto"/>
        </w:rPr>
      </w:pPr>
    </w:p>
    <w:p>
      <w:pPr>
        <w:ind w:left="1100" w:right="919"/>
        <w:spacing w:after="0" w:line="231" w:lineRule="auto"/>
        <w:rPr>
          <w:sz w:val="20"/>
          <w:szCs w:val="20"/>
          <w:color w:val="auto"/>
        </w:rPr>
      </w:pPr>
      <w:r>
        <w:rPr>
          <w:rFonts w:ascii="Arial" w:cs="Arial" w:eastAsia="Arial" w:hAnsi="Arial"/>
          <w:sz w:val="15"/>
          <w:szCs w:val="15"/>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Nominating Committee</w:t>
      </w:r>
    </w:p>
    <w:p>
      <w:pPr>
        <w:spacing w:after="0" w:line="43" w:lineRule="exact"/>
        <w:rPr>
          <w:sz w:val="20"/>
          <w:szCs w:val="20"/>
          <w:color w:val="auto"/>
        </w:rPr>
      </w:pPr>
    </w:p>
    <w:p>
      <w:pPr>
        <w:ind w:left="600" w:right="639"/>
        <w:spacing w:after="0" w:line="231"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establish a nominating committee of our board of directors. The members of our nominating committee will be Bradley L. Campbell, Saqib Islam and Todd Wider, and Saqib Islam will serve as chairman of the nominating committee. Our board of directors has determined that each of Bradley L. Campbell, Saqib Islam and Todd Wider are independent.</w:t>
      </w:r>
    </w:p>
    <w:p>
      <w:pPr>
        <w:spacing w:after="0" w:line="127"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Guidelines for Selecting Director Nominees</w:t>
      </w:r>
    </w:p>
    <w:p>
      <w:pPr>
        <w:spacing w:after="0" w:line="146" w:lineRule="exact"/>
        <w:rPr>
          <w:sz w:val="20"/>
          <w:szCs w:val="20"/>
          <w:color w:val="auto"/>
        </w:rPr>
      </w:pPr>
    </w:p>
    <w:p>
      <w:pPr>
        <w:ind w:left="600" w:right="819"/>
        <w:spacing w:after="0" w:line="236" w:lineRule="auto"/>
        <w:rPr>
          <w:sz w:val="20"/>
          <w:szCs w:val="20"/>
          <w:color w:val="auto"/>
        </w:rPr>
      </w:pPr>
      <w:r>
        <w:rPr>
          <w:rFonts w:ascii="Arial" w:cs="Arial" w:eastAsia="Arial" w:hAnsi="Arial"/>
          <w:sz w:val="15"/>
          <w:szCs w:val="15"/>
          <w:color w:val="auto"/>
        </w:rPr>
        <w:t>The guidelines for selecting nominees, which will be specified in a charter to be adopted by us, generally provide that persons to be nominated: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should have demonstrated notable or significant achievements in business, education or public service;</w:t>
      </w:r>
    </w:p>
    <w:p>
      <w:pPr>
        <w:spacing w:after="0" w:line="83" w:lineRule="exact"/>
        <w:rPr>
          <w:sz w:val="20"/>
          <w:szCs w:val="20"/>
          <w:color w:val="auto"/>
        </w:rPr>
      </w:pPr>
    </w:p>
    <w:p>
      <w:pPr>
        <w:ind w:left="1100" w:right="919"/>
        <w:spacing w:after="0" w:line="267" w:lineRule="auto"/>
        <w:rPr>
          <w:sz w:val="20"/>
          <w:szCs w:val="20"/>
          <w:color w:val="auto"/>
        </w:rPr>
      </w:pPr>
      <w:r>
        <w:rPr>
          <w:rFonts w:ascii="Arial" w:cs="Arial" w:eastAsia="Arial" w:hAnsi="Arial"/>
          <w:sz w:val="14"/>
          <w:szCs w:val="14"/>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61" w:lineRule="exact"/>
        <w:rPr>
          <w:sz w:val="20"/>
          <w:szCs w:val="20"/>
          <w:color w:val="auto"/>
        </w:rPr>
      </w:pPr>
    </w:p>
    <w:p>
      <w:pPr>
        <w:ind w:left="1100" w:right="739"/>
        <w:spacing w:after="0" w:line="236" w:lineRule="auto"/>
        <w:rPr>
          <w:sz w:val="20"/>
          <w:szCs w:val="20"/>
          <w:color w:val="auto"/>
        </w:rPr>
      </w:pPr>
      <w:r>
        <w:rPr>
          <w:rFonts w:ascii="Arial" w:cs="Arial" w:eastAsia="Arial" w:hAnsi="Arial"/>
          <w:sz w:val="15"/>
          <w:szCs w:val="15"/>
          <w:color w:val="auto"/>
        </w:rPr>
        <w:t>should have the highest ethical standards, a strong sense of professionalism and intense dedication to serving the interests of the shareholders.</w:t>
      </w:r>
    </w:p>
    <w:p>
      <w:pPr>
        <w:spacing w:after="0" w:line="13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32" w:lineRule="exact"/>
        <w:rPr>
          <w:sz w:val="20"/>
          <w:szCs w:val="20"/>
          <w:color w:val="auto"/>
        </w:rPr>
      </w:pPr>
    </w:p>
    <w:p>
      <w:pPr>
        <w:ind w:left="600" w:right="939"/>
        <w:spacing w:after="0" w:line="231"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establish a compensation committee of our board of directors. The members of our compensation committee will be Bradley L. Campbell, Saqib Islam and Todd Wider, and Bradley L. Campbell will serve as chairman of the compensation committee.</w:t>
      </w:r>
    </w:p>
    <w:p>
      <w:pPr>
        <w:spacing w:after="0" w:line="139" w:lineRule="exact"/>
        <w:rPr>
          <w:sz w:val="20"/>
          <w:szCs w:val="20"/>
          <w:color w:val="auto"/>
        </w:rPr>
      </w:pPr>
    </w:p>
    <w:p>
      <w:pPr>
        <w:ind w:left="600" w:right="699"/>
        <w:spacing w:after="0" w:line="233" w:lineRule="auto"/>
        <w:rPr>
          <w:sz w:val="20"/>
          <w:szCs w:val="20"/>
          <w:color w:val="auto"/>
        </w:rPr>
      </w:pPr>
      <w:r>
        <w:rPr>
          <w:rFonts w:ascii="Arial" w:cs="Arial" w:eastAsia="Arial" w:hAnsi="Arial"/>
          <w:sz w:val="15"/>
          <w:szCs w:val="15"/>
          <w:color w:val="auto"/>
        </w:rPr>
        <w:t>Our board of directors has determined that each of Bradley L. Campbell, Saqib Islam and Todd Wider are independent. We will adopt a compensation committee charter, which will detail the principal functions of the compensation committee, including: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3" w:name="page104"/>
    <w:bookmarkEnd w:id="10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right="719"/>
        <w:spacing w:after="0" w:line="231" w:lineRule="auto"/>
        <w:rPr>
          <w:sz w:val="20"/>
          <w:szCs w:val="20"/>
          <w:color w:val="auto"/>
        </w:rPr>
      </w:pPr>
      <w:r>
        <w:rPr>
          <w:rFonts w:ascii="Arial" w:cs="Arial" w:eastAsia="Arial" w:hAnsi="Arial"/>
          <w:sz w:val="15"/>
          <w:szCs w:val="15"/>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sz w:val="20"/>
          <w:szCs w:val="20"/>
          <w:color w:val="auto"/>
        </w:rPr>
      </w:pPr>
    </w:p>
    <w:p>
      <w:pPr>
        <w:ind w:left="1100" w:right="2019"/>
        <w:spacing w:after="0" w:line="356" w:lineRule="auto"/>
        <w:rPr>
          <w:sz w:val="20"/>
          <w:szCs w:val="20"/>
          <w:color w:val="auto"/>
        </w:rPr>
      </w:pPr>
      <w:r>
        <w:rPr>
          <w:rFonts w:ascii="Arial" w:cs="Arial" w:eastAsia="Arial" w:hAnsi="Arial"/>
          <w:sz w:val="15"/>
          <w:szCs w:val="15"/>
          <w:color w:val="auto"/>
        </w:rPr>
        <w:t>reviewing and approving the compensation of all of our other Section 16 executive officers; reviewing our executive compensation policies and plans;</w:t>
      </w:r>
    </w:p>
    <w:p>
      <w:pPr>
        <w:ind w:left="1100"/>
        <w:spacing w:after="0"/>
        <w:rPr>
          <w:sz w:val="20"/>
          <w:szCs w:val="20"/>
          <w:color w:val="auto"/>
        </w:rPr>
      </w:pPr>
      <w:r>
        <w:rPr>
          <w:rFonts w:ascii="Arial" w:cs="Arial" w:eastAsia="Arial" w:hAnsi="Arial"/>
          <w:sz w:val="15"/>
          <w:szCs w:val="15"/>
          <w:color w:val="auto"/>
        </w:rPr>
        <w:t>implementing and administering our incentive compensation equity-based remuneration plans;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assisting management in complying with our proxy statement and annual report disclosure requirements;</w:t>
      </w:r>
    </w:p>
    <w:p>
      <w:pPr>
        <w:spacing w:after="0" w:line="83" w:lineRule="exact"/>
        <w:rPr>
          <w:sz w:val="20"/>
          <w:szCs w:val="20"/>
          <w:color w:val="auto"/>
        </w:rPr>
      </w:pPr>
    </w:p>
    <w:p>
      <w:pPr>
        <w:ind w:left="1100" w:right="1379"/>
        <w:spacing w:after="0" w:line="236" w:lineRule="auto"/>
        <w:rPr>
          <w:sz w:val="20"/>
          <w:szCs w:val="20"/>
          <w:color w:val="auto"/>
        </w:rPr>
      </w:pPr>
      <w:r>
        <w:rPr>
          <w:rFonts w:ascii="Arial" w:cs="Arial" w:eastAsia="Arial" w:hAnsi="Arial"/>
          <w:sz w:val="15"/>
          <w:szCs w:val="15"/>
          <w:color w:val="auto"/>
        </w:rPr>
        <w:t>approving all special perquisites, special cash payments and other special compensation and benefit arrangements for our executive officers and employees;</w:t>
      </w:r>
    </w:p>
    <w:p>
      <w:pPr>
        <w:spacing w:after="0" w:line="80" w:lineRule="exact"/>
        <w:rPr>
          <w:sz w:val="20"/>
          <w:szCs w:val="20"/>
          <w:color w:val="auto"/>
        </w:rPr>
      </w:pPr>
    </w:p>
    <w:p>
      <w:pPr>
        <w:ind w:left="1100" w:right="1499"/>
        <w:spacing w:after="0" w:line="405" w:lineRule="auto"/>
        <w:rPr>
          <w:sz w:val="20"/>
          <w:szCs w:val="20"/>
          <w:color w:val="auto"/>
        </w:rPr>
      </w:pPr>
      <w:r>
        <w:rPr>
          <w:rFonts w:ascii="Arial" w:cs="Arial" w:eastAsia="Arial" w:hAnsi="Arial"/>
          <w:sz w:val="14"/>
          <w:szCs w:val="14"/>
          <w:color w:val="auto"/>
        </w:rPr>
        <w:t>producing a report on executive compensation to be included in our annual proxy statement; and reviewing, evaluating and recommending changes, if appropriate, to the remuneration for directors.</w:t>
      </w:r>
    </w:p>
    <w:p>
      <w:pPr>
        <w:spacing w:after="0" w:line="27"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Compensation Committee Interlocks and Insider Participation</w:t>
      </w:r>
    </w:p>
    <w:p>
      <w:pPr>
        <w:spacing w:after="0" w:line="32" w:lineRule="exact"/>
        <w:rPr>
          <w:sz w:val="20"/>
          <w:szCs w:val="20"/>
          <w:color w:val="auto"/>
        </w:rPr>
      </w:pPr>
    </w:p>
    <w:p>
      <w:pPr>
        <w:ind w:left="600" w:right="699"/>
        <w:spacing w:after="0" w:line="236" w:lineRule="auto"/>
        <w:rPr>
          <w:sz w:val="20"/>
          <w:szCs w:val="20"/>
          <w:color w:val="auto"/>
        </w:rPr>
      </w:pPr>
      <w:r>
        <w:rPr>
          <w:rFonts w:ascii="Arial" w:cs="Arial" w:eastAsia="Arial" w:hAnsi="Arial"/>
          <w:sz w:val="15"/>
          <w:szCs w:val="15"/>
          <w:color w:val="auto"/>
        </w:rPr>
        <w:t>None of our executive officers currently serves, and in the past year has not served, as a member of the compensation committee of any entity that has one or more executive officers serving on our board of directors.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Code of Ethics</w:t>
      </w:r>
    </w:p>
    <w:p>
      <w:pPr>
        <w:spacing w:after="0" w:line="148"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Conflicts of Interest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Under Cayman Islands law, directors and officers owe the following fiduciary duties:</w:t>
      </w:r>
    </w:p>
    <w:p>
      <w:pPr>
        <w:spacing w:after="0" w:line="83" w:lineRule="exact"/>
        <w:rPr>
          <w:sz w:val="20"/>
          <w:szCs w:val="20"/>
          <w:color w:val="auto"/>
        </w:rPr>
      </w:pPr>
    </w:p>
    <w:p>
      <w:pPr>
        <w:ind w:left="1100" w:right="879"/>
        <w:spacing w:after="0" w:line="236" w:lineRule="auto"/>
        <w:rPr>
          <w:sz w:val="20"/>
          <w:szCs w:val="20"/>
          <w:color w:val="auto"/>
        </w:rPr>
      </w:pPr>
      <w:r>
        <w:rPr>
          <w:rFonts w:ascii="Arial" w:cs="Arial" w:eastAsia="Arial" w:hAnsi="Arial"/>
          <w:sz w:val="15"/>
          <w:szCs w:val="15"/>
          <w:color w:val="auto"/>
        </w:rPr>
        <w:t>duty to act in good faith in what the director or officer believes to be in the best interests of the company as a whole;</w:t>
      </w:r>
    </w:p>
    <w:p>
      <w:pPr>
        <w:spacing w:after="0" w:line="80" w:lineRule="exact"/>
        <w:rPr>
          <w:sz w:val="20"/>
          <w:szCs w:val="20"/>
          <w:color w:val="auto"/>
        </w:rPr>
      </w:pPr>
    </w:p>
    <w:p>
      <w:pPr>
        <w:ind w:left="1100" w:right="1199"/>
        <w:spacing w:after="0" w:line="236" w:lineRule="auto"/>
        <w:rPr>
          <w:sz w:val="20"/>
          <w:szCs w:val="20"/>
          <w:color w:val="auto"/>
        </w:rPr>
      </w:pPr>
      <w:r>
        <w:rPr>
          <w:rFonts w:ascii="Arial" w:cs="Arial" w:eastAsia="Arial" w:hAnsi="Arial"/>
          <w:sz w:val="15"/>
          <w:szCs w:val="15"/>
          <w:color w:val="auto"/>
        </w:rPr>
        <w:t>duty to exercise powers for the purposes for which those powers were conferred and not for a collateral purpose;</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directors should not improperly fetter the exercise of future discretion;</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duty to exercise powers fairly as between different sections of shareholders;</w:t>
      </w:r>
    </w:p>
    <w:p>
      <w:pPr>
        <w:spacing w:after="0" w:line="83" w:lineRule="exact"/>
        <w:rPr>
          <w:sz w:val="20"/>
          <w:szCs w:val="20"/>
          <w:color w:val="auto"/>
        </w:rPr>
      </w:pPr>
    </w:p>
    <w:p>
      <w:pPr>
        <w:ind w:left="1100" w:right="759"/>
        <w:spacing w:after="0" w:line="236" w:lineRule="auto"/>
        <w:rPr>
          <w:sz w:val="20"/>
          <w:szCs w:val="20"/>
          <w:color w:val="auto"/>
        </w:rPr>
      </w:pPr>
      <w:r>
        <w:rPr>
          <w:rFonts w:ascii="Arial" w:cs="Arial" w:eastAsia="Arial" w:hAnsi="Arial"/>
          <w:sz w:val="15"/>
          <w:szCs w:val="15"/>
          <w:color w:val="auto"/>
        </w:rPr>
        <w:t>duty not to put themselves in a position in which there is a conflict between their duty to the company and their personal interests; and</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duty to exercise independent judgment.</w:t>
      </w:r>
    </w:p>
    <w:p>
      <w:pPr>
        <w:spacing w:after="0" w:line="130" w:lineRule="exact"/>
        <w:rPr>
          <w:sz w:val="20"/>
          <w:szCs w:val="20"/>
          <w:color w:val="auto"/>
        </w:rPr>
      </w:pPr>
    </w:p>
    <w:p>
      <w:pPr>
        <w:ind w:left="600" w:right="639"/>
        <w:spacing w:after="0" w:line="231" w:lineRule="auto"/>
        <w:rPr>
          <w:sz w:val="20"/>
          <w:szCs w:val="20"/>
          <w:color w:val="auto"/>
        </w:rPr>
      </w:pPr>
      <w:r>
        <w:rPr>
          <w:rFonts w:ascii="Arial" w:cs="Arial" w:eastAsia="Arial" w:hAnsi="Arial"/>
          <w:sz w:val="15"/>
          <w:szCs w:val="15"/>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39" w:lineRule="exact"/>
        <w:rPr>
          <w:sz w:val="20"/>
          <w:szCs w:val="20"/>
          <w:color w:val="auto"/>
        </w:rPr>
      </w:pPr>
    </w:p>
    <w:p>
      <w:pPr>
        <w:ind w:left="600" w:right="639"/>
        <w:spacing w:after="0" w:line="231" w:lineRule="auto"/>
        <w:rPr>
          <w:sz w:val="20"/>
          <w:szCs w:val="20"/>
          <w:color w:val="auto"/>
        </w:rPr>
      </w:pPr>
      <w:r>
        <w:rPr>
          <w:rFonts w:ascii="Arial" w:cs="Arial" w:eastAsia="Arial" w:hAnsi="Arial"/>
          <w:sz w:val="15"/>
          <w:szCs w:val="15"/>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there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4" w:name="page105"/>
    <w:bookmarkEnd w:id="10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1399"/>
        <w:spacing w:after="0" w:line="267" w:lineRule="auto"/>
        <w:rPr>
          <w:sz w:val="20"/>
          <w:szCs w:val="20"/>
          <w:color w:val="auto"/>
        </w:rPr>
      </w:pPr>
      <w:r>
        <w:rPr>
          <w:rFonts w:ascii="Arial" w:cs="Arial" w:eastAsia="Arial" w:hAnsi="Arial"/>
          <w:sz w:val="14"/>
          <w:szCs w:val="14"/>
          <w:color w:val="auto"/>
        </w:rPr>
        <w:t>full disclosure by the directors. This can be done by way of permission granted in the amended and restated memorandum and articles of association or alternatively by shareholder approval at shareholder meetings.</w:t>
      </w:r>
    </w:p>
    <w:p>
      <w:pPr>
        <w:spacing w:after="0" w:line="119"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38" w:lineRule="exact"/>
        <w:rPr>
          <w:sz w:val="20"/>
          <w:szCs w:val="20"/>
          <w:color w:val="auto"/>
        </w:rPr>
      </w:pPr>
    </w:p>
    <w:p>
      <w:pPr>
        <w:ind w:left="600" w:right="839"/>
        <w:spacing w:after="0" w:line="236" w:lineRule="auto"/>
        <w:rPr>
          <w:sz w:val="20"/>
          <w:szCs w:val="20"/>
          <w:color w:val="auto"/>
        </w:rPr>
      </w:pPr>
      <w:r>
        <w:rPr>
          <w:rFonts w:ascii="Arial" w:cs="Arial" w:eastAsia="Arial" w:hAnsi="Arial"/>
          <w:sz w:val="15"/>
          <w:szCs w:val="15"/>
          <w:color w:val="auto"/>
        </w:rPr>
        <w:t>Below is a table summarizing the entities to which our executive officers and directors currently have fiduciary duties, contractual obligations or other material management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105410</wp:posOffset>
            </wp:positionV>
            <wp:extent cx="49644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76"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1840" w:type="dxa"/>
            <w:vAlign w:val="bottom"/>
            <w:gridSpan w:val="2"/>
          </w:tcPr>
          <w:p>
            <w:pPr>
              <w:spacing w:after="0"/>
              <w:rPr>
                <w:sz w:val="20"/>
                <w:szCs w:val="20"/>
                <w:color w:val="auto"/>
              </w:rPr>
            </w:pPr>
            <w:r>
              <w:rPr>
                <w:rFonts w:ascii="Arial" w:cs="Arial" w:eastAsia="Arial" w:hAnsi="Arial"/>
                <w:sz w:val="12"/>
                <w:szCs w:val="12"/>
                <w:b w:val="1"/>
                <w:bCs w:val="1"/>
                <w:color w:val="auto"/>
              </w:rPr>
              <w:t>INDIVIDUAL</w:t>
            </w:r>
          </w:p>
        </w:tc>
        <w:tc>
          <w:tcPr>
            <w:tcW w:w="2100" w:type="dxa"/>
            <w:vAlign w:val="bottom"/>
            <w:gridSpan w:val="2"/>
          </w:tcPr>
          <w:p>
            <w:pPr>
              <w:ind w:left="660"/>
              <w:spacing w:after="0"/>
              <w:rPr>
                <w:sz w:val="20"/>
                <w:szCs w:val="20"/>
                <w:color w:val="auto"/>
              </w:rPr>
            </w:pPr>
            <w:r>
              <w:rPr>
                <w:rFonts w:ascii="Arial" w:cs="Arial" w:eastAsia="Arial" w:hAnsi="Arial"/>
                <w:sz w:val="12"/>
                <w:szCs w:val="12"/>
                <w:b w:val="1"/>
                <w:bCs w:val="1"/>
                <w:color w:val="auto"/>
              </w:rPr>
              <w:t>ENTITY</w:t>
            </w:r>
          </w:p>
        </w:tc>
        <w:tc>
          <w:tcPr>
            <w:tcW w:w="1760" w:type="dxa"/>
            <w:vAlign w:val="bottom"/>
          </w:tcPr>
          <w:p>
            <w:pPr>
              <w:ind w:left="260"/>
              <w:spacing w:after="0"/>
              <w:rPr>
                <w:sz w:val="20"/>
                <w:szCs w:val="20"/>
                <w:color w:val="auto"/>
              </w:rPr>
            </w:pPr>
            <w:r>
              <w:rPr>
                <w:rFonts w:ascii="Arial" w:cs="Arial" w:eastAsia="Arial" w:hAnsi="Arial"/>
                <w:sz w:val="12"/>
                <w:szCs w:val="12"/>
                <w:b w:val="1"/>
                <w:bCs w:val="1"/>
                <w:color w:val="auto"/>
              </w:rPr>
              <w:t>ENTITY’S BUSINESS</w:t>
            </w:r>
          </w:p>
        </w:tc>
        <w:tc>
          <w:tcPr>
            <w:tcW w:w="340" w:type="dxa"/>
            <w:vAlign w:val="bottom"/>
          </w:tcPr>
          <w:p>
            <w:pPr>
              <w:spacing w:after="0"/>
              <w:rPr>
                <w:sz w:val="14"/>
                <w:szCs w:val="14"/>
                <w:color w:val="auto"/>
              </w:rPr>
            </w:pPr>
          </w:p>
        </w:tc>
        <w:tc>
          <w:tcPr>
            <w:tcW w:w="1780" w:type="dxa"/>
            <w:vAlign w:val="bottom"/>
          </w:tcPr>
          <w:p>
            <w:pPr>
              <w:ind w:left="500"/>
              <w:spacing w:after="0"/>
              <w:rPr>
                <w:sz w:val="20"/>
                <w:szCs w:val="20"/>
                <w:color w:val="auto"/>
              </w:rPr>
            </w:pPr>
            <w:r>
              <w:rPr>
                <w:rFonts w:ascii="Arial" w:cs="Arial" w:eastAsia="Arial" w:hAnsi="Arial"/>
                <w:sz w:val="12"/>
                <w:szCs w:val="12"/>
                <w:b w:val="1"/>
                <w:bCs w:val="1"/>
                <w:color w:val="auto"/>
              </w:rPr>
              <w:t>AFFILIATION</w:t>
            </w:r>
          </w:p>
        </w:tc>
      </w:tr>
      <w:tr>
        <w:trPr>
          <w:trHeight w:val="45"/>
        </w:trPr>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7"/>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Joseph Edelman</w:t>
            </w:r>
          </w:p>
        </w:tc>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Perceptive Advisors, LLC</w:t>
            </w: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Hedge Fund</w:t>
            </w: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Chief Executive Officer</w:t>
            </w:r>
          </w:p>
        </w:tc>
      </w:tr>
      <w:tr>
        <w:trPr>
          <w:trHeight w:val="163"/>
        </w:trPr>
        <w:tc>
          <w:tcPr>
            <w:tcW w:w="1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ARYA Sciences</w:t>
            </w:r>
          </w:p>
        </w:tc>
        <w:tc>
          <w:tcPr>
            <w:tcW w:w="17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Special Purpose</w:t>
            </w:r>
          </w:p>
        </w:tc>
        <w:tc>
          <w:tcPr>
            <w:tcW w:w="2120" w:type="dxa"/>
            <w:vAlign w:val="bottom"/>
            <w:gridSpan w:val="2"/>
            <w:shd w:val="clear" w:color="auto" w:fill="CCEEFF"/>
          </w:tcPr>
          <w:p>
            <w:pPr>
              <w:ind w:left="340"/>
              <w:spacing w:after="0" w:line="163" w:lineRule="exact"/>
              <w:rPr>
                <w:sz w:val="20"/>
                <w:szCs w:val="20"/>
                <w:color w:val="auto"/>
              </w:rPr>
            </w:pPr>
            <w:r>
              <w:rPr>
                <w:rFonts w:ascii="Arial" w:cs="Arial" w:eastAsia="Arial" w:hAnsi="Arial"/>
                <w:sz w:val="15"/>
                <w:szCs w:val="15"/>
                <w:color w:val="auto"/>
              </w:rPr>
              <w:t>and Portfolio Manager</w:t>
            </w:r>
          </w:p>
        </w:tc>
      </w:tr>
      <w:tr>
        <w:trPr>
          <w:trHeight w:val="183"/>
        </w:trPr>
        <w:tc>
          <w:tcPr>
            <w:tcW w:w="1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Acquisition Corp II</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Acquisition Company</w:t>
            </w:r>
          </w:p>
        </w:tc>
        <w:tc>
          <w:tcPr>
            <w:tcW w:w="2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Chairman</w:t>
            </w:r>
          </w:p>
        </w:tc>
      </w:tr>
      <w:tr>
        <w:trPr>
          <w:trHeight w:val="192"/>
        </w:trPr>
        <w:tc>
          <w:tcPr>
            <w:tcW w:w="1840" w:type="dxa"/>
            <w:vAlign w:val="bottom"/>
            <w:gridSpan w:val="2"/>
          </w:tcPr>
          <w:p>
            <w:pPr>
              <w:spacing w:after="0"/>
              <w:rPr>
                <w:sz w:val="20"/>
                <w:szCs w:val="20"/>
                <w:color w:val="auto"/>
              </w:rPr>
            </w:pPr>
            <w:r>
              <w:rPr>
                <w:rFonts w:ascii="Arial" w:cs="Arial" w:eastAsia="Arial" w:hAnsi="Arial"/>
                <w:sz w:val="15"/>
                <w:szCs w:val="15"/>
                <w:color w:val="auto"/>
              </w:rPr>
              <w:t>Adam Stone</w:t>
            </w:r>
          </w:p>
        </w:tc>
        <w:tc>
          <w:tcPr>
            <w:tcW w:w="2100" w:type="dxa"/>
            <w:vAlign w:val="bottom"/>
            <w:gridSpan w:val="2"/>
          </w:tcPr>
          <w:p>
            <w:pPr>
              <w:spacing w:after="0"/>
              <w:rPr>
                <w:sz w:val="20"/>
                <w:szCs w:val="20"/>
                <w:color w:val="auto"/>
              </w:rPr>
            </w:pPr>
            <w:r>
              <w:rPr>
                <w:rFonts w:ascii="Arial" w:cs="Arial" w:eastAsia="Arial" w:hAnsi="Arial"/>
                <w:sz w:val="15"/>
                <w:szCs w:val="15"/>
                <w:color w:val="auto"/>
              </w:rPr>
              <w:t>Perceptive Advisors, LLC</w:t>
            </w:r>
          </w:p>
        </w:tc>
        <w:tc>
          <w:tcPr>
            <w:tcW w:w="1760" w:type="dxa"/>
            <w:vAlign w:val="bottom"/>
          </w:tcPr>
          <w:p>
            <w:pPr>
              <w:spacing w:after="0"/>
              <w:rPr>
                <w:sz w:val="20"/>
                <w:szCs w:val="20"/>
                <w:color w:val="auto"/>
              </w:rPr>
            </w:pPr>
            <w:r>
              <w:rPr>
                <w:rFonts w:ascii="Arial" w:cs="Arial" w:eastAsia="Arial" w:hAnsi="Arial"/>
                <w:sz w:val="15"/>
                <w:szCs w:val="15"/>
                <w:color w:val="auto"/>
              </w:rPr>
              <w:t>Hedge Fund</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Chief Investment Officer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Solid Biosciences</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Pharmaceuticals</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Renovia</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Healthcare</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Xontogeny</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Biotechnology</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Immatics N.V.</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Biotechnology</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ARYA Sciences</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Special Purpose</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Chief Executive Officer</w:t>
            </w:r>
          </w:p>
        </w:tc>
      </w:tr>
      <w:tr>
        <w:trPr>
          <w:trHeight w:val="177"/>
        </w:trPr>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5"/>
                <w:szCs w:val="15"/>
                <w:color w:val="auto"/>
              </w:rPr>
              <w:t>Acquisition Corp II</w:t>
            </w:r>
          </w:p>
        </w:tc>
        <w:tc>
          <w:tcPr>
            <w:tcW w:w="1760" w:type="dxa"/>
            <w:vAlign w:val="bottom"/>
          </w:tcPr>
          <w:p>
            <w:pPr>
              <w:spacing w:after="0"/>
              <w:rPr>
                <w:sz w:val="20"/>
                <w:szCs w:val="20"/>
                <w:color w:val="auto"/>
              </w:rPr>
            </w:pPr>
            <w:r>
              <w:rPr>
                <w:rFonts w:ascii="Arial" w:cs="Arial" w:eastAsia="Arial" w:hAnsi="Arial"/>
                <w:sz w:val="15"/>
                <w:szCs w:val="15"/>
                <w:color w:val="auto"/>
              </w:rPr>
              <w:t>Acquisition Company</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and Director</w:t>
            </w:r>
          </w:p>
        </w:tc>
      </w:tr>
      <w:tr>
        <w:trPr>
          <w:trHeight w:val="26"/>
        </w:trPr>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92"/>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Michael Altman</w:t>
            </w:r>
          </w:p>
        </w:tc>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Perceptive Advisors, LLC</w:t>
            </w: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Hedge Fund</w:t>
            </w: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Managing Director</w:t>
            </w:r>
          </w:p>
        </w:tc>
      </w:tr>
      <w:tr>
        <w:trPr>
          <w:trHeight w:val="163"/>
        </w:trPr>
        <w:tc>
          <w:tcPr>
            <w:tcW w:w="1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Vitruvius Therapeutics</w:t>
            </w:r>
          </w:p>
        </w:tc>
        <w:tc>
          <w:tcPr>
            <w:tcW w:w="17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Pharmaceuticals</w:t>
            </w:r>
          </w:p>
        </w:tc>
        <w:tc>
          <w:tcPr>
            <w:tcW w:w="2120" w:type="dxa"/>
            <w:vAlign w:val="bottom"/>
            <w:gridSpan w:val="2"/>
            <w:shd w:val="clear" w:color="auto" w:fill="CCEEFF"/>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Lyra Therapeutics</w:t>
            </w:r>
          </w:p>
        </w:tc>
        <w:tc>
          <w:tcPr>
            <w:tcW w:w="17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Healthcare</w:t>
            </w:r>
          </w:p>
        </w:tc>
        <w:tc>
          <w:tcPr>
            <w:tcW w:w="2120" w:type="dxa"/>
            <w:vAlign w:val="bottom"/>
            <w:gridSpan w:val="2"/>
            <w:shd w:val="clear" w:color="auto" w:fill="CCEEFF"/>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ARYA Sciences</w:t>
            </w:r>
          </w:p>
        </w:tc>
        <w:tc>
          <w:tcPr>
            <w:tcW w:w="17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Special Purpose</w:t>
            </w:r>
          </w:p>
        </w:tc>
        <w:tc>
          <w:tcPr>
            <w:tcW w:w="2120" w:type="dxa"/>
            <w:vAlign w:val="bottom"/>
            <w:gridSpan w:val="2"/>
            <w:shd w:val="clear" w:color="auto" w:fill="CCEEFF"/>
          </w:tcPr>
          <w:p>
            <w:pPr>
              <w:ind w:left="340"/>
              <w:spacing w:after="0" w:line="163" w:lineRule="exact"/>
              <w:rPr>
                <w:sz w:val="20"/>
                <w:szCs w:val="20"/>
                <w:color w:val="auto"/>
              </w:rPr>
            </w:pPr>
            <w:r>
              <w:rPr>
                <w:rFonts w:ascii="Arial" w:cs="Arial" w:eastAsia="Arial" w:hAnsi="Arial"/>
                <w:sz w:val="15"/>
                <w:szCs w:val="15"/>
                <w:color w:val="auto"/>
                <w:w w:val="99"/>
              </w:rPr>
              <w:t>Chief Financial Officer and</w:t>
            </w:r>
          </w:p>
        </w:tc>
      </w:tr>
      <w:tr>
        <w:trPr>
          <w:trHeight w:val="183"/>
        </w:trPr>
        <w:tc>
          <w:tcPr>
            <w:tcW w:w="1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Acquisition Corp II</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Acquisition Company</w:t>
            </w:r>
          </w:p>
        </w:tc>
        <w:tc>
          <w:tcPr>
            <w:tcW w:w="2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5"/>
                <w:szCs w:val="15"/>
                <w:color w:val="auto"/>
              </w:rPr>
              <w:t>Konstantin Poukalov</w:t>
            </w:r>
          </w:p>
        </w:tc>
        <w:tc>
          <w:tcPr>
            <w:tcW w:w="2100" w:type="dxa"/>
            <w:vAlign w:val="bottom"/>
            <w:gridSpan w:val="2"/>
          </w:tcPr>
          <w:p>
            <w:pPr>
              <w:spacing w:after="0"/>
              <w:rPr>
                <w:sz w:val="20"/>
                <w:szCs w:val="20"/>
                <w:color w:val="auto"/>
              </w:rPr>
            </w:pPr>
            <w:r>
              <w:rPr>
                <w:rFonts w:ascii="Arial" w:cs="Arial" w:eastAsia="Arial" w:hAnsi="Arial"/>
                <w:sz w:val="15"/>
                <w:szCs w:val="15"/>
                <w:color w:val="auto"/>
              </w:rPr>
              <w:t>Perceptive Advisors, LLC</w:t>
            </w:r>
          </w:p>
        </w:tc>
        <w:tc>
          <w:tcPr>
            <w:tcW w:w="1760" w:type="dxa"/>
            <w:vAlign w:val="bottom"/>
          </w:tcPr>
          <w:p>
            <w:pPr>
              <w:spacing w:after="0"/>
              <w:rPr>
                <w:sz w:val="20"/>
                <w:szCs w:val="20"/>
                <w:color w:val="auto"/>
              </w:rPr>
            </w:pPr>
            <w:r>
              <w:rPr>
                <w:rFonts w:ascii="Arial" w:cs="Arial" w:eastAsia="Arial" w:hAnsi="Arial"/>
                <w:sz w:val="15"/>
                <w:szCs w:val="15"/>
                <w:color w:val="auto"/>
              </w:rPr>
              <w:t>Hedge Fund</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Managing Director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Lyra Therapeutics</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Healthcare</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63"/>
        </w:trPr>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5"/>
                <w:szCs w:val="15"/>
                <w:color w:val="auto"/>
              </w:rPr>
              <w:t>Landos Biopharma, Inc.</w:t>
            </w:r>
          </w:p>
        </w:tc>
        <w:tc>
          <w:tcPr>
            <w:tcW w:w="1760" w:type="dxa"/>
            <w:vAlign w:val="bottom"/>
          </w:tcPr>
          <w:p>
            <w:pPr>
              <w:spacing w:after="0" w:line="163" w:lineRule="exact"/>
              <w:rPr>
                <w:sz w:val="20"/>
                <w:szCs w:val="20"/>
                <w:color w:val="auto"/>
              </w:rPr>
            </w:pPr>
            <w:r>
              <w:rPr>
                <w:rFonts w:ascii="Arial" w:cs="Arial" w:eastAsia="Arial" w:hAnsi="Arial"/>
                <w:sz w:val="15"/>
                <w:szCs w:val="15"/>
                <w:color w:val="auto"/>
              </w:rPr>
              <w:t>Healthcare</w:t>
            </w:r>
          </w:p>
        </w:tc>
        <w:tc>
          <w:tcPr>
            <w:tcW w:w="2120" w:type="dxa"/>
            <w:vAlign w:val="bottom"/>
            <w:gridSpan w:val="2"/>
          </w:tcPr>
          <w:p>
            <w:pPr>
              <w:ind w:left="340"/>
              <w:spacing w:after="0" w:line="163" w:lineRule="exact"/>
              <w:rPr>
                <w:sz w:val="20"/>
                <w:szCs w:val="20"/>
                <w:color w:val="auto"/>
              </w:rPr>
            </w:pPr>
            <w:r>
              <w:rPr>
                <w:rFonts w:ascii="Arial" w:cs="Arial" w:eastAsia="Arial" w:hAnsi="Arial"/>
                <w:sz w:val="15"/>
                <w:szCs w:val="15"/>
                <w:color w:val="auto"/>
              </w:rPr>
              <w:t>Director</w:t>
            </w:r>
          </w:p>
        </w:tc>
      </w:tr>
      <w:tr>
        <w:trPr>
          <w:trHeight w:val="177"/>
        </w:trPr>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5"/>
                <w:szCs w:val="15"/>
                <w:color w:val="auto"/>
              </w:rPr>
              <w:t>LianBio</w:t>
            </w:r>
          </w:p>
        </w:tc>
        <w:tc>
          <w:tcPr>
            <w:tcW w:w="1760" w:type="dxa"/>
            <w:vAlign w:val="bottom"/>
          </w:tcPr>
          <w:p>
            <w:pPr>
              <w:spacing w:after="0"/>
              <w:rPr>
                <w:sz w:val="20"/>
                <w:szCs w:val="20"/>
                <w:color w:val="auto"/>
              </w:rPr>
            </w:pPr>
            <w:r>
              <w:rPr>
                <w:rFonts w:ascii="Arial" w:cs="Arial" w:eastAsia="Arial" w:hAnsi="Arial"/>
                <w:sz w:val="15"/>
                <w:szCs w:val="15"/>
                <w:color w:val="auto"/>
              </w:rPr>
              <w:t>Healthcare</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Director</w:t>
            </w:r>
          </w:p>
        </w:tc>
      </w:tr>
      <w:tr>
        <w:trPr>
          <w:trHeight w:val="26"/>
        </w:trPr>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13"/>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Todd Wider</w:t>
            </w: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Abeona Therapeutics, Inc.</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Pharmaceuticals</w:t>
            </w:r>
          </w:p>
        </w:tc>
        <w:tc>
          <w:tcPr>
            <w:tcW w:w="2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Director</w:t>
            </w:r>
          </w:p>
        </w:tc>
      </w:tr>
      <w:tr>
        <w:trPr>
          <w:trHeight w:val="20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5"/>
                <w:szCs w:val="15"/>
                <w:color w:val="auto"/>
              </w:rPr>
              <w:t>Emendo Biotherapeutics</w:t>
            </w:r>
          </w:p>
        </w:tc>
        <w:tc>
          <w:tcPr>
            <w:tcW w:w="1760" w:type="dxa"/>
            <w:vAlign w:val="bottom"/>
          </w:tcPr>
          <w:p>
            <w:pPr>
              <w:spacing w:after="0"/>
              <w:rPr>
                <w:sz w:val="20"/>
                <w:szCs w:val="20"/>
                <w:color w:val="auto"/>
              </w:rPr>
            </w:pPr>
            <w:r>
              <w:rPr>
                <w:rFonts w:ascii="Arial" w:cs="Arial" w:eastAsia="Arial" w:hAnsi="Arial"/>
                <w:sz w:val="15"/>
                <w:szCs w:val="15"/>
                <w:color w:val="auto"/>
              </w:rPr>
              <w:t>Biopharmaceuticals</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Director</w:t>
            </w:r>
          </w:p>
        </w:tc>
      </w:tr>
      <w:tr>
        <w:trPr>
          <w:trHeight w:val="26"/>
        </w:trPr>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92"/>
        </w:trPr>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ARYA Sciences</w:t>
            </w: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Special Purpose</w:t>
            </w: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Director</w:t>
            </w:r>
          </w:p>
        </w:tc>
      </w:tr>
      <w:tr>
        <w:trPr>
          <w:trHeight w:val="183"/>
        </w:trPr>
        <w:tc>
          <w:tcPr>
            <w:tcW w:w="1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Acquisition Corp II</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Acquisition Company</w:t>
            </w:r>
          </w:p>
        </w:tc>
        <w:tc>
          <w:tcPr>
            <w:tcW w:w="3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r>
      <w:tr>
        <w:trPr>
          <w:trHeight w:val="207"/>
        </w:trPr>
        <w:tc>
          <w:tcPr>
            <w:tcW w:w="1840" w:type="dxa"/>
            <w:vAlign w:val="bottom"/>
            <w:gridSpan w:val="2"/>
          </w:tcPr>
          <w:p>
            <w:pPr>
              <w:spacing w:after="0"/>
              <w:rPr>
                <w:sz w:val="20"/>
                <w:szCs w:val="20"/>
                <w:color w:val="auto"/>
              </w:rPr>
            </w:pPr>
            <w:r>
              <w:rPr>
                <w:rFonts w:ascii="Arial" w:cs="Arial" w:eastAsia="Arial" w:hAnsi="Arial"/>
                <w:sz w:val="15"/>
                <w:szCs w:val="15"/>
                <w:color w:val="auto"/>
              </w:rPr>
              <w:t>Bradley L. Campbell</w:t>
            </w:r>
          </w:p>
        </w:tc>
        <w:tc>
          <w:tcPr>
            <w:tcW w:w="2100" w:type="dxa"/>
            <w:vAlign w:val="bottom"/>
            <w:gridSpan w:val="2"/>
          </w:tcPr>
          <w:p>
            <w:pPr>
              <w:spacing w:after="0"/>
              <w:rPr>
                <w:sz w:val="20"/>
                <w:szCs w:val="20"/>
                <w:color w:val="auto"/>
              </w:rPr>
            </w:pPr>
            <w:r>
              <w:rPr>
                <w:rFonts w:ascii="Arial" w:cs="Arial" w:eastAsia="Arial" w:hAnsi="Arial"/>
                <w:sz w:val="15"/>
                <w:szCs w:val="15"/>
                <w:color w:val="auto"/>
              </w:rPr>
              <w:t>Amicus Therapeutics, Inc.</w:t>
            </w:r>
          </w:p>
        </w:tc>
        <w:tc>
          <w:tcPr>
            <w:tcW w:w="1760" w:type="dxa"/>
            <w:vAlign w:val="bottom"/>
          </w:tcPr>
          <w:p>
            <w:pPr>
              <w:spacing w:after="0"/>
              <w:rPr>
                <w:sz w:val="20"/>
                <w:szCs w:val="20"/>
                <w:color w:val="auto"/>
              </w:rPr>
            </w:pPr>
            <w:r>
              <w:rPr>
                <w:rFonts w:ascii="Arial" w:cs="Arial" w:eastAsia="Arial" w:hAnsi="Arial"/>
                <w:sz w:val="15"/>
                <w:szCs w:val="15"/>
                <w:color w:val="auto"/>
              </w:rPr>
              <w:t>Biotechnology</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Director</w:t>
            </w:r>
          </w:p>
        </w:tc>
      </w:tr>
      <w:tr>
        <w:trPr>
          <w:trHeight w:val="26"/>
        </w:trPr>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92"/>
        </w:trPr>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Alliance for Regenerative</w:t>
            </w: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Gene and Cell Therapy</w:t>
            </w:r>
          </w:p>
        </w:tc>
        <w:tc>
          <w:tcPr>
            <w:tcW w:w="21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Director</w:t>
            </w:r>
          </w:p>
        </w:tc>
      </w:tr>
      <w:tr>
        <w:trPr>
          <w:trHeight w:val="183"/>
        </w:trPr>
        <w:tc>
          <w:tcPr>
            <w:tcW w:w="1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Medicine (ARM)</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Trade Association</w:t>
            </w:r>
          </w:p>
        </w:tc>
        <w:tc>
          <w:tcPr>
            <w:tcW w:w="3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r>
      <w:tr>
        <w:trPr>
          <w:trHeight w:val="192"/>
        </w:trPr>
        <w:tc>
          <w:tcPr>
            <w:tcW w:w="1840" w:type="dxa"/>
            <w:vAlign w:val="bottom"/>
            <w:gridSpan w:val="2"/>
          </w:tcPr>
          <w:p>
            <w:pPr>
              <w:spacing w:after="0"/>
              <w:rPr>
                <w:sz w:val="20"/>
                <w:szCs w:val="20"/>
                <w:color w:val="auto"/>
              </w:rPr>
            </w:pPr>
            <w:r>
              <w:rPr>
                <w:rFonts w:ascii="Arial" w:cs="Arial" w:eastAsia="Arial" w:hAnsi="Arial"/>
                <w:sz w:val="15"/>
                <w:szCs w:val="15"/>
                <w:color w:val="auto"/>
              </w:rPr>
              <w:t>Saqib Islam</w:t>
            </w:r>
          </w:p>
        </w:tc>
        <w:tc>
          <w:tcPr>
            <w:tcW w:w="2100" w:type="dxa"/>
            <w:vAlign w:val="bottom"/>
            <w:gridSpan w:val="2"/>
          </w:tcPr>
          <w:p>
            <w:pPr>
              <w:spacing w:after="0"/>
              <w:rPr>
                <w:sz w:val="20"/>
                <w:szCs w:val="20"/>
                <w:color w:val="auto"/>
              </w:rPr>
            </w:pPr>
            <w:r>
              <w:rPr>
                <w:rFonts w:ascii="Arial" w:cs="Arial" w:eastAsia="Arial" w:hAnsi="Arial"/>
                <w:sz w:val="15"/>
                <w:szCs w:val="15"/>
                <w:color w:val="auto"/>
              </w:rPr>
              <w:t>SpringWorks</w:t>
            </w:r>
          </w:p>
        </w:tc>
        <w:tc>
          <w:tcPr>
            <w:tcW w:w="1760" w:type="dxa"/>
            <w:vAlign w:val="bottom"/>
          </w:tcPr>
          <w:p>
            <w:pPr>
              <w:spacing w:after="0"/>
              <w:rPr>
                <w:sz w:val="20"/>
                <w:szCs w:val="20"/>
                <w:color w:val="auto"/>
              </w:rPr>
            </w:pPr>
            <w:r>
              <w:rPr>
                <w:rFonts w:ascii="Arial" w:cs="Arial" w:eastAsia="Arial" w:hAnsi="Arial"/>
                <w:sz w:val="15"/>
                <w:szCs w:val="15"/>
                <w:color w:val="auto"/>
              </w:rPr>
              <w:t>Biopharmaceuticals</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Chief Executive Officer</w:t>
            </w:r>
          </w:p>
        </w:tc>
      </w:tr>
      <w:tr>
        <w:trPr>
          <w:trHeight w:val="177"/>
        </w:trPr>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5"/>
                <w:szCs w:val="15"/>
                <w:color w:val="auto"/>
              </w:rPr>
              <w:t>Therapeutics, Inc.</w:t>
            </w:r>
          </w:p>
        </w:tc>
        <w:tc>
          <w:tcPr>
            <w:tcW w:w="1760" w:type="dxa"/>
            <w:vAlign w:val="bottom"/>
          </w:tcPr>
          <w:p>
            <w:pPr>
              <w:spacing w:after="0"/>
              <w:rPr>
                <w:sz w:val="15"/>
                <w:szCs w:val="15"/>
                <w:color w:val="auto"/>
              </w:rPr>
            </w:pP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and Director</w:t>
            </w:r>
          </w:p>
        </w:tc>
      </w:tr>
      <w:tr>
        <w:trPr>
          <w:trHeight w:val="26"/>
        </w:trPr>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13"/>
        </w:trPr>
        <w:tc>
          <w:tcPr>
            <w:tcW w:w="1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Passage Bio, Inc.</w:t>
            </w: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Biopharmanceuticals</w:t>
            </w:r>
          </w:p>
        </w:tc>
        <w:tc>
          <w:tcPr>
            <w:tcW w:w="2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Director</w:t>
            </w:r>
          </w:p>
        </w:tc>
      </w:tr>
      <w:tr>
        <w:trPr>
          <w:trHeight w:val="192"/>
        </w:trPr>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5"/>
                <w:szCs w:val="15"/>
                <w:color w:val="auto"/>
              </w:rPr>
              <w:t>Silverback Therapeutics</w:t>
            </w:r>
          </w:p>
        </w:tc>
        <w:tc>
          <w:tcPr>
            <w:tcW w:w="1760" w:type="dxa"/>
            <w:vAlign w:val="bottom"/>
          </w:tcPr>
          <w:p>
            <w:pPr>
              <w:spacing w:after="0"/>
              <w:rPr>
                <w:sz w:val="20"/>
                <w:szCs w:val="20"/>
                <w:color w:val="auto"/>
              </w:rPr>
            </w:pPr>
            <w:r>
              <w:rPr>
                <w:rFonts w:ascii="Arial" w:cs="Arial" w:eastAsia="Arial" w:hAnsi="Arial"/>
                <w:sz w:val="15"/>
                <w:szCs w:val="15"/>
                <w:color w:val="auto"/>
              </w:rPr>
              <w:t>Biopharmaceuticals</w:t>
            </w:r>
          </w:p>
        </w:tc>
        <w:tc>
          <w:tcPr>
            <w:tcW w:w="2120" w:type="dxa"/>
            <w:vAlign w:val="bottom"/>
            <w:gridSpan w:val="2"/>
          </w:tcPr>
          <w:p>
            <w:pPr>
              <w:ind w:left="340"/>
              <w:spacing w:after="0"/>
              <w:rPr>
                <w:sz w:val="20"/>
                <w:szCs w:val="20"/>
                <w:color w:val="auto"/>
              </w:rPr>
            </w:pPr>
            <w:r>
              <w:rPr>
                <w:rFonts w:ascii="Arial" w:cs="Arial" w:eastAsia="Arial" w:hAnsi="Arial"/>
                <w:sz w:val="15"/>
                <w:szCs w:val="15"/>
                <w:color w:val="auto"/>
              </w:rPr>
              <w:t>Director</w:t>
            </w:r>
          </w:p>
        </w:tc>
      </w:tr>
      <w:tr>
        <w:trPr>
          <w:trHeight w:val="168"/>
        </w:trPr>
        <w:tc>
          <w:tcPr>
            <w:tcW w:w="1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Inc.</w:t>
            </w:r>
          </w:p>
        </w:tc>
        <w:tc>
          <w:tcPr>
            <w:tcW w:w="1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-3745230</wp:posOffset>
            </wp:positionV>
            <wp:extent cx="22161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1615" cy="762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-3745230</wp:posOffset>
            </wp:positionV>
            <wp:extent cx="22161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1615" cy="762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-3745230</wp:posOffset>
            </wp:positionV>
            <wp:extent cx="22161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1615" cy="7620"/>
                    </a:xfrm>
                    <a:prstGeom prst="rect">
                      <a:avLst/>
                    </a:prstGeom>
                    <a:noFill/>
                  </pic:spPr>
                </pic:pic>
              </a:graphicData>
            </a:graphic>
          </wp:anchor>
        </w:drawing>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Potential investors should also be aware of the following other potential conflicts of interest:</w:t>
      </w:r>
    </w:p>
    <w:p>
      <w:pPr>
        <w:spacing w:after="0" w:line="83" w:lineRule="exact"/>
        <w:rPr>
          <w:sz w:val="20"/>
          <w:szCs w:val="20"/>
          <w:color w:val="auto"/>
        </w:rPr>
      </w:pPr>
    </w:p>
    <w:p>
      <w:pPr>
        <w:jc w:val="both"/>
        <w:ind w:left="1100" w:right="759"/>
        <w:spacing w:after="0" w:line="254" w:lineRule="auto"/>
        <w:rPr>
          <w:sz w:val="20"/>
          <w:szCs w:val="20"/>
          <w:color w:val="auto"/>
        </w:rPr>
      </w:pPr>
      <w:r>
        <w:rPr>
          <w:rFonts w:ascii="Arial" w:cs="Arial" w:eastAsia="Arial" w:hAnsi="Arial"/>
          <w:sz w:val="14"/>
          <w:szCs w:val="14"/>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05" w:name="page106"/>
    <w:bookmarkEnd w:id="10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right="599"/>
        <w:spacing w:after="0" w:line="233" w:lineRule="auto"/>
        <w:rPr>
          <w:sz w:val="20"/>
          <w:szCs w:val="20"/>
          <w:color w:val="auto"/>
        </w:rPr>
      </w:pPr>
      <w:r>
        <w:rPr>
          <w:rFonts w:ascii="Arial" w:cs="Arial" w:eastAsia="Arial" w:hAnsi="Arial"/>
          <w:sz w:val="15"/>
          <w:szCs w:val="15"/>
          <w:color w:val="auto"/>
        </w:rPr>
        <w:t>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79" w:lineRule="exact"/>
        <w:rPr>
          <w:sz w:val="20"/>
          <w:szCs w:val="20"/>
          <w:color w:val="auto"/>
        </w:rPr>
      </w:pPr>
    </w:p>
    <w:p>
      <w:pPr>
        <w:ind w:left="1100" w:right="619"/>
        <w:spacing w:after="0" w:line="227" w:lineRule="auto"/>
        <w:rPr>
          <w:sz w:val="20"/>
          <w:szCs w:val="20"/>
          <w:color w:val="auto"/>
        </w:rPr>
      </w:pPr>
      <w:r>
        <w:rPr>
          <w:rFonts w:ascii="Arial" w:cs="Arial" w:eastAsia="Arial" w:hAnsi="Arial"/>
          <w:sz w:val="15"/>
          <w:szCs w:val="15"/>
          <w:color w:val="auto"/>
        </w:rPr>
        <w:t>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directly or indirectly, they may have a conflict of interest in determining whether a particular target business is an appropriate business with which to effectuate our initial business combination.</w:t>
      </w:r>
    </w:p>
    <w:p>
      <w:pPr>
        <w:spacing w:after="0" w:line="86" w:lineRule="exact"/>
        <w:rPr>
          <w:sz w:val="20"/>
          <w:szCs w:val="20"/>
          <w:color w:val="auto"/>
        </w:rPr>
      </w:pPr>
    </w:p>
    <w:p>
      <w:pPr>
        <w:ind w:left="1100" w:right="779"/>
        <w:spacing w:after="0" w:line="233" w:lineRule="auto"/>
        <w:rPr>
          <w:sz w:val="20"/>
          <w:szCs w:val="20"/>
          <w:color w:val="auto"/>
        </w:rPr>
      </w:pPr>
      <w:r>
        <w:rPr>
          <w:rFonts w:ascii="Arial" w:cs="Arial" w:eastAsia="Arial" w:hAnsi="Arial"/>
          <w:sz w:val="15"/>
          <w:szCs w:val="15"/>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8" w:lineRule="exact"/>
        <w:rPr>
          <w:sz w:val="20"/>
          <w:szCs w:val="20"/>
          <w:color w:val="auto"/>
        </w:rPr>
      </w:pPr>
    </w:p>
    <w:p>
      <w:pPr>
        <w:ind w:left="600" w:right="739"/>
        <w:spacing w:after="0" w:line="245" w:lineRule="auto"/>
        <w:rPr>
          <w:sz w:val="20"/>
          <w:szCs w:val="20"/>
          <w:color w:val="auto"/>
        </w:rPr>
      </w:pPr>
      <w:r>
        <w:rPr>
          <w:rFonts w:ascii="Arial" w:cs="Arial" w:eastAsia="Arial" w:hAnsi="Arial"/>
          <w:sz w:val="14"/>
          <w:szCs w:val="14"/>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 Furthermore, in no event will our sponsor or any of our existing officers or directors, or any of their respective affiliates, be paid by us any finder’s fee, consulting fee or other compensation prior to, or for any services they render in order to effectuate, the completion of our initial business combination. Further, commencing on the date our securities are first listed on the Nasdaq, we will also reimburse our sponsor for office space, secretarial and administrative services provided to us in the amount of $10,000 per month.</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cannot assure you that any of the above mentioned conflicts will be resolved in our favor.</w:t>
      </w:r>
    </w:p>
    <w:p>
      <w:pPr>
        <w:spacing w:after="0" w:line="142" w:lineRule="exact"/>
        <w:rPr>
          <w:sz w:val="20"/>
          <w:szCs w:val="20"/>
          <w:color w:val="auto"/>
        </w:rPr>
      </w:pPr>
    </w:p>
    <w:p>
      <w:pPr>
        <w:ind w:left="600" w:right="699"/>
        <w:spacing w:after="0" w:line="230" w:lineRule="auto"/>
        <w:rPr>
          <w:sz w:val="20"/>
          <w:szCs w:val="20"/>
          <w:color w:val="auto"/>
        </w:rPr>
      </w:pPr>
      <w:r>
        <w:rPr>
          <w:rFonts w:ascii="Arial" w:cs="Arial" w:eastAsia="Arial" w:hAnsi="Arial"/>
          <w:sz w:val="15"/>
          <w:szCs w:val="15"/>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6" w:name="page107"/>
    <w:bookmarkEnd w:id="10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Limitation on Liability and Indemnification of Officers and Directors</w:t>
      </w:r>
    </w:p>
    <w:p>
      <w:pPr>
        <w:spacing w:after="0" w:line="160"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40"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29" w:lineRule="exact"/>
        <w:rPr>
          <w:sz w:val="20"/>
          <w:szCs w:val="20"/>
          <w:color w:val="auto"/>
        </w:rPr>
      </w:pPr>
    </w:p>
    <w:p>
      <w:pPr>
        <w:ind w:left="600" w:right="659"/>
        <w:spacing w:after="0" w:line="230" w:lineRule="auto"/>
        <w:rPr>
          <w:sz w:val="20"/>
          <w:szCs w:val="20"/>
          <w:color w:val="auto"/>
        </w:rPr>
      </w:pPr>
      <w:r>
        <w:rPr>
          <w:rFonts w:ascii="Arial" w:cs="Arial" w:eastAsia="Arial" w:hAnsi="Arial"/>
          <w:sz w:val="15"/>
          <w:szCs w:val="15"/>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39" w:lineRule="exact"/>
        <w:rPr>
          <w:sz w:val="20"/>
          <w:szCs w:val="20"/>
          <w:color w:val="auto"/>
        </w:rPr>
      </w:pPr>
    </w:p>
    <w:p>
      <w:pPr>
        <w:ind w:left="600" w:right="1039"/>
        <w:spacing w:after="0" w:line="236" w:lineRule="auto"/>
        <w:rPr>
          <w:sz w:val="20"/>
          <w:szCs w:val="20"/>
          <w:color w:val="auto"/>
        </w:rPr>
      </w:pPr>
      <w:r>
        <w:rPr>
          <w:rFonts w:ascii="Arial" w:cs="Arial" w:eastAsia="Arial" w:hAnsi="Arial"/>
          <w:sz w:val="15"/>
          <w:szCs w:val="15"/>
          <w:color w:val="auto"/>
        </w:rPr>
        <w:t>We believe that these provisions, the insurance and the indemnity agreements are necessary to attract and retain talented and experienced officers and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7" w:name="page108"/>
    <w:bookmarkEnd w:id="10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155" w:lineRule="exact"/>
        <w:rPr>
          <w:sz w:val="20"/>
          <w:szCs w:val="20"/>
          <w:color w:val="auto"/>
        </w:rPr>
      </w:pPr>
    </w:p>
    <w:p>
      <w:pPr>
        <w:jc w:val="both"/>
        <w:ind w:left="600" w:right="659"/>
        <w:spacing w:after="0" w:line="233" w:lineRule="auto"/>
        <w:rPr>
          <w:sz w:val="20"/>
          <w:szCs w:val="20"/>
          <w:color w:val="auto"/>
        </w:rPr>
      </w:pPr>
      <w:r>
        <w:rPr>
          <w:rFonts w:ascii="Arial" w:cs="Arial" w:eastAsia="Arial" w:hAnsi="Arial"/>
          <w:sz w:val="15"/>
          <w:szCs w:val="15"/>
          <w:color w:val="auto"/>
        </w:rPr>
        <w:t>The following table sets forth information regarding the beneficial ownership of our ordinary shares as of the date of this prospectus, and as adjusted to reflect the sale of our Class A ordinary shares offered by this prospectus, and assuming no purchase of public shares in this offering, by:</w:t>
      </w:r>
    </w:p>
    <w:p>
      <w:pPr>
        <w:spacing w:after="0" w:line="79" w:lineRule="exact"/>
        <w:rPr>
          <w:sz w:val="20"/>
          <w:szCs w:val="20"/>
          <w:color w:val="auto"/>
        </w:rPr>
      </w:pPr>
    </w:p>
    <w:p>
      <w:pPr>
        <w:ind w:left="1100" w:right="859"/>
        <w:spacing w:after="0" w:line="236" w:lineRule="auto"/>
        <w:rPr>
          <w:sz w:val="20"/>
          <w:szCs w:val="20"/>
          <w:color w:val="auto"/>
        </w:rPr>
      </w:pPr>
      <w:r>
        <w:rPr>
          <w:rFonts w:ascii="Arial" w:cs="Arial" w:eastAsia="Arial" w:hAnsi="Arial"/>
          <w:sz w:val="15"/>
          <w:szCs w:val="15"/>
          <w:color w:val="auto"/>
        </w:rPr>
        <w:t>each person known by us to be the beneficial owner of more than 5% of our issued and outstanding ordinary shares;</w:t>
      </w:r>
    </w:p>
    <w:p>
      <w:pPr>
        <w:spacing w:after="0" w:line="80" w:lineRule="exact"/>
        <w:rPr>
          <w:sz w:val="20"/>
          <w:szCs w:val="20"/>
          <w:color w:val="auto"/>
        </w:rPr>
      </w:pPr>
    </w:p>
    <w:p>
      <w:pPr>
        <w:ind w:left="1100" w:right="1039"/>
        <w:spacing w:after="0" w:line="362" w:lineRule="auto"/>
        <w:rPr>
          <w:sz w:val="20"/>
          <w:szCs w:val="20"/>
          <w:color w:val="auto"/>
        </w:rPr>
      </w:pPr>
      <w:r>
        <w:rPr>
          <w:rFonts w:ascii="Arial" w:cs="Arial" w:eastAsia="Arial" w:hAnsi="Arial"/>
          <w:sz w:val="15"/>
          <w:szCs w:val="15"/>
          <w:color w:val="auto"/>
        </w:rPr>
        <w:t>each of our executive officers, directors and director nominees that beneficially owns ordinary shares; and all our executive officers and directors as a group.</w:t>
      </w:r>
    </w:p>
    <w:p>
      <w:pPr>
        <w:spacing w:after="0" w:line="50" w:lineRule="exact"/>
        <w:rPr>
          <w:sz w:val="20"/>
          <w:szCs w:val="20"/>
          <w:color w:val="auto"/>
        </w:rPr>
      </w:pPr>
    </w:p>
    <w:p>
      <w:pPr>
        <w:ind w:left="600" w:right="719"/>
        <w:spacing w:after="0" w:line="236" w:lineRule="auto"/>
        <w:rPr>
          <w:sz w:val="20"/>
          <w:szCs w:val="20"/>
          <w:color w:val="auto"/>
        </w:rPr>
      </w:pPr>
      <w:r>
        <w:rPr>
          <w:rFonts w:ascii="Arial" w:cs="Arial" w:eastAsia="Arial" w:hAnsi="Arial"/>
          <w:sz w:val="15"/>
          <w:szCs w:val="15"/>
          <w:color w:val="auto"/>
        </w:rPr>
        <w:t>Unless otherwise indicated, we believe that all persons named in the table have sole voting and investment power with respect to all of our ordinary shares beneficially owned by them.</w:t>
      </w:r>
    </w:p>
    <w:p>
      <w:pPr>
        <w:spacing w:after="0" w:line="126"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On April 2, 2020, we issued to our sponsor 3,593,750 founder shares (of which, 468,750 are subject to forfeiture if the underwriters do not exercise their over-allotment option) in exchange for a capital contribution of $25,000, or approximately $0.007 per share. In July 2020, our sponsor transferred 30,000 founder shares to each of Messrs. Campbell, Islam and Wider. In addition, our sponsor has committed, pursuant to a written agreement, to purchase an aggregate of 450,000 private placement shares for a purchase price of $10.00 per share in a private placement that will occur simultaneously with the closing of this offering (assuming the underwriters do not exercise their over-allotment option). Prior to the initial investment in the company of $25,000 by the sponsor, the company had no assets, tangible or intangible. The per share price of the founder shares was determined by dividing the amount contributed to the company by the number of founder shares issued. The number of shares beneficially owned and post-offering percentages in the following table assume that the underwriters do not exercise their over-allotment option and that there are 16,075,000 ordinary shares, consisting of (i) 12,500,000 Class A ordinary shares, (ii) 3,125,000 Class B ordinary shares, and (iii) 450,000 private placement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110490</wp:posOffset>
            </wp:positionV>
            <wp:extent cx="49644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4"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4"/>
          </w:tcPr>
          <w:p>
            <w:pPr>
              <w:jc w:val="center"/>
              <w:spacing w:after="0"/>
              <w:rPr>
                <w:sz w:val="20"/>
                <w:szCs w:val="20"/>
                <w:color w:val="auto"/>
              </w:rPr>
            </w:pPr>
            <w:r>
              <w:rPr>
                <w:rFonts w:ascii="Arial" w:cs="Arial" w:eastAsia="Arial" w:hAnsi="Arial"/>
                <w:sz w:val="12"/>
                <w:szCs w:val="12"/>
                <w:b w:val="1"/>
                <w:bCs w:val="1"/>
                <w:color w:val="auto"/>
              </w:rPr>
              <w:t>APPROXIMATE PERCENTAGE</w:t>
            </w:r>
          </w:p>
        </w:tc>
        <w:tc>
          <w:tcPr>
            <w:tcW w:w="0" w:type="dxa"/>
            <w:vAlign w:val="bottom"/>
          </w:tcPr>
          <w:p>
            <w:pPr>
              <w:spacing w:after="0"/>
              <w:rPr>
                <w:sz w:val="1"/>
                <w:szCs w:val="1"/>
                <w:color w:val="auto"/>
              </w:rPr>
            </w:pPr>
          </w:p>
        </w:tc>
      </w:tr>
      <w:tr>
        <w:trPr>
          <w:trHeight w:val="140"/>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792"/>
              <w:spacing w:after="0"/>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40"/>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NUMBER OF</w:t>
            </w:r>
          </w:p>
        </w:tc>
        <w:tc>
          <w:tcPr>
            <w:tcW w:w="1980" w:type="dxa"/>
            <w:vAlign w:val="bottom"/>
            <w:gridSpan w:val="4"/>
          </w:tcPr>
          <w:p>
            <w:pPr>
              <w:jc w:val="center"/>
              <w:spacing w:after="0"/>
              <w:rPr>
                <w:sz w:val="20"/>
                <w:szCs w:val="20"/>
                <w:color w:val="auto"/>
              </w:rPr>
            </w:pPr>
            <w:r>
              <w:rPr>
                <w:rFonts w:ascii="Arial" w:cs="Arial" w:eastAsia="Arial" w:hAnsi="Arial"/>
                <w:sz w:val="12"/>
                <w:szCs w:val="12"/>
                <w:b w:val="1"/>
                <w:bCs w:val="1"/>
                <w:color w:val="auto"/>
              </w:rPr>
              <w:t>OUTSTANDING ORDINARY</w:t>
            </w:r>
          </w:p>
        </w:tc>
        <w:tc>
          <w:tcPr>
            <w:tcW w:w="0" w:type="dxa"/>
            <w:vAlign w:val="bottom"/>
          </w:tcPr>
          <w:p>
            <w:pPr>
              <w:spacing w:after="0"/>
              <w:rPr>
                <w:sz w:val="1"/>
                <w:szCs w:val="1"/>
                <w:color w:val="auto"/>
              </w:rPr>
            </w:pPr>
          </w:p>
        </w:tc>
      </w:tr>
      <w:tr>
        <w:trPr>
          <w:trHeight w:val="128"/>
        </w:trPr>
        <w:tc>
          <w:tcPr>
            <w:tcW w:w="4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98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80"/>
        </w:trPr>
        <w:tc>
          <w:tcPr>
            <w:tcW w:w="4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SHARES</w:t>
            </w: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4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100" w:type="dxa"/>
            <w:vAlign w:val="bottom"/>
            <w:vMerge w:val="restart"/>
          </w:tcPr>
          <w:p>
            <w:pPr>
              <w:spacing w:after="0"/>
              <w:rPr>
                <w:sz w:val="20"/>
                <w:szCs w:val="20"/>
                <w:color w:val="auto"/>
              </w:rPr>
            </w:pPr>
            <w:r>
              <w:rPr>
                <w:rFonts w:ascii="Arial" w:cs="Arial" w:eastAsia="Arial" w:hAnsi="Arial"/>
                <w:sz w:val="12"/>
                <w:szCs w:val="12"/>
                <w:b w:val="1"/>
                <w:bCs w:val="1"/>
                <w:color w:val="auto"/>
              </w:rPr>
              <w:t>NAME AND ADDRESS OF BENEFICIAL OWNER</w:t>
            </w:r>
            <w:r>
              <w:rPr>
                <w:rFonts w:ascii="Arial" w:cs="Arial" w:eastAsia="Arial" w:hAnsi="Arial"/>
                <w:sz w:val="20"/>
                <w:szCs w:val="20"/>
                <w:b w:val="1"/>
                <w:bCs w:val="1"/>
                <w:color w:val="auto"/>
                <w:vertAlign w:val="superscript"/>
              </w:rPr>
              <w:t>(1)</w:t>
            </w:r>
          </w:p>
        </w:tc>
        <w:tc>
          <w:tcPr>
            <w:tcW w:w="240" w:type="dxa"/>
            <w:vAlign w:val="bottom"/>
            <w:vMerge w:val="restart"/>
          </w:tcPr>
          <w:p>
            <w:pPr>
              <w:spacing w:after="0"/>
              <w:rPr>
                <w:sz w:val="10"/>
                <w:szCs w:val="10"/>
                <w:color w:val="auto"/>
              </w:rPr>
            </w:pPr>
          </w:p>
        </w:tc>
        <w:tc>
          <w:tcPr>
            <w:tcW w:w="1500" w:type="dxa"/>
            <w:vAlign w:val="bottom"/>
            <w:gridSpan w:val="2"/>
          </w:tcPr>
          <w:p>
            <w:pPr>
              <w:jc w:val="center"/>
              <w:ind w:right="260"/>
              <w:spacing w:after="0" w:line="126"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jc w:val="right"/>
              <w:ind w:right="51"/>
              <w:spacing w:after="0" w:line="126" w:lineRule="exact"/>
              <w:rPr>
                <w:sz w:val="20"/>
                <w:szCs w:val="20"/>
                <w:color w:val="auto"/>
              </w:rPr>
            </w:pPr>
            <w:r>
              <w:rPr>
                <w:rFonts w:ascii="Arial" w:cs="Arial" w:eastAsia="Arial" w:hAnsi="Arial"/>
                <w:sz w:val="12"/>
                <w:szCs w:val="12"/>
                <w:b w:val="1"/>
                <w:bCs w:val="1"/>
                <w:color w:val="auto"/>
              </w:rPr>
              <w:t>BEFORE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152"/>
              <w:spacing w:after="0" w:line="126" w:lineRule="exact"/>
              <w:rPr>
                <w:sz w:val="20"/>
                <w:szCs w:val="20"/>
                <w:color w:val="auto"/>
              </w:rPr>
            </w:pPr>
            <w:r>
              <w:rPr>
                <w:rFonts w:ascii="Arial" w:cs="Arial" w:eastAsia="Arial" w:hAnsi="Arial"/>
                <w:sz w:val="12"/>
                <w:szCs w:val="12"/>
                <w:b w:val="1"/>
                <w:bCs w:val="1"/>
                <w:color w:val="auto"/>
              </w:rPr>
              <w:t>AFTER</w:t>
            </w:r>
          </w:p>
        </w:tc>
        <w:tc>
          <w:tcPr>
            <w:tcW w:w="0" w:type="dxa"/>
            <w:vAlign w:val="bottom"/>
          </w:tcPr>
          <w:p>
            <w:pPr>
              <w:spacing w:after="0"/>
              <w:rPr>
                <w:sz w:val="1"/>
                <w:szCs w:val="1"/>
                <w:color w:val="auto"/>
              </w:rPr>
            </w:pPr>
          </w:p>
        </w:tc>
      </w:tr>
      <w:tr>
        <w:trPr>
          <w:trHeight w:val="221"/>
        </w:trPr>
        <w:tc>
          <w:tcPr>
            <w:tcW w:w="4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2"/>
                <w:szCs w:val="12"/>
                <w:b w:val="1"/>
                <w:bCs w:val="1"/>
                <w:color w:val="auto"/>
                <w:w w:val="96"/>
              </w:rPr>
              <w:t>OWNED</w:t>
            </w:r>
            <w:r>
              <w:rPr>
                <w:rFonts w:ascii="Arial" w:cs="Arial" w:eastAsia="Arial" w:hAnsi="Arial"/>
                <w:sz w:val="20"/>
                <w:szCs w:val="20"/>
                <w:b w:val="1"/>
                <w:bCs w:val="1"/>
                <w:color w:val="auto"/>
                <w:w w:val="96"/>
                <w:vertAlign w:val="superscript"/>
              </w:rPr>
              <w:t>(2)</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OFFERING</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ARYA Sciences Holdings III (our sponsor)</w:t>
            </w:r>
          </w:p>
        </w:tc>
        <w:tc>
          <w:tcPr>
            <w:tcW w:w="1240" w:type="dxa"/>
            <w:vAlign w:val="bottom"/>
            <w:shd w:val="clear" w:color="auto" w:fill="CCEEFF"/>
          </w:tcPr>
          <w:p>
            <w:pPr>
              <w:ind w:left="260"/>
              <w:spacing w:after="0" w:line="248" w:lineRule="exact"/>
              <w:rPr>
                <w:sz w:val="20"/>
                <w:szCs w:val="20"/>
                <w:color w:val="auto"/>
              </w:rPr>
            </w:pPr>
            <w:r>
              <w:rPr>
                <w:rFonts w:ascii="Arial" w:cs="Arial" w:eastAsia="Arial" w:hAnsi="Arial"/>
                <w:sz w:val="15"/>
                <w:szCs w:val="15"/>
                <w:color w:val="auto"/>
              </w:rPr>
              <w:t>3,485,000</w:t>
            </w:r>
            <w:r>
              <w:rPr>
                <w:rFonts w:ascii="Arial" w:cs="Arial" w:eastAsia="Arial" w:hAnsi="Arial"/>
                <w:sz w:val="24"/>
                <w:szCs w:val="24"/>
                <w:color w:val="auto"/>
                <w:vertAlign w:val="superscript"/>
              </w:rPr>
              <w:t>(3)</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131"/>
              <w:spacing w:after="0"/>
              <w:rPr>
                <w:sz w:val="20"/>
                <w:szCs w:val="20"/>
                <w:color w:val="auto"/>
              </w:rPr>
            </w:pPr>
            <w:r>
              <w:rPr>
                <w:rFonts w:ascii="Arial" w:cs="Arial" w:eastAsia="Arial" w:hAnsi="Arial"/>
                <w:sz w:val="15"/>
                <w:szCs w:val="15"/>
                <w:color w:val="auto"/>
                <w:w w:val="98"/>
              </w:rPr>
              <w:t>97.2%</w:t>
            </w:r>
          </w:p>
        </w:tc>
        <w:tc>
          <w:tcPr>
            <w:tcW w:w="1160" w:type="dxa"/>
            <w:vAlign w:val="bottom"/>
            <w:gridSpan w:val="3"/>
            <w:shd w:val="clear" w:color="auto" w:fill="CCEEFF"/>
          </w:tcPr>
          <w:p>
            <w:pPr>
              <w:ind w:left="580"/>
              <w:spacing w:after="0" w:line="248" w:lineRule="exact"/>
              <w:rPr>
                <w:sz w:val="20"/>
                <w:szCs w:val="20"/>
                <w:color w:val="auto"/>
              </w:rPr>
            </w:pPr>
            <w:r>
              <w:rPr>
                <w:rFonts w:ascii="Arial" w:cs="Arial" w:eastAsia="Arial" w:hAnsi="Arial"/>
                <w:sz w:val="15"/>
                <w:szCs w:val="15"/>
                <w:color w:val="auto"/>
                <w:w w:val="90"/>
              </w:rPr>
              <w:t>21.7%</w:t>
            </w:r>
            <w:r>
              <w:rPr>
                <w:rFonts w:ascii="Arial" w:cs="Arial" w:eastAsia="Arial" w:hAnsi="Arial"/>
                <w:sz w:val="24"/>
                <w:szCs w:val="24"/>
                <w:color w:val="auto"/>
                <w:w w:val="90"/>
                <w:vertAlign w:val="superscript"/>
              </w:rPr>
              <w:t>(4)</w:t>
            </w:r>
          </w:p>
        </w:tc>
        <w:tc>
          <w:tcPr>
            <w:tcW w:w="0" w:type="dxa"/>
            <w:vAlign w:val="bottom"/>
          </w:tcPr>
          <w:p>
            <w:pPr>
              <w:spacing w:after="0"/>
              <w:rPr>
                <w:sz w:val="1"/>
                <w:szCs w:val="1"/>
                <w:color w:val="auto"/>
              </w:rPr>
            </w:pPr>
          </w:p>
        </w:tc>
      </w:tr>
      <w:tr>
        <w:trPr>
          <w:trHeight w:val="207"/>
        </w:trPr>
        <w:tc>
          <w:tcPr>
            <w:tcW w:w="4340" w:type="dxa"/>
            <w:vAlign w:val="bottom"/>
            <w:gridSpan w:val="2"/>
          </w:tcPr>
          <w:p>
            <w:pPr>
              <w:spacing w:after="0"/>
              <w:rPr>
                <w:sz w:val="20"/>
                <w:szCs w:val="20"/>
                <w:color w:val="auto"/>
              </w:rPr>
            </w:pPr>
            <w:r>
              <w:rPr>
                <w:rFonts w:ascii="Arial" w:cs="Arial" w:eastAsia="Arial" w:hAnsi="Arial"/>
                <w:sz w:val="15"/>
                <w:szCs w:val="15"/>
                <w:color w:val="auto"/>
              </w:rPr>
              <w:t>Joseph Edelman</w:t>
            </w:r>
          </w:p>
        </w:tc>
        <w:tc>
          <w:tcPr>
            <w:tcW w:w="1500" w:type="dxa"/>
            <w:vAlign w:val="bottom"/>
            <w:gridSpan w:val="2"/>
          </w:tcPr>
          <w:p>
            <w:pPr>
              <w:ind w:left="72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820" w:type="dxa"/>
            <w:vAlign w:val="bottom"/>
          </w:tcPr>
          <w:p>
            <w:pPr>
              <w:jc w:val="center"/>
              <w:ind w:left="111"/>
              <w:spacing w:after="0"/>
              <w:rPr>
                <w:sz w:val="20"/>
                <w:szCs w:val="20"/>
                <w:color w:val="auto"/>
              </w:rPr>
            </w:pPr>
            <w:r>
              <w:rPr>
                <w:rFonts w:ascii="Arial" w:cs="Arial" w:eastAsia="Arial" w:hAnsi="Arial"/>
                <w:sz w:val="15"/>
                <w:szCs w:val="15"/>
                <w:color w:val="auto"/>
                <w:w w:val="94"/>
              </w:rPr>
              <w:t>—</w:t>
            </w:r>
            <w:r>
              <w:rPr>
                <w:rFonts w:ascii="Arial" w:cs="Arial" w:eastAsia="Arial" w:hAnsi="Arial"/>
                <w:sz w:val="12"/>
                <w:szCs w:val="12"/>
                <w:color w:val="auto"/>
                <w:w w:val="94"/>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52"/>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Adam Stone</w:t>
            </w:r>
          </w:p>
        </w:tc>
        <w:tc>
          <w:tcPr>
            <w:tcW w:w="1240" w:type="dxa"/>
            <w:vAlign w:val="bottom"/>
            <w:shd w:val="clear" w:color="auto" w:fill="CCEEFF"/>
          </w:tcPr>
          <w:p>
            <w:pPr>
              <w:ind w:left="260"/>
              <w:spacing w:after="0" w:line="233" w:lineRule="exact"/>
              <w:rPr>
                <w:sz w:val="20"/>
                <w:szCs w:val="20"/>
                <w:color w:val="auto"/>
              </w:rPr>
            </w:pPr>
            <w:r>
              <w:rPr>
                <w:rFonts w:ascii="Arial" w:cs="Arial" w:eastAsia="Arial" w:hAnsi="Arial"/>
                <w:sz w:val="15"/>
                <w:szCs w:val="15"/>
                <w:color w:val="auto"/>
              </w:rPr>
              <w:t>3,485,000</w:t>
            </w:r>
            <w:r>
              <w:rPr>
                <w:rFonts w:ascii="Arial" w:cs="Arial" w:eastAsia="Arial" w:hAnsi="Arial"/>
                <w:sz w:val="24"/>
                <w:szCs w:val="24"/>
                <w:color w:val="auto"/>
                <w:vertAlign w:val="superscript"/>
              </w:rPr>
              <w:t>(3)</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left="131"/>
              <w:spacing w:after="0"/>
              <w:rPr>
                <w:sz w:val="20"/>
                <w:szCs w:val="20"/>
                <w:color w:val="auto"/>
              </w:rPr>
            </w:pPr>
            <w:r>
              <w:rPr>
                <w:rFonts w:ascii="Arial" w:cs="Arial" w:eastAsia="Arial" w:hAnsi="Arial"/>
                <w:sz w:val="15"/>
                <w:szCs w:val="15"/>
                <w:color w:val="auto"/>
                <w:w w:val="98"/>
              </w:rPr>
              <w:t>97.2%</w:t>
            </w:r>
          </w:p>
        </w:tc>
        <w:tc>
          <w:tcPr>
            <w:tcW w:w="1160" w:type="dxa"/>
            <w:vAlign w:val="bottom"/>
            <w:gridSpan w:val="3"/>
            <w:shd w:val="clear" w:color="auto" w:fill="CCEEFF"/>
          </w:tcPr>
          <w:p>
            <w:pPr>
              <w:ind w:left="580"/>
              <w:spacing w:after="0" w:line="233" w:lineRule="exact"/>
              <w:rPr>
                <w:sz w:val="20"/>
                <w:szCs w:val="20"/>
                <w:color w:val="auto"/>
              </w:rPr>
            </w:pPr>
            <w:r>
              <w:rPr>
                <w:rFonts w:ascii="Arial" w:cs="Arial" w:eastAsia="Arial" w:hAnsi="Arial"/>
                <w:sz w:val="15"/>
                <w:szCs w:val="15"/>
                <w:color w:val="auto"/>
                <w:w w:val="90"/>
              </w:rPr>
              <w:t>21.7%</w:t>
            </w:r>
            <w:r>
              <w:rPr>
                <w:rFonts w:ascii="Arial" w:cs="Arial" w:eastAsia="Arial" w:hAnsi="Arial"/>
                <w:sz w:val="24"/>
                <w:szCs w:val="24"/>
                <w:color w:val="auto"/>
                <w:w w:val="90"/>
                <w:vertAlign w:val="superscript"/>
              </w:rPr>
              <w:t>(4)</w:t>
            </w:r>
          </w:p>
        </w:tc>
        <w:tc>
          <w:tcPr>
            <w:tcW w:w="0" w:type="dxa"/>
            <w:vAlign w:val="bottom"/>
          </w:tcPr>
          <w:p>
            <w:pPr>
              <w:spacing w:after="0"/>
              <w:rPr>
                <w:sz w:val="1"/>
                <w:szCs w:val="1"/>
                <w:color w:val="auto"/>
              </w:rPr>
            </w:pPr>
          </w:p>
        </w:tc>
      </w:tr>
      <w:tr>
        <w:trPr>
          <w:trHeight w:val="233"/>
        </w:trPr>
        <w:tc>
          <w:tcPr>
            <w:tcW w:w="4340" w:type="dxa"/>
            <w:vAlign w:val="bottom"/>
            <w:gridSpan w:val="2"/>
          </w:tcPr>
          <w:p>
            <w:pPr>
              <w:spacing w:after="0"/>
              <w:rPr>
                <w:sz w:val="20"/>
                <w:szCs w:val="20"/>
                <w:color w:val="auto"/>
              </w:rPr>
            </w:pPr>
            <w:r>
              <w:rPr>
                <w:rFonts w:ascii="Arial" w:cs="Arial" w:eastAsia="Arial" w:hAnsi="Arial"/>
                <w:sz w:val="15"/>
                <w:szCs w:val="15"/>
                <w:color w:val="auto"/>
              </w:rPr>
              <w:t>Michael Altman</w:t>
            </w:r>
          </w:p>
        </w:tc>
        <w:tc>
          <w:tcPr>
            <w:tcW w:w="1240" w:type="dxa"/>
            <w:vAlign w:val="bottom"/>
          </w:tcPr>
          <w:p>
            <w:pPr>
              <w:ind w:left="260"/>
              <w:spacing w:after="0" w:line="233" w:lineRule="exact"/>
              <w:rPr>
                <w:sz w:val="20"/>
                <w:szCs w:val="20"/>
                <w:color w:val="auto"/>
              </w:rPr>
            </w:pPr>
            <w:r>
              <w:rPr>
                <w:rFonts w:ascii="Arial" w:cs="Arial" w:eastAsia="Arial" w:hAnsi="Arial"/>
                <w:sz w:val="15"/>
                <w:szCs w:val="15"/>
                <w:color w:val="auto"/>
              </w:rPr>
              <w:t>3,485,000</w:t>
            </w:r>
            <w:r>
              <w:rPr>
                <w:rFonts w:ascii="Arial" w:cs="Arial" w:eastAsia="Arial" w:hAnsi="Arial"/>
                <w:sz w:val="24"/>
                <w:szCs w:val="24"/>
                <w:color w:val="auto"/>
                <w:vertAlign w:val="superscript"/>
              </w:rPr>
              <w:t>(3)</w:t>
            </w:r>
          </w:p>
        </w:tc>
        <w:tc>
          <w:tcPr>
            <w:tcW w:w="260" w:type="dxa"/>
            <w:vAlign w:val="bottom"/>
          </w:tcPr>
          <w:p>
            <w:pPr>
              <w:spacing w:after="0"/>
              <w:rPr>
                <w:sz w:val="20"/>
                <w:szCs w:val="20"/>
                <w:color w:val="auto"/>
              </w:rPr>
            </w:pPr>
          </w:p>
        </w:tc>
        <w:tc>
          <w:tcPr>
            <w:tcW w:w="820" w:type="dxa"/>
            <w:vAlign w:val="bottom"/>
          </w:tcPr>
          <w:p>
            <w:pPr>
              <w:jc w:val="center"/>
              <w:ind w:left="131"/>
              <w:spacing w:after="0"/>
              <w:rPr>
                <w:sz w:val="20"/>
                <w:szCs w:val="20"/>
                <w:color w:val="auto"/>
              </w:rPr>
            </w:pPr>
            <w:r>
              <w:rPr>
                <w:rFonts w:ascii="Arial" w:cs="Arial" w:eastAsia="Arial" w:hAnsi="Arial"/>
                <w:sz w:val="15"/>
                <w:szCs w:val="15"/>
                <w:color w:val="auto"/>
                <w:w w:val="98"/>
              </w:rPr>
              <w:t>97.2%</w:t>
            </w:r>
          </w:p>
        </w:tc>
        <w:tc>
          <w:tcPr>
            <w:tcW w:w="1160" w:type="dxa"/>
            <w:vAlign w:val="bottom"/>
            <w:gridSpan w:val="3"/>
          </w:tcPr>
          <w:p>
            <w:pPr>
              <w:ind w:left="580"/>
              <w:spacing w:after="0" w:line="233" w:lineRule="exact"/>
              <w:rPr>
                <w:sz w:val="20"/>
                <w:szCs w:val="20"/>
                <w:color w:val="auto"/>
              </w:rPr>
            </w:pPr>
            <w:r>
              <w:rPr>
                <w:rFonts w:ascii="Arial" w:cs="Arial" w:eastAsia="Arial" w:hAnsi="Arial"/>
                <w:sz w:val="15"/>
                <w:szCs w:val="15"/>
                <w:color w:val="auto"/>
                <w:w w:val="90"/>
              </w:rPr>
              <w:t>21.7%</w:t>
            </w:r>
            <w:r>
              <w:rPr>
                <w:rFonts w:ascii="Arial" w:cs="Arial" w:eastAsia="Arial" w:hAnsi="Arial"/>
                <w:sz w:val="24"/>
                <w:szCs w:val="24"/>
                <w:color w:val="auto"/>
                <w:w w:val="90"/>
                <w:vertAlign w:val="superscript"/>
              </w:rPr>
              <w:t>(4)</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Konstantin Poukalov</w:t>
            </w:r>
          </w:p>
        </w:tc>
        <w:tc>
          <w:tcPr>
            <w:tcW w:w="1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82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5"/>
                <w:szCs w:val="15"/>
                <w:color w:val="auto"/>
                <w:w w:val="94"/>
              </w:rPr>
              <w:t>—</w:t>
            </w:r>
            <w:r>
              <w:rPr>
                <w:rFonts w:ascii="Arial" w:cs="Arial" w:eastAsia="Arial" w:hAnsi="Arial"/>
                <w:sz w:val="12"/>
                <w:szCs w:val="12"/>
                <w:color w:val="auto"/>
                <w:w w:val="94"/>
              </w:rPr>
              <w:t>(5)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7"/>
        </w:trPr>
        <w:tc>
          <w:tcPr>
            <w:tcW w:w="4340" w:type="dxa"/>
            <w:vAlign w:val="bottom"/>
            <w:gridSpan w:val="2"/>
          </w:tcPr>
          <w:p>
            <w:pPr>
              <w:spacing w:after="0"/>
              <w:rPr>
                <w:sz w:val="20"/>
                <w:szCs w:val="20"/>
                <w:color w:val="auto"/>
              </w:rPr>
            </w:pPr>
            <w:r>
              <w:rPr>
                <w:rFonts w:ascii="Arial" w:cs="Arial" w:eastAsia="Arial" w:hAnsi="Arial"/>
                <w:sz w:val="15"/>
                <w:szCs w:val="15"/>
                <w:color w:val="auto"/>
              </w:rPr>
              <w:t>Todd Wider</w:t>
            </w:r>
          </w:p>
        </w:tc>
        <w:tc>
          <w:tcPr>
            <w:tcW w:w="1240" w:type="dxa"/>
            <w:vAlign w:val="bottom"/>
          </w:tcPr>
          <w:p>
            <w:pPr>
              <w:ind w:left="480"/>
              <w:spacing w:after="0"/>
              <w:rPr>
                <w:sz w:val="20"/>
                <w:szCs w:val="20"/>
                <w:color w:val="auto"/>
              </w:rPr>
            </w:pPr>
            <w:r>
              <w:rPr>
                <w:rFonts w:ascii="Arial" w:cs="Arial" w:eastAsia="Arial" w:hAnsi="Arial"/>
                <w:sz w:val="15"/>
                <w:szCs w:val="15"/>
                <w:color w:val="auto"/>
              </w:rPr>
              <w:t>30,000</w:t>
            </w:r>
          </w:p>
        </w:tc>
        <w:tc>
          <w:tcPr>
            <w:tcW w:w="260" w:type="dxa"/>
            <w:vAlign w:val="bottom"/>
          </w:tcPr>
          <w:p>
            <w:pPr>
              <w:spacing w:after="0"/>
              <w:rPr>
                <w:sz w:val="17"/>
                <w:szCs w:val="17"/>
                <w:color w:val="auto"/>
              </w:rPr>
            </w:pPr>
          </w:p>
        </w:tc>
        <w:tc>
          <w:tcPr>
            <w:tcW w:w="820" w:type="dxa"/>
            <w:vAlign w:val="bottom"/>
          </w:tcPr>
          <w:p>
            <w:pPr>
              <w:jc w:val="right"/>
              <w:ind w:right="91"/>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15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Bradley L. Campbell</w:t>
            </w:r>
          </w:p>
        </w:tc>
        <w:tc>
          <w:tcPr>
            <w:tcW w:w="1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30,000</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gridSpan w:val="3"/>
            <w:shd w:val="clear" w:color="auto" w:fill="CCEEFF"/>
          </w:tcPr>
          <w:p>
            <w:pPr>
              <w:jc w:val="right"/>
              <w:ind w:right="15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340" w:type="dxa"/>
            <w:vAlign w:val="bottom"/>
            <w:gridSpan w:val="2"/>
          </w:tcPr>
          <w:p>
            <w:pPr>
              <w:spacing w:after="0"/>
              <w:rPr>
                <w:sz w:val="20"/>
                <w:szCs w:val="20"/>
                <w:color w:val="auto"/>
              </w:rPr>
            </w:pPr>
            <w:r>
              <w:rPr>
                <w:rFonts w:ascii="Arial" w:cs="Arial" w:eastAsia="Arial" w:hAnsi="Arial"/>
                <w:sz w:val="15"/>
                <w:szCs w:val="15"/>
                <w:color w:val="auto"/>
              </w:rPr>
              <w:t>Saqib Islam</w:t>
            </w:r>
          </w:p>
        </w:tc>
        <w:tc>
          <w:tcPr>
            <w:tcW w:w="1240" w:type="dxa"/>
            <w:vAlign w:val="bottom"/>
          </w:tcPr>
          <w:p>
            <w:pPr>
              <w:ind w:left="480"/>
              <w:spacing w:after="0"/>
              <w:rPr>
                <w:sz w:val="20"/>
                <w:szCs w:val="20"/>
                <w:color w:val="auto"/>
              </w:rPr>
            </w:pPr>
            <w:r>
              <w:rPr>
                <w:rFonts w:ascii="Arial" w:cs="Arial" w:eastAsia="Arial" w:hAnsi="Arial"/>
                <w:sz w:val="15"/>
                <w:szCs w:val="15"/>
                <w:color w:val="auto"/>
              </w:rPr>
              <w:t>30,000</w:t>
            </w:r>
          </w:p>
        </w:tc>
        <w:tc>
          <w:tcPr>
            <w:tcW w:w="260" w:type="dxa"/>
            <w:vAlign w:val="bottom"/>
          </w:tcPr>
          <w:p>
            <w:pPr>
              <w:spacing w:after="0"/>
              <w:rPr>
                <w:sz w:val="17"/>
                <w:szCs w:val="17"/>
                <w:color w:val="auto"/>
              </w:rPr>
            </w:pPr>
          </w:p>
        </w:tc>
        <w:tc>
          <w:tcPr>
            <w:tcW w:w="820" w:type="dxa"/>
            <w:vAlign w:val="bottom"/>
          </w:tcPr>
          <w:p>
            <w:pPr>
              <w:jc w:val="right"/>
              <w:ind w:right="91"/>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15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officers, directors and director nominees as a group (seven</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340" w:type="dxa"/>
            <w:vAlign w:val="bottom"/>
            <w:tcBorders>
              <w:bottom w:val="single" w:sz="8" w:color="auto"/>
            </w:tcBorders>
            <w:gridSpan w:val="2"/>
            <w:shd w:val="clear" w:color="auto" w:fill="CCEEFF"/>
          </w:tcPr>
          <w:p>
            <w:pPr>
              <w:ind w:left="140"/>
              <w:spacing w:after="0" w:line="169" w:lineRule="exact"/>
              <w:rPr>
                <w:sz w:val="20"/>
                <w:szCs w:val="20"/>
                <w:color w:val="auto"/>
              </w:rPr>
            </w:pPr>
            <w:r>
              <w:rPr>
                <w:rFonts w:ascii="Arial" w:cs="Arial" w:eastAsia="Arial" w:hAnsi="Arial"/>
                <w:sz w:val="15"/>
                <w:szCs w:val="15"/>
                <w:color w:val="auto"/>
              </w:rPr>
              <w:t>individuals)</w:t>
            </w:r>
          </w:p>
        </w:tc>
        <w:tc>
          <w:tcPr>
            <w:tcW w:w="1240" w:type="dxa"/>
            <w:vAlign w:val="bottom"/>
            <w:tcBorders>
              <w:bottom w:val="single" w:sz="8" w:color="auto"/>
            </w:tcBorders>
            <w:shd w:val="clear" w:color="auto" w:fill="CCEEFF"/>
          </w:tcPr>
          <w:p>
            <w:pPr>
              <w:ind w:left="260"/>
              <w:spacing w:after="0" w:line="169" w:lineRule="exact"/>
              <w:rPr>
                <w:sz w:val="20"/>
                <w:szCs w:val="20"/>
                <w:color w:val="auto"/>
              </w:rPr>
            </w:pPr>
            <w:r>
              <w:rPr>
                <w:rFonts w:ascii="Arial" w:cs="Arial" w:eastAsia="Arial" w:hAnsi="Arial"/>
                <w:sz w:val="15"/>
                <w:szCs w:val="15"/>
                <w:color w:val="auto"/>
              </w:rPr>
              <w:t>3,575,000</w:t>
            </w: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51"/>
              <w:spacing w:after="0" w:line="169" w:lineRule="exact"/>
              <w:rPr>
                <w:sz w:val="20"/>
                <w:szCs w:val="20"/>
                <w:color w:val="auto"/>
              </w:rPr>
            </w:pPr>
            <w:r>
              <w:rPr>
                <w:rFonts w:ascii="Arial" w:cs="Arial" w:eastAsia="Arial" w:hAnsi="Arial"/>
                <w:sz w:val="15"/>
                <w:szCs w:val="15"/>
                <w:color w:val="auto"/>
              </w:rPr>
              <w:t>100%</w:t>
            </w:r>
          </w:p>
        </w:tc>
        <w:tc>
          <w:tcPr>
            <w:tcW w:w="1160" w:type="dxa"/>
            <w:vAlign w:val="bottom"/>
            <w:tcBorders>
              <w:bottom w:val="single" w:sz="8" w:color="auto"/>
            </w:tcBorders>
            <w:gridSpan w:val="3"/>
            <w:shd w:val="clear" w:color="auto" w:fill="CCEEFF"/>
          </w:tcPr>
          <w:p>
            <w:pPr>
              <w:ind w:left="580"/>
              <w:spacing w:after="0" w:line="169" w:lineRule="exact"/>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-1440180</wp:posOffset>
            </wp:positionV>
            <wp:extent cx="14795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7955" cy="762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-1440180</wp:posOffset>
            </wp:positionV>
            <wp:extent cx="1625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56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-1440180</wp:posOffset>
            </wp:positionV>
            <wp:extent cx="1625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560" cy="7620"/>
                    </a:xfrm>
                    <a:prstGeom prst="rect">
                      <a:avLst/>
                    </a:prstGeom>
                    <a:noFill/>
                  </pic:spPr>
                </pic:pic>
              </a:graphicData>
            </a:graphic>
          </wp:anchor>
        </w:drawing>
      </w:r>
    </w:p>
    <w:p>
      <w:pPr>
        <w:spacing w:after="0" w:line="21" w:lineRule="exact"/>
        <w:rPr>
          <w:sz w:val="20"/>
          <w:szCs w:val="20"/>
          <w:color w:val="auto"/>
        </w:rPr>
      </w:pPr>
    </w:p>
    <w:p>
      <w:pPr>
        <w:ind w:left="900" w:hanging="305"/>
        <w:spacing w:after="0"/>
        <w:tabs>
          <w:tab w:leader="none" w:pos="9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Less than one percent.</w:t>
      </w:r>
    </w:p>
    <w:p>
      <w:pPr>
        <w:spacing w:after="0" w:line="36" w:lineRule="exact"/>
        <w:rPr>
          <w:sz w:val="20"/>
          <w:szCs w:val="20"/>
          <w:color w:val="auto"/>
        </w:rPr>
      </w:pPr>
    </w:p>
    <w:p>
      <w:pPr>
        <w:ind w:left="900" w:hanging="3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Unless otherwise noted, the business address of the following entities or individuals is 51 Astor Place, 10th Floor, New York, New York 10003.</w:t>
      </w:r>
    </w:p>
    <w:p>
      <w:pPr>
        <w:spacing w:after="0" w:line="36" w:lineRule="exact"/>
        <w:rPr>
          <w:rFonts w:ascii="Arial" w:cs="Arial" w:eastAsia="Arial" w:hAnsi="Arial"/>
          <w:sz w:val="11"/>
          <w:szCs w:val="11"/>
          <w:color w:val="auto"/>
        </w:rPr>
      </w:pPr>
    </w:p>
    <w:p>
      <w:pPr>
        <w:ind w:left="900" w:right="879" w:hanging="305"/>
        <w:spacing w:after="0" w:line="229" w:lineRule="auto"/>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Interests shown consist solely of founder shares, classified as Class B ordinary shares, and private placement shares. The Class B ordinary shares will automatically convert into Class A ordinary shares at the time of our initial business combination as described in the section entitled “Description of Securities.”</w:t>
      </w:r>
    </w:p>
    <w:p>
      <w:pPr>
        <w:spacing w:after="0" w:line="33" w:lineRule="exact"/>
        <w:rPr>
          <w:rFonts w:ascii="Arial" w:cs="Arial" w:eastAsia="Arial" w:hAnsi="Arial"/>
          <w:sz w:val="11"/>
          <w:szCs w:val="11"/>
          <w:color w:val="auto"/>
        </w:rPr>
      </w:pPr>
    </w:p>
    <w:p>
      <w:pPr>
        <w:ind w:left="900" w:right="699" w:hanging="305"/>
        <w:spacing w:after="0" w:line="229" w:lineRule="auto"/>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shares reported above are held in the name of our sponsor. Our sponsor is governed by a board of directors consisting of two directors, Messrs. Stone and Altman. As such, Messrs. Stone and Altman have voting and investment discretion with respect to the Class B ordinary shares held of record by our sponsor and may be deemed to have shared beneficial ownership of the Class B ordinary shares held directly by our sponsor.</w:t>
      </w:r>
    </w:p>
    <w:p>
      <w:pPr>
        <w:spacing w:after="0" w:line="33" w:lineRule="exact"/>
        <w:rPr>
          <w:rFonts w:ascii="Arial" w:cs="Arial" w:eastAsia="Arial" w:hAnsi="Arial"/>
          <w:sz w:val="11"/>
          <w:szCs w:val="11"/>
          <w:color w:val="auto"/>
        </w:rPr>
      </w:pPr>
    </w:p>
    <w:p>
      <w:pPr>
        <w:ind w:left="900" w:hanging="3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Includes 450,000 private placement shares.</w:t>
      </w:r>
    </w:p>
    <w:p>
      <w:pPr>
        <w:spacing w:after="0" w:line="36" w:lineRule="exact"/>
        <w:rPr>
          <w:rFonts w:ascii="Arial" w:cs="Arial" w:eastAsia="Arial" w:hAnsi="Arial"/>
          <w:sz w:val="11"/>
          <w:szCs w:val="11"/>
          <w:color w:val="auto"/>
        </w:rPr>
      </w:pPr>
    </w:p>
    <w:p>
      <w:pPr>
        <w:ind w:left="900" w:hanging="3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Does not include any shares indirectly owned by this individual as a result of his ownership interest in our sponsor.</w:t>
      </w:r>
    </w:p>
    <w:p>
      <w:pPr>
        <w:spacing w:after="0" w:line="141" w:lineRule="exact"/>
        <w:rPr>
          <w:sz w:val="20"/>
          <w:szCs w:val="20"/>
          <w:color w:val="auto"/>
        </w:rPr>
      </w:pPr>
    </w:p>
    <w:p>
      <w:pPr>
        <w:ind w:left="600" w:right="699"/>
        <w:spacing w:after="0" w:line="248" w:lineRule="auto"/>
        <w:rPr>
          <w:sz w:val="20"/>
          <w:szCs w:val="20"/>
          <w:color w:val="auto"/>
        </w:rPr>
      </w:pPr>
      <w:r>
        <w:rPr>
          <w:rFonts w:ascii="Arial" w:cs="Arial" w:eastAsia="Arial" w:hAnsi="Arial"/>
          <w:sz w:val="14"/>
          <w:szCs w:val="14"/>
          <w:color w:val="auto"/>
        </w:rPr>
        <w:t>Immediately after this offering, our initial shareholders will beneficially own 20% of the then issued and outstanding ordinary shares (excluding the private placement shares) and will have the right to elect all of our directors prior to the completion of our initial business combination. If we increase or decrease the size of this offering, we will effect a share capitalization or a share surrender or other appropriate mechanism, as applicable, with respect to our Class B ordinary shares immediately prior to the consummation of the offering in such amount as to maintain the ownership of our initial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8" w:name="page109"/>
    <w:bookmarkEnd w:id="10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79"/>
        <w:spacing w:after="0" w:line="247" w:lineRule="auto"/>
        <w:rPr>
          <w:sz w:val="20"/>
          <w:szCs w:val="20"/>
          <w:color w:val="auto"/>
        </w:rPr>
      </w:pPr>
      <w:r>
        <w:rPr>
          <w:rFonts w:ascii="Arial" w:cs="Arial" w:eastAsia="Arial" w:hAnsi="Arial"/>
          <w:sz w:val="14"/>
          <w:szCs w:val="14"/>
          <w:color w:val="auto"/>
        </w:rPr>
        <w:t>shareholders (and their permitted transferees, if any) at 20% of the issued and outstanding ordinary shares (excluding the private placement shares) upon the consummation of this offering. Holders of our public shares will not have the right to elect any directors to our board of directors prior to the completion of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34" w:lineRule="exact"/>
        <w:rPr>
          <w:sz w:val="20"/>
          <w:szCs w:val="20"/>
          <w:color w:val="auto"/>
        </w:rPr>
      </w:pPr>
    </w:p>
    <w:p>
      <w:pPr>
        <w:ind w:left="600" w:right="739"/>
        <w:spacing w:after="0" w:line="242" w:lineRule="auto"/>
        <w:rPr>
          <w:sz w:val="20"/>
          <w:szCs w:val="20"/>
          <w:color w:val="auto"/>
        </w:rPr>
      </w:pPr>
      <w:r>
        <w:rPr>
          <w:rFonts w:ascii="Arial" w:cs="Arial" w:eastAsia="Arial" w:hAnsi="Arial"/>
          <w:sz w:val="14"/>
          <w:szCs w:val="14"/>
          <w:color w:val="auto"/>
        </w:rPr>
        <w:t>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w:t>
      </w:r>
    </w:p>
    <w:p>
      <w:pPr>
        <w:spacing w:after="0" w:line="2" w:lineRule="exact"/>
        <w:rPr>
          <w:sz w:val="20"/>
          <w:szCs w:val="20"/>
          <w:color w:val="auto"/>
        </w:rPr>
      </w:pPr>
    </w:p>
    <w:p>
      <w:pPr>
        <w:ind w:left="600" w:right="659" w:hanging="5"/>
        <w:spacing w:after="0" w:line="242" w:lineRule="auto"/>
        <w:tabs>
          <w:tab w:leader="none" w:pos="83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spacing w:after="0" w:line="1" w:lineRule="exact"/>
        <w:rPr>
          <w:rFonts w:ascii="Arial" w:cs="Arial" w:eastAsia="Arial" w:hAnsi="Arial"/>
          <w:sz w:val="14"/>
          <w:szCs w:val="14"/>
          <w:color w:val="auto"/>
        </w:rPr>
      </w:pPr>
    </w:p>
    <w:p>
      <w:pPr>
        <w:jc w:val="both"/>
        <w:ind w:left="600" w:right="1059" w:hanging="5"/>
        <w:spacing w:after="0" w:line="254" w:lineRule="auto"/>
        <w:tabs>
          <w:tab w:leader="none" w:pos="837"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 respect to any other provision relating to the rights of holders of our Class A ordinary shares. Further, our sponsor and each member of our management team have agreed to vote their founder shares, private placement shares and public shares purchased during or after this offering in favor of our initial business combination.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sponsor is deemed to be our “promoter” as such term is defined under the federal securities laws.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Transfers of Founder Shares and Private Placement Shares</w:t>
      </w:r>
    </w:p>
    <w:p>
      <w:pPr>
        <w:spacing w:after="0" w:line="160" w:lineRule="exact"/>
        <w:rPr>
          <w:sz w:val="20"/>
          <w:szCs w:val="20"/>
          <w:color w:val="auto"/>
        </w:rPr>
      </w:pPr>
    </w:p>
    <w:p>
      <w:pPr>
        <w:ind w:left="600" w:right="659"/>
        <w:spacing w:after="0" w:line="242" w:lineRule="auto"/>
        <w:rPr>
          <w:sz w:val="20"/>
          <w:szCs w:val="20"/>
          <w:color w:val="auto"/>
        </w:rPr>
      </w:pPr>
      <w:r>
        <w:rPr>
          <w:rFonts w:ascii="Arial" w:cs="Arial" w:eastAsia="Arial" w:hAnsi="Arial"/>
          <w:sz w:val="14"/>
          <w:szCs w:val="14"/>
          <w:color w:val="auto"/>
        </w:rPr>
        <w:t>The founder shares and private placement shares are each subject to transfer restrictions pursuant to lock-up provisions in the agreements entered into by our sponsor and management team.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w:t>
      </w:r>
    </w:p>
    <w:p>
      <w:pPr>
        <w:spacing w:after="0" w:line="8" w:lineRule="exact"/>
        <w:rPr>
          <w:sz w:val="20"/>
          <w:szCs w:val="20"/>
          <w:color w:val="auto"/>
        </w:rPr>
      </w:pPr>
    </w:p>
    <w:p>
      <w:pPr>
        <w:ind w:left="600" w:right="639" w:hanging="5"/>
        <w:spacing w:after="0" w:line="228" w:lineRule="auto"/>
        <w:tabs>
          <w:tab w:leader="none" w:pos="821"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in the case of an individual, pursuant to a qualified domestic relations order; (e) by private sales or transfers made in connection with the consummation of a business combination at prices no greater than the price at which the founder shares or private placement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case of clauses (a) through (f) these permitted transferees must enter into a written agreement agreeing to be bound by these transfer restrictions and the other restrictions contained in the letter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9" w:name="page110"/>
    <w:bookmarkEnd w:id="10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55"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On April 2, 2020, we issued 3,593,750 founder shares to our sponsor in exchange for a capital contribution of $25,000, or approximately $0.007 per share. In July 2020, our sponsor transferred 30,000 founder shares to each of Messrs. Campbell, Islam and Wider. Such shares will not be subject to forfeiture in the event the underwriters’ over-allotment option is not exercised. The number of founder shares issued was determined based on the expectation that such founder shares would represent 20% of the issued and outstanding shares (excluding the private placement shares) upon completion of this offering. If we increase or decrease the size of this offering, we will effect a share capitalization or a share surrender or other appropriate mechanism, as applicable, with respect to our Class B ordinary shares immediately prior to the consummation of the offering in such amount as to maintain the ownership of our initial shareholders (and their permitted transferees, if any) at 20% of the issued and outstanding ordinary shares (excluding the private placement shares) upon the consummation of this offering. Up to 468,750 founder shares held by our sponsor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sponsor has committed, pursuant to a written agreement, to purchase 450,000 private placement shares</w:t>
      </w:r>
    </w:p>
    <w:p>
      <w:pPr>
        <w:ind w:left="600" w:right="699"/>
        <w:spacing w:after="0" w:line="230" w:lineRule="auto"/>
        <w:rPr>
          <w:sz w:val="20"/>
          <w:szCs w:val="20"/>
          <w:color w:val="auto"/>
        </w:rPr>
      </w:pPr>
      <w:r>
        <w:rPr>
          <w:rFonts w:ascii="Arial" w:cs="Arial" w:eastAsia="Arial" w:hAnsi="Arial"/>
          <w:sz w:val="15"/>
          <w:szCs w:val="15"/>
          <w:color w:val="auto"/>
        </w:rPr>
        <w:t>(or 487,500 private placement shares if the over-allotment option is exercised in full) for a purchase price of $10.00 per share in a private placement that will occur simultaneously with the closing of this offering. As such, our sponsor’s interest in this transaction is valued at between $4,500,000 and $4,875,000, depending on the number of private placement shares purchased. The private placement shares may not, subject to certain limited exceptions, be transferred, assigned or sold by the holder.</w:t>
      </w:r>
    </w:p>
    <w:p>
      <w:pPr>
        <w:spacing w:after="0" w:line="128"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38" w:lineRule="exact"/>
        <w:rPr>
          <w:sz w:val="20"/>
          <w:szCs w:val="20"/>
          <w:color w:val="auto"/>
        </w:rPr>
      </w:pPr>
    </w:p>
    <w:p>
      <w:pPr>
        <w:ind w:left="600" w:right="619"/>
        <w:spacing w:after="0" w:line="201" w:lineRule="auto"/>
        <w:rPr>
          <w:sz w:val="20"/>
          <w:szCs w:val="20"/>
          <w:color w:val="auto"/>
        </w:rPr>
      </w:pPr>
      <w:r>
        <w:rPr>
          <w:rFonts w:ascii="Arial" w:cs="Arial" w:eastAsia="Arial" w:hAnsi="Arial"/>
          <w:sz w:val="15"/>
          <w:szCs w:val="15"/>
          <w:color w:val="auto"/>
        </w:rPr>
        <w:t>We currently maintain our executive offices at 51 Astor Place, 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New York 10003. The cost for our use of this space is included in the $10,000 per month fee we will pay to our sponsor for office space, administrative and support services, commencing on the date that our securities are first listed on the Nasdaq. Upon completion of our initial business combination or our liquidation, we will cease paying these monthly fees.</w:t>
      </w:r>
    </w:p>
    <w:p>
      <w:pPr>
        <w:spacing w:after="0" w:line="139"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26" w:lineRule="exact"/>
        <w:rPr>
          <w:sz w:val="20"/>
          <w:szCs w:val="20"/>
          <w:color w:val="auto"/>
        </w:rPr>
      </w:pPr>
    </w:p>
    <w:p>
      <w:pPr>
        <w:ind w:left="600" w:right="799"/>
        <w:spacing w:after="0" w:line="231" w:lineRule="auto"/>
        <w:rPr>
          <w:sz w:val="20"/>
          <w:szCs w:val="20"/>
          <w:color w:val="auto"/>
        </w:rPr>
      </w:pPr>
      <w:r>
        <w:rPr>
          <w:rFonts w:ascii="Arial" w:cs="Arial" w:eastAsia="Arial" w:hAnsi="Arial"/>
          <w:sz w:val="15"/>
          <w:szCs w:val="15"/>
          <w:color w:val="auto"/>
        </w:rPr>
        <w:t>Our sponsor may loan us funds to be used for a portion of the expenses of this offering. These loans would be non-interest bearing, unsecured and are due at the earlier of December 31, 2020 and the closing of this offering. The loan will be repaid upon the closing of this offering out of the estimated $1,000,000 of offering proceeds that has been allocated to the payment of offering expenses and that is not held in the trust account.</w:t>
      </w:r>
    </w:p>
    <w:p>
      <w:pPr>
        <w:spacing w:after="0" w:line="139" w:lineRule="exact"/>
        <w:rPr>
          <w:sz w:val="20"/>
          <w:szCs w:val="20"/>
          <w:color w:val="auto"/>
        </w:rPr>
      </w:pPr>
    </w:p>
    <w:p>
      <w:pPr>
        <w:ind w:left="600" w:right="619"/>
        <w:spacing w:after="0" w:line="246" w:lineRule="auto"/>
        <w:rPr>
          <w:sz w:val="20"/>
          <w:szCs w:val="20"/>
          <w:color w:val="auto"/>
        </w:rPr>
      </w:pPr>
      <w:r>
        <w:rPr>
          <w:rFonts w:ascii="Arial" w:cs="Arial" w:eastAsia="Arial" w:hAnsi="Arial"/>
          <w:sz w:val="14"/>
          <w:szCs w:val="14"/>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at a price of $10.00 per share at the option of the lender. The shares would be identical to the private placement shares. The terms of such loans by our officers and directors, if any, have not been determined and no written agreements exist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0" w:name="page111"/>
    <w:bookmarkEnd w:id="11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1059"/>
        <w:spacing w:after="0" w:line="233" w:lineRule="auto"/>
        <w:rPr>
          <w:sz w:val="20"/>
          <w:szCs w:val="20"/>
          <w:color w:val="auto"/>
        </w:rPr>
      </w:pPr>
      <w:r>
        <w:rPr>
          <w:rFonts w:ascii="Arial" w:cs="Arial" w:eastAsia="Arial" w:hAnsi="Arial"/>
          <w:sz w:val="15"/>
          <w:szCs w:val="15"/>
          <w:color w:val="auto"/>
        </w:rPr>
        <w:t>with respect to such loans.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138" w:lineRule="exact"/>
        <w:rPr>
          <w:sz w:val="20"/>
          <w:szCs w:val="20"/>
          <w:color w:val="auto"/>
        </w:rPr>
      </w:pPr>
    </w:p>
    <w:p>
      <w:pPr>
        <w:ind w:left="600" w:right="619"/>
        <w:spacing w:after="0" w:line="247" w:lineRule="auto"/>
        <w:rPr>
          <w:sz w:val="20"/>
          <w:szCs w:val="20"/>
          <w:color w:val="auto"/>
        </w:rPr>
      </w:pPr>
      <w:r>
        <w:rPr>
          <w:rFonts w:ascii="Arial" w:cs="Arial" w:eastAsia="Arial" w:hAnsi="Arial"/>
          <w:sz w:val="14"/>
          <w:szCs w:val="14"/>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34"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will enter into a registration and shareholder rights agreement pursuant to which our initial shareholders, and their permitted transferees, if any, will be entitled to certain registration rights with respect to the private placement shares, including the private placement shares issuable upon conversion of working capital loans (if any) and the Class A ordinary shares issuable upon conversion of the founder shares. Further,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126"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Our sponsor has indicated an interest to purchase up to an aggregate of $25,000,000 of our ordinary shares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Policy for Approval of Related Party Transactions</w:t>
      </w:r>
    </w:p>
    <w:p>
      <w:pPr>
        <w:spacing w:after="0" w:line="148" w:lineRule="exact"/>
        <w:rPr>
          <w:sz w:val="20"/>
          <w:szCs w:val="20"/>
          <w:color w:val="auto"/>
        </w:rPr>
      </w:pPr>
    </w:p>
    <w:p>
      <w:pPr>
        <w:ind w:left="600" w:right="639"/>
        <w:spacing w:after="0" w:line="245" w:lineRule="auto"/>
        <w:rPr>
          <w:sz w:val="20"/>
          <w:szCs w:val="20"/>
          <w:color w:val="auto"/>
        </w:rPr>
      </w:pPr>
      <w:r>
        <w:rPr>
          <w:rFonts w:ascii="Arial" w:cs="Arial" w:eastAsia="Arial" w:hAnsi="Arial"/>
          <w:sz w:val="14"/>
          <w:szCs w:val="14"/>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1" w:name="page112"/>
    <w:bookmarkEnd w:id="11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SECURITIES</w:t>
      </w:r>
    </w:p>
    <w:p>
      <w:pPr>
        <w:spacing w:after="0" w:line="155"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479,000,000 Class A ordinary shares and 20,000,000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Ordinary Shares</w:t>
      </w:r>
    </w:p>
    <w:p>
      <w:pPr>
        <w:spacing w:after="0" w:line="160"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color w:val="auto"/>
        </w:rPr>
        <w:t>Prior to the date of this prospectus, there were 3,593,750 Class B ordinary shares issued and outstanding, all of which were held of record by our initial shareholders, so that our initial shareholders will own 20% of our issued and outstanding shares (excluding the private placement shares and assuming our initial shareholders do not purchase any shares in this offering) after this offering. Upon the closing of this offering, 16,075,000 of our ordinary shares will be outstanding (assuming no exercise of the underwriters’ over-allotment option) including:</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12,500,000 Class A ordinary shares issued as part of this offering;</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450,000 private placement shares issued simultaneously with the closing of this offering; and</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3,125,000 Class B ordinary shares held by our initial shareholders.</w:t>
      </w:r>
    </w:p>
    <w:p>
      <w:pPr>
        <w:spacing w:after="0" w:line="142" w:lineRule="exact"/>
        <w:rPr>
          <w:sz w:val="20"/>
          <w:szCs w:val="20"/>
          <w:color w:val="auto"/>
        </w:rPr>
      </w:pPr>
    </w:p>
    <w:p>
      <w:pPr>
        <w:ind w:left="600" w:right="699"/>
        <w:spacing w:after="0" w:line="230" w:lineRule="auto"/>
        <w:rPr>
          <w:sz w:val="20"/>
          <w:szCs w:val="20"/>
          <w:color w:val="auto"/>
        </w:rPr>
      </w:pPr>
      <w:r>
        <w:rPr>
          <w:rFonts w:ascii="Arial" w:cs="Arial" w:eastAsia="Arial" w:hAnsi="Arial"/>
          <w:sz w:val="15"/>
          <w:szCs w:val="15"/>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initial shareholders (and their permitted transferees, if any) at 20% of our issued and outstanding ordinary shares (excluding the private placement shares) upon the consummation of this offering.</w:t>
      </w:r>
    </w:p>
    <w:p>
      <w:pPr>
        <w:spacing w:after="0" w:line="128" w:lineRule="exact"/>
        <w:rPr>
          <w:sz w:val="20"/>
          <w:szCs w:val="20"/>
          <w:color w:val="auto"/>
        </w:rPr>
      </w:pPr>
    </w:p>
    <w:p>
      <w:pPr>
        <w:ind w:left="600" w:right="639"/>
        <w:spacing w:after="0" w:line="244" w:lineRule="auto"/>
        <w:rPr>
          <w:sz w:val="20"/>
          <w:szCs w:val="20"/>
          <w:color w:val="auto"/>
        </w:rPr>
      </w:pPr>
      <w:r>
        <w:rPr>
          <w:rFonts w:ascii="Arial" w:cs="Arial" w:eastAsia="Arial" w:hAnsi="Arial"/>
          <w:sz w:val="14"/>
          <w:szCs w:val="14"/>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w:t>
      </w:r>
    </w:p>
    <w:p>
      <w:pPr>
        <w:spacing w:after="0" w:line="299"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Because our amended and restated memorandum and articles of association will authorize the issuance of up to 479,000,000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2" w:name="page113"/>
    <w:bookmarkEnd w:id="11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Nasdaq corporate governance requirements, we are not required to hold an annual meeting until one year after our first fiscal year end following our listing on Nasdaq. As an exempted company, there is no requirement under the Companies Law for us to hold annual or shareholder meetings to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41" w:lineRule="exact"/>
        <w:rPr>
          <w:sz w:val="20"/>
          <w:szCs w:val="20"/>
          <w:color w:val="auto"/>
        </w:rPr>
      </w:pPr>
    </w:p>
    <w:p>
      <w:pPr>
        <w:ind w:left="600" w:right="619"/>
        <w:spacing w:after="0" w:line="243" w:lineRule="auto"/>
        <w:rPr>
          <w:sz w:val="20"/>
          <w:szCs w:val="20"/>
          <w:color w:val="auto"/>
        </w:rPr>
      </w:pPr>
      <w:r>
        <w:rPr>
          <w:rFonts w:ascii="Arial" w:cs="Arial" w:eastAsia="Arial" w:hAnsi="Arial"/>
          <w:sz w:val="14"/>
          <w:szCs w:val="14"/>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owner must identify itself in order to valid redeem its shares.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rule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rule,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are voted in favor of the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unless restricted by applicable Nasdaq rules.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clear days’ notice will be given of any shareholder meeting.</w:t>
      </w:r>
    </w:p>
    <w:p>
      <w:pPr>
        <w:spacing w:after="0" w:line="310"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3" w:name="page114"/>
    <w:bookmarkEnd w:id="11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19"/>
        <w:spacing w:after="0" w:line="229" w:lineRule="auto"/>
        <w:rPr>
          <w:sz w:val="20"/>
          <w:szCs w:val="20"/>
          <w:color w:val="auto"/>
        </w:rPr>
      </w:pPr>
      <w:r>
        <w:rPr>
          <w:rFonts w:ascii="Arial" w:cs="Arial" w:eastAsia="Arial" w:hAnsi="Arial"/>
          <w:sz w:val="15"/>
          <w:szCs w:val="15"/>
          <w:color w:val="auto"/>
        </w:rPr>
        <w:t>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4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The other members of our management team are subject to the same arrangements with respect to any public shares acquired by them in or after this offering. Additionally, each public shareholder may elect to redeem their public shares irrespective of whether they vote for or against the proposed transaction or vote at all.</w:t>
      </w:r>
    </w:p>
    <w:p>
      <w:pPr>
        <w:spacing w:after="0" w:line="139" w:lineRule="exact"/>
        <w:rPr>
          <w:sz w:val="20"/>
          <w:szCs w:val="20"/>
          <w:color w:val="auto"/>
        </w:rPr>
      </w:pPr>
    </w:p>
    <w:p>
      <w:pPr>
        <w:ind w:left="600" w:right="639"/>
        <w:spacing w:after="0" w:line="227" w:lineRule="auto"/>
        <w:rPr>
          <w:sz w:val="20"/>
          <w:szCs w:val="20"/>
          <w:color w:val="auto"/>
        </w:rPr>
      </w:pPr>
      <w:r>
        <w:rPr>
          <w:rFonts w:ascii="Arial" w:cs="Arial" w:eastAsia="Arial" w:hAnsi="Arial"/>
          <w:sz w:val="15"/>
          <w:szCs w:val="15"/>
          <w:color w:val="auto"/>
        </w:rPr>
        <w:t>Pursuant to our amended and restated memorandum and articles of association, 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of clause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35" w:lineRule="exact"/>
        <w:rPr>
          <w:sz w:val="20"/>
          <w:szCs w:val="20"/>
          <w:color w:val="auto"/>
        </w:rPr>
      </w:pPr>
    </w:p>
    <w:p>
      <w:pPr>
        <w:ind w:left="600" w:right="699"/>
        <w:spacing w:after="0" w:line="228" w:lineRule="auto"/>
        <w:rPr>
          <w:sz w:val="20"/>
          <w:szCs w:val="20"/>
          <w:color w:val="auto"/>
        </w:rPr>
      </w:pPr>
      <w:r>
        <w:rPr>
          <w:rFonts w:ascii="Arial" w:cs="Arial" w:eastAsia="Arial" w:hAnsi="Arial"/>
          <w:sz w:val="15"/>
          <w:szCs w:val="15"/>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Private Placement Shares</w:t>
      </w:r>
    </w:p>
    <w:p>
      <w:pPr>
        <w:spacing w:after="0" w:line="14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The private placement shares will not be transferable or salable until 30 days after the completion of our initial business combination (except, among other limited exceptions as described under “Principal Shareholders — Transfers of Founder Shares and Private Placement Shares,” to our officers and directors and other persons or entities affiliated with our sponsor). Holders of our private placement shares are entitled to certain registration rights. If we do not consummate an initial business combination within 24 months from the closing of this offering, the proceeds from the sale of the private placement shares held in the trust account will be used to fund the redemption of our public shares (subject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4" w:name="page115"/>
    <w:bookmarkEnd w:id="11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requirements of applicable law) and the private placement shares will be worthless. Further,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Otherwise, the private placement shares are identical to the Class A ordinary shares sold in this offering.</w:t>
      </w:r>
    </w:p>
    <w:p>
      <w:pPr>
        <w:spacing w:after="0" w:line="139" w:lineRule="exact"/>
        <w:rPr>
          <w:sz w:val="20"/>
          <w:szCs w:val="20"/>
          <w:color w:val="auto"/>
        </w:rPr>
      </w:pPr>
    </w:p>
    <w:p>
      <w:pPr>
        <w:ind w:left="600" w:right="799"/>
        <w:spacing w:after="0" w:line="248" w:lineRule="auto"/>
        <w:rPr>
          <w:sz w:val="20"/>
          <w:szCs w:val="20"/>
          <w:color w:val="auto"/>
        </w:rPr>
      </w:pPr>
      <w:r>
        <w:rPr>
          <w:rFonts w:ascii="Arial" w:cs="Arial" w:eastAsia="Arial" w:hAnsi="Arial"/>
          <w:sz w:val="14"/>
          <w:szCs w:val="14"/>
          <w:color w:val="auto"/>
        </w:rPr>
        <w:t>Our sponsor and our management team have agreed not to transfer, assign or sell any of their private placement shares, until 30 days after the completion of our initial business combination, except that, among other limited exceptions as described under the section of this prospectus entitled “Principal Shareholders — Transfers of Founder Shares and Private Placement Shares,” to our officers and directors and other persons or entities affiliated with our sponsor” made to our officers and directors and other persons or entities affiliated with our sponsor.</w:t>
      </w:r>
    </w:p>
    <w:p>
      <w:pPr>
        <w:spacing w:after="0" w:line="134" w:lineRule="exact"/>
        <w:rPr>
          <w:sz w:val="20"/>
          <w:szCs w:val="20"/>
          <w:color w:val="auto"/>
        </w:rPr>
      </w:pPr>
    </w:p>
    <w:p>
      <w:pPr>
        <w:ind w:left="600" w:right="699"/>
        <w:spacing w:after="0" w:line="230" w:lineRule="auto"/>
        <w:rPr>
          <w:sz w:val="20"/>
          <w:szCs w:val="20"/>
          <w:color w:val="auto"/>
        </w:rPr>
      </w:pPr>
      <w:r>
        <w:rPr>
          <w:rFonts w:ascii="Arial" w:cs="Arial" w:eastAsia="Arial" w:hAnsi="Arial"/>
          <w:sz w:val="15"/>
          <w:szCs w:val="15"/>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shares of the post-business combination company at a price of $10.00 per share at the option of the lender. Such shares would be identical to the private placement shares.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Founder Shares</w:t>
      </w:r>
    </w:p>
    <w:p>
      <w:pPr>
        <w:spacing w:after="0" w:line="160" w:lineRule="exact"/>
        <w:rPr>
          <w:sz w:val="20"/>
          <w:szCs w:val="20"/>
          <w:color w:val="auto"/>
        </w:rPr>
      </w:pPr>
    </w:p>
    <w:p>
      <w:pPr>
        <w:ind w:left="600" w:right="739"/>
        <w:spacing w:after="0" w:line="233" w:lineRule="auto"/>
        <w:rPr>
          <w:sz w:val="20"/>
          <w:szCs w:val="20"/>
          <w:color w:val="auto"/>
        </w:rPr>
      </w:pPr>
      <w:r>
        <w:rPr>
          <w:rFonts w:ascii="Arial" w:cs="Arial" w:eastAsia="Arial" w:hAnsi="Arial"/>
          <w:sz w:val="15"/>
          <w:szCs w:val="15"/>
          <w:color w:val="auto"/>
        </w:rPr>
        <w:t>The founder shares are designated as Class B ordinary shares and, except as described below, are identical to the Class A ordinary shares being sold in this offering, and holders of founder shares have the same shareholder rights as public shareholders, except that: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founder shares are subject to certain transfer restrictions, as described in more detail below;</w:t>
      </w:r>
    </w:p>
    <w:p>
      <w:pPr>
        <w:spacing w:after="0" w:line="83" w:lineRule="exact"/>
        <w:rPr>
          <w:sz w:val="20"/>
          <w:szCs w:val="20"/>
          <w:color w:val="auto"/>
        </w:rPr>
      </w:pPr>
    </w:p>
    <w:p>
      <w:pPr>
        <w:ind w:left="1100" w:right="619"/>
        <w:spacing w:after="0" w:line="228" w:lineRule="auto"/>
        <w:rPr>
          <w:sz w:val="20"/>
          <w:szCs w:val="20"/>
          <w:color w:val="auto"/>
        </w:rPr>
      </w:pPr>
      <w:r>
        <w:rPr>
          <w:rFonts w:ascii="Arial" w:cs="Arial" w:eastAsia="Arial" w:hAnsi="Arial"/>
          <w:sz w:val="15"/>
          <w:szCs w:val="15"/>
          <w:color w:val="auto"/>
        </w:rPr>
        <w:t>our sponsor and our management team have entered into an agreement with us, pursuant to which they have agreed to (i) waive their redemption rights with respect to any founder shares, private placement shares and public shares they hold, (ii) to waive their redemption rights with respect to any founder shares, private placement shares and any public shares purchased during or after this offering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79" w:lineRule="exact"/>
        <w:rPr>
          <w:sz w:val="20"/>
          <w:szCs w:val="20"/>
          <w:color w:val="auto"/>
        </w:rPr>
      </w:pPr>
    </w:p>
    <w:p>
      <w:pPr>
        <w:ind w:left="1100" w:right="619"/>
        <w:spacing w:after="0" w:line="233" w:lineRule="auto"/>
        <w:rPr>
          <w:sz w:val="20"/>
          <w:szCs w:val="20"/>
          <w:color w:val="auto"/>
        </w:rPr>
      </w:pPr>
      <w:r>
        <w:rPr>
          <w:rFonts w:ascii="Arial" w:cs="Arial" w:eastAsia="Arial" w:hAnsi="Arial"/>
          <w:sz w:val="15"/>
          <w:szCs w:val="15"/>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founder shares are entitled to registration rights.</w:t>
      </w:r>
    </w:p>
    <w:p>
      <w:pPr>
        <w:spacing w:after="0" w:line="130"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If we submit our initial business combination to our public shareholders for a vote, our sponsor and our management team have agreed to vote their founder shares, private placement shares and any public shares purchased during or after this offering in favor of our initial business combination.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As a result, in addition to our initial shareholders’ founder shares and private placement shares, we would need 4,462,501, or 35.70%,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5" w:name="page116"/>
    <w:bookmarkEnd w:id="11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54" w:lineRule="auto"/>
        <w:rPr>
          <w:sz w:val="20"/>
          <w:szCs w:val="20"/>
          <w:color w:val="auto"/>
        </w:rPr>
      </w:pPr>
      <w:r>
        <w:rPr>
          <w:rFonts w:ascii="Arial" w:cs="Arial" w:eastAsia="Arial" w:hAnsi="Arial"/>
          <w:sz w:val="14"/>
          <w:szCs w:val="14"/>
          <w:color w:val="auto"/>
        </w:rPr>
        <w:t>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w:t>
      </w:r>
    </w:p>
    <w:p>
      <w:pPr>
        <w:spacing w:after="0" w:line="129"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this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spacing w:after="0" w:line="140" w:lineRule="exact"/>
        <w:rPr>
          <w:sz w:val="20"/>
          <w:szCs w:val="20"/>
          <w:color w:val="auto"/>
        </w:rPr>
      </w:pPr>
    </w:p>
    <w:p>
      <w:pPr>
        <w:ind w:left="600" w:right="799"/>
        <w:spacing w:after="0" w:line="226" w:lineRule="auto"/>
        <w:rPr>
          <w:sz w:val="20"/>
          <w:szCs w:val="20"/>
          <w:color w:val="auto"/>
        </w:rPr>
      </w:pPr>
      <w:r>
        <w:rPr>
          <w:rFonts w:ascii="Arial" w:cs="Arial" w:eastAsia="Arial" w:hAnsi="Arial"/>
          <w:sz w:val="15"/>
          <w:szCs w:val="15"/>
          <w:color w:val="auto"/>
        </w:rPr>
        <w:t>Except as described herein, our sponsor and our management team have agreed not to transfer, assign or sell any of their founder shares until the earliest of (A) one year after the completion of our initial business combination and</w:t>
      </w:r>
    </w:p>
    <w:p>
      <w:pPr>
        <w:spacing w:after="0" w:line="1" w:lineRule="exact"/>
        <w:rPr>
          <w:sz w:val="20"/>
          <w:szCs w:val="20"/>
          <w:color w:val="auto"/>
        </w:rPr>
      </w:pPr>
    </w:p>
    <w:p>
      <w:pPr>
        <w:ind w:left="600" w:right="619" w:hanging="5"/>
        <w:spacing w:after="0" w:line="245" w:lineRule="auto"/>
        <w:tabs>
          <w:tab w:leader="none" w:pos="8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Any permitted transferees will be subject to the same restrictions and other agreements of our sponsor and management team with respect to any founder shares and private placement shares. We refer to such transfer restrictions throughout this prospectus as the lock-up. Notwithstanding the foregoing,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23" w:lineRule="exact"/>
        <w:rPr>
          <w:sz w:val="20"/>
          <w:szCs w:val="20"/>
          <w:color w:val="auto"/>
        </w:rPr>
      </w:pPr>
    </w:p>
    <w:p>
      <w:pPr>
        <w:ind w:left="600" w:right="699"/>
        <w:spacing w:after="0" w:line="228" w:lineRule="auto"/>
        <w:rPr>
          <w:sz w:val="20"/>
          <w:szCs w:val="20"/>
          <w:color w:val="auto"/>
        </w:rPr>
      </w:pPr>
      <w:r>
        <w:rPr>
          <w:rFonts w:ascii="Arial" w:cs="Arial" w:eastAsia="Arial" w:hAnsi="Arial"/>
          <w:sz w:val="15"/>
          <w:szCs w:val="15"/>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holders representing at least two-thirds of our outstanding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Register of Members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Under the Companies Law, we must keep a register of members and there should be entered therein:</w:t>
      </w:r>
    </w:p>
    <w:p>
      <w:pPr>
        <w:spacing w:after="0" w:line="83" w:lineRule="exact"/>
        <w:rPr>
          <w:sz w:val="20"/>
          <w:szCs w:val="20"/>
          <w:color w:val="auto"/>
        </w:rPr>
      </w:pPr>
    </w:p>
    <w:p>
      <w:pPr>
        <w:ind w:left="1100" w:right="899"/>
        <w:spacing w:after="0" w:line="236" w:lineRule="auto"/>
        <w:rPr>
          <w:sz w:val="20"/>
          <w:szCs w:val="20"/>
          <w:color w:val="auto"/>
        </w:rPr>
      </w:pPr>
      <w:r>
        <w:rPr>
          <w:rFonts w:ascii="Arial" w:cs="Arial" w:eastAsia="Arial" w:hAnsi="Arial"/>
          <w:sz w:val="15"/>
          <w:szCs w:val="15"/>
          <w:color w:val="auto"/>
        </w:rPr>
        <w:t>the names and addresses of the members of the company, a statement of the shares held by each member, which:</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distinguishes each share by its number (so long as the share has a number);</w:t>
      </w:r>
    </w:p>
    <w:p>
      <w:pPr>
        <w:spacing w:after="0" w:line="83" w:lineRule="exact"/>
        <w:rPr>
          <w:sz w:val="20"/>
          <w:szCs w:val="20"/>
          <w:color w:val="auto"/>
        </w:rPr>
      </w:pPr>
    </w:p>
    <w:p>
      <w:pPr>
        <w:ind w:left="1380" w:right="1519"/>
        <w:spacing w:after="0" w:line="356" w:lineRule="auto"/>
        <w:rPr>
          <w:sz w:val="20"/>
          <w:szCs w:val="20"/>
          <w:color w:val="auto"/>
        </w:rPr>
      </w:pPr>
      <w:r>
        <w:rPr>
          <w:rFonts w:ascii="Arial" w:cs="Arial" w:eastAsia="Arial" w:hAnsi="Arial"/>
          <w:sz w:val="15"/>
          <w:szCs w:val="15"/>
          <w:color w:val="auto"/>
        </w:rPr>
        <w:t>confirms the amount paid, or agreed to be considered as paid, on the shares of each member; confirms the number and category of shares held by each member; and</w:t>
      </w:r>
    </w:p>
    <w:p>
      <w:pPr>
        <w:ind w:left="1380" w:right="1139"/>
        <w:spacing w:after="0" w:line="236" w:lineRule="auto"/>
        <w:rPr>
          <w:sz w:val="20"/>
          <w:szCs w:val="20"/>
          <w:color w:val="auto"/>
        </w:rPr>
      </w:pPr>
      <w:r>
        <w:rPr>
          <w:rFonts w:ascii="Arial" w:cs="Arial" w:eastAsia="Arial" w:hAnsi="Arial"/>
          <w:sz w:val="15"/>
          <w:szCs w:val="15"/>
          <w:color w:val="auto"/>
        </w:rPr>
        <w:t>confirms whether each relevant category of shares held by a member carries voting rights under the Articles, and if so, whether such voting rights are conditional;</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date on which the name of any person was entered on the register as a member;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6" w:name="page117"/>
    <w:bookmarkEnd w:id="11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date on which any person ceased to be a member.</w:t>
      </w:r>
    </w:p>
    <w:p>
      <w:pPr>
        <w:spacing w:after="0" w:line="142" w:lineRule="exact"/>
        <w:rPr>
          <w:sz w:val="20"/>
          <w:szCs w:val="20"/>
          <w:color w:val="auto"/>
        </w:rPr>
      </w:pPr>
    </w:p>
    <w:p>
      <w:pPr>
        <w:jc w:val="both"/>
        <w:ind w:left="600" w:right="919"/>
        <w:spacing w:after="0" w:line="233" w:lineRule="auto"/>
        <w:rPr>
          <w:sz w:val="20"/>
          <w:szCs w:val="20"/>
          <w:color w:val="auto"/>
        </w:rPr>
      </w:pPr>
      <w:r>
        <w:rPr>
          <w:rFonts w:ascii="Arial" w:cs="Arial" w:eastAsia="Arial" w:hAnsi="Arial"/>
          <w:sz w:val="15"/>
          <w:szCs w:val="15"/>
          <w:color w:val="auto"/>
        </w:rPr>
        <w:t>For these purposes, “voting rights” means rights conferred on shareholders, including the right to appoint or remove directors, in respect of their shares to vote at general meetings of the company on all or substantially all matters. A voting right is conditional where the voting right arises only in certain circumstances.</w:t>
      </w:r>
    </w:p>
    <w:p>
      <w:pPr>
        <w:spacing w:after="0" w:line="138"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Preference Shares</w:t>
      </w:r>
    </w:p>
    <w:p>
      <w:pPr>
        <w:spacing w:after="0" w:line="160"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Our amended and restated memorandum and articles of association will authorize 1,000,000 preference shares and will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Dividends</w:t>
      </w:r>
    </w:p>
    <w:p>
      <w:pPr>
        <w:spacing w:after="0" w:line="160" w:lineRule="exact"/>
        <w:rPr>
          <w:sz w:val="20"/>
          <w:szCs w:val="20"/>
          <w:color w:val="auto"/>
        </w:rPr>
      </w:pPr>
    </w:p>
    <w:p>
      <w:pPr>
        <w:ind w:left="600" w:right="679"/>
        <w:spacing w:after="0" w:line="245" w:lineRule="auto"/>
        <w:rPr>
          <w:sz w:val="20"/>
          <w:szCs w:val="20"/>
          <w:color w:val="auto"/>
        </w:rPr>
      </w:pPr>
      <w:r>
        <w:rPr>
          <w:rFonts w:ascii="Arial" w:cs="Arial" w:eastAsia="Arial" w:hAnsi="Arial"/>
          <w:sz w:val="14"/>
          <w:szCs w:val="14"/>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(excluding the private placement shares) upon the consummation of this offering. Further, if we incur any indebtedness in connection with a business combination, our ability to declare dividends may be limited by restrictive covenants we may agree to in connection therewith.</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Our Transfer Agent</w:t>
      </w:r>
    </w:p>
    <w:p>
      <w:pPr>
        <w:spacing w:after="0" w:line="160" w:lineRule="exact"/>
        <w:rPr>
          <w:sz w:val="20"/>
          <w:szCs w:val="20"/>
          <w:color w:val="auto"/>
        </w:rPr>
      </w:pPr>
    </w:p>
    <w:p>
      <w:pPr>
        <w:ind w:left="600" w:right="599"/>
        <w:spacing w:after="0" w:line="230" w:lineRule="auto"/>
        <w:rPr>
          <w:sz w:val="20"/>
          <w:szCs w:val="20"/>
          <w:color w:val="auto"/>
        </w:rPr>
      </w:pPr>
      <w:r>
        <w:rPr>
          <w:rFonts w:ascii="Arial" w:cs="Arial" w:eastAsia="Arial" w:hAnsi="Arial"/>
          <w:sz w:val="15"/>
          <w:szCs w:val="15"/>
          <w:color w:val="auto"/>
        </w:rPr>
        <w:t>The transfer agent for our ordinary shares is Continental Stock Transfer &amp; Trust Company. We have agreed to indemnify Continental Stock Transfer &amp; Trust Company in its roles as transfer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7" w:name="page118"/>
    <w:bookmarkEnd w:id="11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Certain Differences in Corporate Law</w:t>
      </w:r>
    </w:p>
    <w:p>
      <w:pPr>
        <w:spacing w:after="0" w:line="160" w:lineRule="exact"/>
        <w:rPr>
          <w:sz w:val="20"/>
          <w:szCs w:val="20"/>
          <w:color w:val="auto"/>
        </w:rPr>
      </w:pPr>
    </w:p>
    <w:p>
      <w:pPr>
        <w:ind w:left="600" w:right="659"/>
        <w:spacing w:after="0" w:line="230" w:lineRule="auto"/>
        <w:rPr>
          <w:sz w:val="20"/>
          <w:szCs w:val="20"/>
          <w:color w:val="auto"/>
        </w:rPr>
      </w:pPr>
      <w:r>
        <w:rPr>
          <w:rFonts w:ascii="Arial" w:cs="Arial" w:eastAsia="Arial" w:hAnsi="Arial"/>
          <w:sz w:val="15"/>
          <w:szCs w:val="15"/>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23" w:lineRule="exact"/>
        <w:rPr>
          <w:sz w:val="20"/>
          <w:szCs w:val="20"/>
          <w:color w:val="auto"/>
        </w:rPr>
      </w:pPr>
    </w:p>
    <w:p>
      <w:pPr>
        <w:ind w:left="600" w:right="699"/>
        <w:spacing w:after="0" w:line="237" w:lineRule="auto"/>
        <w:rPr>
          <w:sz w:val="20"/>
          <w:szCs w:val="20"/>
          <w:color w:val="auto"/>
        </w:rPr>
      </w:pPr>
      <w:r>
        <w:rPr>
          <w:rFonts w:ascii="Arial" w:cs="Arial" w:eastAsia="Arial" w:hAnsi="Arial"/>
          <w:sz w:val="15"/>
          <w:szCs w:val="15"/>
          <w:i w:val="1"/>
          <w:iCs w:val="1"/>
          <w:color w:val="auto"/>
        </w:rPr>
        <w:t>Mergers and Similar Arrangements</w:t>
      </w:r>
      <w:r>
        <w:rPr>
          <w:rFonts w:ascii="Arial" w:cs="Arial" w:eastAsia="Arial" w:hAnsi="Arial"/>
          <w:sz w:val="15"/>
          <w:szCs w:val="15"/>
          <w:color w:val="auto"/>
        </w:rPr>
        <w:t>. In certain circumstances, the Companies Law allows for mergers or consolidations</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two Cayman Islands companies, or between a Cayman Islands exempted company and a company incorporated in another jurisdiction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is facilitated by the laws of that other jurisdiction) so as to form a single surviving company.</w:t>
      </w:r>
    </w:p>
    <w:p>
      <w:pPr>
        <w:spacing w:after="0" w:line="126" w:lineRule="exact"/>
        <w:rPr>
          <w:sz w:val="20"/>
          <w:szCs w:val="20"/>
          <w:color w:val="auto"/>
        </w:rPr>
      </w:pPr>
    </w:p>
    <w:p>
      <w:pPr>
        <w:ind w:left="600" w:right="739"/>
        <w:spacing w:after="0" w:line="228" w:lineRule="auto"/>
        <w:rPr>
          <w:sz w:val="20"/>
          <w:szCs w:val="20"/>
          <w:color w:val="auto"/>
        </w:rPr>
      </w:pPr>
      <w:r>
        <w:rPr>
          <w:rFonts w:ascii="Arial" w:cs="Arial" w:eastAsia="Arial" w:hAnsi="Arial"/>
          <w:sz w:val="15"/>
          <w:szCs w:val="15"/>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40"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40" w:lineRule="exact"/>
        <w:rPr>
          <w:sz w:val="20"/>
          <w:szCs w:val="20"/>
          <w:color w:val="auto"/>
        </w:rPr>
      </w:pPr>
    </w:p>
    <w:p>
      <w:pPr>
        <w:ind w:left="600" w:right="699"/>
        <w:spacing w:after="0" w:line="245" w:lineRule="auto"/>
        <w:rPr>
          <w:sz w:val="20"/>
          <w:szCs w:val="20"/>
          <w:color w:val="auto"/>
        </w:rPr>
      </w:pPr>
      <w:r>
        <w:rPr>
          <w:rFonts w:ascii="Arial" w:cs="Arial" w:eastAsia="Arial" w:hAnsi="Arial"/>
          <w:sz w:val="14"/>
          <w:szCs w:val="14"/>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23" w:lineRule="exact"/>
        <w:rPr>
          <w:sz w:val="20"/>
          <w:szCs w:val="20"/>
          <w:color w:val="auto"/>
        </w:rPr>
      </w:pPr>
    </w:p>
    <w:p>
      <w:pPr>
        <w:ind w:left="600" w:right="639"/>
        <w:spacing w:after="0" w:line="246" w:lineRule="auto"/>
        <w:rPr>
          <w:sz w:val="20"/>
          <w:szCs w:val="20"/>
          <w:color w:val="auto"/>
        </w:rPr>
      </w:pPr>
      <w:r>
        <w:rPr>
          <w:rFonts w:ascii="Arial" w:cs="Arial" w:eastAsia="Arial" w:hAnsi="Arial"/>
          <w:sz w:val="14"/>
          <w:szCs w:val="14"/>
          <w:color w:val="auto"/>
        </w:rPr>
        <w:t>Where the above procedures are adopted, the Companies Law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8" w:name="page119"/>
    <w:bookmarkEnd w:id="11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47"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1" w:lineRule="exact"/>
        <w:rPr>
          <w:sz w:val="20"/>
          <w:szCs w:val="20"/>
          <w:color w:val="auto"/>
        </w:rPr>
      </w:pPr>
    </w:p>
    <w:p>
      <w:pPr>
        <w:ind w:left="1100" w:right="719"/>
        <w:spacing w:after="0" w:line="236" w:lineRule="auto"/>
        <w:rPr>
          <w:sz w:val="20"/>
          <w:szCs w:val="20"/>
          <w:color w:val="auto"/>
        </w:rPr>
      </w:pPr>
      <w:r>
        <w:rPr>
          <w:rFonts w:ascii="Arial" w:cs="Arial" w:eastAsia="Arial" w:hAnsi="Arial"/>
          <w:sz w:val="15"/>
          <w:szCs w:val="15"/>
          <w:color w:val="auto"/>
        </w:rPr>
        <w:t>we are not proposing to act illegally or beyond the scope of our corporate authority and the statutory provisions as to majority vote have been complied with;</w:t>
      </w:r>
    </w:p>
    <w:p>
      <w:pPr>
        <w:spacing w:after="0" w:line="80" w:lineRule="exact"/>
        <w:rPr>
          <w:sz w:val="20"/>
          <w:szCs w:val="20"/>
          <w:color w:val="auto"/>
        </w:rPr>
      </w:pPr>
    </w:p>
    <w:p>
      <w:pPr>
        <w:ind w:left="1100" w:right="3019"/>
        <w:spacing w:after="0" w:line="381" w:lineRule="auto"/>
        <w:rPr>
          <w:sz w:val="20"/>
          <w:szCs w:val="20"/>
          <w:color w:val="auto"/>
        </w:rPr>
      </w:pPr>
      <w:r>
        <w:rPr>
          <w:rFonts w:ascii="Arial" w:cs="Arial" w:eastAsia="Arial" w:hAnsi="Arial"/>
          <w:sz w:val="14"/>
          <w:szCs w:val="14"/>
          <w:color w:val="auto"/>
        </w:rPr>
        <w:t>the shareholders have been fairly represented at the meeting in question; the arrangement is such as a businessman would reasonably approve; and</w:t>
      </w:r>
    </w:p>
    <w:p>
      <w:pPr>
        <w:spacing w:after="0" w:line="1" w:lineRule="exact"/>
        <w:rPr>
          <w:sz w:val="20"/>
          <w:szCs w:val="20"/>
          <w:color w:val="auto"/>
        </w:rPr>
      </w:pPr>
    </w:p>
    <w:p>
      <w:pPr>
        <w:ind w:left="1100" w:right="1319"/>
        <w:spacing w:after="0" w:line="236" w:lineRule="auto"/>
        <w:rPr>
          <w:sz w:val="20"/>
          <w:szCs w:val="20"/>
          <w:color w:val="auto"/>
        </w:rPr>
      </w:pPr>
      <w:r>
        <w:rPr>
          <w:rFonts w:ascii="Arial" w:cs="Arial" w:eastAsia="Arial" w:hAnsi="Arial"/>
          <w:sz w:val="15"/>
          <w:szCs w:val="15"/>
          <w:color w:val="auto"/>
        </w:rPr>
        <w:t>the arrangement is not one that would more properly be sanctioned under some other provision of the Companies Law or that would amount to a “fraud on the minority.”</w:t>
      </w:r>
    </w:p>
    <w:p>
      <w:pPr>
        <w:spacing w:after="0" w:line="138" w:lineRule="exact"/>
        <w:rPr>
          <w:sz w:val="20"/>
          <w:szCs w:val="20"/>
          <w:color w:val="auto"/>
        </w:rPr>
      </w:pPr>
    </w:p>
    <w:p>
      <w:pPr>
        <w:ind w:left="600" w:right="679"/>
        <w:spacing w:after="0" w:line="254" w:lineRule="auto"/>
        <w:rPr>
          <w:sz w:val="20"/>
          <w:szCs w:val="20"/>
          <w:color w:val="auto"/>
        </w:rPr>
      </w:pPr>
      <w:r>
        <w:rPr>
          <w:rFonts w:ascii="Arial" w:cs="Arial" w:eastAsia="Arial" w:hAnsi="Arial"/>
          <w:sz w:val="14"/>
          <w:szCs w:val="14"/>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01" w:lineRule="exact"/>
        <w:rPr>
          <w:sz w:val="20"/>
          <w:szCs w:val="20"/>
          <w:color w:val="auto"/>
        </w:rPr>
      </w:pPr>
    </w:p>
    <w:p>
      <w:pPr>
        <w:ind w:left="600" w:right="659"/>
        <w:spacing w:after="0" w:line="235" w:lineRule="auto"/>
        <w:rPr>
          <w:sz w:val="20"/>
          <w:szCs w:val="20"/>
          <w:color w:val="auto"/>
        </w:rPr>
      </w:pPr>
      <w:r>
        <w:rPr>
          <w:rFonts w:ascii="Arial" w:cs="Arial" w:eastAsia="Arial" w:hAnsi="Arial"/>
          <w:sz w:val="15"/>
          <w:szCs w:val="15"/>
          <w:i w:val="1"/>
          <w:iCs w:val="1"/>
          <w:color w:val="auto"/>
        </w:rPr>
        <w:t>Squeeze-out Provisions</w:t>
      </w:r>
      <w:r>
        <w:rPr>
          <w:rFonts w:ascii="Arial" w:cs="Arial" w:eastAsia="Arial" w:hAnsi="Arial"/>
          <w:sz w:val="15"/>
          <w:szCs w:val="15"/>
          <w:color w:val="auto"/>
        </w:rPr>
        <w:t>. When a tender offer is made and accepted by holders of 90% of the shares to whom the offer</w:t>
      </w:r>
      <w:r>
        <w:rPr>
          <w:rFonts w:ascii="Arial" w:cs="Arial" w:eastAsia="Arial" w:hAnsi="Arial"/>
          <w:sz w:val="15"/>
          <w:szCs w:val="15"/>
          <w:i w:val="1"/>
          <w:iCs w:val="1"/>
          <w:color w:val="auto"/>
        </w:rPr>
        <w:t xml:space="preserve"> </w:t>
      </w:r>
      <w:r>
        <w:rPr>
          <w:rFonts w:ascii="Arial" w:cs="Arial" w:eastAsia="Arial" w:hAnsi="Arial"/>
          <w:sz w:val="15"/>
          <w:szCs w:val="15"/>
          <w:color w:val="auto"/>
        </w:rPr>
        <w:t>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37" w:lineRule="exact"/>
        <w:rPr>
          <w:sz w:val="20"/>
          <w:szCs w:val="20"/>
          <w:color w:val="auto"/>
        </w:rPr>
      </w:pPr>
    </w:p>
    <w:p>
      <w:pPr>
        <w:ind w:left="600" w:right="779"/>
        <w:spacing w:after="0" w:line="233" w:lineRule="auto"/>
        <w:rPr>
          <w:sz w:val="20"/>
          <w:szCs w:val="20"/>
          <w:color w:val="auto"/>
        </w:rPr>
      </w:pPr>
      <w:r>
        <w:rPr>
          <w:rFonts w:ascii="Arial" w:cs="Arial" w:eastAsia="Arial" w:hAnsi="Arial"/>
          <w:sz w:val="15"/>
          <w:szCs w:val="15"/>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9" w:name="page120"/>
    <w:bookmarkEnd w:id="11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5" w:lineRule="exact"/>
        <w:rPr>
          <w:sz w:val="20"/>
          <w:szCs w:val="20"/>
          <w:color w:val="auto"/>
        </w:rPr>
      </w:pPr>
    </w:p>
    <w:p>
      <w:pPr>
        <w:ind w:left="600" w:right="759"/>
        <w:spacing w:after="0" w:line="232" w:lineRule="auto"/>
        <w:rPr>
          <w:sz w:val="20"/>
          <w:szCs w:val="20"/>
          <w:color w:val="auto"/>
        </w:rPr>
      </w:pPr>
      <w:r>
        <w:rPr>
          <w:rFonts w:ascii="Arial" w:cs="Arial" w:eastAsia="Arial" w:hAnsi="Arial"/>
          <w:sz w:val="15"/>
          <w:szCs w:val="15"/>
          <w:i w:val="1"/>
          <w:iCs w:val="1"/>
          <w:color w:val="auto"/>
        </w:rPr>
        <w:t>Shareholders’ Suits</w:t>
      </w:r>
      <w:r>
        <w:rPr>
          <w:rFonts w:ascii="Arial" w:cs="Arial" w:eastAsia="Arial" w:hAnsi="Arial"/>
          <w:sz w:val="15"/>
          <w:szCs w:val="15"/>
          <w:color w:val="auto"/>
        </w:rPr>
        <w:t>. Our Cayman Islands counsel is not aware of any reported class action having been brought in a</w:t>
      </w:r>
      <w:r>
        <w:rPr>
          <w:rFonts w:ascii="Arial" w:cs="Arial" w:eastAsia="Arial" w:hAnsi="Arial"/>
          <w:sz w:val="15"/>
          <w:szCs w:val="15"/>
          <w:i w:val="1"/>
          <w:iCs w:val="1"/>
          <w:color w:val="auto"/>
        </w:rPr>
        <w:t xml:space="preserve"> </w:t>
      </w:r>
      <w:r>
        <w:rPr>
          <w:rFonts w:ascii="Arial" w:cs="Arial" w:eastAsia="Arial" w:hAnsi="Arial"/>
          <w:sz w:val="15"/>
          <w:szCs w:val="15"/>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company is acting, or proposing to act, illegally or ultra vires (beyond the scope of its authority);</w:t>
      </w:r>
    </w:p>
    <w:p>
      <w:pPr>
        <w:spacing w:after="0" w:line="83" w:lineRule="exact"/>
        <w:rPr>
          <w:sz w:val="20"/>
          <w:szCs w:val="20"/>
          <w:color w:val="auto"/>
        </w:rPr>
      </w:pPr>
    </w:p>
    <w:p>
      <w:pPr>
        <w:ind w:left="1100" w:right="879"/>
        <w:spacing w:after="0" w:line="236" w:lineRule="auto"/>
        <w:rPr>
          <w:sz w:val="20"/>
          <w:szCs w:val="20"/>
          <w:color w:val="auto"/>
        </w:rPr>
      </w:pPr>
      <w:r>
        <w:rPr>
          <w:rFonts w:ascii="Arial" w:cs="Arial" w:eastAsia="Arial" w:hAnsi="Arial"/>
          <w:sz w:val="15"/>
          <w:szCs w:val="15"/>
          <w:color w:val="auto"/>
        </w:rPr>
        <w:t>the act complained of, although not beyond the scope of the authority, could be effected if duly authorized by more than the number of votes which have actually been obtained; or</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those who control the company are perpetrating a “fraud on the minority.”</w:t>
      </w:r>
    </w:p>
    <w:p>
      <w:pPr>
        <w:spacing w:after="0" w:line="142" w:lineRule="exact"/>
        <w:rPr>
          <w:sz w:val="20"/>
          <w:szCs w:val="20"/>
          <w:color w:val="auto"/>
        </w:rPr>
      </w:pPr>
    </w:p>
    <w:p>
      <w:pPr>
        <w:ind w:left="600" w:right="919"/>
        <w:spacing w:after="0" w:line="236" w:lineRule="auto"/>
        <w:rPr>
          <w:sz w:val="20"/>
          <w:szCs w:val="20"/>
          <w:color w:val="auto"/>
        </w:rPr>
      </w:pPr>
      <w:r>
        <w:rPr>
          <w:rFonts w:ascii="Arial" w:cs="Arial" w:eastAsia="Arial" w:hAnsi="Arial"/>
          <w:sz w:val="15"/>
          <w:szCs w:val="15"/>
          <w:color w:val="auto"/>
        </w:rPr>
        <w:t>A shareholder may have a direct right of action against us where the individual rights of that shareholder have been infringed or are about to be infringed.</w:t>
      </w:r>
    </w:p>
    <w:p>
      <w:pPr>
        <w:spacing w:after="0" w:line="122" w:lineRule="exact"/>
        <w:rPr>
          <w:sz w:val="20"/>
          <w:szCs w:val="20"/>
          <w:color w:val="auto"/>
        </w:rPr>
      </w:pPr>
    </w:p>
    <w:p>
      <w:pPr>
        <w:ind w:left="600" w:right="659"/>
        <w:spacing w:after="0" w:line="241" w:lineRule="auto"/>
        <w:rPr>
          <w:sz w:val="20"/>
          <w:szCs w:val="20"/>
          <w:color w:val="auto"/>
        </w:rPr>
      </w:pPr>
      <w:r>
        <w:rPr>
          <w:rFonts w:ascii="Arial" w:cs="Arial" w:eastAsia="Arial" w:hAnsi="Arial"/>
          <w:sz w:val="15"/>
          <w:szCs w:val="15"/>
          <w:i w:val="1"/>
          <w:iCs w:val="1"/>
          <w:color w:val="auto"/>
        </w:rPr>
        <w:t>Enforcement of Civil Liabilities</w:t>
      </w:r>
      <w:r>
        <w:rPr>
          <w:rFonts w:ascii="Arial" w:cs="Arial" w:eastAsia="Arial" w:hAnsi="Arial"/>
          <w:sz w:val="15"/>
          <w:szCs w:val="15"/>
          <w:color w:val="auto"/>
        </w:rPr>
        <w:t>. The Cayman Islands has a different body of securities laws as compared to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States and provides less protection to investors. Additionally, Cayman Islands companies may not have standing to sue before the Federal courts of the United States.</w:t>
      </w:r>
    </w:p>
    <w:p>
      <w:pPr>
        <w:spacing w:after="0" w:line="125"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31" w:lineRule="exact"/>
        <w:rPr>
          <w:sz w:val="20"/>
          <w:szCs w:val="20"/>
          <w:color w:val="auto"/>
        </w:rPr>
      </w:pPr>
    </w:p>
    <w:p>
      <w:pPr>
        <w:ind w:left="600" w:right="619"/>
        <w:spacing w:after="0" w:line="232" w:lineRule="auto"/>
        <w:rPr>
          <w:sz w:val="20"/>
          <w:szCs w:val="20"/>
          <w:color w:val="auto"/>
        </w:rPr>
      </w:pPr>
      <w:r>
        <w:rPr>
          <w:rFonts w:ascii="Arial" w:cs="Arial" w:eastAsia="Arial" w:hAnsi="Arial"/>
          <w:sz w:val="15"/>
          <w:szCs w:val="15"/>
          <w:i w:val="1"/>
          <w:iCs w:val="1"/>
          <w:color w:val="auto"/>
        </w:rPr>
        <w:t>Special Considerations for Exempted Companies</w:t>
      </w:r>
      <w:r>
        <w:rPr>
          <w:rFonts w:ascii="Arial" w:cs="Arial" w:eastAsia="Arial" w:hAnsi="Arial"/>
          <w:sz w:val="15"/>
          <w:szCs w:val="15"/>
          <w:color w:val="auto"/>
        </w:rPr>
        <w:t>. We are an exempted company with limited liability (meaning our</w:t>
      </w:r>
      <w:r>
        <w:rPr>
          <w:rFonts w:ascii="Arial" w:cs="Arial" w:eastAsia="Arial" w:hAnsi="Arial"/>
          <w:sz w:val="15"/>
          <w:szCs w:val="15"/>
          <w:i w:val="1"/>
          <w:iCs w:val="1"/>
          <w:color w:val="auto"/>
        </w:rPr>
        <w:t xml:space="preserve"> </w:t>
      </w:r>
      <w:r>
        <w:rPr>
          <w:rFonts w:ascii="Arial" w:cs="Arial" w:eastAsia="Arial" w:hAnsi="Arial"/>
          <w:sz w:val="15"/>
          <w:szCs w:val="15"/>
          <w:color w:val="auto"/>
        </w:rPr>
        <w:t>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2" w:lineRule="exact"/>
        <w:rPr>
          <w:sz w:val="20"/>
          <w:szCs w:val="20"/>
          <w:color w:val="auto"/>
        </w:rPr>
      </w:pPr>
    </w:p>
    <w:p>
      <w:pPr>
        <w:ind w:left="1100" w:right="759"/>
        <w:spacing w:after="0" w:line="233" w:lineRule="auto"/>
        <w:rPr>
          <w:sz w:val="20"/>
          <w:szCs w:val="20"/>
          <w:color w:val="auto"/>
        </w:rPr>
      </w:pPr>
      <w:r>
        <w:rPr>
          <w:rFonts w:ascii="Arial" w:cs="Arial" w:eastAsia="Arial" w:hAnsi="Arial"/>
          <w:sz w:val="15"/>
          <w:szCs w:val="15"/>
          <w:color w:val="auto"/>
        </w:rPr>
        <w:t>annual reporting requirements are minimal and consist mainly of a statement that the company has conducted its operations mainly outside of the Cayman Islands and has complied with the provisions of the Companies Law;</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an exempted company’s register of members is not open to inspection;</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an exempted company does not have to hold an annual shareholder meeting;</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an exempted company may issue negotiable or bearer shares or shares with no par value;</w:t>
      </w:r>
    </w:p>
    <w:p>
      <w:pPr>
        <w:spacing w:after="0" w:line="83" w:lineRule="exact"/>
        <w:rPr>
          <w:sz w:val="20"/>
          <w:szCs w:val="20"/>
          <w:color w:val="auto"/>
        </w:rPr>
      </w:pPr>
    </w:p>
    <w:p>
      <w:pPr>
        <w:ind w:left="1100" w:right="1379"/>
        <w:spacing w:after="0" w:line="236" w:lineRule="auto"/>
        <w:rPr>
          <w:sz w:val="20"/>
          <w:szCs w:val="20"/>
          <w:color w:val="auto"/>
        </w:rPr>
      </w:pPr>
      <w:r>
        <w:rPr>
          <w:rFonts w:ascii="Arial" w:cs="Arial" w:eastAsia="Arial" w:hAnsi="Arial"/>
          <w:sz w:val="15"/>
          <w:szCs w:val="15"/>
          <w:color w:val="auto"/>
        </w:rPr>
        <w:t>an exempted company may obtain an undertaking against the imposition of any future taxation (such undertakings are usually given for 20 years in the first instance);</w:t>
      </w:r>
    </w:p>
    <w:p>
      <w:pPr>
        <w:spacing w:after="0" w:line="80" w:lineRule="exact"/>
        <w:rPr>
          <w:sz w:val="20"/>
          <w:szCs w:val="20"/>
          <w:color w:val="auto"/>
        </w:rPr>
      </w:pPr>
    </w:p>
    <w:p>
      <w:pPr>
        <w:ind w:left="1100" w:right="899"/>
        <w:spacing w:after="0" w:line="236" w:lineRule="auto"/>
        <w:rPr>
          <w:sz w:val="20"/>
          <w:szCs w:val="20"/>
          <w:color w:val="auto"/>
        </w:rPr>
      </w:pPr>
      <w:r>
        <w:rPr>
          <w:rFonts w:ascii="Arial" w:cs="Arial" w:eastAsia="Arial" w:hAnsi="Arial"/>
          <w:sz w:val="15"/>
          <w:szCs w:val="15"/>
          <w:color w:val="auto"/>
        </w:rPr>
        <w:t>an exempted company may register by way of continuation in another jurisdiction and be deregistered in the Cayman Islands;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20" w:name="page121"/>
    <w:bookmarkEnd w:id="12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jc w:val="both"/>
        <w:ind w:left="1100" w:right="3259"/>
        <w:spacing w:after="0" w:line="405" w:lineRule="auto"/>
        <w:rPr>
          <w:sz w:val="20"/>
          <w:szCs w:val="20"/>
          <w:color w:val="auto"/>
        </w:rPr>
      </w:pPr>
      <w:r>
        <w:rPr>
          <w:rFonts w:ascii="Arial" w:cs="Arial" w:eastAsia="Arial" w:hAnsi="Arial"/>
          <w:sz w:val="14"/>
          <w:szCs w:val="14"/>
          <w:color w:val="auto"/>
        </w:rPr>
        <w:t>an exempted company may register as a limited duration company; and an exempted company may register as a segregated portfolio company.</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Amended and Restated Memorandum and Articles of Association</w:t>
      </w:r>
    </w:p>
    <w:p>
      <w:pPr>
        <w:spacing w:after="0" w:line="148" w:lineRule="exact"/>
        <w:rPr>
          <w:sz w:val="20"/>
          <w:szCs w:val="20"/>
          <w:color w:val="auto"/>
        </w:rPr>
      </w:pPr>
    </w:p>
    <w:p>
      <w:pPr>
        <w:ind w:left="600" w:right="619"/>
        <w:spacing w:after="0" w:line="244" w:lineRule="auto"/>
        <w:rPr>
          <w:sz w:val="20"/>
          <w:szCs w:val="20"/>
          <w:color w:val="auto"/>
        </w:rPr>
      </w:pPr>
      <w:r>
        <w:rPr>
          <w:rFonts w:ascii="Arial" w:cs="Arial" w:eastAsia="Arial" w:hAnsi="Arial"/>
          <w:sz w:val="14"/>
          <w:szCs w:val="14"/>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 provided that a quorum in connection with any meeting that is convened to vote on a business combination or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shall be a majority of the ordinary shares entitled to vote at such meeting being individuals present in person or by proxy or if a corporation or other non-natural person by its duly authorized representative or proxy.</w:t>
      </w:r>
    </w:p>
    <w:p>
      <w:pPr>
        <w:spacing w:after="0" w:line="298" w:lineRule="exact"/>
        <w:rPr>
          <w:sz w:val="20"/>
          <w:szCs w:val="20"/>
          <w:color w:val="auto"/>
        </w:rPr>
      </w:pPr>
    </w:p>
    <w:p>
      <w:pPr>
        <w:ind w:left="600" w:right="679"/>
        <w:spacing w:after="0" w:line="248" w:lineRule="auto"/>
        <w:rPr>
          <w:sz w:val="20"/>
          <w:szCs w:val="20"/>
          <w:color w:val="auto"/>
        </w:rPr>
      </w:pPr>
      <w:r>
        <w:rPr>
          <w:rFonts w:ascii="Arial" w:cs="Arial" w:eastAsia="Arial" w:hAnsi="Arial"/>
          <w:sz w:val="14"/>
          <w:szCs w:val="14"/>
          <w:color w:val="auto"/>
        </w:rPr>
        <w:t>Our initial shareholders and their permitted transferees, if any, who will collectively beneficially own 20% of our ordinary shares (excluding the private placement shares and assuming they do not purchase any public shares in this offering) upon the closing of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6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if we do not consummate an initial business combination within 24 months from the closing of this offering,</w:t>
      </w:r>
    </w:p>
    <w:p>
      <w:pPr>
        <w:ind w:left="1100" w:right="679"/>
        <w:spacing w:after="0" w:line="228" w:lineRule="auto"/>
        <w:rPr>
          <w:sz w:val="20"/>
          <w:szCs w:val="20"/>
          <w:color w:val="auto"/>
        </w:rPr>
      </w:pPr>
      <w:r>
        <w:rPr>
          <w:rFonts w:ascii="Arial" w:cs="Arial" w:eastAsia="Arial" w:hAnsi="Arial"/>
          <w:sz w:val="15"/>
          <w:szCs w:val="15"/>
          <w:color w:val="auto"/>
        </w:rPr>
        <w:t>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83" w:lineRule="exact"/>
        <w:rPr>
          <w:sz w:val="20"/>
          <w:szCs w:val="20"/>
          <w:color w:val="auto"/>
        </w:rPr>
      </w:pPr>
    </w:p>
    <w:p>
      <w:pPr>
        <w:ind w:left="1100" w:right="679"/>
        <w:spacing w:after="0" w:line="242" w:lineRule="auto"/>
        <w:rPr>
          <w:sz w:val="20"/>
          <w:szCs w:val="20"/>
          <w:color w:val="auto"/>
        </w:rPr>
      </w:pPr>
      <w:r>
        <w:rPr>
          <w:rFonts w:ascii="Arial" w:cs="Arial" w:eastAsia="Arial" w:hAnsi="Arial"/>
          <w:sz w:val="14"/>
          <w:szCs w:val="14"/>
          <w:color w:val="auto"/>
        </w:rPr>
        <w:t>prior to the completion of our initial business combination, we may not issue additional securities that would entitle the holders thereof to (i) receive funds from the trust account or (ii) vote as a class with our public shares</w:t>
      </w:r>
    </w:p>
    <w:p>
      <w:pPr>
        <w:spacing w:after="0" w:line="1" w:lineRule="exact"/>
        <w:rPr>
          <w:sz w:val="20"/>
          <w:szCs w:val="20"/>
          <w:color w:val="auto"/>
        </w:rPr>
      </w:pPr>
    </w:p>
    <w:p>
      <w:pPr>
        <w:ind w:left="1100" w:right="699" w:hanging="5"/>
        <w:spacing w:after="0" w:line="230" w:lineRule="auto"/>
        <w:tabs>
          <w:tab w:leader="none" w:pos="1321"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81" w:lineRule="exact"/>
        <w:rPr>
          <w:sz w:val="20"/>
          <w:szCs w:val="20"/>
          <w:color w:val="auto"/>
        </w:rPr>
      </w:pPr>
    </w:p>
    <w:p>
      <w:pPr>
        <w:ind w:left="1100" w:right="779"/>
        <w:spacing w:after="0" w:line="267" w:lineRule="auto"/>
        <w:rPr>
          <w:sz w:val="20"/>
          <w:szCs w:val="20"/>
          <w:color w:val="auto"/>
        </w:rPr>
      </w:pPr>
      <w:r>
        <w:rPr>
          <w:rFonts w:ascii="Arial" w:cs="Arial" w:eastAsia="Arial" w:hAnsi="Arial"/>
          <w:sz w:val="14"/>
          <w:szCs w:val="14"/>
          <w:color w:val="auto"/>
        </w:rPr>
        <w:t>although we do not intend to enter into a business combination with a target business that is affiliated with our sponsor, our directors or our executive officers, we are not prohibited from doing so. In the event we enter into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21" w:name="page122"/>
    <w:bookmarkEnd w:id="12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right="619"/>
        <w:spacing w:after="0" w:line="233" w:lineRule="auto"/>
        <w:rPr>
          <w:sz w:val="20"/>
          <w:szCs w:val="20"/>
          <w:color w:val="auto"/>
        </w:rPr>
      </w:pPr>
      <w:r>
        <w:rPr>
          <w:rFonts w:ascii="Arial" w:cs="Arial" w:eastAsia="Arial" w:hAnsi="Arial"/>
          <w:sz w:val="15"/>
          <w:szCs w:val="15"/>
          <w:color w:val="auto"/>
        </w:rPr>
        <w:t>such a transaction, we, or a committee of independent directors, will obtain an opinion from an independent investment banking firm which is a member of FINRA or an independent valuation or accounting firm that such a business combination or transaction is fair to our company from a financial point of view;</w:t>
      </w:r>
    </w:p>
    <w:p>
      <w:pPr>
        <w:spacing w:after="0" w:line="79" w:lineRule="exact"/>
        <w:rPr>
          <w:sz w:val="20"/>
          <w:szCs w:val="20"/>
          <w:color w:val="auto"/>
        </w:rPr>
      </w:pPr>
    </w:p>
    <w:p>
      <w:pPr>
        <w:ind w:left="1100" w:right="639"/>
        <w:spacing w:after="0" w:line="229" w:lineRule="auto"/>
        <w:rPr>
          <w:sz w:val="20"/>
          <w:szCs w:val="20"/>
          <w:color w:val="auto"/>
        </w:rPr>
      </w:pPr>
      <w:r>
        <w:rPr>
          <w:rFonts w:ascii="Arial" w:cs="Arial" w:eastAsia="Arial" w:hAnsi="Arial"/>
          <w:sz w:val="15"/>
          <w:szCs w:val="15"/>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83" w:lineRule="exact"/>
        <w:rPr>
          <w:sz w:val="20"/>
          <w:szCs w:val="20"/>
          <w:color w:val="auto"/>
        </w:rPr>
      </w:pPr>
    </w:p>
    <w:p>
      <w:pPr>
        <w:ind w:left="1100" w:right="639"/>
        <w:spacing w:after="0" w:line="231" w:lineRule="auto"/>
        <w:rPr>
          <w:sz w:val="20"/>
          <w:szCs w:val="20"/>
          <w:color w:val="auto"/>
        </w:rPr>
      </w:pPr>
      <w:r>
        <w:rPr>
          <w:rFonts w:ascii="Arial" w:cs="Arial" w:eastAsia="Arial" w:hAnsi="Arial"/>
          <w:sz w:val="15"/>
          <w:szCs w:val="15"/>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initial business combination must be approved by a majority of our independent directors;</w:t>
      </w:r>
    </w:p>
    <w:p>
      <w:pPr>
        <w:spacing w:after="0" w:line="83" w:lineRule="exact"/>
        <w:rPr>
          <w:sz w:val="20"/>
          <w:szCs w:val="20"/>
          <w:color w:val="auto"/>
        </w:rPr>
      </w:pPr>
    </w:p>
    <w:p>
      <w:pPr>
        <w:ind w:left="1100" w:right="659"/>
        <w:spacing w:after="0" w:line="228" w:lineRule="auto"/>
        <w:rPr>
          <w:sz w:val="20"/>
          <w:szCs w:val="20"/>
          <w:color w:val="auto"/>
        </w:rPr>
      </w:pPr>
      <w:r>
        <w:rPr>
          <w:rFonts w:ascii="Arial" w:cs="Arial" w:eastAsia="Arial" w:hAnsi="Arial"/>
          <w:sz w:val="15"/>
          <w:szCs w:val="15"/>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83" w:lineRule="exact"/>
        <w:rPr>
          <w:sz w:val="20"/>
          <w:szCs w:val="20"/>
          <w:color w:val="auto"/>
        </w:rPr>
      </w:pPr>
    </w:p>
    <w:p>
      <w:pPr>
        <w:ind w:left="1100" w:right="999"/>
        <w:spacing w:after="0" w:line="236" w:lineRule="auto"/>
        <w:rPr>
          <w:sz w:val="20"/>
          <w:szCs w:val="20"/>
          <w:color w:val="auto"/>
        </w:rPr>
      </w:pPr>
      <w:r>
        <w:rPr>
          <w:rFonts w:ascii="Arial" w:cs="Arial" w:eastAsia="Arial" w:hAnsi="Arial"/>
          <w:sz w:val="15"/>
          <w:szCs w:val="15"/>
          <w:color w:val="auto"/>
        </w:rPr>
        <w:t>we will not effectuate our initial business combination solely with another blank check company or a similar company with nominal operations.</w:t>
      </w:r>
    </w:p>
    <w:p>
      <w:pPr>
        <w:spacing w:after="0" w:line="138" w:lineRule="exact"/>
        <w:rPr>
          <w:sz w:val="20"/>
          <w:szCs w:val="20"/>
          <w:color w:val="auto"/>
        </w:rPr>
      </w:pPr>
    </w:p>
    <w:p>
      <w:pPr>
        <w:ind w:left="600" w:right="739"/>
        <w:spacing w:after="0" w:line="233" w:lineRule="auto"/>
        <w:rPr>
          <w:sz w:val="20"/>
          <w:szCs w:val="20"/>
          <w:color w:val="auto"/>
        </w:rPr>
      </w:pPr>
      <w:r>
        <w:rPr>
          <w:rFonts w:ascii="Arial" w:cs="Arial" w:eastAsia="Arial" w:hAnsi="Arial"/>
          <w:sz w:val="15"/>
          <w:szCs w:val="15"/>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38"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 xml:space="preserve">The Companies Law permits a company incorporated in the Cayman Islands to amend its memorandum and articles of association with the approval of a special resolution. A company’s articles of association may specify that the approval of a higher majority is required but,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Anti-Money Laundering — Cayman Islands</w:t>
      </w:r>
    </w:p>
    <w:p>
      <w:pPr>
        <w:spacing w:after="0" w:line="160" w:lineRule="exact"/>
        <w:rPr>
          <w:sz w:val="20"/>
          <w:szCs w:val="20"/>
          <w:color w:val="auto"/>
        </w:rPr>
      </w:pPr>
    </w:p>
    <w:p>
      <w:pPr>
        <w:jc w:val="both"/>
        <w:ind w:left="600" w:right="659"/>
        <w:spacing w:after="0" w:line="250" w:lineRule="auto"/>
        <w:rPr>
          <w:sz w:val="20"/>
          <w:szCs w:val="20"/>
          <w:color w:val="auto"/>
        </w:rPr>
      </w:pPr>
      <w:r>
        <w:rPr>
          <w:rFonts w:ascii="Arial" w:cs="Arial" w:eastAsia="Arial" w:hAnsi="Arial"/>
          <w:sz w:val="14"/>
          <w:szCs w:val="14"/>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2" w:name="page123"/>
    <w:bookmarkEnd w:id="12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139" w:lineRule="exact"/>
        <w:rPr>
          <w:sz w:val="20"/>
          <w:szCs w:val="20"/>
          <w:color w:val="auto"/>
        </w:rPr>
      </w:pPr>
    </w:p>
    <w:p>
      <w:pPr>
        <w:ind w:left="1200" w:right="919" w:hanging="295"/>
        <w:spacing w:after="0" w:line="236" w:lineRule="auto"/>
        <w:tabs>
          <w:tab w:leader="none" w:pos="1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subscriber makes the payment for their investment from an account held in the subscriber’s name at a recognized financial institution;</w:t>
      </w:r>
    </w:p>
    <w:p>
      <w:pPr>
        <w:spacing w:after="0" w:line="137" w:lineRule="exact"/>
        <w:rPr>
          <w:rFonts w:ascii="Arial" w:cs="Arial" w:eastAsia="Arial" w:hAnsi="Arial"/>
          <w:sz w:val="15"/>
          <w:szCs w:val="15"/>
          <w:color w:val="auto"/>
        </w:rPr>
      </w:pPr>
    </w:p>
    <w:p>
      <w:pPr>
        <w:ind w:left="1200" w:right="919" w:hanging="295"/>
        <w:spacing w:after="0" w:line="236" w:lineRule="auto"/>
        <w:tabs>
          <w:tab w:leader="none" w:pos="1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subscriber is regulated by a recognized regulatory authority and is based or incorporated in, or formed under the law of, a recognized jurisdiction; or</w:t>
      </w:r>
    </w:p>
    <w:p>
      <w:pPr>
        <w:spacing w:after="0" w:line="126" w:lineRule="exact"/>
        <w:rPr>
          <w:rFonts w:ascii="Arial" w:cs="Arial" w:eastAsia="Arial" w:hAnsi="Arial"/>
          <w:sz w:val="15"/>
          <w:szCs w:val="15"/>
          <w:color w:val="auto"/>
        </w:rPr>
      </w:pPr>
    </w:p>
    <w:p>
      <w:pPr>
        <w:jc w:val="both"/>
        <w:ind w:left="1200" w:right="679" w:hanging="295"/>
        <w:spacing w:after="0" w:line="233" w:lineRule="auto"/>
        <w:tabs>
          <w:tab w:leader="none" w:pos="1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38" w:lineRule="exact"/>
        <w:rPr>
          <w:sz w:val="20"/>
          <w:szCs w:val="20"/>
          <w:color w:val="auto"/>
        </w:rPr>
      </w:pPr>
    </w:p>
    <w:p>
      <w:pPr>
        <w:ind w:left="600" w:right="819"/>
        <w:spacing w:after="0" w:line="233" w:lineRule="auto"/>
        <w:rPr>
          <w:sz w:val="20"/>
          <w:szCs w:val="20"/>
          <w:color w:val="auto"/>
        </w:rPr>
      </w:pPr>
      <w:r>
        <w:rPr>
          <w:rFonts w:ascii="Arial" w:cs="Arial" w:eastAsia="Arial" w:hAnsi="Arial"/>
          <w:sz w:val="15"/>
          <w:szCs w:val="15"/>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38" w:lineRule="exact"/>
        <w:rPr>
          <w:sz w:val="20"/>
          <w:szCs w:val="20"/>
          <w:color w:val="auto"/>
        </w:rPr>
      </w:pPr>
    </w:p>
    <w:p>
      <w:pPr>
        <w:ind w:left="600" w:right="679"/>
        <w:spacing w:after="0" w:line="233" w:lineRule="auto"/>
        <w:rPr>
          <w:sz w:val="20"/>
          <w:szCs w:val="20"/>
          <w:color w:val="auto"/>
        </w:rPr>
      </w:pPr>
      <w:r>
        <w:rPr>
          <w:rFonts w:ascii="Arial" w:cs="Arial" w:eastAsia="Arial" w:hAnsi="Arial"/>
          <w:sz w:val="15"/>
          <w:szCs w:val="15"/>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26" w:lineRule="exact"/>
        <w:rPr>
          <w:sz w:val="20"/>
          <w:szCs w:val="20"/>
          <w:color w:val="auto"/>
        </w:rPr>
      </w:pPr>
    </w:p>
    <w:p>
      <w:pPr>
        <w:ind w:left="600" w:right="659"/>
        <w:spacing w:after="0" w:line="250" w:lineRule="auto"/>
        <w:rPr>
          <w:sz w:val="20"/>
          <w:szCs w:val="20"/>
          <w:color w:val="auto"/>
        </w:rPr>
      </w:pPr>
      <w:r>
        <w:rPr>
          <w:rFonts w:ascii="Arial" w:cs="Arial" w:eastAsia="Arial" w:hAnsi="Arial"/>
          <w:sz w:val="14"/>
          <w:szCs w:val="14"/>
          <w:color w:val="auto"/>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32"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Date Protection in the Cayman Islands — Privacy Notice</w:t>
      </w:r>
    </w:p>
    <w:p>
      <w:pPr>
        <w:spacing w:after="0" w:line="160" w:lineRule="exact"/>
        <w:rPr>
          <w:sz w:val="20"/>
          <w:szCs w:val="20"/>
          <w:color w:val="auto"/>
        </w:rPr>
      </w:pPr>
    </w:p>
    <w:p>
      <w:pPr>
        <w:jc w:val="both"/>
        <w:ind w:left="600" w:right="779"/>
        <w:spacing w:after="0" w:line="233" w:lineRule="auto"/>
        <w:rPr>
          <w:sz w:val="20"/>
          <w:szCs w:val="20"/>
          <w:color w:val="auto"/>
        </w:rPr>
      </w:pPr>
      <w:r>
        <w:rPr>
          <w:rFonts w:ascii="Arial" w:cs="Arial" w:eastAsia="Arial" w:hAnsi="Arial"/>
          <w:sz w:val="15"/>
          <w:szCs w:val="15"/>
          <w:color w:val="auto"/>
        </w:rPr>
        <w:t>This privacy notice explains the manner in which the company collects, processes and maintains personal data about investors of the company pursuant to the Data Protection Law, 2017 of the Cayman Islands, as amended from time to time and any regulations, codes of practice or orders promulgated pursuant thereto (“DPL”).</w:t>
      </w:r>
    </w:p>
    <w:p>
      <w:pPr>
        <w:spacing w:after="0" w:line="138" w:lineRule="exact"/>
        <w:rPr>
          <w:sz w:val="20"/>
          <w:szCs w:val="20"/>
          <w:color w:val="auto"/>
        </w:rPr>
      </w:pPr>
    </w:p>
    <w:p>
      <w:pPr>
        <w:ind w:left="600" w:right="819"/>
        <w:spacing w:after="0" w:line="231" w:lineRule="auto"/>
        <w:rPr>
          <w:sz w:val="20"/>
          <w:szCs w:val="20"/>
          <w:color w:val="auto"/>
        </w:rPr>
      </w:pPr>
      <w:r>
        <w:rPr>
          <w:rFonts w:ascii="Arial" w:cs="Arial" w:eastAsia="Arial" w:hAnsi="Arial"/>
          <w:sz w:val="15"/>
          <w:szCs w:val="15"/>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27" w:lineRule="exact"/>
        <w:rPr>
          <w:sz w:val="20"/>
          <w:szCs w:val="20"/>
          <w:color w:val="auto"/>
        </w:rPr>
      </w:pPr>
    </w:p>
    <w:p>
      <w:pPr>
        <w:jc w:val="both"/>
        <w:ind w:left="600" w:right="859"/>
        <w:spacing w:after="0" w:line="233" w:lineRule="auto"/>
        <w:rPr>
          <w:sz w:val="20"/>
          <w:szCs w:val="20"/>
          <w:color w:val="auto"/>
        </w:rPr>
      </w:pPr>
      <w:r>
        <w:rPr>
          <w:rFonts w:ascii="Arial" w:cs="Arial" w:eastAsia="Arial" w:hAnsi="Arial"/>
          <w:sz w:val="15"/>
          <w:szCs w:val="15"/>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3" w:name="page124"/>
    <w:bookmarkEnd w:id="12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59"/>
        <w:spacing w:after="0" w:line="247" w:lineRule="auto"/>
        <w:rPr>
          <w:sz w:val="20"/>
          <w:szCs w:val="20"/>
          <w:color w:val="auto"/>
        </w:rPr>
      </w:pPr>
      <w:r>
        <w:rPr>
          <w:rFonts w:ascii="Arial" w:cs="Arial" w:eastAsia="Arial" w:hAnsi="Arial"/>
          <w:sz w:val="14"/>
          <w:szCs w:val="14"/>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134"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39" w:lineRule="exact"/>
        <w:rPr>
          <w:sz w:val="20"/>
          <w:szCs w:val="20"/>
          <w:color w:val="auto"/>
        </w:rPr>
      </w:pPr>
    </w:p>
    <w:p>
      <w:pPr>
        <w:ind w:left="600" w:right="739"/>
        <w:spacing w:after="0" w:line="236" w:lineRule="auto"/>
        <w:rPr>
          <w:sz w:val="20"/>
          <w:szCs w:val="20"/>
          <w:color w:val="auto"/>
        </w:rPr>
      </w:pPr>
      <w:r>
        <w:rPr>
          <w:rFonts w:ascii="Arial" w:cs="Arial" w:eastAsia="Arial" w:hAnsi="Arial"/>
          <w:sz w:val="15"/>
          <w:szCs w:val="15"/>
          <w:color w:val="auto"/>
        </w:rPr>
        <w:t>Your personal data shall not be held by the company for longer than necessary with regard to the purposes of the data processing.</w:t>
      </w:r>
    </w:p>
    <w:p>
      <w:pPr>
        <w:spacing w:after="0" w:line="126" w:lineRule="exact"/>
        <w:rPr>
          <w:sz w:val="20"/>
          <w:szCs w:val="20"/>
          <w:color w:val="auto"/>
        </w:rPr>
      </w:pPr>
    </w:p>
    <w:p>
      <w:pPr>
        <w:jc w:val="both"/>
        <w:ind w:left="600" w:right="659"/>
        <w:spacing w:after="0" w:line="233" w:lineRule="auto"/>
        <w:rPr>
          <w:sz w:val="20"/>
          <w:szCs w:val="20"/>
          <w:color w:val="auto"/>
        </w:rPr>
      </w:pPr>
      <w:r>
        <w:rPr>
          <w:rFonts w:ascii="Arial" w:cs="Arial" w:eastAsia="Arial" w:hAnsi="Arial"/>
          <w:sz w:val="15"/>
          <w:szCs w:val="15"/>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138" w:lineRule="exact"/>
        <w:rPr>
          <w:sz w:val="20"/>
          <w:szCs w:val="20"/>
          <w:color w:val="auto"/>
        </w:rPr>
      </w:pPr>
    </w:p>
    <w:p>
      <w:pPr>
        <w:ind w:left="600" w:right="599"/>
        <w:spacing w:after="0" w:line="233" w:lineRule="auto"/>
        <w:rPr>
          <w:sz w:val="20"/>
          <w:szCs w:val="20"/>
          <w:color w:val="auto"/>
        </w:rPr>
      </w:pPr>
      <w:r>
        <w:rPr>
          <w:rFonts w:ascii="Arial" w:cs="Arial" w:eastAsia="Arial" w:hAnsi="Arial"/>
          <w:sz w:val="15"/>
          <w:szCs w:val="15"/>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38" w:lineRule="exact"/>
        <w:rPr>
          <w:sz w:val="20"/>
          <w:szCs w:val="20"/>
          <w:color w:val="auto"/>
        </w:rPr>
      </w:pPr>
    </w:p>
    <w:p>
      <w:pPr>
        <w:ind w:left="600" w:right="739"/>
        <w:spacing w:after="0" w:line="231" w:lineRule="auto"/>
        <w:rPr>
          <w:sz w:val="20"/>
          <w:szCs w:val="20"/>
          <w:color w:val="auto"/>
        </w:rPr>
      </w:pPr>
      <w:r>
        <w:rPr>
          <w:rFonts w:ascii="Arial" w:cs="Arial" w:eastAsia="Arial" w:hAnsi="Arial"/>
          <w:sz w:val="15"/>
          <w:szCs w:val="15"/>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27"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You have certain rights under the DPL,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w:t>
      </w:r>
    </w:p>
    <w:p>
      <w:pPr>
        <w:spacing w:after="0" w:line="4" w:lineRule="exact"/>
        <w:rPr>
          <w:sz w:val="20"/>
          <w:szCs w:val="20"/>
          <w:color w:val="auto"/>
        </w:rPr>
      </w:pPr>
    </w:p>
    <w:p>
      <w:pPr>
        <w:ind w:left="600" w:right="759" w:hanging="5"/>
        <w:spacing w:after="0" w:line="236" w:lineRule="auto"/>
        <w:tabs>
          <w:tab w:leader="none" w:pos="821"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right to complain to the Office of the Ombudsman of the Cayman Islands and (i) the right to require us to delete your personal data in some limited circumstances.</w:t>
      </w:r>
    </w:p>
    <w:p>
      <w:pPr>
        <w:spacing w:after="0" w:line="138" w:lineRule="exact"/>
        <w:rPr>
          <w:sz w:val="20"/>
          <w:szCs w:val="20"/>
          <w:color w:val="auto"/>
        </w:rPr>
      </w:pPr>
    </w:p>
    <w:p>
      <w:pPr>
        <w:ind w:left="600" w:right="819"/>
        <w:spacing w:after="0" w:line="231" w:lineRule="auto"/>
        <w:rPr>
          <w:sz w:val="20"/>
          <w:szCs w:val="20"/>
          <w:color w:val="auto"/>
        </w:rPr>
      </w:pPr>
      <w:r>
        <w:rPr>
          <w:rFonts w:ascii="Arial" w:cs="Arial" w:eastAsia="Arial" w:hAnsi="Arial"/>
          <w:sz w:val="15"/>
          <w:szCs w:val="15"/>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calling +1 (345) 946-6283 or by email at info@ombudsman.ky.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Certain Anti-Takeover Provisions of our Amended and Restated Memorandum and Articles of Association</w:t>
      </w:r>
    </w:p>
    <w:p>
      <w:pPr>
        <w:spacing w:after="0" w:line="160" w:lineRule="exact"/>
        <w:rPr>
          <w:sz w:val="20"/>
          <w:szCs w:val="20"/>
          <w:color w:val="auto"/>
        </w:rPr>
      </w:pPr>
    </w:p>
    <w:p>
      <w:pPr>
        <w:ind w:left="600" w:right="659"/>
        <w:spacing w:after="0" w:line="233" w:lineRule="auto"/>
        <w:rPr>
          <w:sz w:val="20"/>
          <w:szCs w:val="20"/>
          <w:color w:val="auto"/>
        </w:rPr>
      </w:pPr>
      <w:r>
        <w:rPr>
          <w:rFonts w:ascii="Arial" w:cs="Arial" w:eastAsia="Arial" w:hAnsi="Arial"/>
          <w:sz w:val="15"/>
          <w:szCs w:val="15"/>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38" w:lineRule="exact"/>
        <w:rPr>
          <w:sz w:val="20"/>
          <w:szCs w:val="20"/>
          <w:color w:val="auto"/>
        </w:rPr>
      </w:pPr>
    </w:p>
    <w:p>
      <w:pPr>
        <w:ind w:left="600" w:right="759"/>
        <w:spacing w:after="0" w:line="254" w:lineRule="auto"/>
        <w:rPr>
          <w:sz w:val="20"/>
          <w:szCs w:val="20"/>
          <w:color w:val="auto"/>
        </w:rPr>
      </w:pPr>
      <w:r>
        <w:rPr>
          <w:rFonts w:ascii="Arial" w:cs="Arial" w:eastAsia="Arial" w:hAnsi="Arial"/>
          <w:sz w:val="14"/>
          <w:szCs w:val="14"/>
          <w:color w:val="auto"/>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4" w:name="page125"/>
    <w:bookmarkEnd w:id="12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36" w:lineRule="auto"/>
        <w:rPr>
          <w:sz w:val="20"/>
          <w:szCs w:val="20"/>
          <w:color w:val="auto"/>
        </w:rPr>
      </w:pPr>
      <w:r>
        <w:rPr>
          <w:rFonts w:ascii="Arial" w:cs="Arial" w:eastAsia="Arial" w:hAnsi="Arial"/>
          <w:sz w:val="15"/>
          <w:szCs w:val="15"/>
          <w:color w:val="auto"/>
        </w:rPr>
        <w:t>Class A ordinary shares and preference shares could render more difficult or discourage an attempt to obtain control of us by means of a proxy contest, tender offer, merger or otherwise.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Securities Eligible for Future Sale</w:t>
      </w:r>
    </w:p>
    <w:p>
      <w:pPr>
        <w:spacing w:after="0" w:line="148"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Immediately after this offering we will have 16,075,000 Class A ordinary shares (or 18,456,250 Class A ordinary shares if the underwriters’ over-allotment option is exercised in full) issued and outstanding on an as-converted basis. Of these shares, the Class A ordinary shares sold in this offering (12,500,000 Class A ordinary shares if the underwriters’ over-allotment option is not exercised and 14,375,000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(3,125,000 founder shares if the underwriters’ over-allotment option is not exercised and 3,593,750 founder shares if the underwriters’ over-allotment option is exercised in full) and all of the outstanding private placement shares (450,000 private placement shares if the underwriters’ over-allotment option is not exercised and 487,500 private placement shares if the underwriters’ over-allotment option is exercised in full), and the securities underlying the foregoing, will be restricted securities under Rule 144, in that they were issued in private transactions not involving a public offering.</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Rule 144</w:t>
      </w:r>
    </w:p>
    <w:p>
      <w:pPr>
        <w:spacing w:after="0" w:line="43" w:lineRule="exact"/>
        <w:rPr>
          <w:sz w:val="20"/>
          <w:szCs w:val="20"/>
          <w:color w:val="auto"/>
        </w:rPr>
      </w:pPr>
    </w:p>
    <w:p>
      <w:pPr>
        <w:ind w:left="600" w:right="619"/>
        <w:spacing w:after="0" w:line="248" w:lineRule="auto"/>
        <w:rPr>
          <w:sz w:val="20"/>
          <w:szCs w:val="20"/>
          <w:color w:val="auto"/>
        </w:rPr>
      </w:pPr>
      <w:r>
        <w:rPr>
          <w:rFonts w:ascii="Arial" w:cs="Arial" w:eastAsia="Arial" w:hAnsi="Arial"/>
          <w:sz w:val="14"/>
          <w:szCs w:val="14"/>
          <w:color w:val="auto"/>
        </w:rPr>
        <w:t xml:space="preserve">Pursuant to Rule 144, a person who has beneficially owned restricted shares for at least six months would be entitled to sell their securities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2" w:lineRule="exact"/>
        <w:rPr>
          <w:sz w:val="20"/>
          <w:szCs w:val="20"/>
          <w:color w:val="auto"/>
        </w:rPr>
      </w:pPr>
    </w:p>
    <w:p>
      <w:pPr>
        <w:jc w:val="both"/>
        <w:ind w:left="600" w:right="619"/>
        <w:spacing w:after="0" w:line="254" w:lineRule="auto"/>
        <w:rPr>
          <w:sz w:val="20"/>
          <w:szCs w:val="20"/>
          <w:color w:val="auto"/>
        </w:rPr>
      </w:pPr>
      <w:r>
        <w:rPr>
          <w:rFonts w:ascii="Arial" w:cs="Arial" w:eastAsia="Arial" w:hAnsi="Arial"/>
          <w:sz w:val="14"/>
          <w:szCs w:val="14"/>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100" w:right="779"/>
        <w:spacing w:after="0" w:line="236" w:lineRule="auto"/>
        <w:rPr>
          <w:sz w:val="20"/>
          <w:szCs w:val="20"/>
          <w:color w:val="auto"/>
        </w:rPr>
      </w:pPr>
      <w:r>
        <w:rPr>
          <w:rFonts w:ascii="Arial" w:cs="Arial" w:eastAsia="Arial" w:hAnsi="Arial"/>
          <w:sz w:val="15"/>
          <w:szCs w:val="15"/>
          <w:color w:val="auto"/>
        </w:rPr>
        <w:t>1% of the total number of ordinary shares then outstanding, which will equal 160,750 shares immediately after this offering (or 184,563 shares if the underwriters exercise their over-allotment option in full); and</w:t>
      </w:r>
    </w:p>
    <w:p>
      <w:pPr>
        <w:spacing w:after="0" w:line="80" w:lineRule="exact"/>
        <w:rPr>
          <w:sz w:val="20"/>
          <w:szCs w:val="20"/>
          <w:color w:val="auto"/>
        </w:rPr>
      </w:pPr>
    </w:p>
    <w:p>
      <w:pPr>
        <w:ind w:left="1100" w:right="999"/>
        <w:spacing w:after="0" w:line="236" w:lineRule="auto"/>
        <w:rPr>
          <w:sz w:val="20"/>
          <w:szCs w:val="20"/>
          <w:color w:val="auto"/>
        </w:rPr>
      </w:pPr>
      <w:r>
        <w:rPr>
          <w:rFonts w:ascii="Arial" w:cs="Arial" w:eastAsia="Arial" w:hAnsi="Arial"/>
          <w:sz w:val="15"/>
          <w:szCs w:val="15"/>
          <w:color w:val="auto"/>
        </w:rPr>
        <w:t>the average weekly reported trading volume of the Class A ordinary shares during the four calendar weeks preceding the filing of a notice on Form 144 with respect to the sale.</w:t>
      </w:r>
    </w:p>
    <w:p>
      <w:pPr>
        <w:spacing w:after="0" w:line="138" w:lineRule="exact"/>
        <w:rPr>
          <w:sz w:val="20"/>
          <w:szCs w:val="20"/>
          <w:color w:val="auto"/>
        </w:rPr>
      </w:pPr>
    </w:p>
    <w:p>
      <w:pPr>
        <w:ind w:left="600" w:right="719"/>
        <w:spacing w:after="0" w:line="236" w:lineRule="auto"/>
        <w:rPr>
          <w:sz w:val="20"/>
          <w:szCs w:val="20"/>
          <w:color w:val="auto"/>
        </w:rPr>
      </w:pPr>
      <w:r>
        <w:rPr>
          <w:rFonts w:ascii="Arial" w:cs="Arial" w:eastAsia="Arial" w:hAnsi="Arial"/>
          <w:sz w:val="15"/>
          <w:szCs w:val="15"/>
          <w:color w:val="auto"/>
        </w:rPr>
        <w:t>Sales by our affiliates under Rule 144 are also limited by manner of sale provisions and notice requirements and to the availability of current public information about us.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Restrictions on the Use of Rule 144 by Shell Companies or Former Shell Companies</w:t>
      </w:r>
    </w:p>
    <w:p>
      <w:pPr>
        <w:spacing w:after="0" w:line="32"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issuer of the securities that was formerly a shell company has ceased to be a shell company;</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issuer of the securities is subject to the reporting requirements of Section 13 or 15(d) of the Exchange Act;</w:t>
      </w:r>
    </w:p>
    <w:p>
      <w:pPr>
        <w:spacing w:after="0" w:line="83" w:lineRule="exact"/>
        <w:rPr>
          <w:sz w:val="20"/>
          <w:szCs w:val="20"/>
          <w:color w:val="auto"/>
        </w:rPr>
      </w:pPr>
    </w:p>
    <w:p>
      <w:pPr>
        <w:jc w:val="both"/>
        <w:ind w:left="1100" w:right="899"/>
        <w:spacing w:after="0" w:line="233" w:lineRule="auto"/>
        <w:rPr>
          <w:sz w:val="20"/>
          <w:szCs w:val="20"/>
          <w:color w:val="auto"/>
        </w:rPr>
      </w:pPr>
      <w:r>
        <w:rPr>
          <w:rFonts w:ascii="Arial" w:cs="Arial" w:eastAsia="Arial" w:hAnsi="Arial"/>
          <w:sz w:val="15"/>
          <w:szCs w:val="15"/>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9" w:lineRule="exact"/>
        <w:rPr>
          <w:sz w:val="20"/>
          <w:szCs w:val="20"/>
          <w:color w:val="auto"/>
        </w:rPr>
      </w:pPr>
    </w:p>
    <w:p>
      <w:pPr>
        <w:ind w:left="1100" w:right="759"/>
        <w:spacing w:after="0" w:line="236" w:lineRule="auto"/>
        <w:rPr>
          <w:sz w:val="20"/>
          <w:szCs w:val="20"/>
          <w:color w:val="auto"/>
        </w:rPr>
      </w:pPr>
      <w:r>
        <w:rPr>
          <w:rFonts w:ascii="Arial" w:cs="Arial" w:eastAsia="Arial" w:hAnsi="Arial"/>
          <w:sz w:val="15"/>
          <w:szCs w:val="15"/>
          <w:color w:val="auto"/>
        </w:rPr>
        <w:t>at least one year has elapsed from the time that the issuer filed current Form 10 type information with the SEC reflecting its status as an entity that is not a shell company.</w:t>
      </w:r>
    </w:p>
    <w:p>
      <w:pPr>
        <w:spacing w:after="0" w:line="138"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As a result, our initial shareholders will be able to sell their founder shares and our sponsor will be able to sell its private placement shares, pursuant to Rule 144 without registration one year after we have completed our initial business combination.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5" w:name="page126"/>
    <w:bookmarkEnd w:id="12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Registration and Shareholder Rights</w:t>
      </w:r>
    </w:p>
    <w:p>
      <w:pPr>
        <w:spacing w:after="0" w:line="160"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The holders of the founder shares and private placement shares, including the private placement shares that may be issued upon conversion of working capital loans and any Class A ordinary shares issuable upon conversion of founder shares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shares, 30 days after the completion of our initial business combination. We will bear the expenses incurred in connection with the filing of any such registration statements.</w:t>
      </w:r>
    </w:p>
    <w:p>
      <w:pPr>
        <w:spacing w:after="0" w:line="140" w:lineRule="exact"/>
        <w:rPr>
          <w:sz w:val="20"/>
          <w:szCs w:val="20"/>
          <w:color w:val="auto"/>
        </w:rPr>
      </w:pPr>
    </w:p>
    <w:p>
      <w:pPr>
        <w:ind w:left="600" w:right="619"/>
        <w:spacing w:after="0" w:line="226" w:lineRule="auto"/>
        <w:rPr>
          <w:sz w:val="20"/>
          <w:szCs w:val="20"/>
          <w:color w:val="auto"/>
        </w:rPr>
      </w:pPr>
      <w:r>
        <w:rPr>
          <w:rFonts w:ascii="Arial" w:cs="Arial" w:eastAsia="Arial" w:hAnsi="Arial"/>
          <w:sz w:val="15"/>
          <w:szCs w:val="15"/>
          <w:color w:val="auto"/>
        </w:rPr>
        <w:t>Except as described herein, our sponsor and our management team have agreed not to transfer, assign or sell (i) any of their founder shares until the earliest of (A) one year after the completion of our initial business combination and</w:t>
      </w:r>
    </w:p>
    <w:p>
      <w:pPr>
        <w:spacing w:after="0" w:line="1" w:lineRule="exact"/>
        <w:rPr>
          <w:sz w:val="20"/>
          <w:szCs w:val="20"/>
          <w:color w:val="auto"/>
        </w:rPr>
      </w:pPr>
    </w:p>
    <w:p>
      <w:pPr>
        <w:ind w:left="600" w:right="619" w:hanging="5"/>
        <w:spacing w:after="0" w:line="228" w:lineRule="auto"/>
        <w:tabs>
          <w:tab w:leader="none" w:pos="837"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will be subject to the same restrictions and other agreements of our sponsor and management team with respect to any founder shares and private placement shares. We refer to such transfer restrictions throughout this prospectus as the lock-up.</w:t>
      </w:r>
    </w:p>
    <w:p>
      <w:pPr>
        <w:spacing w:after="0" w:line="131"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Listing of Securities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intend to apply to have our Class A ordinary shares listed on Nasdaq under the symbol “ARYA.”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6" w:name="page127"/>
    <w:bookmarkEnd w:id="12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TAXATION</w:t>
      </w:r>
    </w:p>
    <w:p>
      <w:pPr>
        <w:spacing w:after="0" w:line="155" w:lineRule="exact"/>
        <w:rPr>
          <w:sz w:val="20"/>
          <w:szCs w:val="20"/>
          <w:color w:val="auto"/>
        </w:rPr>
      </w:pPr>
    </w:p>
    <w:p>
      <w:pPr>
        <w:ind w:left="600" w:right="759"/>
        <w:spacing w:after="0" w:line="230" w:lineRule="auto"/>
        <w:rPr>
          <w:sz w:val="20"/>
          <w:szCs w:val="20"/>
          <w:color w:val="auto"/>
        </w:rPr>
      </w:pPr>
      <w:r>
        <w:rPr>
          <w:rFonts w:ascii="Arial" w:cs="Arial" w:eastAsia="Arial" w:hAnsi="Arial"/>
          <w:sz w:val="15"/>
          <w:szCs w:val="15"/>
          <w:color w:val="auto"/>
        </w:rPr>
        <w:t>The following summary of certain Cayman Islands and U.S. federal income tax considerations of an investment in our Class A ordinary shares, which we also refer to as our securities, is based upon laws and relevant interpretations thereof in effect as of the date of this prospectus, all of which are subject to change. This summary does not deal with all possible tax consequences relating to an investment in our Class A ordinary shares, such as the tax consequences under state, local and other tax laws.</w:t>
      </w:r>
    </w:p>
    <w:p>
      <w:pPr>
        <w:spacing w:after="0" w:line="139" w:lineRule="exact"/>
        <w:rPr>
          <w:sz w:val="20"/>
          <w:szCs w:val="20"/>
          <w:color w:val="auto"/>
        </w:rPr>
      </w:pPr>
    </w:p>
    <w:p>
      <w:pPr>
        <w:ind w:left="600" w:right="999"/>
        <w:spacing w:after="0" w:line="236" w:lineRule="auto"/>
        <w:rPr>
          <w:sz w:val="20"/>
          <w:szCs w:val="20"/>
          <w:color w:val="auto"/>
        </w:rPr>
      </w:pPr>
      <w:r>
        <w:rPr>
          <w:rFonts w:ascii="Arial" w:cs="Arial" w:eastAsia="Arial" w:hAnsi="Arial"/>
          <w:sz w:val="15"/>
          <w:szCs w:val="15"/>
          <w:color w:val="auto"/>
        </w:rPr>
        <w:t>Prospective investors should consult their advisors on the possible tax consequences of investing in our securities under the laws of their country of citizenship, residence or domicile.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Cayman Islands Tax Considerations</w:t>
      </w:r>
    </w:p>
    <w:p>
      <w:pPr>
        <w:spacing w:after="0" w:line="160" w:lineRule="exact"/>
        <w:rPr>
          <w:sz w:val="20"/>
          <w:szCs w:val="20"/>
          <w:color w:val="auto"/>
        </w:rPr>
      </w:pPr>
    </w:p>
    <w:p>
      <w:pPr>
        <w:ind w:left="600" w:right="679"/>
        <w:spacing w:after="0" w:line="231" w:lineRule="auto"/>
        <w:rPr>
          <w:sz w:val="20"/>
          <w:szCs w:val="20"/>
          <w:color w:val="auto"/>
        </w:rPr>
      </w:pPr>
      <w:r>
        <w:rPr>
          <w:rFonts w:ascii="Arial" w:cs="Arial" w:eastAsia="Arial" w:hAnsi="Arial"/>
          <w:sz w:val="15"/>
          <w:szCs w:val="15"/>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Under Existing Cayman Islands Laws</w:t>
      </w:r>
    </w:p>
    <w:p>
      <w:pPr>
        <w:spacing w:after="0" w:line="160" w:lineRule="exact"/>
        <w:rPr>
          <w:sz w:val="20"/>
          <w:szCs w:val="20"/>
          <w:color w:val="auto"/>
        </w:rPr>
      </w:pPr>
    </w:p>
    <w:p>
      <w:pPr>
        <w:ind w:left="600" w:right="719"/>
        <w:spacing w:after="0" w:line="250" w:lineRule="auto"/>
        <w:rPr>
          <w:sz w:val="20"/>
          <w:szCs w:val="20"/>
          <w:color w:val="auto"/>
        </w:rPr>
      </w:pPr>
      <w:r>
        <w:rPr>
          <w:rFonts w:ascii="Arial" w:cs="Arial" w:eastAsia="Arial" w:hAnsi="Arial"/>
          <w:sz w:val="14"/>
          <w:szCs w:val="14"/>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20" w:lineRule="exact"/>
        <w:rPr>
          <w:sz w:val="20"/>
          <w:szCs w:val="20"/>
          <w:color w:val="auto"/>
        </w:rPr>
      </w:pPr>
    </w:p>
    <w:p>
      <w:pPr>
        <w:ind w:left="600" w:right="1119"/>
        <w:spacing w:after="0" w:line="236" w:lineRule="auto"/>
        <w:rPr>
          <w:sz w:val="20"/>
          <w:szCs w:val="20"/>
          <w:color w:val="auto"/>
        </w:rPr>
      </w:pPr>
      <w:r>
        <w:rPr>
          <w:rFonts w:ascii="Arial" w:cs="Arial" w:eastAsia="Arial" w:hAnsi="Arial"/>
          <w:sz w:val="15"/>
          <w:szCs w:val="15"/>
          <w:color w:val="auto"/>
        </w:rPr>
        <w:t>No stamp duty is payable in respect of the issue of our Class A ordinary shares or on an instrument of transfer in respect of such shares.</w:t>
      </w:r>
    </w:p>
    <w:p>
      <w:pPr>
        <w:spacing w:after="0" w:line="138" w:lineRule="exact"/>
        <w:rPr>
          <w:sz w:val="20"/>
          <w:szCs w:val="20"/>
          <w:color w:val="auto"/>
        </w:rPr>
      </w:pPr>
    </w:p>
    <w:p>
      <w:pPr>
        <w:ind w:left="600" w:right="699"/>
        <w:spacing w:after="0" w:line="254" w:lineRule="auto"/>
        <w:rPr>
          <w:sz w:val="20"/>
          <w:szCs w:val="20"/>
          <w:color w:val="auto"/>
        </w:rPr>
      </w:pPr>
      <w:r>
        <w:rPr>
          <w:rFonts w:ascii="Arial" w:cs="Arial" w:eastAsia="Arial" w:hAnsi="Arial"/>
          <w:sz w:val="14"/>
          <w:szCs w:val="14"/>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TAX CONCESSIONS LAW</w:t>
      </w:r>
    </w:p>
    <w:p>
      <w:pPr>
        <w:jc w:val="center"/>
        <w:ind w:right="19"/>
        <w:spacing w:after="0"/>
        <w:rPr>
          <w:sz w:val="20"/>
          <w:szCs w:val="20"/>
          <w:color w:val="auto"/>
        </w:rPr>
      </w:pPr>
      <w:r>
        <w:rPr>
          <w:rFonts w:ascii="Arial" w:cs="Arial" w:eastAsia="Arial" w:hAnsi="Arial"/>
          <w:sz w:val="16"/>
          <w:szCs w:val="16"/>
          <w:b w:val="1"/>
          <w:bCs w:val="1"/>
          <w:color w:val="auto"/>
        </w:rPr>
        <w:t>(2018 Revision)</w:t>
      </w:r>
    </w:p>
    <w:p>
      <w:pPr>
        <w:jc w:val="center"/>
        <w:ind w:right="19"/>
        <w:spacing w:after="0"/>
        <w:rPr>
          <w:sz w:val="20"/>
          <w:szCs w:val="20"/>
          <w:color w:val="auto"/>
        </w:rPr>
      </w:pPr>
      <w:r>
        <w:rPr>
          <w:rFonts w:ascii="Arial" w:cs="Arial" w:eastAsia="Arial" w:hAnsi="Arial"/>
          <w:sz w:val="16"/>
          <w:szCs w:val="16"/>
          <w:b w:val="1"/>
          <w:bCs w:val="1"/>
          <w:color w:val="auto"/>
        </w:rPr>
        <w:t>UNDERTAKING AS TO TAX CONCESSIONS</w:t>
      </w:r>
    </w:p>
    <w:p>
      <w:pPr>
        <w:spacing w:after="0" w:line="137" w:lineRule="exact"/>
        <w:rPr>
          <w:sz w:val="20"/>
          <w:szCs w:val="20"/>
          <w:color w:val="auto"/>
        </w:rPr>
      </w:pPr>
    </w:p>
    <w:p>
      <w:pPr>
        <w:ind w:left="600" w:right="919"/>
        <w:spacing w:after="0" w:line="236" w:lineRule="auto"/>
        <w:rPr>
          <w:sz w:val="20"/>
          <w:szCs w:val="20"/>
          <w:color w:val="auto"/>
        </w:rPr>
      </w:pPr>
      <w:r>
        <w:rPr>
          <w:rFonts w:ascii="Arial" w:cs="Arial" w:eastAsia="Arial" w:hAnsi="Arial"/>
          <w:sz w:val="15"/>
          <w:szCs w:val="15"/>
          <w:color w:val="auto"/>
        </w:rPr>
        <w:t>In accordance with the provision of Section 6 of The Tax Concessions Law (2018 Revision), the Financial Secretary undertakes with ARYA Sciences Acquisition Corp III (the “Company”):</w:t>
      </w:r>
    </w:p>
    <w:p>
      <w:pPr>
        <w:spacing w:after="0" w:line="126" w:lineRule="exact"/>
        <w:rPr>
          <w:sz w:val="20"/>
          <w:szCs w:val="20"/>
          <w:color w:val="auto"/>
        </w:rPr>
      </w:pPr>
    </w:p>
    <w:p>
      <w:pPr>
        <w:ind w:left="1200" w:right="639" w:hanging="295"/>
        <w:spacing w:after="0" w:line="231" w:lineRule="auto"/>
        <w:tabs>
          <w:tab w:leader="none" w:pos="1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That no law which is hereafter enacted in the Islands imposing any tax to be levied on profits, income, gains or appreciations shall apply to the Company or its operations; and 3. In addition, that no tax to be levied on profits, income, gains or appreciations or which is in the nature of estate duty or inheritance tax shall be payable:</w:t>
      </w:r>
    </w:p>
    <w:p>
      <w:pPr>
        <w:spacing w:after="0" w:line="138" w:lineRule="exact"/>
        <w:rPr>
          <w:rFonts w:ascii="Arial" w:cs="Arial" w:eastAsia="Arial" w:hAnsi="Arial"/>
          <w:sz w:val="15"/>
          <w:szCs w:val="15"/>
          <w:color w:val="auto"/>
        </w:rPr>
      </w:pPr>
    </w:p>
    <w:p>
      <w:pPr>
        <w:ind w:left="1220"/>
        <w:spacing w:after="0"/>
        <w:rPr>
          <w:rFonts w:ascii="Arial" w:cs="Arial" w:eastAsia="Arial" w:hAnsi="Arial"/>
          <w:sz w:val="15"/>
          <w:szCs w:val="15"/>
          <w:color w:val="auto"/>
        </w:rPr>
      </w:pPr>
      <w:r>
        <w:rPr>
          <w:rFonts w:ascii="Arial" w:cs="Arial" w:eastAsia="Arial" w:hAnsi="Arial"/>
          <w:sz w:val="15"/>
          <w:szCs w:val="15"/>
          <w:color w:val="auto"/>
        </w:rPr>
        <w:t>3.2 On or in respect of the shares, debentures or other obligations of the Company; or</w:t>
      </w:r>
    </w:p>
    <w:p>
      <w:pPr>
        <w:spacing w:after="0" w:line="141" w:lineRule="exact"/>
        <w:rPr>
          <w:rFonts w:ascii="Arial" w:cs="Arial" w:eastAsia="Arial" w:hAnsi="Arial"/>
          <w:sz w:val="15"/>
          <w:szCs w:val="15"/>
          <w:color w:val="auto"/>
        </w:rPr>
      </w:pPr>
    </w:p>
    <w:p>
      <w:pPr>
        <w:ind w:left="1520" w:right="759" w:hanging="302"/>
        <w:spacing w:after="0" w:line="236" w:lineRule="auto"/>
        <w:rPr>
          <w:rFonts w:ascii="Arial" w:cs="Arial" w:eastAsia="Arial" w:hAnsi="Arial"/>
          <w:sz w:val="15"/>
          <w:szCs w:val="15"/>
          <w:color w:val="auto"/>
        </w:rPr>
      </w:pPr>
      <w:r>
        <w:rPr>
          <w:rFonts w:ascii="Arial" w:cs="Arial" w:eastAsia="Arial" w:hAnsi="Arial"/>
          <w:sz w:val="15"/>
          <w:szCs w:val="15"/>
          <w:color w:val="auto"/>
        </w:rPr>
        <w:t>3.3 by way of the withholding in whole or part, of any relevant payment as defined in Section 6(3) of the Tax Concessions Law (2018 Revision).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These concessions shall be for a period of 20 years from the date hereof.</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United States Federal Income Tax Considerations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General</w:t>
      </w:r>
    </w:p>
    <w:p>
      <w:pPr>
        <w:spacing w:after="0" w:line="32" w:lineRule="exact"/>
        <w:rPr>
          <w:sz w:val="20"/>
          <w:szCs w:val="20"/>
          <w:color w:val="auto"/>
        </w:rPr>
      </w:pPr>
    </w:p>
    <w:p>
      <w:pPr>
        <w:ind w:left="600" w:right="919"/>
        <w:spacing w:after="0" w:line="233" w:lineRule="auto"/>
        <w:rPr>
          <w:sz w:val="20"/>
          <w:szCs w:val="20"/>
          <w:color w:val="auto"/>
        </w:rPr>
      </w:pPr>
      <w:r>
        <w:rPr>
          <w:rFonts w:ascii="Arial" w:cs="Arial" w:eastAsia="Arial" w:hAnsi="Arial"/>
          <w:sz w:val="15"/>
          <w:szCs w:val="15"/>
          <w:color w:val="auto"/>
        </w:rPr>
        <w:t>The following discussion summarizes certain U.S. federal income tax considerations generally applicable to the acquisition, ownership and disposition of our Class A ordinary shares, other than private placement shares, that are purchased in this offering by U.S. Holders (as defined below) and Non-U.S. Holders (as defined below).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7" w:name="page128"/>
    <w:bookmarkEnd w:id="12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This discussion is limited to certain U.S. federal income tax considerations to beneficial owners of our Class A ordinary shares who are initial purchasers of a Class A ordinary share (other than a private placement share) pursuant to this offering and hold the Class A ordinary share as a capital asset under the U.S. Internal Revenue Code of 1986, as amended (the “Code”). This discussion assumes that the Class A ordinary shares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84"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sponsor, founders, officers or directors;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banks, financial institutions or financial services entities;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broker-dealers;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taxpayers that are subject to the mark-to-market accounting rules;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S-corporations;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tax-exempt entities;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governments or agencies or instrumentalities thereof;</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insurance companies;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regulated investment companies;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real estate investment trusts;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controlled foreign corporations;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passive foreign investment companies;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expatriates or former long-term residents of the United States;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persons that actually or constructively own five percent or more of our shares;</w:t>
      </w:r>
    </w:p>
    <w:p>
      <w:pPr>
        <w:spacing w:after="0" w:line="83" w:lineRule="exact"/>
        <w:rPr>
          <w:sz w:val="20"/>
          <w:szCs w:val="20"/>
          <w:color w:val="auto"/>
        </w:rPr>
      </w:pPr>
    </w:p>
    <w:p>
      <w:pPr>
        <w:ind w:left="1100" w:right="999"/>
        <w:spacing w:after="0" w:line="236" w:lineRule="auto"/>
        <w:rPr>
          <w:sz w:val="20"/>
          <w:szCs w:val="20"/>
          <w:color w:val="auto"/>
        </w:rPr>
      </w:pPr>
      <w:r>
        <w:rPr>
          <w:rFonts w:ascii="Arial" w:cs="Arial" w:eastAsia="Arial" w:hAnsi="Arial"/>
          <w:sz w:val="15"/>
          <w:szCs w:val="15"/>
          <w:color w:val="auto"/>
        </w:rPr>
        <w:t>persons that acquired our securities pursuant to an exercise of employee share options, in connection with employee share incentive plans or otherwise as compensation or in connection with services;</w:t>
      </w:r>
    </w:p>
    <w:p>
      <w:pPr>
        <w:spacing w:after="0" w:line="80" w:lineRule="exact"/>
        <w:rPr>
          <w:sz w:val="20"/>
          <w:szCs w:val="20"/>
          <w:color w:val="auto"/>
        </w:rPr>
      </w:pPr>
    </w:p>
    <w:p>
      <w:pPr>
        <w:ind w:left="1100" w:right="719"/>
        <w:spacing w:after="0" w:line="236" w:lineRule="auto"/>
        <w:rPr>
          <w:sz w:val="20"/>
          <w:szCs w:val="20"/>
          <w:color w:val="auto"/>
        </w:rPr>
      </w:pPr>
      <w:r>
        <w:rPr>
          <w:rFonts w:ascii="Arial" w:cs="Arial" w:eastAsia="Arial" w:hAnsi="Arial"/>
          <w:sz w:val="15"/>
          <w:szCs w:val="15"/>
          <w:color w:val="auto"/>
        </w:rPr>
        <w:t>persons that hold our securities as part of a straddle, constructive sale, hedging, conversion or other integrated or similar transaction; or</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U.S. Holders (as defined below) whose functional currency is not the U.S. dollar.</w:t>
      </w:r>
    </w:p>
    <w:p>
      <w:pPr>
        <w:spacing w:after="0" w:line="142"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41"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27" w:lineRule="exact"/>
        <w:rPr>
          <w:sz w:val="20"/>
          <w:szCs w:val="20"/>
          <w:color w:val="auto"/>
        </w:rPr>
      </w:pPr>
    </w:p>
    <w:p>
      <w:pPr>
        <w:ind w:left="600" w:right="639"/>
        <w:spacing w:after="0" w:line="248" w:lineRule="auto"/>
        <w:rPr>
          <w:sz w:val="20"/>
          <w:szCs w:val="20"/>
          <w:color w:val="auto"/>
        </w:rPr>
      </w:pPr>
      <w:r>
        <w:rPr>
          <w:rFonts w:ascii="Arial" w:cs="Arial" w:eastAsia="Arial" w:hAnsi="Arial"/>
          <w:sz w:val="14"/>
          <w:szCs w:val="14"/>
          <w:color w:val="auto"/>
        </w:rPr>
        <w:t>As used herein, the term “U.S. Holder” means a beneficial owner of Class A ordinary shares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8" w:name="page129"/>
    <w:bookmarkEnd w:id="12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19"/>
        <w:spacing w:after="0" w:line="233" w:lineRule="auto"/>
        <w:rPr>
          <w:sz w:val="20"/>
          <w:szCs w:val="20"/>
          <w:color w:val="auto"/>
        </w:rPr>
      </w:pPr>
      <w:r>
        <w:rPr>
          <w:rFonts w:ascii="Arial" w:cs="Arial" w:eastAsia="Arial" w:hAnsi="Arial"/>
          <w:sz w:val="15"/>
          <w:szCs w:val="15"/>
          <w:color w:val="auto"/>
        </w:rPr>
        <w:t>able to exercise primary supervision over the administration of the trust and one or more United States persons have the authority to control all substantial decisions of the trust, or (B) it has in effect a valid election to be treated as a U.S. person.</w:t>
      </w:r>
    </w:p>
    <w:p>
      <w:pPr>
        <w:spacing w:after="0" w:line="138"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Class A ordinary shares, the U.S. federal income tax treatment of a partner in the partnership generally will depend on the status of the partner and the activities of the partner and the partnership. A U.S. Holders who is a partner of a partnership holding our Class A ordinary shares is urged to consult its tax advisor.</w:t>
      </w:r>
    </w:p>
    <w:p>
      <w:pPr>
        <w:spacing w:after="0" w:line="123" w:lineRule="exact"/>
        <w:rPr>
          <w:sz w:val="20"/>
          <w:szCs w:val="20"/>
          <w:color w:val="auto"/>
        </w:rPr>
      </w:pPr>
    </w:p>
    <w:p>
      <w:pPr>
        <w:ind w:left="600" w:right="639"/>
        <w:spacing w:after="0" w:line="234" w:lineRule="auto"/>
        <w:rPr>
          <w:sz w:val="20"/>
          <w:szCs w:val="20"/>
          <w:color w:val="auto"/>
        </w:rPr>
      </w:pPr>
      <w:r>
        <w:rPr>
          <w:rFonts w:ascii="Arial" w:cs="Arial" w:eastAsia="Arial" w:hAnsi="Arial"/>
          <w:sz w:val="15"/>
          <w:szCs w:val="15"/>
          <w:b w:val="1"/>
          <w:bCs w:val="1"/>
          <w:color w:val="auto"/>
        </w:rPr>
        <w:t>THIS DISCUSSION IS ONLY A SUMMARY OF CERTAIN U.S. FEDERAL INCOME TAX CONSIDERATIONS ASSOCIATED WITH THE ACQUISITION, OWNERSHIP AND DISPOSITION OF OUR CLASS A ORDINARY SHARES. EACH PROSPECTIVE INVESTOR IN OUR SECURITIES IS URGED TO CONSULT ITS TAX ADVISOR WITH RESPECT TO THE PARTICULAR TAX CONSEQUENCES TO SUCH INVESTOR OF THE ACQUISITION, OWNERSHIP AND DISPOSITION OF OUR CLASS A ORDINARY SHARES, INCLUDING THE APPLICABILITY AND EFFECT OF ANY STATE, LOCAL, AND NON-U.S. TAX LAWS.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U.S. Holders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Taxation of Distributions</w:t>
      </w:r>
    </w:p>
    <w:p>
      <w:pPr>
        <w:spacing w:after="0" w:line="4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Subject to the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below).</w:t>
      </w:r>
    </w:p>
    <w:p>
      <w:pPr>
        <w:spacing w:after="0" w:line="142"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 xml:space="preserve">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below) only if our Class A ordinary shares are readily tradable on an established securities market in the United States, the Company is not treated as a PFIC at the time the dividend was paid or in the preceding taxable year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Gain or Loss on Sale, Taxable Exchange or Other Taxable Disposition of Class A Ordinary Shares</w:t>
      </w:r>
    </w:p>
    <w:p>
      <w:pPr>
        <w:spacing w:after="0" w:line="15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Subject to the PFIC rules discussed below, a U.S. Holder generally will recognize capital gain or loss on the sale or other taxable disposition of our Class A ordinary shares (including on our dissolution and liquidation if we do not consummate an initial business combination within the required time period). Any such capital gain or loss generally will be long-term capital gain or loss if the U.S. Holder’s holding period for such Class A ordinary shares exceeds one year. It is unclear, however, whether certain redemption rights described in this prospectus may suspend the running of the applicable holding period for this purpose.</w:t>
      </w:r>
    </w:p>
    <w:p>
      <w:pPr>
        <w:spacing w:after="0" w:line="129" w:lineRule="exact"/>
        <w:rPr>
          <w:sz w:val="20"/>
          <w:szCs w:val="20"/>
          <w:color w:val="auto"/>
        </w:rPr>
      </w:pPr>
    </w:p>
    <w:p>
      <w:pPr>
        <w:ind w:left="600" w:right="859"/>
        <w:spacing w:after="0" w:line="242" w:lineRule="auto"/>
        <w:rPr>
          <w:sz w:val="20"/>
          <w:szCs w:val="20"/>
          <w:color w:val="auto"/>
        </w:rPr>
      </w:pPr>
      <w:r>
        <w:rPr>
          <w:rFonts w:ascii="Arial" w:cs="Arial" w:eastAsia="Arial" w:hAnsi="Arial"/>
          <w:sz w:val="14"/>
          <w:szCs w:val="14"/>
          <w:color w:val="auto"/>
        </w:rPr>
        <w:t>The amount of gain or loss recognized on a sale or other taxable disposition generally will be equal to the difference between (i) the sum of the amount of cash and the fair market value of any property received in such disposition and</w:t>
      </w:r>
    </w:p>
    <w:p>
      <w:pPr>
        <w:spacing w:after="0" w:line="1" w:lineRule="exact"/>
        <w:rPr>
          <w:sz w:val="20"/>
          <w:szCs w:val="20"/>
          <w:color w:val="auto"/>
        </w:rPr>
      </w:pPr>
    </w:p>
    <w:p>
      <w:pPr>
        <w:ind w:left="600" w:right="639" w:hanging="5"/>
        <w:spacing w:after="0" w:line="231" w:lineRule="auto"/>
        <w:tabs>
          <w:tab w:leader="none" w:pos="80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U.S. Holder’s adjusted tax basis in its Class A ordinary shares so disposed of. A U.S. Holder’s adjusted tax basis in its Class A ordinary shares generally will equal the U.S. Holder’s acquisition cost reduced by any prior distributions treated as a return of capital. Long-term capital gain realized by a non-corporate U.S. Holder is currently eligible to be taxed at reduced rates. The deduction of capital losses is subject to certain limitations.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9" w:name="page130"/>
    <w:bookmarkEnd w:id="12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Redemption of Class A Ordinary Shares</w:t>
      </w:r>
    </w:p>
    <w:p>
      <w:pPr>
        <w:spacing w:after="0" w:line="158" w:lineRule="exact"/>
        <w:rPr>
          <w:sz w:val="20"/>
          <w:szCs w:val="20"/>
          <w:color w:val="auto"/>
        </w:rPr>
      </w:pPr>
    </w:p>
    <w:p>
      <w:pPr>
        <w:ind w:left="600" w:right="639"/>
        <w:spacing w:after="0" w:line="244" w:lineRule="auto"/>
        <w:rPr>
          <w:sz w:val="20"/>
          <w:szCs w:val="20"/>
          <w:color w:val="auto"/>
        </w:rPr>
      </w:pPr>
      <w:r>
        <w:rPr>
          <w:rFonts w:ascii="Arial" w:cs="Arial" w:eastAsia="Arial" w:hAnsi="Arial"/>
          <w:sz w:val="14"/>
          <w:szCs w:val="14"/>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303" w:lineRule="exact"/>
        <w:rPr>
          <w:sz w:val="20"/>
          <w:szCs w:val="20"/>
          <w:color w:val="auto"/>
        </w:rPr>
      </w:pPr>
    </w:p>
    <w:p>
      <w:pPr>
        <w:ind w:left="600" w:right="639"/>
        <w:spacing w:after="0" w:line="227" w:lineRule="auto"/>
        <w:rPr>
          <w:sz w:val="20"/>
          <w:szCs w:val="20"/>
          <w:color w:val="auto"/>
        </w:rPr>
      </w:pPr>
      <w:r>
        <w:rPr>
          <w:rFonts w:ascii="Arial" w:cs="Arial" w:eastAsia="Arial" w:hAnsi="Arial"/>
          <w:sz w:val="15"/>
          <w:szCs w:val="15"/>
          <w:color w:val="auto"/>
        </w:rPr>
        <w:t>In determining whether any of the foregoing tests are satisfied, a U.S. Holder takes into account not only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the completion of our initial business combination, the Class A ordinary shares may not be treated as voting stock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34" w:lineRule="exact"/>
        <w:rPr>
          <w:sz w:val="20"/>
          <w:szCs w:val="20"/>
          <w:color w:val="auto"/>
        </w:rPr>
      </w:pPr>
    </w:p>
    <w:p>
      <w:pPr>
        <w:ind w:left="600" w:right="879"/>
        <w:spacing w:after="0" w:line="230" w:lineRule="auto"/>
        <w:rPr>
          <w:sz w:val="20"/>
          <w:szCs w:val="20"/>
          <w:color w:val="auto"/>
        </w:rPr>
      </w:pPr>
      <w:r>
        <w:rPr>
          <w:rFonts w:ascii="Arial" w:cs="Arial" w:eastAsia="Arial" w:hAnsi="Arial"/>
          <w:sz w:val="15"/>
          <w:szCs w:val="15"/>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possibly to the U.S. Holder’s adjusted tax basis in other shares constructively owned by it.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Passive Foreign Investment Company Rules</w:t>
      </w:r>
    </w:p>
    <w:p>
      <w:pPr>
        <w:spacing w:after="0" w:line="146"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0" w:name="page131"/>
    <w:bookmarkEnd w:id="13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599"/>
        <w:spacing w:after="0" w:line="228" w:lineRule="auto"/>
        <w:rPr>
          <w:sz w:val="20"/>
          <w:szCs w:val="20"/>
          <w:color w:val="auto"/>
        </w:rPr>
      </w:pPr>
      <w:r>
        <w:rPr>
          <w:rFonts w:ascii="Arial" w:cs="Arial" w:eastAsia="Arial" w:hAnsi="Arial"/>
          <w:sz w:val="15"/>
          <w:szCs w:val="15"/>
          <w:color w:val="auto"/>
        </w:rPr>
        <w:t>Because we are a blank check company, with no current active business, we believe that it is likely that we will meet the PFIC asset and/or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two taxable years following the start-up year; and (3) the corporation is not in fact a PFIC for either of those years. The applicability of the start-up exception to us is uncertain and will not be known until after the close of our current taxable year or, possibly, after the close of our two subsequent taxable years.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(or we do not complete a business acquisition by the end of the first taxable year after the taxable year of our formation),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38"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Although our PFIC status is determined annually, an initial determination that our company is a PFIC will generally apply for subsequent years to a U.S. Holder who held Class A ordinary shares while we were a PFIC, whether or not we meet the test for PFIC status in those subsequent years. If we are determined to be a PFIC for any taxable year (or portion thereof) that is included in the holding period of a U.S. Holder of our Class A ordinary shares and, in the case of our Class A ordinary shares, the U.S. Holder did not make either a timely qualified electing fund (“QEF”) election or a mark-to-market election for our first taxable year as a PFIC, and in which the U.S. Holder held (or was deemed to hold)</w:t>
      </w:r>
    </w:p>
    <w:p>
      <w:pPr>
        <w:spacing w:after="0" w:line="3"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Class A ordinary shares, as described below, such U.S. Holder generally will be subject to special and adverse rules with respect to (i) any gain recognized by the U.S. Holder on the sale or other disposition of its Class A ordinary shares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Under these rules:</w:t>
      </w:r>
    </w:p>
    <w:p>
      <w:pPr>
        <w:spacing w:after="0" w:line="83" w:lineRule="exact"/>
        <w:rPr>
          <w:sz w:val="20"/>
          <w:szCs w:val="20"/>
          <w:color w:val="auto"/>
        </w:rPr>
      </w:pPr>
    </w:p>
    <w:p>
      <w:pPr>
        <w:ind w:left="1100" w:right="839"/>
        <w:spacing w:after="0" w:line="236" w:lineRule="auto"/>
        <w:rPr>
          <w:sz w:val="20"/>
          <w:szCs w:val="20"/>
          <w:color w:val="auto"/>
        </w:rPr>
      </w:pPr>
      <w:r>
        <w:rPr>
          <w:rFonts w:ascii="Arial" w:cs="Arial" w:eastAsia="Arial" w:hAnsi="Arial"/>
          <w:sz w:val="15"/>
          <w:szCs w:val="15"/>
          <w:color w:val="auto"/>
        </w:rPr>
        <w:t>the U.S. Holder’s gain or excess distribution will be allocated ratably over the U.S. Holder’s holding period for the Class A ordinary shares;</w:t>
      </w:r>
    </w:p>
    <w:p>
      <w:pPr>
        <w:spacing w:after="0" w:line="80" w:lineRule="exact"/>
        <w:rPr>
          <w:sz w:val="20"/>
          <w:szCs w:val="20"/>
          <w:color w:val="auto"/>
        </w:rPr>
      </w:pPr>
    </w:p>
    <w:p>
      <w:pPr>
        <w:jc w:val="both"/>
        <w:ind w:left="1100" w:right="639"/>
        <w:spacing w:after="0" w:line="233" w:lineRule="auto"/>
        <w:rPr>
          <w:sz w:val="20"/>
          <w:szCs w:val="20"/>
          <w:color w:val="auto"/>
        </w:rPr>
      </w:pPr>
      <w:r>
        <w:rPr>
          <w:rFonts w:ascii="Arial" w:cs="Arial" w:eastAsia="Arial" w:hAnsi="Arial"/>
          <w:sz w:val="15"/>
          <w:szCs w:val="15"/>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79" w:lineRule="exact"/>
        <w:rPr>
          <w:sz w:val="20"/>
          <w:szCs w:val="20"/>
          <w:color w:val="auto"/>
        </w:rPr>
      </w:pPr>
    </w:p>
    <w:p>
      <w:pPr>
        <w:ind w:left="1100" w:right="819"/>
        <w:spacing w:after="0" w:line="267" w:lineRule="auto"/>
        <w:rPr>
          <w:sz w:val="20"/>
          <w:szCs w:val="20"/>
          <w:color w:val="auto"/>
        </w:rPr>
      </w:pPr>
      <w:r>
        <w:rPr>
          <w:rFonts w:ascii="Arial" w:cs="Arial" w:eastAsia="Arial" w:hAnsi="Arial"/>
          <w:sz w:val="14"/>
          <w:szCs w:val="14"/>
          <w:color w:val="auto"/>
        </w:rPr>
        <w:t>the amount allocated to other taxable years (or portions thereof) of the U.S. Holder and included in its holding period will be taxed at the highest tax rate in effect for that year and applicable to the U.S. Holder; and</w:t>
      </w:r>
    </w:p>
    <w:p>
      <w:pPr>
        <w:spacing w:after="0" w:line="61" w:lineRule="exact"/>
        <w:rPr>
          <w:sz w:val="20"/>
          <w:szCs w:val="20"/>
          <w:color w:val="auto"/>
        </w:rPr>
      </w:pPr>
    </w:p>
    <w:p>
      <w:pPr>
        <w:ind w:left="1100" w:right="819"/>
        <w:spacing w:after="0" w:line="236" w:lineRule="auto"/>
        <w:rPr>
          <w:sz w:val="20"/>
          <w:szCs w:val="20"/>
          <w:color w:val="auto"/>
        </w:rPr>
      </w:pPr>
      <w:r>
        <w:rPr>
          <w:rFonts w:ascii="Arial" w:cs="Arial" w:eastAsia="Arial" w:hAnsi="Arial"/>
          <w:sz w:val="15"/>
          <w:szCs w:val="15"/>
          <w:color w:val="auto"/>
        </w:rPr>
        <w:t>an additional tax equal to the interest charge generally applicable to underpayments of tax will be imposed on the U.S. Holder with respect to the tax attributable to each such other taxable year of the U.S. Holder.</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PFIC Elections</w:t>
      </w:r>
    </w:p>
    <w:p>
      <w:pPr>
        <w:spacing w:after="0" w:line="158" w:lineRule="exact"/>
        <w:rPr>
          <w:sz w:val="20"/>
          <w:szCs w:val="20"/>
          <w:color w:val="auto"/>
        </w:rPr>
      </w:pPr>
    </w:p>
    <w:p>
      <w:pPr>
        <w:jc w:val="both"/>
        <w:ind w:left="600" w:right="639"/>
        <w:spacing w:after="0" w:line="242" w:lineRule="auto"/>
        <w:rPr>
          <w:sz w:val="20"/>
          <w:szCs w:val="20"/>
          <w:color w:val="auto"/>
        </w:rPr>
      </w:pPr>
      <w:r>
        <w:rPr>
          <w:rFonts w:ascii="Arial" w:cs="Arial" w:eastAsia="Arial" w:hAnsi="Arial"/>
          <w:sz w:val="14"/>
          <w:szCs w:val="14"/>
          <w:color w:val="auto"/>
        </w:rPr>
        <w:t>In general, if we are determined to be a PFIC, a U.S. Holder may avoid the adverse PFIC tax consequences described above in respect of our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w:t>
      </w:r>
    </w:p>
    <w:p>
      <w:pPr>
        <w:spacing w:after="0" w:line="2" w:lineRule="exact"/>
        <w:rPr>
          <w:sz w:val="20"/>
          <w:szCs w:val="20"/>
          <w:color w:val="auto"/>
        </w:rPr>
      </w:pPr>
    </w:p>
    <w:p>
      <w:pPr>
        <w:jc w:val="both"/>
        <w:ind w:left="600" w:right="639"/>
        <w:spacing w:after="0" w:line="233" w:lineRule="auto"/>
        <w:rPr>
          <w:sz w:val="20"/>
          <w:szCs w:val="20"/>
          <w:color w:val="auto"/>
        </w:rPr>
      </w:pPr>
      <w:r>
        <w:rPr>
          <w:rFonts w:ascii="Arial" w:cs="Arial" w:eastAsia="Arial" w:hAnsi="Arial"/>
          <w:sz w:val="15"/>
          <w:szCs w:val="15"/>
          <w:color w:val="auto"/>
        </w:rPr>
        <w:t>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38"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1" w:name="page132"/>
    <w:bookmarkEnd w:id="13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39"/>
        <w:spacing w:after="0" w:line="231" w:lineRule="auto"/>
        <w:rPr>
          <w:sz w:val="20"/>
          <w:szCs w:val="20"/>
          <w:color w:val="auto"/>
        </w:rPr>
      </w:pPr>
      <w:r>
        <w:rPr>
          <w:rFonts w:ascii="Arial" w:cs="Arial" w:eastAsia="Arial" w:hAnsi="Arial"/>
          <w:sz w:val="15"/>
          <w:szCs w:val="15"/>
          <w:color w:val="auto"/>
        </w:rPr>
        <w:t>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39" w:lineRule="exact"/>
        <w:rPr>
          <w:sz w:val="20"/>
          <w:szCs w:val="20"/>
          <w:color w:val="auto"/>
        </w:rPr>
      </w:pPr>
    </w:p>
    <w:p>
      <w:pPr>
        <w:ind w:left="600" w:right="839"/>
        <w:spacing w:after="0" w:line="229" w:lineRule="auto"/>
        <w:rPr>
          <w:sz w:val="20"/>
          <w:szCs w:val="20"/>
          <w:color w:val="auto"/>
        </w:rPr>
      </w:pPr>
      <w:r>
        <w:rPr>
          <w:rFonts w:ascii="Arial" w:cs="Arial" w:eastAsia="Arial" w:hAnsi="Arial"/>
          <w:sz w:val="15"/>
          <w:szCs w:val="15"/>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41"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28"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140"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The mark-to-market election is available only for “marketable stock,” generally, stock that is regularly traded on a national securities exchange that is registered with the SEC, including Nasdaq (on which we intend to list the Class A ordinary shares), or on a foreign exchange or market that the IRS 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141"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2" w:name="page133"/>
    <w:bookmarkEnd w:id="13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39" w:lineRule="exact"/>
        <w:rPr>
          <w:sz w:val="20"/>
          <w:szCs w:val="20"/>
          <w:color w:val="auto"/>
        </w:rPr>
      </w:pPr>
    </w:p>
    <w:p>
      <w:pPr>
        <w:ind w:left="600" w:right="839"/>
        <w:spacing w:after="0" w:line="231" w:lineRule="auto"/>
        <w:rPr>
          <w:sz w:val="20"/>
          <w:szCs w:val="20"/>
          <w:color w:val="auto"/>
        </w:rPr>
      </w:pPr>
      <w:r>
        <w:rPr>
          <w:rFonts w:ascii="Arial" w:cs="Arial" w:eastAsia="Arial" w:hAnsi="Arial"/>
          <w:sz w:val="15"/>
          <w:szCs w:val="15"/>
          <w:color w:val="auto"/>
        </w:rPr>
        <w:t>The rules dealing with PFICs and with the QEF and mark-to-market elections are very complex and are affected by various factors in addition to those described above. Accordingly, U.S. Holders of our Class A ordinary shares should consult their tax advisors concerning the application of the PFIC rules to our securities under their particular circumstances.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Tax Reporting</w:t>
      </w:r>
    </w:p>
    <w:p>
      <w:pPr>
        <w:spacing w:after="0" w:line="158" w:lineRule="exact"/>
        <w:rPr>
          <w:sz w:val="20"/>
          <w:szCs w:val="20"/>
          <w:color w:val="auto"/>
        </w:rPr>
      </w:pPr>
    </w:p>
    <w:p>
      <w:pPr>
        <w:ind w:left="600" w:right="639"/>
        <w:spacing w:after="0" w:line="245" w:lineRule="auto"/>
        <w:rPr>
          <w:sz w:val="20"/>
          <w:szCs w:val="20"/>
          <w:color w:val="auto"/>
        </w:rPr>
      </w:pPr>
      <w:r>
        <w:rPr>
          <w:rFonts w:ascii="Arial" w:cs="Arial" w:eastAsia="Arial" w:hAnsi="Arial"/>
          <w:sz w:val="14"/>
          <w:szCs w:val="14"/>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Non-U.S. Holders</w:t>
      </w:r>
    </w:p>
    <w:p>
      <w:pPr>
        <w:spacing w:after="0" w:line="32" w:lineRule="exact"/>
        <w:rPr>
          <w:sz w:val="20"/>
          <w:szCs w:val="20"/>
          <w:color w:val="auto"/>
        </w:rPr>
      </w:pPr>
    </w:p>
    <w:p>
      <w:pPr>
        <w:ind w:left="600" w:right="879"/>
        <w:spacing w:after="0" w:line="233" w:lineRule="auto"/>
        <w:rPr>
          <w:sz w:val="20"/>
          <w:szCs w:val="20"/>
          <w:color w:val="auto"/>
        </w:rPr>
      </w:pPr>
      <w:r>
        <w:rPr>
          <w:rFonts w:ascii="Arial" w:cs="Arial" w:eastAsia="Arial" w:hAnsi="Arial"/>
          <w:sz w:val="15"/>
          <w:szCs w:val="15"/>
          <w:color w:val="auto"/>
        </w:rPr>
        <w:t>This section applies to you if you are a “Non-U.S. Holder.” As used herein, the term “Non-U.S. Holder” means a beneficial owner of our Class A ordinary shares (other than a partnership or other entity or arrangement treated as a partnership for U.S. federal income tax purposes) who or that is for U.S. federal income tax purposes:</w:t>
      </w:r>
    </w:p>
    <w:p>
      <w:pPr>
        <w:spacing w:after="0" w:line="79" w:lineRule="exact"/>
        <w:rPr>
          <w:sz w:val="20"/>
          <w:szCs w:val="20"/>
          <w:color w:val="auto"/>
        </w:rPr>
      </w:pPr>
    </w:p>
    <w:p>
      <w:pPr>
        <w:ind w:left="1100" w:right="819"/>
        <w:spacing w:after="0" w:line="236" w:lineRule="auto"/>
        <w:rPr>
          <w:sz w:val="20"/>
          <w:szCs w:val="20"/>
          <w:color w:val="auto"/>
        </w:rPr>
      </w:pPr>
      <w:r>
        <w:rPr>
          <w:rFonts w:ascii="Arial" w:cs="Arial" w:eastAsia="Arial" w:hAnsi="Arial"/>
          <w:sz w:val="15"/>
          <w:szCs w:val="15"/>
          <w:color w:val="auto"/>
        </w:rPr>
        <w:t>a non-resident alien individual (other than certain former citizens and residents of the United States subject to U.S. tax as expatriates);</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foreign corporation; or</w:t>
      </w:r>
    </w:p>
    <w:p>
      <w:pPr>
        <w:spacing w:after="0" w:line="83" w:lineRule="exact"/>
        <w:rPr>
          <w:sz w:val="20"/>
          <w:szCs w:val="20"/>
          <w:color w:val="auto"/>
        </w:rPr>
      </w:pPr>
    </w:p>
    <w:p>
      <w:pPr>
        <w:ind w:left="1100" w:right="839"/>
        <w:spacing w:after="0" w:line="231" w:lineRule="auto"/>
        <w:rPr>
          <w:sz w:val="20"/>
          <w:szCs w:val="20"/>
          <w:color w:val="auto"/>
        </w:rPr>
      </w:pPr>
      <w:r>
        <w:rPr>
          <w:rFonts w:ascii="Arial" w:cs="Arial" w:eastAsia="Arial" w:hAnsi="Arial"/>
          <w:sz w:val="15"/>
          <w:szCs w:val="15"/>
          <w:color w:val="auto"/>
        </w:rPr>
        <w:t>an estate or trust that is not a U.S. Holder; but generally does not include an individual who is present in the United States for 183 days or more in the taxable year of disposition. A U.S. Holder who is such an individual should consult its tax advisor regarding the U.S. federal income tax consequences of the sale or other disposition of our securities.</w:t>
      </w:r>
    </w:p>
    <w:p>
      <w:pPr>
        <w:spacing w:after="0" w:line="139"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disposition of our Class A ordinary shares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38"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29" w:lineRule="exact"/>
        <w:rPr>
          <w:sz w:val="20"/>
          <w:szCs w:val="20"/>
          <w:color w:val="auto"/>
        </w:rPr>
      </w:pPr>
    </w:p>
    <w:p>
      <w:pPr>
        <w:ind w:left="600" w:right="639"/>
        <w:spacing w:after="0" w:line="267" w:lineRule="auto"/>
        <w:rPr>
          <w:sz w:val="20"/>
          <w:szCs w:val="20"/>
          <w:color w:val="auto"/>
        </w:rPr>
      </w:pPr>
      <w:r>
        <w:rPr>
          <w:rFonts w:ascii="Arial" w:cs="Arial" w:eastAsia="Arial" w:hAnsi="Arial"/>
          <w:sz w:val="14"/>
          <w:szCs w:val="14"/>
          <w:color w:val="auto"/>
        </w:rPr>
        <w:t>The characterization for U.S. federal income tax purposes of the redemption of a Non-U.S. Holder’s Class A ordinary shares will generally correspond to the U.S. federal income tax characterization of such a redemption of a U.S. 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3" w:name="page134"/>
    <w:bookmarkEnd w:id="13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33" w:lineRule="auto"/>
        <w:rPr>
          <w:sz w:val="20"/>
          <w:szCs w:val="20"/>
          <w:color w:val="auto"/>
        </w:rPr>
      </w:pPr>
      <w:r>
        <w:rPr>
          <w:rFonts w:ascii="Arial" w:cs="Arial" w:eastAsia="Arial" w:hAnsi="Arial"/>
          <w:sz w:val="15"/>
          <w:szCs w:val="15"/>
          <w:color w:val="auto"/>
        </w:rPr>
        <w:t>Class A ordinary shares, as described under “U.S. Holders — Redemption of Class A Ordinary Shares” above, and the consequences of the redemption to the Non-U.S. Holder will be as described in the paragraphs above under the heading “Non-U.S. Holders” based on such characterization.</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Information Reporting and Backup Withholding</w:t>
      </w:r>
    </w:p>
    <w:p>
      <w:pPr>
        <w:spacing w:after="0" w:line="146"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Dividend payments with respect to our Class A ordinary shares and proceeds from the sale, exchange or redemption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39" w:lineRule="exact"/>
        <w:rPr>
          <w:sz w:val="20"/>
          <w:szCs w:val="20"/>
          <w:color w:val="auto"/>
        </w:rPr>
      </w:pPr>
    </w:p>
    <w:p>
      <w:pPr>
        <w:ind w:left="600" w:right="619"/>
        <w:spacing w:after="0" w:line="231" w:lineRule="auto"/>
        <w:rPr>
          <w:sz w:val="20"/>
          <w:szCs w:val="20"/>
          <w:color w:val="auto"/>
        </w:rPr>
      </w:pPr>
      <w:r>
        <w:rPr>
          <w:rFonts w:ascii="Arial" w:cs="Arial" w:eastAsia="Arial" w:hAnsi="Arial"/>
          <w:sz w:val="15"/>
          <w:szCs w:val="15"/>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21" w:lineRule="exact"/>
        <w:rPr>
          <w:sz w:val="20"/>
          <w:szCs w:val="20"/>
          <w:color w:val="auto"/>
        </w:rPr>
      </w:pPr>
    </w:p>
    <w:p>
      <w:pPr>
        <w:ind w:left="600" w:right="659"/>
        <w:spacing w:after="0" w:line="235" w:lineRule="auto"/>
        <w:rPr>
          <w:sz w:val="20"/>
          <w:szCs w:val="20"/>
          <w:color w:val="auto"/>
        </w:rPr>
      </w:pPr>
      <w:r>
        <w:rPr>
          <w:rFonts w:ascii="Arial" w:cs="Arial" w:eastAsia="Arial" w:hAnsi="Arial"/>
          <w:sz w:val="15"/>
          <w:szCs w:val="15"/>
          <w:b w:val="1"/>
          <w:bCs w:val="1"/>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including the tax consequences under state, local, estate, foreign and other tax laws and tax treaties and the possible effects of changes in U.S. or other tax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4" w:name="page135"/>
    <w:bookmarkEnd w:id="13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w:t>
      </w:r>
    </w:p>
    <w:p>
      <w:pPr>
        <w:spacing w:after="0" w:line="155" w:lineRule="exact"/>
        <w:rPr>
          <w:sz w:val="20"/>
          <w:szCs w:val="20"/>
          <w:color w:val="auto"/>
        </w:rPr>
      </w:pPr>
    </w:p>
    <w:p>
      <w:pPr>
        <w:ind w:left="600" w:right="599"/>
        <w:spacing w:after="0" w:line="230" w:lineRule="auto"/>
        <w:rPr>
          <w:sz w:val="20"/>
          <w:szCs w:val="20"/>
          <w:color w:val="auto"/>
        </w:rPr>
      </w:pPr>
      <w:r>
        <w:rPr>
          <w:rFonts w:ascii="Arial" w:cs="Arial" w:eastAsia="Arial" w:hAnsi="Arial"/>
          <w:sz w:val="15"/>
          <w:szCs w:val="15"/>
          <w:color w:val="auto"/>
        </w:rPr>
        <w:t>Subject to the terms and conditions set forth in the underwriting agreement, dated , between us, Jefferies LLC and Goldman Sachs &amp; Co. LLC, as the representatives of the underwriters named below and the joint book-running managers of this offering, we have agreed to sell to the underwriters, and each of the underwriters has agreed, severally and not jointly, to purchase from us, the respective number of Class A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62230</wp:posOffset>
            </wp:positionV>
            <wp:extent cx="496443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4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OF SHARES</w:t>
            </w:r>
          </w:p>
        </w:tc>
        <w:tc>
          <w:tcPr>
            <w:tcW w:w="0" w:type="dxa"/>
            <w:vAlign w:val="bottom"/>
          </w:tcPr>
          <w:p>
            <w:pPr>
              <w:spacing w:after="0"/>
              <w:rPr>
                <w:sz w:val="1"/>
                <w:szCs w:val="1"/>
                <w:color w:val="auto"/>
              </w:rPr>
            </w:pPr>
          </w:p>
        </w:tc>
      </w:tr>
      <w:tr>
        <w:trPr>
          <w:trHeight w:val="34"/>
        </w:trPr>
        <w:tc>
          <w:tcPr>
            <w:tcW w:w="43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Underwriter</w:t>
            </w:r>
          </w:p>
        </w:tc>
        <w:tc>
          <w:tcPr>
            <w:tcW w:w="2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rPr>
                <w:sz w:val="20"/>
                <w:szCs w:val="20"/>
                <w:color w:val="auto"/>
              </w:rPr>
            </w:pPr>
            <w:r>
              <w:rPr>
                <w:rFonts w:ascii="Arial" w:cs="Arial" w:eastAsia="Arial" w:hAnsi="Arial"/>
                <w:sz w:val="15"/>
                <w:szCs w:val="15"/>
                <w:color w:val="auto"/>
              </w:rPr>
              <w:t>Jefferies LLC</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Goldman Sachs &amp; Co. LLC</w:t>
            </w:r>
          </w:p>
        </w:tc>
        <w:tc>
          <w:tcPr>
            <w:tcW w:w="26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vMerge w:val="restart"/>
          </w:tcPr>
          <w:p>
            <w:pPr>
              <w:ind w:left="160"/>
              <w:spacing w:after="0"/>
              <w:rPr>
                <w:sz w:val="20"/>
                <w:szCs w:val="20"/>
                <w:color w:val="auto"/>
              </w:rPr>
            </w:pPr>
            <w:r>
              <w:rPr>
                <w:rFonts w:ascii="Arial" w:cs="Arial" w:eastAsia="Arial" w:hAnsi="Arial"/>
                <w:sz w:val="15"/>
                <w:szCs w:val="15"/>
                <w:color w:val="auto"/>
              </w:rPr>
              <w:t>Total</w:t>
            </w:r>
          </w:p>
        </w:tc>
        <w:tc>
          <w:tcPr>
            <w:tcW w:w="3360" w:type="dxa"/>
            <w:vAlign w:val="bottom"/>
            <w:tcBorders>
              <w:top w:val="single" w:sz="8" w:color="CCEEFF"/>
            </w:tcBorders>
            <w:gridSpan w:val="2"/>
          </w:tcPr>
          <w:p>
            <w:pPr>
              <w:jc w:val="right"/>
              <w:spacing w:after="0"/>
              <w:rPr>
                <w:sz w:val="20"/>
                <w:szCs w:val="20"/>
                <w:color w:val="auto"/>
              </w:rPr>
            </w:pPr>
            <w:r>
              <w:rPr>
                <w:rFonts w:ascii="Arial" w:cs="Arial" w:eastAsia="Arial" w:hAnsi="Arial"/>
                <w:sz w:val="15"/>
                <w:szCs w:val="15"/>
                <w:color w:val="auto"/>
              </w:rPr>
              <w:t>12,500,000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vMerge w:val="continu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-635000</wp:posOffset>
            </wp:positionV>
            <wp:extent cx="9588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5885" cy="7620"/>
                    </a:xfrm>
                    <a:prstGeom prst="rect">
                      <a:avLst/>
                    </a:prstGeom>
                    <a:noFill/>
                  </pic:spPr>
                </pic:pic>
              </a:graphicData>
            </a:graphic>
          </wp:anchor>
        </w:drawing>
      </w:r>
    </w:p>
    <w:p>
      <w:pPr>
        <w:spacing w:after="0" w:line="126"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Class A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The underwriters have advised us that, following the completion of this offering, they currently intend to make a market in the Class A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Class A ordinary shares, that you will be able to sell any of the Class A ordinary shares held by you at a particular time or that the prices that you receive when you sell will be favorable.</w:t>
      </w:r>
    </w:p>
    <w:p>
      <w:pPr>
        <w:spacing w:after="0" w:line="141" w:lineRule="exact"/>
        <w:rPr>
          <w:sz w:val="20"/>
          <w:szCs w:val="20"/>
          <w:color w:val="auto"/>
        </w:rPr>
      </w:pPr>
    </w:p>
    <w:p>
      <w:pPr>
        <w:ind w:left="600" w:right="759"/>
        <w:spacing w:after="0" w:line="231" w:lineRule="auto"/>
        <w:rPr>
          <w:sz w:val="20"/>
          <w:szCs w:val="20"/>
          <w:color w:val="auto"/>
        </w:rPr>
      </w:pPr>
      <w:r>
        <w:rPr>
          <w:rFonts w:ascii="Arial" w:cs="Arial" w:eastAsia="Arial" w:hAnsi="Arial"/>
          <w:sz w:val="15"/>
          <w:szCs w:val="15"/>
          <w:color w:val="auto"/>
        </w:rPr>
        <w:t>The underwriters are offering the Class A ordinary shares subject to their acceptance of the Class A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Commission and Expenses</w:t>
      </w:r>
    </w:p>
    <w:p>
      <w:pPr>
        <w:spacing w:after="0" w:line="160" w:lineRule="exact"/>
        <w:rPr>
          <w:sz w:val="20"/>
          <w:szCs w:val="20"/>
          <w:color w:val="auto"/>
        </w:rPr>
      </w:pPr>
    </w:p>
    <w:p>
      <w:pPr>
        <w:ind w:left="600" w:right="639"/>
        <w:spacing w:after="0" w:line="242" w:lineRule="auto"/>
        <w:rPr>
          <w:sz w:val="20"/>
          <w:szCs w:val="20"/>
          <w:color w:val="auto"/>
        </w:rPr>
      </w:pPr>
      <w:r>
        <w:rPr>
          <w:rFonts w:ascii="Arial" w:cs="Arial" w:eastAsia="Arial" w:hAnsi="Arial"/>
          <w:sz w:val="14"/>
          <w:szCs w:val="14"/>
          <w:color w:val="auto"/>
        </w:rPr>
        <w:t>The underwriters have advised us that they propose to offer the Class A ordinary shares to the public at the initial public offering price set forth on the cover page of this prospectus and to certain dealers, which may include the underwriters,</w:t>
      </w:r>
    </w:p>
    <w:p>
      <w:pPr>
        <w:spacing w:after="0" w:line="1" w:lineRule="exact"/>
        <w:rPr>
          <w:sz w:val="20"/>
          <w:szCs w:val="20"/>
          <w:color w:val="auto"/>
        </w:rPr>
      </w:pPr>
    </w:p>
    <w:p>
      <w:pPr>
        <w:ind w:left="600" w:right="719"/>
        <w:spacing w:after="0" w:line="226" w:lineRule="auto"/>
        <w:rPr>
          <w:sz w:val="20"/>
          <w:szCs w:val="20"/>
          <w:color w:val="auto"/>
        </w:rPr>
      </w:pPr>
      <w:r>
        <w:rPr>
          <w:rFonts w:ascii="Arial" w:cs="Arial" w:eastAsia="Arial" w:hAnsi="Arial"/>
          <w:sz w:val="15"/>
          <w:szCs w:val="15"/>
          <w:color w:val="auto"/>
        </w:rPr>
        <w:t>at that price less a concession not in excess of $ per share. The underwriters may allow, and certain dealers may reallow, a discount from the concession not in excess of $ per share to certain brokers and dealers. After</w:t>
      </w:r>
    </w:p>
    <w:p>
      <w:pPr>
        <w:spacing w:after="0" w:line="1" w:lineRule="exact"/>
        <w:rPr>
          <w:sz w:val="20"/>
          <w:szCs w:val="20"/>
          <w:color w:val="auto"/>
        </w:rPr>
      </w:pPr>
    </w:p>
    <w:p>
      <w:pPr>
        <w:ind w:left="600" w:right="879"/>
        <w:spacing w:after="0" w:line="233" w:lineRule="auto"/>
        <w:rPr>
          <w:sz w:val="20"/>
          <w:szCs w:val="20"/>
          <w:color w:val="auto"/>
        </w:rPr>
      </w:pPr>
      <w:r>
        <w:rPr>
          <w:rFonts w:ascii="Arial" w:cs="Arial" w:eastAsia="Arial" w:hAnsi="Arial"/>
          <w:sz w:val="15"/>
          <w:szCs w:val="15"/>
          <w:color w:val="auto"/>
        </w:rPr>
        <w:t>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38" w:lineRule="exact"/>
        <w:rPr>
          <w:sz w:val="20"/>
          <w:szCs w:val="20"/>
          <w:color w:val="auto"/>
        </w:rPr>
      </w:pPr>
    </w:p>
    <w:p>
      <w:pPr>
        <w:ind w:left="600" w:right="699"/>
        <w:spacing w:after="0" w:line="254" w:lineRule="auto"/>
        <w:rPr>
          <w:sz w:val="20"/>
          <w:szCs w:val="20"/>
          <w:color w:val="auto"/>
        </w:rPr>
      </w:pPr>
      <w:r>
        <w:rPr>
          <w:rFonts w:ascii="Arial" w:cs="Arial" w:eastAsia="Arial" w:hAnsi="Arial"/>
          <w:sz w:val="14"/>
          <w:szCs w:val="14"/>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55880</wp:posOffset>
            </wp:positionV>
            <wp:extent cx="496443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197"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5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jc w:val="center"/>
              <w:ind w:right="258"/>
              <w:spacing w:after="0"/>
              <w:rPr>
                <w:sz w:val="20"/>
                <w:szCs w:val="20"/>
                <w:color w:val="auto"/>
              </w:rPr>
            </w:pPr>
            <w:r>
              <w:rPr>
                <w:rFonts w:ascii="Arial" w:cs="Arial" w:eastAsia="Arial" w:hAnsi="Arial"/>
                <w:sz w:val="12"/>
                <w:szCs w:val="12"/>
                <w:b w:val="1"/>
                <w:bCs w:val="1"/>
                <w:color w:val="auto"/>
                <w:w w:val="98"/>
              </w:rPr>
              <w:t>PAID BY</w:t>
            </w:r>
          </w:p>
        </w:tc>
        <w:tc>
          <w:tcPr>
            <w:tcW w:w="620" w:type="dxa"/>
            <w:vAlign w:val="bottom"/>
          </w:tcPr>
          <w:p>
            <w:pPr>
              <w:spacing w:after="0"/>
              <w:rPr>
                <w:sz w:val="12"/>
                <w:szCs w:val="12"/>
                <w:color w:val="auto"/>
              </w:rPr>
            </w:pPr>
          </w:p>
        </w:tc>
      </w:tr>
      <w:tr>
        <w:trPr>
          <w:trHeight w:val="162"/>
        </w:trPr>
        <w:tc>
          <w:tcPr>
            <w:tcW w:w="5420" w:type="dxa"/>
            <w:vAlign w:val="bottom"/>
          </w:tcPr>
          <w:p>
            <w:pPr>
              <w:spacing w:after="0"/>
              <w:rPr>
                <w:sz w:val="14"/>
                <w:szCs w:val="14"/>
                <w:color w:val="auto"/>
              </w:rPr>
            </w:pPr>
          </w:p>
        </w:tc>
        <w:tc>
          <w:tcPr>
            <w:tcW w:w="2400" w:type="dxa"/>
            <w:vAlign w:val="bottom"/>
            <w:gridSpan w:val="6"/>
          </w:tcPr>
          <w:p>
            <w:pPr>
              <w:jc w:val="center"/>
              <w:spacing w:after="0"/>
              <w:rPr>
                <w:sz w:val="20"/>
                <w:szCs w:val="20"/>
                <w:color w:val="auto"/>
              </w:rPr>
            </w:pPr>
            <w:r>
              <w:rPr>
                <w:rFonts w:ascii="Arial" w:cs="Arial" w:eastAsia="Arial" w:hAnsi="Arial"/>
                <w:sz w:val="12"/>
                <w:szCs w:val="12"/>
                <w:b w:val="1"/>
                <w:bCs w:val="1"/>
                <w:color w:val="auto"/>
              </w:rPr>
              <w:t>ARYA SCIENCES ACQUISITION CORP III</w:t>
            </w:r>
          </w:p>
        </w:tc>
      </w:tr>
      <w:tr>
        <w:trPr>
          <w:trHeight w:val="34"/>
        </w:trPr>
        <w:tc>
          <w:tcPr>
            <w:tcW w:w="54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191"/>
        </w:trPr>
        <w:tc>
          <w:tcPr>
            <w:tcW w:w="542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NO EXERCISE</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auto"/>
              </w:rPr>
              <w:t>FULL EXERCISE</w:t>
            </w:r>
          </w:p>
        </w:tc>
      </w:tr>
      <w:tr>
        <w:trPr>
          <w:trHeight w:val="34"/>
        </w:trPr>
        <w:tc>
          <w:tcPr>
            <w:tcW w:w="5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4"/>
        </w:trPr>
        <w:tc>
          <w:tcPr>
            <w:tcW w:w="5420" w:type="dxa"/>
            <w:vAlign w:val="bottom"/>
            <w:shd w:val="clear" w:color="auto" w:fill="CCEEFF"/>
          </w:tcPr>
          <w:p>
            <w:pPr>
              <w:spacing w:after="0" w:line="225" w:lineRule="exact"/>
              <w:rPr>
                <w:sz w:val="20"/>
                <w:szCs w:val="20"/>
                <w:color w:val="auto"/>
              </w:rPr>
            </w:pPr>
            <w:r>
              <w:rPr>
                <w:rFonts w:ascii="Arial" w:cs="Arial" w:eastAsia="Arial" w:hAnsi="Arial"/>
                <w:sz w:val="15"/>
                <w:szCs w:val="15"/>
                <w:color w:val="auto"/>
              </w:rPr>
              <w:t>Per Class A ordinary share</w:t>
            </w:r>
            <w:r>
              <w:rPr>
                <w:rFonts w:ascii="Arial" w:cs="Arial" w:eastAsia="Arial" w:hAnsi="Arial"/>
                <w:sz w:val="24"/>
                <w:szCs w:val="24"/>
                <w:color w:val="auto"/>
                <w:vertAlign w:val="superscript"/>
              </w:rPr>
              <w:t>(1)</w:t>
            </w:r>
          </w:p>
        </w:tc>
        <w:tc>
          <w:tcPr>
            <w:tcW w:w="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0.55</w:t>
            </w: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0.55</w:t>
            </w:r>
          </w:p>
        </w:tc>
      </w:tr>
      <w:tr>
        <w:trPr>
          <w:trHeight w:val="186"/>
        </w:trPr>
        <w:tc>
          <w:tcPr>
            <w:tcW w:w="5420" w:type="dxa"/>
            <w:vAlign w:val="bottom"/>
            <w:tcBorders>
              <w:bottom w:val="single" w:sz="8" w:color="auto"/>
            </w:tcBorders>
          </w:tcPr>
          <w:p>
            <w:pPr>
              <w:spacing w:after="0" w:line="187" w:lineRule="exact"/>
              <w:rPr>
                <w:sz w:val="20"/>
                <w:szCs w:val="20"/>
                <w:color w:val="auto"/>
              </w:rPr>
            </w:pPr>
            <w:r>
              <w:rPr>
                <w:rFonts w:ascii="Arial" w:cs="Arial" w:eastAsia="Arial" w:hAnsi="Arial"/>
                <w:sz w:val="13"/>
                <w:szCs w:val="13"/>
                <w:color w:val="auto"/>
              </w:rPr>
              <w:t>Total</w:t>
            </w:r>
            <w:r>
              <w:rPr>
                <w:rFonts w:ascii="Arial" w:cs="Arial" w:eastAsia="Arial" w:hAnsi="Arial"/>
                <w:sz w:val="21"/>
                <w:szCs w:val="21"/>
                <w:color w:val="auto"/>
                <w:vertAlign w:val="superscript"/>
              </w:rPr>
              <w:t>(1)</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$6,875,000</w:t>
            </w:r>
          </w:p>
        </w:tc>
        <w:tc>
          <w:tcPr>
            <w:tcW w:w="1460" w:type="dxa"/>
            <w:vAlign w:val="bottom"/>
            <w:tcBorders>
              <w:bottom w:val="single" w:sz="8" w:color="auto"/>
            </w:tcBorders>
            <w:gridSpan w:val="4"/>
          </w:tcPr>
          <w:p>
            <w:pPr>
              <w:ind w:left="560"/>
              <w:spacing w:after="0"/>
              <w:rPr>
                <w:sz w:val="20"/>
                <w:szCs w:val="20"/>
                <w:color w:val="auto"/>
              </w:rPr>
            </w:pPr>
            <w:r>
              <w:rPr>
                <w:rFonts w:ascii="Arial" w:cs="Arial" w:eastAsia="Arial" w:hAnsi="Arial"/>
                <w:sz w:val="15"/>
                <w:szCs w:val="15"/>
                <w:color w:val="auto"/>
              </w:rPr>
              <w:t>$7,906,250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-280035</wp:posOffset>
            </wp:positionV>
            <wp:extent cx="2362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622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-280035</wp:posOffset>
            </wp:positionV>
            <wp:extent cx="12573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5730" cy="7620"/>
                    </a:xfrm>
                    <a:prstGeom prst="rect">
                      <a:avLst/>
                    </a:prstGeom>
                    <a:noFill/>
                  </pic:spPr>
                </pic:pic>
              </a:graphicData>
            </a:graphic>
          </wp:anchor>
        </w:drawing>
      </w:r>
    </w:p>
    <w:p>
      <w:pPr>
        <w:spacing w:after="0" w:line="21" w:lineRule="exact"/>
        <w:rPr>
          <w:sz w:val="20"/>
          <w:szCs w:val="20"/>
          <w:color w:val="auto"/>
        </w:rPr>
      </w:pPr>
    </w:p>
    <w:p>
      <w:pPr>
        <w:ind w:left="900" w:right="619" w:hanging="305"/>
        <w:spacing w:after="0" w:line="226" w:lineRule="auto"/>
        <w:tabs>
          <w:tab w:leader="none" w:pos="9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$0.20 per share, or $2,500,000 in the aggregate (or $2,875,000 in the aggregate if the underwriters’ option to purchase additional shares is exercised in full), is payable upon the closing of this offering. $0.35 per share, or $4,375,000 in the aggregate (or $5,031,250 in the aggregate if the underwriters’ option to purchase additional shares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5" w:name="page136"/>
    <w:bookmarkEnd w:id="13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If we do not complete our initial business combination within 24 months from the closing of this offering,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39" w:lineRule="exact"/>
        <w:rPr>
          <w:sz w:val="20"/>
          <w:szCs w:val="20"/>
          <w:color w:val="auto"/>
        </w:rPr>
      </w:pPr>
    </w:p>
    <w:p>
      <w:pPr>
        <w:ind w:left="600" w:right="779"/>
        <w:spacing w:after="0" w:line="233" w:lineRule="auto"/>
        <w:rPr>
          <w:sz w:val="20"/>
          <w:szCs w:val="20"/>
          <w:color w:val="auto"/>
        </w:rPr>
      </w:pPr>
      <w:r>
        <w:rPr>
          <w:rFonts w:ascii="Arial" w:cs="Arial" w:eastAsia="Arial" w:hAnsi="Arial"/>
          <w:sz w:val="15"/>
          <w:szCs w:val="15"/>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Determination of Offering Price</w:t>
      </w:r>
    </w:p>
    <w:p>
      <w:pPr>
        <w:spacing w:after="0" w:line="160"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Prior to this offering, there has not been a public market for our Class A ordinary shares. Consequently, the initial public offering price for our Class A ordinary shares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41" w:lineRule="exact"/>
        <w:rPr>
          <w:sz w:val="20"/>
          <w:szCs w:val="20"/>
          <w:color w:val="auto"/>
        </w:rPr>
      </w:pPr>
    </w:p>
    <w:p>
      <w:pPr>
        <w:ind w:left="600" w:right="659"/>
        <w:spacing w:after="0" w:line="233" w:lineRule="auto"/>
        <w:rPr>
          <w:sz w:val="20"/>
          <w:szCs w:val="20"/>
          <w:color w:val="auto"/>
        </w:rPr>
      </w:pPr>
      <w:r>
        <w:rPr>
          <w:rFonts w:ascii="Arial" w:cs="Arial" w:eastAsia="Arial" w:hAnsi="Arial"/>
          <w:sz w:val="15"/>
          <w:szCs w:val="15"/>
          <w:color w:val="auto"/>
        </w:rPr>
        <w:t>We offer no assurances that the initial public offering price will correspond to the price at which the Class A ordinary shares will trade in the public market subsequent to the offering or that an active trading market for the Class A ordinary shares will develop and continue after the offering.</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Listing</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intend to apply to have our public shares listed on Nasdaq under the symbol “ARYA.”</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Stamp Taxes</w:t>
      </w:r>
    </w:p>
    <w:p>
      <w:pPr>
        <w:spacing w:after="0" w:line="160" w:lineRule="exact"/>
        <w:rPr>
          <w:sz w:val="20"/>
          <w:szCs w:val="20"/>
          <w:color w:val="auto"/>
        </w:rPr>
      </w:pPr>
    </w:p>
    <w:p>
      <w:pPr>
        <w:ind w:left="600" w:right="759"/>
        <w:spacing w:after="0" w:line="233" w:lineRule="auto"/>
        <w:rPr>
          <w:sz w:val="20"/>
          <w:szCs w:val="20"/>
          <w:color w:val="auto"/>
        </w:rPr>
      </w:pPr>
      <w:r>
        <w:rPr>
          <w:rFonts w:ascii="Arial" w:cs="Arial" w:eastAsia="Arial" w:hAnsi="Arial"/>
          <w:sz w:val="15"/>
          <w:szCs w:val="15"/>
          <w:color w:val="auto"/>
        </w:rPr>
        <w:t>If you purchase Class A ordinary shares offered in this prospectus, you may be required to pay stamp taxes and other charges under the laws and practices of the country of purchase, in addition to the offering price listed on the cover page of this prospectus.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Option to Purchase Additional Class A ordinary shares</w:t>
      </w:r>
    </w:p>
    <w:p>
      <w:pPr>
        <w:spacing w:after="0" w:line="160" w:lineRule="exact"/>
        <w:rPr>
          <w:sz w:val="20"/>
          <w:szCs w:val="20"/>
          <w:color w:val="auto"/>
        </w:rPr>
      </w:pPr>
    </w:p>
    <w:p>
      <w:pPr>
        <w:ind w:left="600" w:right="799"/>
        <w:spacing w:after="0" w:line="229" w:lineRule="auto"/>
        <w:rPr>
          <w:sz w:val="20"/>
          <w:szCs w:val="20"/>
          <w:color w:val="auto"/>
        </w:rPr>
      </w:pPr>
      <w:r>
        <w:rPr>
          <w:rFonts w:ascii="Arial" w:cs="Arial" w:eastAsia="Arial" w:hAnsi="Arial"/>
          <w:sz w:val="15"/>
          <w:szCs w:val="15"/>
          <w:color w:val="auto"/>
        </w:rPr>
        <w:t>We have granted to the underwriters an option, exercisable for 45 days from the date of this prospectus, to purchase, from time to time, in whole or in part, up to an aggregate of 1,875,000 Class A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Class A ordinary shares proportionate to that underwriter’s initial purchase commitment as indicated in the table above. This option may be exercised only if the underwriters sell more Class A ordinary shares than the total number set forth on the cover page of this prospectus.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Letter Agreement</w:t>
      </w:r>
    </w:p>
    <w:p>
      <w:pPr>
        <w:spacing w:after="0" w:line="160" w:lineRule="exact"/>
        <w:rPr>
          <w:sz w:val="20"/>
          <w:szCs w:val="20"/>
          <w:color w:val="auto"/>
        </w:rPr>
      </w:pPr>
    </w:p>
    <w:p>
      <w:pPr>
        <w:ind w:left="600" w:right="599"/>
        <w:spacing w:after="0" w:line="242" w:lineRule="auto"/>
        <w:rPr>
          <w:sz w:val="20"/>
          <w:szCs w:val="20"/>
          <w:color w:val="auto"/>
        </w:rPr>
      </w:pPr>
      <w:r>
        <w:rPr>
          <w:rFonts w:ascii="Arial" w:cs="Arial" w:eastAsia="Arial" w:hAnsi="Arial"/>
          <w:sz w:val="14"/>
          <w:szCs w:val="14"/>
          <w:color w:val="auto"/>
        </w:rPr>
        <w:t>We, our sponsor and our officers and directors have agreed that, for a period of 180 days from the date of this prospectus, we and they will not, without the prior written consent of Jefferies LLC and Goldman Sachs &amp; Co. LLC, offer, sell, contract to sell, pledge or otherwise dispose of, directly or indirectly, Class A ordinary shares or any other securities convertible into, or exercisable, or exchangeable for, Class A ordinary shares; provided, however, that we may</w:t>
      </w:r>
    </w:p>
    <w:p>
      <w:pPr>
        <w:spacing w:after="0" w:line="2" w:lineRule="exact"/>
        <w:rPr>
          <w:sz w:val="20"/>
          <w:szCs w:val="20"/>
          <w:color w:val="auto"/>
        </w:rPr>
      </w:pPr>
    </w:p>
    <w:p>
      <w:pPr>
        <w:ind w:left="600" w:right="659" w:hanging="5"/>
        <w:spacing w:after="0" w:line="229" w:lineRule="auto"/>
        <w:tabs>
          <w:tab w:leader="none" w:pos="821" w:val="left"/>
        </w:tabs>
        <w:numPr>
          <w:ilvl w:val="0"/>
          <w:numId w:val="34"/>
        </w:numPr>
        <w:rPr>
          <w:rFonts w:ascii="Arial" w:cs="Arial" w:eastAsia="Arial" w:hAnsi="Arial"/>
          <w:sz w:val="15"/>
          <w:szCs w:val="15"/>
          <w:color w:val="auto"/>
        </w:rPr>
      </w:pPr>
      <w:r>
        <w:rPr>
          <w:rFonts w:ascii="Arial" w:cs="Arial" w:eastAsia="Arial" w:hAnsi="Arial"/>
          <w:sz w:val="15"/>
          <w:szCs w:val="15"/>
          <w:color w:val="auto"/>
        </w:rPr>
        <w:t>issue and sell the private placement shares, (2) issue and sell the additional Class A ordinary shares to cover our underwriters’ over-allotment option (if any), (3) 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Jefferies LLC and Goldman Sachs &amp; Co. LLC in their sole discretion, may release any of the securities subject to this lock-up agreement at any time without notice.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36" w:name="page137"/>
    <w:bookmarkEnd w:id="13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28" w:lineRule="auto"/>
        <w:rPr>
          <w:sz w:val="20"/>
          <w:szCs w:val="20"/>
          <w:color w:val="auto"/>
        </w:rPr>
      </w:pPr>
      <w:r>
        <w:rPr>
          <w:rFonts w:ascii="Arial" w:cs="Arial" w:eastAsia="Arial" w:hAnsi="Arial"/>
          <w:sz w:val="15"/>
          <w:szCs w:val="15"/>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 — Transfers of Founder Shares and Private Placement Shares”). Any permitted transferees will be subject to the same restrictions and other agreements of our our sponsor and our management team with respect to any founder shares and private placement shares. We refer to such transfer restrictions throughout this prospectus as the lock-up.</w:t>
      </w:r>
    </w:p>
    <w:p>
      <w:pPr>
        <w:spacing w:after="0" w:line="140" w:lineRule="exact"/>
        <w:rPr>
          <w:sz w:val="20"/>
          <w:szCs w:val="20"/>
          <w:color w:val="auto"/>
        </w:rPr>
      </w:pPr>
    </w:p>
    <w:p>
      <w:pPr>
        <w:ind w:left="600" w:right="759"/>
        <w:spacing w:after="0" w:line="254" w:lineRule="auto"/>
        <w:rPr>
          <w:sz w:val="20"/>
          <w:szCs w:val="20"/>
          <w:color w:val="auto"/>
        </w:rPr>
      </w:pPr>
      <w:r>
        <w:rPr>
          <w:rFonts w:ascii="Arial" w:cs="Arial" w:eastAsia="Arial" w:hAnsi="Arial"/>
          <w:sz w:val="14"/>
          <w:szCs w:val="14"/>
          <w:color w:val="auto"/>
        </w:rPr>
        <w:t>The private placement shares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Shares”).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Stabilization</w:t>
      </w:r>
    </w:p>
    <w:p>
      <w:pPr>
        <w:spacing w:after="0" w:line="160" w:lineRule="exact"/>
        <w:rPr>
          <w:sz w:val="20"/>
          <w:szCs w:val="20"/>
          <w:color w:val="auto"/>
        </w:rPr>
      </w:pPr>
    </w:p>
    <w:p>
      <w:pPr>
        <w:ind w:left="600" w:right="759"/>
        <w:spacing w:after="0" w:line="229" w:lineRule="auto"/>
        <w:rPr>
          <w:sz w:val="20"/>
          <w:szCs w:val="20"/>
          <w:color w:val="auto"/>
        </w:rPr>
      </w:pPr>
      <w:r>
        <w:rPr>
          <w:rFonts w:ascii="Arial" w:cs="Arial" w:eastAsia="Arial" w:hAnsi="Arial"/>
          <w:sz w:val="15"/>
          <w:szCs w:val="15"/>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Class A ordinary shares at a level above that which might otherwise prevail in the open market. Establishing short sales positions may involve either “covered” short sales or “naked” short sales.</w:t>
      </w:r>
    </w:p>
    <w:p>
      <w:pPr>
        <w:spacing w:after="0" w:line="141"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“Covered” short sales are sales made in an amount not greater than the underwriters’ option to purchase additional Class A ordinary shares in this offering. The underwriters may close out any covered short position by either exercising their option to purchase additional Class A ordinary shares or purchasing Class A ordinary shares in the open market. In determining the source of Class A ordinary shares to close out the covered short position, the underwriters will consider, among other things, the price of Class A ordinary shares available for purchase in the open market as compared to the price at which they may purchase Class A ordinary shares through the option to purchase additional Class A ordinary shares.</w:t>
      </w:r>
    </w:p>
    <w:p>
      <w:pPr>
        <w:spacing w:after="0" w:line="128" w:lineRule="exact"/>
        <w:rPr>
          <w:sz w:val="20"/>
          <w:szCs w:val="20"/>
          <w:color w:val="auto"/>
        </w:rPr>
      </w:pPr>
    </w:p>
    <w:p>
      <w:pPr>
        <w:ind w:left="600" w:right="599"/>
        <w:spacing w:after="0" w:line="230" w:lineRule="auto"/>
        <w:rPr>
          <w:sz w:val="20"/>
          <w:szCs w:val="20"/>
          <w:color w:val="auto"/>
        </w:rPr>
      </w:pPr>
      <w:r>
        <w:rPr>
          <w:rFonts w:ascii="Arial" w:cs="Arial" w:eastAsia="Arial" w:hAnsi="Arial"/>
          <w:sz w:val="15"/>
          <w:szCs w:val="15"/>
          <w:color w:val="auto"/>
        </w:rPr>
        <w:t>“Naked” short sales are sales in excess of the option to purchase additional Class a ordinary shares. The underwriters must close out any naked short position by purchasing Class A ordinary shares in the open market. A naked short position is more likely to be created if the underwriters are concerned that there may be downward pressure on the price of our Class A ordinary shares in the open market after pricing that could adversely affect investors who purchase in this offering.</w:t>
      </w:r>
    </w:p>
    <w:p>
      <w:pPr>
        <w:spacing w:after="0" w:line="139"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A stabilizing bid is a bid for the purchase of Class A ordinary shares on behalf of the underwriters for the purpose of fixing or maintaining the price of the Class A ordinary shares. A syndicate covering transaction is the bid for or the purchase of Class A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Class A ordinary shares or preventing or retarding a decline in the market price of our Class A ordinary shares. As a result, the price of our Class A ordinary shares may be higher than the price that might otherwise exist in the open market. A penalty bid is an arrangement permitting the underwriters to reclaim the selling concession otherwise accruing to a syndicate member in connection with the offering if the Class A ordinary shares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600" w:right="619"/>
        <w:spacing w:after="0" w:line="254" w:lineRule="auto"/>
        <w:rPr>
          <w:sz w:val="20"/>
          <w:szCs w:val="20"/>
          <w:color w:val="auto"/>
        </w:rPr>
      </w:pPr>
      <w:r>
        <w:rPr>
          <w:rFonts w:ascii="Arial" w:cs="Arial" w:eastAsia="Arial" w:hAnsi="Arial"/>
          <w:sz w:val="14"/>
          <w:szCs w:val="14"/>
          <w:color w:val="auto"/>
        </w:rPr>
        <w:t>Neither we nor any of the underwriters make any representation or prediction as to the direction or magnitude of any effect that the transactions described above may have on the price of our Class A ordinary shares. The underwriters are not obligated to engage in these activities and, if commenced, any of the activities may be discontinued at any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7" w:name="page138"/>
    <w:bookmarkEnd w:id="13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The underwriters may also engage in passive market making transactions in our Class A ordinary shares on Nasdaq in accordance with Rule 103 of Regulation M during a period before the commencement of offers or sales of our Class A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Electronic Distribution</w:t>
      </w:r>
    </w:p>
    <w:p>
      <w:pPr>
        <w:spacing w:after="0" w:line="148"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Class A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Other Activities and Relationships</w:t>
      </w:r>
    </w:p>
    <w:p>
      <w:pPr>
        <w:spacing w:after="0" w:line="148" w:lineRule="exact"/>
        <w:rPr>
          <w:sz w:val="20"/>
          <w:szCs w:val="20"/>
          <w:color w:val="auto"/>
        </w:rPr>
      </w:pPr>
    </w:p>
    <w:p>
      <w:pPr>
        <w:ind w:left="600" w:right="659"/>
        <w:spacing w:after="0" w:line="245" w:lineRule="auto"/>
        <w:rPr>
          <w:sz w:val="20"/>
          <w:szCs w:val="20"/>
          <w:color w:val="auto"/>
        </w:rPr>
      </w:pPr>
      <w:r>
        <w:rPr>
          <w:rFonts w:ascii="Arial" w:cs="Arial" w:eastAsia="Arial" w:hAnsi="Arial"/>
          <w:sz w:val="14"/>
          <w:szCs w:val="14"/>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38" w:lineRule="exact"/>
        <w:rPr>
          <w:sz w:val="20"/>
          <w:szCs w:val="20"/>
          <w:color w:val="auto"/>
        </w:rPr>
      </w:pPr>
    </w:p>
    <w:p>
      <w:pPr>
        <w:ind w:left="600" w:right="719"/>
        <w:spacing w:after="0" w:line="229" w:lineRule="auto"/>
        <w:rPr>
          <w:sz w:val="20"/>
          <w:szCs w:val="20"/>
          <w:color w:val="auto"/>
        </w:rPr>
      </w:pPr>
      <w:r>
        <w:rPr>
          <w:rFonts w:ascii="Arial" w:cs="Arial" w:eastAsia="Arial" w:hAnsi="Arial"/>
          <w:sz w:val="15"/>
          <w:szCs w:val="15"/>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41"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Selling Restrictions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Canada</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Resale Restrictions</w:t>
      </w:r>
    </w:p>
    <w:p>
      <w:pPr>
        <w:spacing w:after="0" w:line="41" w:lineRule="exact"/>
        <w:rPr>
          <w:sz w:val="20"/>
          <w:szCs w:val="20"/>
          <w:color w:val="auto"/>
        </w:rPr>
      </w:pPr>
    </w:p>
    <w:p>
      <w:pPr>
        <w:ind w:left="600" w:right="639"/>
        <w:spacing w:after="0" w:line="250" w:lineRule="auto"/>
        <w:rPr>
          <w:sz w:val="20"/>
          <w:szCs w:val="20"/>
          <w:color w:val="auto"/>
        </w:rPr>
      </w:pPr>
      <w:r>
        <w:rPr>
          <w:rFonts w:ascii="Arial" w:cs="Arial" w:eastAsia="Arial" w:hAnsi="Arial"/>
          <w:sz w:val="14"/>
          <w:szCs w:val="14"/>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8" w:name="page139"/>
    <w:bookmarkEnd w:id="13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Representations of Canadian Purchasers</w:t>
      </w:r>
    </w:p>
    <w:p>
      <w:pPr>
        <w:spacing w:after="0" w:line="146" w:lineRule="exact"/>
        <w:rPr>
          <w:sz w:val="20"/>
          <w:szCs w:val="20"/>
          <w:color w:val="auto"/>
        </w:rPr>
      </w:pPr>
    </w:p>
    <w:p>
      <w:pPr>
        <w:ind w:left="600" w:right="719"/>
        <w:spacing w:after="0" w:line="236" w:lineRule="auto"/>
        <w:rPr>
          <w:sz w:val="20"/>
          <w:szCs w:val="20"/>
          <w:color w:val="auto"/>
        </w:rPr>
      </w:pPr>
      <w:r>
        <w:rPr>
          <w:rFonts w:ascii="Arial" w:cs="Arial" w:eastAsia="Arial" w:hAnsi="Arial"/>
          <w:sz w:val="15"/>
          <w:szCs w:val="15"/>
          <w:color w:val="auto"/>
        </w:rPr>
        <w:t>By purchasing the securities in Canada and accepting delivery of a purchase confirmation, a purchaser is representing to us and the dealer from whom the purchase confirmation is received that:</w:t>
      </w:r>
    </w:p>
    <w:p>
      <w:pPr>
        <w:spacing w:after="0" w:line="80" w:lineRule="exact"/>
        <w:rPr>
          <w:sz w:val="20"/>
          <w:szCs w:val="20"/>
          <w:color w:val="auto"/>
        </w:rPr>
      </w:pPr>
    </w:p>
    <w:p>
      <w:pPr>
        <w:ind w:left="1100" w:right="619"/>
        <w:spacing w:after="0" w:line="233" w:lineRule="auto"/>
        <w:rPr>
          <w:sz w:val="20"/>
          <w:szCs w:val="20"/>
          <w:color w:val="auto"/>
        </w:rPr>
      </w:pPr>
      <w:r>
        <w:rPr>
          <w:rFonts w:ascii="Arial" w:cs="Arial" w:eastAsia="Arial" w:hAnsi="Arial"/>
          <w:sz w:val="15"/>
          <w:szCs w:val="15"/>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5"/>
          <w:szCs w:val="15"/>
          <w:i w:val="1"/>
          <w:iCs w:val="1"/>
          <w:color w:val="auto"/>
        </w:rPr>
        <w:t>Prospectus Exemptions</w:t>
      </w:r>
      <w:r>
        <w:rPr>
          <w:rFonts w:ascii="Arial" w:cs="Arial" w:eastAsia="Arial" w:hAnsi="Arial"/>
          <w:sz w:val="15"/>
          <w:szCs w:val="15"/>
          <w:color w:val="auto"/>
        </w:rPr>
        <w:t>,</w:t>
      </w:r>
    </w:p>
    <w:p>
      <w:pPr>
        <w:spacing w:after="0" w:line="63" w:lineRule="exact"/>
        <w:rPr>
          <w:sz w:val="20"/>
          <w:szCs w:val="20"/>
          <w:color w:val="auto"/>
        </w:rPr>
      </w:pPr>
    </w:p>
    <w:p>
      <w:pPr>
        <w:ind w:left="1100" w:right="919"/>
        <w:spacing w:after="0" w:line="255" w:lineRule="auto"/>
        <w:rPr>
          <w:sz w:val="20"/>
          <w:szCs w:val="20"/>
          <w:color w:val="auto"/>
        </w:rPr>
      </w:pPr>
      <w:r>
        <w:rPr>
          <w:rFonts w:ascii="Arial" w:cs="Arial" w:eastAsia="Arial" w:hAnsi="Arial"/>
          <w:sz w:val="15"/>
          <w:szCs w:val="15"/>
          <w:color w:val="auto"/>
        </w:rPr>
        <w:t xml:space="preserve">the purchaser is a “permitted client” as defined in National Instrument 31-103 — </w:t>
      </w:r>
      <w:r>
        <w:rPr>
          <w:rFonts w:ascii="Arial" w:cs="Arial" w:eastAsia="Arial" w:hAnsi="Arial"/>
          <w:sz w:val="15"/>
          <w:szCs w:val="15"/>
          <w:i w:val="1"/>
          <w:iCs w:val="1"/>
          <w:color w:val="auto"/>
        </w:rPr>
        <w:t>Registration Requirements,</w:t>
      </w:r>
      <w:r>
        <w:rPr>
          <w:rFonts w:ascii="Arial" w:cs="Arial" w:eastAsia="Arial" w:hAnsi="Arial"/>
          <w:sz w:val="15"/>
          <w:szCs w:val="15"/>
          <w:color w:val="auto"/>
        </w:rPr>
        <w:t xml:space="preserve"> </w:t>
      </w:r>
      <w:r>
        <w:rPr>
          <w:rFonts w:ascii="Arial" w:cs="Arial" w:eastAsia="Arial" w:hAnsi="Arial"/>
          <w:sz w:val="15"/>
          <w:szCs w:val="15"/>
          <w:i w:val="1"/>
          <w:iCs w:val="1"/>
          <w:color w:val="auto"/>
        </w:rPr>
        <w:t>Exemptions and Ongoing Registrant Obligations</w:t>
      </w:r>
      <w:r>
        <w:rPr>
          <w:rFonts w:ascii="Arial" w:cs="Arial" w:eastAsia="Arial" w:hAnsi="Arial"/>
          <w:sz w:val="15"/>
          <w:szCs w:val="15"/>
          <w:color w:val="auto"/>
        </w:rPr>
        <w:t>,</w:t>
      </w:r>
    </w:p>
    <w:p>
      <w:pPr>
        <w:spacing w:after="0" w:line="68" w:lineRule="exact"/>
        <w:rPr>
          <w:sz w:val="20"/>
          <w:szCs w:val="20"/>
          <w:color w:val="auto"/>
        </w:rPr>
      </w:pPr>
    </w:p>
    <w:p>
      <w:pPr>
        <w:ind w:left="1100" w:right="2359"/>
        <w:spacing w:after="0" w:line="362" w:lineRule="auto"/>
        <w:rPr>
          <w:sz w:val="20"/>
          <w:szCs w:val="20"/>
          <w:color w:val="auto"/>
        </w:rPr>
      </w:pPr>
      <w:r>
        <w:rPr>
          <w:rFonts w:ascii="Arial" w:cs="Arial" w:eastAsia="Arial" w:hAnsi="Arial"/>
          <w:sz w:val="15"/>
          <w:szCs w:val="15"/>
          <w:color w:val="auto"/>
        </w:rPr>
        <w:t>where required by law, the purchaser is purchasing as principal and not as agent, and the purchaser has reviewed the text above under Resale Restrictions.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Conflicts of Interest</w:t>
      </w:r>
    </w:p>
    <w:p>
      <w:pPr>
        <w:spacing w:after="0" w:line="146" w:lineRule="exact"/>
        <w:rPr>
          <w:sz w:val="20"/>
          <w:szCs w:val="20"/>
          <w:color w:val="auto"/>
        </w:rPr>
      </w:pPr>
    </w:p>
    <w:p>
      <w:pPr>
        <w:ind w:left="600" w:right="819"/>
        <w:spacing w:after="0" w:line="233" w:lineRule="auto"/>
        <w:rPr>
          <w:sz w:val="20"/>
          <w:szCs w:val="20"/>
          <w:color w:val="auto"/>
        </w:rPr>
      </w:pPr>
      <w:r>
        <w:rPr>
          <w:rFonts w:ascii="Arial" w:cs="Arial" w:eastAsia="Arial" w:hAnsi="Arial"/>
          <w:sz w:val="15"/>
          <w:szCs w:val="15"/>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from having to provide certain conflict of interest disclosure in this document.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Statutory Rights of Action</w:t>
      </w:r>
    </w:p>
    <w:p>
      <w:pPr>
        <w:spacing w:after="0" w:line="146" w:lineRule="exact"/>
        <w:rPr>
          <w:sz w:val="20"/>
          <w:szCs w:val="20"/>
          <w:color w:val="auto"/>
        </w:rPr>
      </w:pPr>
    </w:p>
    <w:p>
      <w:pPr>
        <w:ind w:left="600" w:right="679"/>
        <w:spacing w:after="0" w:line="229" w:lineRule="auto"/>
        <w:rPr>
          <w:sz w:val="20"/>
          <w:szCs w:val="20"/>
          <w:color w:val="auto"/>
        </w:rPr>
      </w:pPr>
      <w:r>
        <w:rPr>
          <w:rFonts w:ascii="Arial" w:cs="Arial" w:eastAsia="Arial" w:hAnsi="Arial"/>
          <w:sz w:val="15"/>
          <w:szCs w:val="15"/>
          <w:color w:val="auto"/>
        </w:rPr>
        <w:t xml:space="preserve">Securities legislation in certain provinces or territories of Canada may provide a purchaser with remedies for rescission or damages if the prospectus (including any amendment thereto) such as this document contains a misrepresentation,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remedies for rescission or damages are exercised by the purchaser within the time limit prescribed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Enforcement of Legal Rights</w:t>
      </w:r>
    </w:p>
    <w:p>
      <w:pPr>
        <w:spacing w:after="0" w:line="146"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Taxation and Eligibility for Investment</w:t>
      </w:r>
    </w:p>
    <w:p>
      <w:pPr>
        <w:spacing w:after="0" w:line="146" w:lineRule="exact"/>
        <w:rPr>
          <w:sz w:val="20"/>
          <w:szCs w:val="20"/>
          <w:color w:val="auto"/>
        </w:rPr>
      </w:pPr>
    </w:p>
    <w:p>
      <w:pPr>
        <w:ind w:left="600" w:right="1239"/>
        <w:spacing w:after="0" w:line="233" w:lineRule="auto"/>
        <w:rPr>
          <w:sz w:val="20"/>
          <w:szCs w:val="20"/>
          <w:color w:val="auto"/>
        </w:rPr>
      </w:pPr>
      <w:r>
        <w:rPr>
          <w:rFonts w:ascii="Arial" w:cs="Arial" w:eastAsia="Arial" w:hAnsi="Arial"/>
          <w:sz w:val="15"/>
          <w:szCs w:val="15"/>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Australia</w:t>
      </w:r>
    </w:p>
    <w:p>
      <w:pPr>
        <w:spacing w:after="0" w:line="43" w:lineRule="exact"/>
        <w:rPr>
          <w:sz w:val="20"/>
          <w:szCs w:val="20"/>
          <w:color w:val="auto"/>
        </w:rPr>
      </w:pPr>
    </w:p>
    <w:p>
      <w:pPr>
        <w:jc w:val="both"/>
        <w:ind w:left="600" w:right="619"/>
        <w:spacing w:after="0" w:line="233" w:lineRule="auto"/>
        <w:rPr>
          <w:sz w:val="20"/>
          <w:szCs w:val="20"/>
          <w:color w:val="auto"/>
        </w:rPr>
      </w:pPr>
      <w:r>
        <w:rPr>
          <w:rFonts w:ascii="Arial" w:cs="Arial" w:eastAsia="Arial" w:hAnsi="Arial"/>
          <w:sz w:val="15"/>
          <w:szCs w:val="15"/>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You confirm and warrant that you are either:</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“sophisticated investor” under section 708(8)(a) or (b) of the Corporations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9" w:name="page140"/>
    <w:bookmarkEnd w:id="13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1100" w:right="639"/>
        <w:spacing w:after="0" w:line="233" w:lineRule="auto"/>
        <w:rPr>
          <w:sz w:val="20"/>
          <w:szCs w:val="20"/>
          <w:color w:val="auto"/>
        </w:rPr>
      </w:pPr>
      <w:r>
        <w:rPr>
          <w:rFonts w:ascii="Arial" w:cs="Arial" w:eastAsia="Arial" w:hAnsi="Arial"/>
          <w:sz w:val="15"/>
          <w:szCs w:val="15"/>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person associated with the Company under Section 708(12) of the Corporations Act; or</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“professional investor” within the meaning of section 708(11)(a) or (b) of the Corporations Act.</w:t>
      </w:r>
    </w:p>
    <w:p>
      <w:pPr>
        <w:spacing w:after="0" w:line="142" w:lineRule="exact"/>
        <w:rPr>
          <w:sz w:val="20"/>
          <w:szCs w:val="20"/>
          <w:color w:val="auto"/>
        </w:rPr>
      </w:pPr>
    </w:p>
    <w:p>
      <w:pPr>
        <w:jc w:val="both"/>
        <w:ind w:left="600" w:right="619"/>
        <w:spacing w:after="0" w:line="233" w:lineRule="auto"/>
        <w:rPr>
          <w:sz w:val="20"/>
          <w:szCs w:val="20"/>
          <w:color w:val="auto"/>
        </w:rPr>
      </w:pPr>
      <w:r>
        <w:rPr>
          <w:rFonts w:ascii="Arial" w:cs="Arial" w:eastAsia="Arial" w:hAnsi="Arial"/>
          <w:sz w:val="15"/>
          <w:szCs w:val="15"/>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26" w:lineRule="exact"/>
        <w:rPr>
          <w:sz w:val="20"/>
          <w:szCs w:val="20"/>
          <w:color w:val="auto"/>
        </w:rPr>
      </w:pPr>
    </w:p>
    <w:p>
      <w:pPr>
        <w:jc w:val="both"/>
        <w:ind w:left="600" w:right="659"/>
        <w:spacing w:after="0" w:line="233" w:lineRule="auto"/>
        <w:rPr>
          <w:sz w:val="20"/>
          <w:szCs w:val="20"/>
          <w:color w:val="auto"/>
        </w:rPr>
      </w:pPr>
      <w:r>
        <w:rPr>
          <w:rFonts w:ascii="Arial" w:cs="Arial" w:eastAsia="Arial" w:hAnsi="Arial"/>
          <w:sz w:val="15"/>
          <w:szCs w:val="15"/>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43" w:lineRule="exact"/>
        <w:rPr>
          <w:sz w:val="20"/>
          <w:szCs w:val="20"/>
          <w:color w:val="auto"/>
        </w:rPr>
      </w:pPr>
    </w:p>
    <w:p>
      <w:pPr>
        <w:ind w:left="600" w:right="659"/>
        <w:spacing w:after="0" w:line="242" w:lineRule="auto"/>
        <w:rPr>
          <w:sz w:val="20"/>
          <w:szCs w:val="20"/>
          <w:color w:val="auto"/>
        </w:rPr>
      </w:pPr>
      <w:r>
        <w:rPr>
          <w:rFonts w:ascii="Arial" w:cs="Arial" w:eastAsia="Arial" w:hAnsi="Arial"/>
          <w:sz w:val="14"/>
          <w:szCs w:val="14"/>
          <w:color w:val="auto"/>
        </w:rPr>
        <w:t>The Class A ordinary shares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w:t>
      </w:r>
    </w:p>
    <w:p>
      <w:pPr>
        <w:spacing w:after="0" w:line="2" w:lineRule="exact"/>
        <w:rPr>
          <w:sz w:val="20"/>
          <w:szCs w:val="20"/>
          <w:color w:val="auto"/>
        </w:rPr>
      </w:pPr>
    </w:p>
    <w:p>
      <w:pPr>
        <w:ind w:left="600" w:right="619" w:hanging="5"/>
        <w:spacing w:after="0" w:line="228" w:lineRule="auto"/>
        <w:tabs>
          <w:tab w:leader="none" w:pos="804"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Class A ordinary shares or otherwise making them available to retail investors in the EEA has been prepared. Offering or selling the Class A ordinary shares or otherwise making them available to any retail investor in the EEA may be unlawful under the PRIIPS Regulation. This prospectus has been prepared on the basis that any offer of the Class A ordinary shares in any member state of the EEA will be made pursuant to an exemption under the Prospectus Directive from a requirement to publish a prospectus for offers of Class A ordinary shares. This prospectus is not a prospectus for the purpose of the Prospectus Directive.</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Hong Kong</w:t>
      </w:r>
    </w:p>
    <w:p>
      <w:pPr>
        <w:spacing w:after="0" w:line="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 securities have been offered or sold, and no securities may be offered or sold, in Hong Kong, by means of any</w:t>
      </w:r>
    </w:p>
    <w:p>
      <w:pPr>
        <w:ind w:left="600"/>
        <w:spacing w:after="0"/>
        <w:rPr>
          <w:sz w:val="20"/>
          <w:szCs w:val="20"/>
          <w:color w:val="auto"/>
        </w:rPr>
      </w:pPr>
      <w:r>
        <w:rPr>
          <w:rFonts w:ascii="Arial" w:cs="Arial" w:eastAsia="Arial" w:hAnsi="Arial"/>
          <w:sz w:val="14"/>
          <w:szCs w:val="14"/>
          <w:color w:val="auto"/>
        </w:rPr>
        <w:t>document, other than to persons whose ordinary business is to buy or sell shares or debentures, whether as principal or</w:t>
      </w:r>
    </w:p>
    <w:p>
      <w:pPr>
        <w:ind w:left="600"/>
        <w:spacing w:after="0" w:line="229" w:lineRule="auto"/>
        <w:rPr>
          <w:sz w:val="20"/>
          <w:szCs w:val="20"/>
          <w:color w:val="auto"/>
        </w:rPr>
      </w:pPr>
      <w:r>
        <w:rPr>
          <w:rFonts w:ascii="Arial" w:cs="Arial" w:eastAsia="Arial" w:hAnsi="Arial"/>
          <w:sz w:val="15"/>
          <w:szCs w:val="15"/>
          <w:color w:val="auto"/>
        </w:rPr>
        <w:t>agent; or to “professional investors” as defined in the Securities and Futures Ordinance (Cap. 571) of Hong Kong</w:t>
      </w:r>
    </w:p>
    <w:p>
      <w:pPr>
        <w:ind w:left="6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SFO</w:t>
      </w:r>
      <w:r>
        <w:rPr>
          <w:rFonts w:ascii="Arial" w:cs="Arial" w:eastAsia="Arial" w:hAnsi="Arial"/>
          <w:sz w:val="14"/>
          <w:szCs w:val="14"/>
          <w:color w:val="auto"/>
        </w:rPr>
        <w:t>”) and any rules made under that Ordinance; or in other circumstances which do not result in the document being</w:t>
      </w:r>
    </w:p>
    <w:p>
      <w:pPr>
        <w:ind w:left="600"/>
        <w:spacing w:after="0" w:line="229" w:lineRule="auto"/>
        <w:rPr>
          <w:sz w:val="20"/>
          <w:szCs w:val="20"/>
          <w:color w:val="auto"/>
        </w:rPr>
      </w:pPr>
      <w:r>
        <w:rPr>
          <w:rFonts w:ascii="Arial" w:cs="Arial" w:eastAsia="Arial" w:hAnsi="Arial"/>
          <w:sz w:val="15"/>
          <w:szCs w:val="15"/>
          <w:color w:val="auto"/>
        </w:rPr>
        <w:t>a “prospectus” as defined in the Companies Ordinance (Cap. 32) of Hong Kong (“</w:t>
      </w:r>
      <w:r>
        <w:rPr>
          <w:rFonts w:ascii="Arial" w:cs="Arial" w:eastAsia="Arial" w:hAnsi="Arial"/>
          <w:sz w:val="15"/>
          <w:szCs w:val="15"/>
          <w:b w:val="1"/>
          <w:bCs w:val="1"/>
          <w:color w:val="auto"/>
        </w:rPr>
        <w:t>CO</w:t>
      </w:r>
      <w:r>
        <w:rPr>
          <w:rFonts w:ascii="Arial" w:cs="Arial" w:eastAsia="Arial" w:hAnsi="Arial"/>
          <w:sz w:val="15"/>
          <w:szCs w:val="15"/>
          <w:color w:val="auto"/>
        </w:rPr>
        <w:t>”) or which do not constitute an</w:t>
      </w:r>
    </w:p>
    <w:p>
      <w:pPr>
        <w:ind w:left="600"/>
        <w:spacing w:after="0"/>
        <w:rPr>
          <w:sz w:val="20"/>
          <w:szCs w:val="20"/>
          <w:color w:val="auto"/>
        </w:rPr>
      </w:pPr>
      <w:r>
        <w:rPr>
          <w:rFonts w:ascii="Arial" w:cs="Arial" w:eastAsia="Arial" w:hAnsi="Arial"/>
          <w:sz w:val="14"/>
          <w:szCs w:val="14"/>
          <w:color w:val="auto"/>
        </w:rPr>
        <w:t>offer or invitation to the public for the purpose of the CO or the SFO. No document, invitation or advertisement relating</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to the securities has been issued or may be issued or may be in the possession of any person for the purpose of issue</w:t>
      </w:r>
    </w:p>
    <w:p>
      <w:pPr>
        <w:ind w:left="600"/>
        <w:spacing w:after="0" w:line="229" w:lineRule="auto"/>
        <w:rPr>
          <w:sz w:val="20"/>
          <w:szCs w:val="20"/>
          <w:color w:val="auto"/>
        </w:rPr>
      </w:pPr>
      <w:r>
        <w:rPr>
          <w:rFonts w:ascii="Arial" w:cs="Arial" w:eastAsia="Arial" w:hAnsi="Arial"/>
          <w:sz w:val="15"/>
          <w:szCs w:val="15"/>
          <w:color w:val="auto"/>
        </w:rPr>
        <w:t>(in each case whether in Hong Kong or elsewhere), which is directed at, or the contents of which are likely to be</w:t>
      </w:r>
    </w:p>
    <w:p>
      <w:pPr>
        <w:ind w:left="600"/>
        <w:spacing w:after="0" w:line="226" w:lineRule="auto"/>
        <w:rPr>
          <w:sz w:val="20"/>
          <w:szCs w:val="20"/>
          <w:color w:val="auto"/>
        </w:rPr>
      </w:pPr>
      <w:r>
        <w:rPr>
          <w:rFonts w:ascii="Arial" w:cs="Arial" w:eastAsia="Arial" w:hAnsi="Arial"/>
          <w:sz w:val="15"/>
          <w:szCs w:val="15"/>
          <w:color w:val="auto"/>
        </w:rPr>
        <w:t>accessed or read by, the public of Hong Kong (except if permitted under the securities laws of Hong Kong) other than</w:t>
      </w:r>
    </w:p>
    <w:p>
      <w:pPr>
        <w:ind w:left="600"/>
        <w:spacing w:after="0" w:line="227" w:lineRule="auto"/>
        <w:rPr>
          <w:sz w:val="20"/>
          <w:szCs w:val="20"/>
          <w:color w:val="auto"/>
        </w:rPr>
      </w:pPr>
      <w:r>
        <w:rPr>
          <w:rFonts w:ascii="Arial" w:cs="Arial" w:eastAsia="Arial" w:hAnsi="Arial"/>
          <w:sz w:val="15"/>
          <w:szCs w:val="15"/>
          <w:color w:val="auto"/>
        </w:rPr>
        <w:t>with respect to securities which are or are intended to be disposed of only to persons outside Hong Kong or only to</w:t>
      </w:r>
    </w:p>
    <w:p>
      <w:pPr>
        <w:ind w:left="600"/>
        <w:spacing w:after="0"/>
        <w:rPr>
          <w:sz w:val="20"/>
          <w:szCs w:val="20"/>
          <w:color w:val="auto"/>
        </w:rPr>
      </w:pPr>
      <w:r>
        <w:rPr>
          <w:rFonts w:ascii="Arial" w:cs="Arial" w:eastAsia="Arial" w:hAnsi="Arial"/>
          <w:sz w:val="15"/>
          <w:szCs w:val="15"/>
          <w:color w:val="auto"/>
        </w:rPr>
        <w:t>“professional investors” as defined in the SFO and any rules made under that Ordinance.</w:t>
      </w:r>
    </w:p>
    <w:p>
      <w:pPr>
        <w:spacing w:after="0" w:line="142"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Israel</w:t>
      </w:r>
    </w:p>
    <w:p>
      <w:pPr>
        <w:spacing w:after="0" w:line="43" w:lineRule="exact"/>
        <w:rPr>
          <w:sz w:val="20"/>
          <w:szCs w:val="20"/>
          <w:color w:val="auto"/>
        </w:rPr>
      </w:pPr>
    </w:p>
    <w:p>
      <w:pPr>
        <w:ind w:left="600" w:right="619"/>
        <w:spacing w:after="0" w:line="248" w:lineRule="auto"/>
        <w:rPr>
          <w:sz w:val="20"/>
          <w:szCs w:val="20"/>
          <w:color w:val="auto"/>
        </w:rPr>
      </w:pPr>
      <w:r>
        <w:rPr>
          <w:rFonts w:ascii="Arial" w:cs="Arial" w:eastAsia="Arial" w:hAnsi="Arial"/>
          <w:sz w:val="14"/>
          <w:szCs w:val="14"/>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Class A ordinary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0" w:name="page141"/>
    <w:bookmarkEnd w:id="14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59"/>
        <w:spacing w:after="0" w:line="229" w:lineRule="auto"/>
        <w:rPr>
          <w:sz w:val="20"/>
          <w:szCs w:val="20"/>
          <w:color w:val="auto"/>
        </w:rPr>
      </w:pPr>
      <w:r>
        <w:rPr>
          <w:rFonts w:ascii="Arial" w:cs="Arial" w:eastAsia="Arial" w:hAnsi="Arial"/>
          <w:sz w:val="15"/>
          <w:szCs w:val="15"/>
          <w:color w:val="auto"/>
        </w:rPr>
        <w:t>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Japan</w:t>
      </w:r>
    </w:p>
    <w:p>
      <w:pPr>
        <w:spacing w:after="0" w:line="43"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Singapore</w:t>
      </w:r>
    </w:p>
    <w:p>
      <w:pPr>
        <w:spacing w:after="0" w:line="43"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5"/>
          <w:szCs w:val="15"/>
          <w:b w:val="1"/>
          <w:bCs w:val="1"/>
          <w:color w:val="auto"/>
        </w:rPr>
        <w:t>SFA</w:t>
      </w:r>
      <w:r>
        <w:rPr>
          <w:rFonts w:ascii="Arial" w:cs="Arial" w:eastAsia="Arial" w:hAnsi="Arial"/>
          <w:sz w:val="15"/>
          <w:szCs w:val="15"/>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Where the securities are subscribed or purchased under Section 275 of the SFA by a relevant person which is:</w:t>
      </w:r>
    </w:p>
    <w:p>
      <w:pPr>
        <w:spacing w:after="0" w:line="49" w:lineRule="exact"/>
        <w:rPr>
          <w:sz w:val="20"/>
          <w:szCs w:val="20"/>
          <w:color w:val="auto"/>
        </w:rPr>
      </w:pPr>
    </w:p>
    <w:p>
      <w:pPr>
        <w:ind w:left="1100" w:right="739"/>
        <w:spacing w:after="0" w:line="233" w:lineRule="auto"/>
        <w:rPr>
          <w:sz w:val="20"/>
          <w:szCs w:val="20"/>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6" w:lineRule="exact"/>
        <w:rPr>
          <w:sz w:val="20"/>
          <w:szCs w:val="20"/>
          <w:color w:val="auto"/>
        </w:rPr>
      </w:pPr>
    </w:p>
    <w:p>
      <w:pPr>
        <w:ind w:left="1100" w:right="699"/>
        <w:spacing w:after="0" w:line="230" w:lineRule="auto"/>
        <w:rPr>
          <w:sz w:val="20"/>
          <w:szCs w:val="20"/>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46" w:lineRule="exact"/>
        <w:rPr>
          <w:sz w:val="20"/>
          <w:szCs w:val="20"/>
          <w:color w:val="auto"/>
        </w:rPr>
      </w:pPr>
    </w:p>
    <w:p>
      <w:pPr>
        <w:ind w:left="1100" w:right="719"/>
        <w:spacing w:after="0" w:line="236" w:lineRule="auto"/>
        <w:rPr>
          <w:sz w:val="20"/>
          <w:szCs w:val="20"/>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276(4)(i)(B) of the SFA;</w:t>
      </w:r>
    </w:p>
    <w:p>
      <w:pPr>
        <w:spacing w:after="0" w:line="4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where no consideration is or will be given for the transfer;</w:t>
      </w:r>
    </w:p>
    <w:p>
      <w:pPr>
        <w:spacing w:after="0" w:line="6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where the transfer is by operation of law;</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as specified in Section 276(7) of the SFA; or</w:t>
      </w:r>
    </w:p>
    <w:p>
      <w:pPr>
        <w:spacing w:after="0" w:line="3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as specified in Regulation 32 of the Securities and Futures (Offers of Investments) (Shares and Debentures)</w:t>
      </w:r>
    </w:p>
    <w:p>
      <w:pPr>
        <w:ind w:left="1100"/>
        <w:spacing w:after="0"/>
        <w:rPr>
          <w:sz w:val="20"/>
          <w:szCs w:val="20"/>
          <w:color w:val="auto"/>
        </w:rPr>
      </w:pPr>
      <w:r>
        <w:rPr>
          <w:rFonts w:ascii="Arial" w:cs="Arial" w:eastAsia="Arial" w:hAnsi="Arial"/>
          <w:sz w:val="15"/>
          <w:szCs w:val="15"/>
          <w:color w:val="auto"/>
        </w:rPr>
        <w:t>Regulations 2005 of Singapore.</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Switzerland</w:t>
      </w:r>
    </w:p>
    <w:p>
      <w:pPr>
        <w:spacing w:after="0" w:line="25" w:lineRule="exact"/>
        <w:rPr>
          <w:sz w:val="20"/>
          <w:szCs w:val="20"/>
          <w:color w:val="auto"/>
        </w:rPr>
      </w:pPr>
    </w:p>
    <w:p>
      <w:pPr>
        <w:ind w:left="600" w:right="639"/>
        <w:spacing w:after="0" w:line="233" w:lineRule="auto"/>
        <w:rPr>
          <w:sz w:val="20"/>
          <w:szCs w:val="20"/>
          <w:color w:val="auto"/>
        </w:rPr>
      </w:pPr>
      <w:r>
        <w:rPr>
          <w:rFonts w:ascii="Arial" w:cs="Arial" w:eastAsia="Arial" w:hAnsi="Arial"/>
          <w:sz w:val="15"/>
          <w:szCs w:val="15"/>
          <w:color w:val="auto"/>
        </w:rPr>
        <w:t>The securities may not be publicly offered in Switzerland and will not be listed on the SIX Swiss Exchange (“</w:t>
      </w:r>
      <w:r>
        <w:rPr>
          <w:rFonts w:ascii="Arial" w:cs="Arial" w:eastAsia="Arial" w:hAnsi="Arial"/>
          <w:sz w:val="15"/>
          <w:szCs w:val="15"/>
          <w:b w:val="1"/>
          <w:bCs w:val="1"/>
          <w:color w:val="auto"/>
        </w:rPr>
        <w:t>SIX</w:t>
      </w:r>
      <w:r>
        <w:rPr>
          <w:rFonts w:ascii="Arial" w:cs="Arial" w:eastAsia="Arial" w:hAnsi="Arial"/>
          <w:sz w:val="15"/>
          <w:szCs w:val="15"/>
          <w:color w:val="auto"/>
        </w:rPr>
        <w:t>”)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26" w:lineRule="exact"/>
        <w:rPr>
          <w:sz w:val="20"/>
          <w:szCs w:val="20"/>
          <w:color w:val="auto"/>
        </w:rPr>
      </w:pPr>
    </w:p>
    <w:p>
      <w:pPr>
        <w:ind w:left="600" w:right="659"/>
        <w:spacing w:after="0" w:line="267" w:lineRule="auto"/>
        <w:rPr>
          <w:sz w:val="20"/>
          <w:szCs w:val="20"/>
          <w:color w:val="auto"/>
        </w:rPr>
      </w:pPr>
      <w:r>
        <w:rPr>
          <w:rFonts w:ascii="Arial" w:cs="Arial" w:eastAsia="Arial" w:hAnsi="Arial"/>
          <w:sz w:val="14"/>
          <w:szCs w:val="14"/>
          <w:color w:val="auto"/>
        </w:rPr>
        <w:t>Neither this prospectus nor any other offering or marketing material relating to the offering, the Company or the securities have been or will be filed with or approved by any Swiss regulatory authority. In particular, this prospectus will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1" w:name="page142"/>
    <w:bookmarkEnd w:id="14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59"/>
        <w:spacing w:after="0" w:line="231" w:lineRule="auto"/>
        <w:rPr>
          <w:sz w:val="20"/>
          <w:szCs w:val="20"/>
          <w:color w:val="auto"/>
        </w:rPr>
      </w:pPr>
      <w:r>
        <w:rPr>
          <w:rFonts w:ascii="Arial" w:cs="Arial" w:eastAsia="Arial" w:hAnsi="Arial"/>
          <w:sz w:val="15"/>
          <w:szCs w:val="15"/>
          <w:color w:val="auto"/>
        </w:rPr>
        <w:t>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5"/>
          <w:szCs w:val="15"/>
          <w:b w:val="1"/>
          <w:bCs w:val="1"/>
          <w:color w:val="auto"/>
        </w:rPr>
        <w:t>CISA</w:t>
      </w:r>
      <w:r>
        <w:rPr>
          <w:rFonts w:ascii="Arial" w:cs="Arial" w:eastAsia="Arial" w:hAnsi="Arial"/>
          <w:sz w:val="15"/>
          <w:szCs w:val="15"/>
          <w:color w:val="auto"/>
        </w:rPr>
        <w:t>”). The investor protection afforded to acquirers of interests in collective investment schemes under the CISA does not extend to acquirers of securities.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United Kingdom</w:t>
      </w:r>
    </w:p>
    <w:p>
      <w:pPr>
        <w:spacing w:after="0" w:line="43" w:lineRule="exact"/>
        <w:rPr>
          <w:sz w:val="20"/>
          <w:szCs w:val="20"/>
          <w:color w:val="auto"/>
        </w:rPr>
      </w:pPr>
    </w:p>
    <w:p>
      <w:pPr>
        <w:ind w:left="600" w:right="899"/>
        <w:spacing w:after="0" w:line="248" w:lineRule="auto"/>
        <w:rPr>
          <w:sz w:val="20"/>
          <w:szCs w:val="20"/>
          <w:color w:val="auto"/>
        </w:rPr>
      </w:pPr>
      <w:r>
        <w:rPr>
          <w:rFonts w:ascii="Arial" w:cs="Arial" w:eastAsia="Arial" w:hAnsi="Arial"/>
          <w:sz w:val="14"/>
          <w:szCs w:val="14"/>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w:t>
      </w:r>
      <w:r>
        <w:rPr>
          <w:rFonts w:ascii="Arial" w:cs="Arial" w:eastAsia="Arial" w:hAnsi="Arial"/>
          <w:sz w:val="14"/>
          <w:szCs w:val="14"/>
          <w:b w:val="1"/>
          <w:bCs w:val="1"/>
          <w:color w:val="auto"/>
        </w:rPr>
        <w:t>Order</w:t>
      </w:r>
      <w:r>
        <w:rPr>
          <w:rFonts w:ascii="Arial" w:cs="Arial" w:eastAsia="Arial" w:hAnsi="Arial"/>
          <w:sz w:val="14"/>
          <w:szCs w:val="14"/>
          <w:color w:val="auto"/>
        </w:rPr>
        <w:t>”) and/or (ii) high net worth entities falling within Article 49(2)(a) to (d) of the Order and other persons to whom it may lawfully be communicated (each such person being referred to as a “</w:t>
      </w:r>
      <w:r>
        <w:rPr>
          <w:rFonts w:ascii="Arial" w:cs="Arial" w:eastAsia="Arial" w:hAnsi="Arial"/>
          <w:sz w:val="14"/>
          <w:szCs w:val="14"/>
          <w:b w:val="1"/>
          <w:bCs w:val="1"/>
          <w:color w:val="auto"/>
        </w:rPr>
        <w:t>relevant person</w:t>
      </w:r>
      <w:r>
        <w:rPr>
          <w:rFonts w:ascii="Arial" w:cs="Arial" w:eastAsia="Arial" w:hAnsi="Arial"/>
          <w:sz w:val="14"/>
          <w:szCs w:val="14"/>
          <w:color w:val="auto"/>
        </w:rPr>
        <w:t>”).</w:t>
      </w:r>
    </w:p>
    <w:p>
      <w:pPr>
        <w:spacing w:after="0" w:line="122" w:lineRule="exact"/>
        <w:rPr>
          <w:sz w:val="20"/>
          <w:szCs w:val="20"/>
          <w:color w:val="auto"/>
        </w:rPr>
      </w:pPr>
    </w:p>
    <w:p>
      <w:pPr>
        <w:ind w:left="600" w:right="719"/>
        <w:spacing w:after="0" w:line="233" w:lineRule="auto"/>
        <w:rPr>
          <w:sz w:val="20"/>
          <w:szCs w:val="20"/>
          <w:color w:val="auto"/>
        </w:rPr>
      </w:pPr>
      <w:r>
        <w:rPr>
          <w:rFonts w:ascii="Arial" w:cs="Arial" w:eastAsia="Arial" w:hAnsi="Arial"/>
          <w:sz w:val="15"/>
          <w:szCs w:val="15"/>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42" w:name="page143"/>
    <w:bookmarkEnd w:id="14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155" w:lineRule="exact"/>
        <w:rPr>
          <w:sz w:val="20"/>
          <w:szCs w:val="20"/>
          <w:color w:val="auto"/>
        </w:rPr>
      </w:pPr>
    </w:p>
    <w:p>
      <w:pPr>
        <w:ind w:left="600" w:right="679"/>
        <w:spacing w:after="0" w:line="230" w:lineRule="auto"/>
        <w:rPr>
          <w:sz w:val="20"/>
          <w:szCs w:val="20"/>
          <w:color w:val="auto"/>
        </w:rPr>
      </w:pPr>
      <w:r>
        <w:rPr>
          <w:rFonts w:ascii="Arial" w:cs="Arial" w:eastAsia="Arial" w:hAnsi="Arial"/>
          <w:sz w:val="15"/>
          <w:szCs w:val="15"/>
          <w:color w:val="auto"/>
        </w:rPr>
        <w:t>Kirkland &amp; Ellis LLP, New York, New York is acting as United States counsel in connection with the registration of our ordinary shares under the Securities Act. Ogier will pass upon the validity of the securities offered in this prospectus with respect to the ordinary shares and matters of Cayman Islands law. In connection with this offering, Skadden, Arps, Slate, Meagher &amp; Flom LLP, Palo Alto, California advised the underwriters in connection with the offering of the Class A ordinary shares.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155" w:lineRule="exact"/>
        <w:rPr>
          <w:sz w:val="20"/>
          <w:szCs w:val="20"/>
          <w:color w:val="auto"/>
        </w:rPr>
      </w:pPr>
    </w:p>
    <w:p>
      <w:pPr>
        <w:ind w:left="600" w:right="799"/>
        <w:spacing w:after="0" w:line="230" w:lineRule="auto"/>
        <w:rPr>
          <w:sz w:val="20"/>
          <w:szCs w:val="20"/>
          <w:color w:val="auto"/>
        </w:rPr>
      </w:pPr>
      <w:r>
        <w:rPr>
          <w:rFonts w:ascii="Arial" w:cs="Arial" w:eastAsia="Arial" w:hAnsi="Arial"/>
          <w:sz w:val="15"/>
          <w:szCs w:val="15"/>
          <w:color w:val="auto"/>
        </w:rPr>
        <w:t>The financial statements of ARYA Sciences Acquisition Corp III as of April 2, 2020 and for the period from March 27, 2020 (inception) through April 2,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55"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600" w:right="919"/>
        <w:spacing w:after="0" w:line="233" w:lineRule="auto"/>
        <w:rPr>
          <w:sz w:val="20"/>
          <w:szCs w:val="20"/>
          <w:color w:val="auto"/>
        </w:rPr>
      </w:pPr>
      <w:r>
        <w:rPr>
          <w:rFonts w:ascii="Arial" w:cs="Arial" w:eastAsia="Arial" w:hAnsi="Arial"/>
          <w:sz w:val="15"/>
          <w:szCs w:val="15"/>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43" w:name="page144"/>
    <w:bookmarkEnd w:id="143"/>
    <w:p>
      <w:pPr>
        <w:ind w:left="84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109220</wp:posOffset>
            </wp:positionV>
            <wp:extent cx="496443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564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7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Audited Financial Statements of ARYA Sciences Acquisition Corp III:</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520" w:type="dxa"/>
            <w:vAlign w:val="bottom"/>
            <w:gridSpan w:val="4"/>
          </w:tcPr>
          <w:p>
            <w:pPr>
              <w:spacing w:after="0"/>
              <w:rPr>
                <w:rFonts w:ascii="Arial" w:cs="Arial" w:eastAsia="Arial" w:hAnsi="Arial"/>
                <w:sz w:val="15"/>
                <w:szCs w:val="15"/>
                <w:u w:val="single" w:color="auto"/>
                <w:color w:val="0000EE"/>
              </w:rPr>
            </w:pPr>
            <w:hyperlink w:anchor="page145">
              <w:r>
                <w:rPr>
                  <w:rFonts w:ascii="Arial" w:cs="Arial" w:eastAsia="Arial" w:hAnsi="Arial"/>
                  <w:sz w:val="15"/>
                  <w:szCs w:val="15"/>
                  <w:u w:val="single" w:color="auto"/>
                  <w:color w:val="0000EE"/>
                </w:rPr>
                <w:t>Report of Independent Registered Public Accounting Firm</w:t>
              </w:r>
            </w:hyperlink>
          </w:p>
        </w:tc>
        <w:tc>
          <w:tcPr>
            <w:tcW w:w="1140" w:type="dxa"/>
            <w:vAlign w:val="bottom"/>
            <w:gridSpan w:val="2"/>
          </w:tcPr>
          <w:p>
            <w:pPr>
              <w:spacing w:after="0"/>
              <w:rPr>
                <w:rFonts w:ascii="Arial" w:cs="Arial" w:eastAsia="Arial" w:hAnsi="Arial"/>
                <w:sz w:val="15"/>
                <w:szCs w:val="15"/>
                <w:u w:val="single" w:color="auto"/>
                <w:color w:val="0000EE"/>
              </w:rPr>
            </w:pPr>
            <w:hyperlink w:anchor="page145">
              <w:r>
                <w:rPr>
                  <w:rFonts w:ascii="Arial" w:cs="Arial" w:eastAsia="Arial" w:hAnsi="Arial"/>
                  <w:sz w:val="15"/>
                  <w:szCs w:val="15"/>
                  <w:u w:val="single" w:color="auto"/>
                  <w:color w:val="0000EE"/>
                </w:rPr>
                <w:t>F-2</w:t>
              </w:r>
            </w:hyperlink>
          </w:p>
        </w:tc>
        <w:tc>
          <w:tcPr>
            <w:tcW w:w="0" w:type="dxa"/>
            <w:vAlign w:val="bottom"/>
          </w:tcPr>
          <w:p>
            <w:pPr>
              <w:spacing w:after="0"/>
              <w:rPr>
                <w:sz w:val="1"/>
                <w:szCs w:val="1"/>
                <w:color w:val="auto"/>
              </w:rPr>
            </w:pPr>
          </w:p>
        </w:tc>
      </w:tr>
      <w:tr>
        <w:trPr>
          <w:trHeight w:val="49"/>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7520" w:type="dxa"/>
            <w:vAlign w:val="bottom"/>
            <w:tcBorders>
              <w:bottom w:val="single" w:sz="8" w:color="CCEEFF"/>
            </w:tcBorders>
            <w:gridSpan w:val="4"/>
            <w:shd w:val="clear" w:color="auto" w:fill="CCEEFF"/>
          </w:tcPr>
          <w:p>
            <w:pPr>
              <w:spacing w:after="0"/>
              <w:rPr>
                <w:rFonts w:ascii="Arial" w:cs="Arial" w:eastAsia="Arial" w:hAnsi="Arial"/>
                <w:sz w:val="15"/>
                <w:szCs w:val="15"/>
                <w:u w:val="single" w:color="auto"/>
                <w:color w:val="0000EE"/>
              </w:rPr>
            </w:pPr>
            <w:hyperlink w:anchor="page146">
              <w:r>
                <w:rPr>
                  <w:rFonts w:ascii="Arial" w:cs="Arial" w:eastAsia="Arial" w:hAnsi="Arial"/>
                  <w:sz w:val="15"/>
                  <w:szCs w:val="15"/>
                  <w:u w:val="single" w:color="auto"/>
                  <w:color w:val="0000EE"/>
                </w:rPr>
                <w:t>Balance Sheet as of April 2, 2020</w:t>
              </w:r>
            </w:hyperlink>
          </w:p>
        </w:tc>
        <w:tc>
          <w:tcPr>
            <w:tcW w:w="300" w:type="dxa"/>
            <w:vAlign w:val="bottom"/>
            <w:tcBorders>
              <w:bottom w:val="single" w:sz="8" w:color="CCEEFF"/>
            </w:tcBorders>
            <w:shd w:val="clear" w:color="auto" w:fill="CCEEFF"/>
          </w:tcPr>
          <w:p>
            <w:pPr>
              <w:spacing w:after="0"/>
              <w:rPr>
                <w:rFonts w:ascii="Arial" w:cs="Arial" w:eastAsia="Arial" w:hAnsi="Arial"/>
                <w:sz w:val="15"/>
                <w:szCs w:val="15"/>
                <w:u w:val="single" w:color="auto"/>
                <w:color w:val="0000EE"/>
              </w:rPr>
            </w:pPr>
            <w:hyperlink w:anchor="page146">
              <w:r>
                <w:rPr>
                  <w:rFonts w:ascii="Arial" w:cs="Arial" w:eastAsia="Arial" w:hAnsi="Arial"/>
                  <w:sz w:val="15"/>
                  <w:szCs w:val="15"/>
                  <w:u w:val="single" w:color="auto"/>
                  <w:color w:val="0000EE"/>
                </w:rPr>
                <w:t>F-3</w:t>
              </w:r>
            </w:hyperlink>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520" w:type="dxa"/>
            <w:vAlign w:val="bottom"/>
            <w:gridSpan w:val="4"/>
          </w:tcPr>
          <w:p>
            <w:pPr>
              <w:spacing w:after="0"/>
              <w:rPr>
                <w:rFonts w:ascii="Arial" w:cs="Arial" w:eastAsia="Arial" w:hAnsi="Arial"/>
                <w:sz w:val="15"/>
                <w:szCs w:val="15"/>
                <w:u w:val="single" w:color="auto"/>
                <w:color w:val="0000EE"/>
              </w:rPr>
            </w:pPr>
            <w:hyperlink w:anchor="page147">
              <w:r>
                <w:rPr>
                  <w:rFonts w:ascii="Arial" w:cs="Arial" w:eastAsia="Arial" w:hAnsi="Arial"/>
                  <w:sz w:val="15"/>
                  <w:szCs w:val="15"/>
                  <w:u w:val="single" w:color="auto"/>
                  <w:color w:val="0000EE"/>
                </w:rPr>
                <w:t>Statement of Operations for the period from March 27, 2020 (inception) through April 2, 2020</w:t>
              </w:r>
            </w:hyperlink>
          </w:p>
        </w:tc>
        <w:tc>
          <w:tcPr>
            <w:tcW w:w="1140" w:type="dxa"/>
            <w:vAlign w:val="bottom"/>
            <w:gridSpan w:val="2"/>
          </w:tcPr>
          <w:p>
            <w:pPr>
              <w:spacing w:after="0"/>
              <w:rPr>
                <w:rFonts w:ascii="Arial" w:cs="Arial" w:eastAsia="Arial" w:hAnsi="Arial"/>
                <w:sz w:val="15"/>
                <w:szCs w:val="15"/>
                <w:u w:val="single" w:color="auto"/>
                <w:color w:val="0000EE"/>
              </w:rPr>
            </w:pPr>
            <w:hyperlink w:anchor="page147">
              <w:r>
                <w:rPr>
                  <w:rFonts w:ascii="Arial" w:cs="Arial" w:eastAsia="Arial" w:hAnsi="Arial"/>
                  <w:sz w:val="15"/>
                  <w:szCs w:val="15"/>
                  <w:u w:val="single" w:color="auto"/>
                  <w:color w:val="0000EE"/>
                </w:rPr>
                <w:t>F-4</w:t>
              </w:r>
            </w:hyperlink>
          </w:p>
        </w:tc>
        <w:tc>
          <w:tcPr>
            <w:tcW w:w="0" w:type="dxa"/>
            <w:vAlign w:val="bottom"/>
          </w:tcPr>
          <w:p>
            <w:pPr>
              <w:spacing w:after="0"/>
              <w:rPr>
                <w:sz w:val="1"/>
                <w:szCs w:val="1"/>
                <w:color w:val="auto"/>
              </w:rPr>
            </w:pPr>
          </w:p>
        </w:tc>
      </w:tr>
      <w:tr>
        <w:trPr>
          <w:trHeight w:val="49"/>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6600" w:type="dxa"/>
            <w:vAlign w:val="bottom"/>
            <w:tcBorders>
              <w:bottom w:val="single" w:sz="8" w:color="0000EE"/>
            </w:tcBorders>
            <w:gridSpan w:val="3"/>
            <w:shd w:val="clear" w:color="auto" w:fill="CCEEFF"/>
          </w:tcPr>
          <w:p>
            <w:pPr>
              <w:spacing w:after="0"/>
              <w:rPr>
                <w:rFonts w:ascii="Arial" w:cs="Arial" w:eastAsia="Arial" w:hAnsi="Arial"/>
                <w:sz w:val="15"/>
                <w:szCs w:val="15"/>
                <w:color w:val="0000EE"/>
                <w:w w:val="97"/>
              </w:rPr>
            </w:pPr>
            <w:hyperlink w:anchor="page148">
              <w:r>
                <w:rPr>
                  <w:rFonts w:ascii="Arial" w:cs="Arial" w:eastAsia="Arial" w:hAnsi="Arial"/>
                  <w:sz w:val="15"/>
                  <w:szCs w:val="15"/>
                  <w:color w:val="0000EE"/>
                  <w:w w:val="97"/>
                </w:rPr>
                <w:t>Statement of Changes in Shareholder’s Equity for the period from March 27, 2020 (inception) through</w:t>
              </w:r>
            </w:hyperlink>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rFonts w:ascii="Arial" w:cs="Arial" w:eastAsia="Arial" w:hAnsi="Arial"/>
                <w:sz w:val="15"/>
                <w:szCs w:val="15"/>
                <w:u w:val="single" w:color="auto"/>
                <w:color w:val="0000EE"/>
              </w:rPr>
            </w:pPr>
            <w:hyperlink w:anchor="page148">
              <w:r>
                <w:rPr>
                  <w:rFonts w:ascii="Arial" w:cs="Arial" w:eastAsia="Arial" w:hAnsi="Arial"/>
                  <w:sz w:val="15"/>
                  <w:szCs w:val="15"/>
                  <w:u w:val="single" w:color="auto"/>
                  <w:color w:val="0000EE"/>
                </w:rPr>
                <w:t>F-5</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4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380" w:type="dxa"/>
            <w:vAlign w:val="bottom"/>
            <w:gridSpan w:val="3"/>
            <w:shd w:val="clear" w:color="auto" w:fill="CCEEFF"/>
          </w:tcPr>
          <w:p>
            <w:pPr>
              <w:spacing w:after="0" w:line="143" w:lineRule="exact"/>
              <w:rPr>
                <w:rFonts w:ascii="Arial" w:cs="Arial" w:eastAsia="Arial" w:hAnsi="Arial"/>
                <w:sz w:val="15"/>
                <w:szCs w:val="15"/>
                <w:color w:val="0000EE"/>
              </w:rPr>
            </w:pPr>
            <w:hyperlink w:anchor="page148">
              <w:r>
                <w:rPr>
                  <w:rFonts w:ascii="Arial" w:cs="Arial" w:eastAsia="Arial" w:hAnsi="Arial"/>
                  <w:sz w:val="15"/>
                  <w:szCs w:val="15"/>
                  <w:color w:val="0000EE"/>
                </w:rPr>
                <w:t>April 2, 2020</w:t>
              </w:r>
            </w:hyperlink>
          </w:p>
        </w:tc>
        <w:tc>
          <w:tcPr>
            <w:tcW w:w="300" w:type="dxa"/>
            <w:vAlign w:val="bottom"/>
            <w:vMerge w:val="continue"/>
            <w:shd w:val="clear" w:color="auto" w:fill="CCEEFF"/>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5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520" w:type="dxa"/>
            <w:vAlign w:val="bottom"/>
            <w:gridSpan w:val="4"/>
          </w:tcPr>
          <w:p>
            <w:pPr>
              <w:spacing w:after="0"/>
              <w:rPr>
                <w:rFonts w:ascii="Arial" w:cs="Arial" w:eastAsia="Arial" w:hAnsi="Arial"/>
                <w:sz w:val="15"/>
                <w:szCs w:val="15"/>
                <w:u w:val="single" w:color="auto"/>
                <w:color w:val="0000EE"/>
              </w:rPr>
            </w:pPr>
            <w:hyperlink w:anchor="page149">
              <w:r>
                <w:rPr>
                  <w:rFonts w:ascii="Arial" w:cs="Arial" w:eastAsia="Arial" w:hAnsi="Arial"/>
                  <w:sz w:val="15"/>
                  <w:szCs w:val="15"/>
                  <w:u w:val="single" w:color="auto"/>
                  <w:color w:val="0000EE"/>
                </w:rPr>
                <w:t>Statement of Cash Flows for the period from March 27, 2020 (inception) through April 2, 2020</w:t>
              </w:r>
            </w:hyperlink>
          </w:p>
        </w:tc>
        <w:tc>
          <w:tcPr>
            <w:tcW w:w="1140" w:type="dxa"/>
            <w:vAlign w:val="bottom"/>
            <w:gridSpan w:val="2"/>
          </w:tcPr>
          <w:p>
            <w:pPr>
              <w:spacing w:after="0"/>
              <w:rPr>
                <w:rFonts w:ascii="Arial" w:cs="Arial" w:eastAsia="Arial" w:hAnsi="Arial"/>
                <w:sz w:val="15"/>
                <w:szCs w:val="15"/>
                <w:u w:val="single" w:color="auto"/>
                <w:color w:val="0000EE"/>
              </w:rPr>
            </w:pPr>
            <w:hyperlink w:anchor="page149">
              <w:r>
                <w:rPr>
                  <w:rFonts w:ascii="Arial" w:cs="Arial" w:eastAsia="Arial" w:hAnsi="Arial"/>
                  <w:sz w:val="15"/>
                  <w:szCs w:val="15"/>
                  <w:u w:val="single" w:color="auto"/>
                  <w:color w:val="0000EE"/>
                </w:rPr>
                <w:t>F-6</w:t>
              </w:r>
            </w:hyperlink>
          </w:p>
        </w:tc>
        <w:tc>
          <w:tcPr>
            <w:tcW w:w="0" w:type="dxa"/>
            <w:vAlign w:val="bottom"/>
          </w:tcPr>
          <w:p>
            <w:pPr>
              <w:spacing w:after="0"/>
              <w:rPr>
                <w:sz w:val="1"/>
                <w:szCs w:val="1"/>
                <w:color w:val="auto"/>
              </w:rPr>
            </w:pPr>
          </w:p>
        </w:tc>
      </w:tr>
      <w:tr>
        <w:trPr>
          <w:trHeight w:val="49"/>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7520" w:type="dxa"/>
            <w:vAlign w:val="bottom"/>
            <w:tcBorders>
              <w:bottom w:val="single" w:sz="8" w:color="auto"/>
            </w:tcBorders>
            <w:gridSpan w:val="4"/>
            <w:shd w:val="clear" w:color="auto" w:fill="CCEEFF"/>
          </w:tcPr>
          <w:p>
            <w:pPr>
              <w:spacing w:after="0"/>
              <w:rPr>
                <w:rFonts w:ascii="Arial" w:cs="Arial" w:eastAsia="Arial" w:hAnsi="Arial"/>
                <w:sz w:val="15"/>
                <w:szCs w:val="15"/>
                <w:u w:val="single" w:color="auto"/>
                <w:color w:val="0000EE"/>
              </w:rPr>
            </w:pPr>
            <w:hyperlink w:anchor="page150">
              <w:r>
                <w:rPr>
                  <w:rFonts w:ascii="Arial" w:cs="Arial" w:eastAsia="Arial" w:hAnsi="Arial"/>
                  <w:sz w:val="15"/>
                  <w:szCs w:val="15"/>
                  <w:u w:val="single" w:color="auto"/>
                  <w:color w:val="0000EE"/>
                </w:rPr>
                <w:t>Notes to Financial Statements</w:t>
              </w:r>
            </w:hyperlink>
          </w:p>
        </w:tc>
        <w:tc>
          <w:tcPr>
            <w:tcW w:w="300" w:type="dxa"/>
            <w:vAlign w:val="bottom"/>
            <w:tcBorders>
              <w:bottom w:val="single" w:sz="8" w:color="auto"/>
            </w:tcBorders>
            <w:shd w:val="clear" w:color="auto" w:fill="CCEEFF"/>
          </w:tcPr>
          <w:p>
            <w:pPr>
              <w:spacing w:after="0"/>
              <w:rPr>
                <w:rFonts w:ascii="Arial" w:cs="Arial" w:eastAsia="Arial" w:hAnsi="Arial"/>
                <w:sz w:val="15"/>
                <w:szCs w:val="15"/>
                <w:u w:val="single" w:color="auto"/>
                <w:color w:val="0000EE"/>
              </w:rPr>
            </w:pPr>
            <w:hyperlink w:anchor="page150">
              <w:r>
                <w:rPr>
                  <w:rFonts w:ascii="Arial" w:cs="Arial" w:eastAsia="Arial" w:hAnsi="Arial"/>
                  <w:sz w:val="15"/>
                  <w:szCs w:val="15"/>
                  <w:u w:val="single" w:color="auto"/>
                  <w:color w:val="0000EE"/>
                </w:rPr>
                <w:t>F-7</w:t>
              </w:r>
            </w:hyperlink>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60" w:type="dxa"/>
            <w:vAlign w:val="bottom"/>
            <w:gridSpan w:val="2"/>
          </w:tcPr>
          <w:p>
            <w:pPr>
              <w:ind w:left="2840"/>
              <w:spacing w:after="0"/>
              <w:rPr>
                <w:sz w:val="20"/>
                <w:szCs w:val="20"/>
                <w:color w:val="auto"/>
              </w:rPr>
            </w:pPr>
            <w:r>
              <w:rPr>
                <w:rFonts w:ascii="Arial" w:cs="Arial" w:eastAsia="Arial" w:hAnsi="Arial"/>
                <w:sz w:val="14"/>
                <w:szCs w:val="14"/>
                <w:color w:val="auto"/>
              </w:rPr>
              <w:t>F-1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-1668780</wp:posOffset>
            </wp:positionV>
            <wp:extent cx="9588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5885" cy="7620"/>
                    </a:xfrm>
                    <a:prstGeom prst="rect">
                      <a:avLst/>
                    </a:prstGeom>
                    <a:noFill/>
                  </pic:spPr>
                </pic:pic>
              </a:graphicData>
            </a:graphic>
          </wp:anchor>
        </w:drawing>
      </w:r>
    </w:p>
    <w:p>
      <w:pPr>
        <w:sectPr>
          <w:pgSz w:w="11900" w:h="16838" w:orient="portrait"/>
          <w:cols w:equalWidth="0" w:num="1">
            <w:col w:w="9500"/>
          </w:cols>
          <w:pgMar w:left="1200" w:top="248" w:right="1199" w:bottom="1440" w:gutter="0" w:footer="0" w:header="0"/>
        </w:sectPr>
      </w:pPr>
    </w:p>
    <w:bookmarkStart w:id="144" w:name="page145"/>
    <w:bookmarkEnd w:id="14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 the Shareholder and the Board of Directors of</w:t>
      </w:r>
    </w:p>
    <w:p>
      <w:pPr>
        <w:ind w:left="600"/>
        <w:spacing w:after="0"/>
        <w:rPr>
          <w:sz w:val="20"/>
          <w:szCs w:val="20"/>
          <w:color w:val="auto"/>
        </w:rPr>
      </w:pPr>
      <w:r>
        <w:rPr>
          <w:rFonts w:ascii="Arial" w:cs="Arial" w:eastAsia="Arial" w:hAnsi="Arial"/>
          <w:sz w:val="15"/>
          <w:szCs w:val="15"/>
          <w:color w:val="auto"/>
        </w:rPr>
        <w:t>ARYA Sciences Acquisition Corp III</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60"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have audited the accompanying balance sheet of ARYA Sciences Acquisition Corp III (the “Company”) as of April 2, 2020, and the related statements of operations, changes in shareholder’s equity and cash flows for the period from March 27, 2020 (inception) through April 2, 2020, and the related notes (collectively referred to as the “financial statements”). In our opinion, the financial statements present fairly, in all material respects, the financial position of the Company as of April 2, 2020, and the results of its operations and its cash flows for the period from March 27, 2020 (inception) through April 2, 2020, in conformity with accounting principles generally accepted in the United States of America.</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Basis for Opinion</w:t>
      </w:r>
    </w:p>
    <w:p>
      <w:pPr>
        <w:spacing w:after="0" w:line="160" w:lineRule="exact"/>
        <w:rPr>
          <w:sz w:val="20"/>
          <w:szCs w:val="20"/>
          <w:color w:val="auto"/>
        </w:rPr>
      </w:pPr>
    </w:p>
    <w:p>
      <w:pPr>
        <w:ind w:left="600" w:right="739"/>
        <w:spacing w:after="0" w:line="230"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9" w:lineRule="exact"/>
        <w:rPr>
          <w:sz w:val="20"/>
          <w:szCs w:val="20"/>
          <w:color w:val="auto"/>
        </w:rPr>
      </w:pPr>
    </w:p>
    <w:p>
      <w:pPr>
        <w:ind w:left="600" w:right="639"/>
        <w:spacing w:after="0" w:line="229"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 WithumSmith+Brown, PC</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have served as the Company’s auditor since 2020.</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New York, New York</w:t>
      </w:r>
    </w:p>
    <w:p>
      <w:pPr>
        <w:ind w:left="600"/>
        <w:spacing w:after="0"/>
        <w:rPr>
          <w:sz w:val="20"/>
          <w:szCs w:val="20"/>
          <w:color w:val="auto"/>
        </w:rPr>
      </w:pPr>
      <w:r>
        <w:rPr>
          <w:rFonts w:ascii="Arial" w:cs="Arial" w:eastAsia="Arial" w:hAnsi="Arial"/>
          <w:sz w:val="15"/>
          <w:szCs w:val="15"/>
          <w:color w:val="auto"/>
        </w:rPr>
        <w:t>July 29, 2020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5" w:name="page146"/>
    <w:bookmarkEnd w:id="14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ARYA SCIENCES ACQUISITION CORP III</w:t>
      </w:r>
    </w:p>
    <w:p>
      <w:pPr>
        <w:jc w:val="center"/>
        <w:spacing w:after="0"/>
        <w:rPr>
          <w:sz w:val="20"/>
          <w:szCs w:val="20"/>
          <w:color w:val="auto"/>
        </w:rPr>
      </w:pPr>
      <w:r>
        <w:rPr>
          <w:rFonts w:ascii="Arial" w:cs="Arial" w:eastAsia="Arial" w:hAnsi="Arial"/>
          <w:sz w:val="16"/>
          <w:szCs w:val="16"/>
          <w:b w:val="1"/>
          <w:bCs w:val="1"/>
          <w:color w:val="auto"/>
        </w:rPr>
        <w:t>BALANCE SHEET</w:t>
      </w:r>
    </w:p>
    <w:p>
      <w:pPr>
        <w:jc w:val="center"/>
        <w:spacing w:after="0"/>
        <w:rPr>
          <w:sz w:val="20"/>
          <w:szCs w:val="20"/>
          <w:color w:val="auto"/>
        </w:rPr>
      </w:pPr>
      <w:r>
        <w:rPr>
          <w:rFonts w:ascii="Arial" w:cs="Arial" w:eastAsia="Arial" w:hAnsi="Arial"/>
          <w:sz w:val="16"/>
          <w:szCs w:val="16"/>
          <w:b w:val="1"/>
          <w:bCs w:val="1"/>
          <w:color w:val="auto"/>
        </w:rPr>
        <w:t>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97790</wp:posOffset>
            </wp:positionV>
            <wp:extent cx="4964430" cy="2292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64430" cy="229235"/>
                    </a:xfrm>
                    <a:prstGeom prst="rect">
                      <a:avLst/>
                    </a:prstGeom>
                    <a:noFill/>
                  </pic:spPr>
                </pic:pic>
              </a:graphicData>
            </a:graphic>
          </wp:anchor>
        </w:drawing>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Assets</w:t>
      </w:r>
    </w:p>
    <w:p>
      <w:pPr>
        <w:spacing w:after="0" w:line="120"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940" w:type="dxa"/>
            <w:vAlign w:val="bottom"/>
          </w:tcPr>
          <w:p>
            <w:pPr>
              <w:ind w:left="160"/>
              <w:spacing w:after="0"/>
              <w:rPr>
                <w:sz w:val="20"/>
                <w:szCs w:val="20"/>
                <w:color w:val="auto"/>
              </w:rPr>
            </w:pPr>
            <w:r>
              <w:rPr>
                <w:rFonts w:ascii="Arial" w:cs="Arial" w:eastAsia="Arial" w:hAnsi="Arial"/>
                <w:sz w:val="15"/>
                <w:szCs w:val="15"/>
                <w:color w:val="auto"/>
              </w:rPr>
              <w:t>Deferred offering costs associated with initial public offering</w:t>
            </w:r>
          </w:p>
        </w:tc>
        <w:tc>
          <w:tcPr>
            <w:tcW w:w="800" w:type="dxa"/>
            <w:vAlign w:val="bottom"/>
            <w:gridSpan w:val="3"/>
          </w:tcPr>
          <w:p>
            <w:pPr>
              <w:ind w:left="260"/>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25,000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61"/>
        </w:trPr>
        <w:tc>
          <w:tcPr>
            <w:tcW w:w="6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84"/>
        </w:trPr>
        <w:tc>
          <w:tcPr>
            <w:tcW w:w="6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25,000</w:t>
            </w:r>
          </w:p>
        </w:tc>
        <w:tc>
          <w:tcPr>
            <w:tcW w:w="40" w:type="dxa"/>
            <w:vAlign w:val="bottom"/>
            <w:shd w:val="clear" w:color="auto" w:fill="CCEEFF"/>
          </w:tcPr>
          <w:p>
            <w:pPr>
              <w:spacing w:after="0"/>
              <w:rPr>
                <w:sz w:val="24"/>
                <w:szCs w:val="24"/>
                <w:color w:val="auto"/>
              </w:rPr>
            </w:pPr>
          </w:p>
        </w:tc>
      </w:tr>
      <w:tr>
        <w:trPr>
          <w:trHeight w:val="91"/>
        </w:trPr>
        <w:tc>
          <w:tcPr>
            <w:tcW w:w="69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314"/>
        </w:trPr>
        <w:tc>
          <w:tcPr>
            <w:tcW w:w="6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
        </w:trPr>
        <w:tc>
          <w:tcPr>
            <w:tcW w:w="6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1"/>
        </w:trPr>
        <w:tc>
          <w:tcPr>
            <w:tcW w:w="6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Accrued expenses</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61"/>
        </w:trPr>
        <w:tc>
          <w:tcPr>
            <w:tcW w:w="69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44"/>
        </w:trPr>
        <w:tc>
          <w:tcPr>
            <w:tcW w:w="6940" w:type="dxa"/>
            <w:vAlign w:val="bottom"/>
          </w:tcPr>
          <w:p>
            <w:pPr>
              <w:ind w:left="160"/>
              <w:spacing w:after="0"/>
              <w:rPr>
                <w:sz w:val="20"/>
                <w:szCs w:val="20"/>
                <w:color w:val="auto"/>
              </w:rPr>
            </w:pPr>
            <w:r>
              <w:rPr>
                <w:rFonts w:ascii="Arial" w:cs="Arial" w:eastAsia="Arial" w:hAnsi="Arial"/>
                <w:sz w:val="15"/>
                <w:szCs w:val="15"/>
                <w:b w:val="1"/>
                <w:bCs w:val="1"/>
                <w:color w:val="auto"/>
              </w:rPr>
              <w:t>Total current liabilities</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4,245</w:t>
            </w:r>
          </w:p>
        </w:tc>
        <w:tc>
          <w:tcPr>
            <w:tcW w:w="40" w:type="dxa"/>
            <w:vAlign w:val="bottom"/>
          </w:tcPr>
          <w:p>
            <w:pPr>
              <w:spacing w:after="0"/>
              <w:rPr>
                <w:sz w:val="21"/>
                <w:szCs w:val="21"/>
                <w:color w:val="auto"/>
              </w:rPr>
            </w:pPr>
          </w:p>
        </w:tc>
      </w:tr>
      <w:tr>
        <w:trPr>
          <w:trHeight w:val="61"/>
        </w:trPr>
        <w:tc>
          <w:tcPr>
            <w:tcW w:w="6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302"/>
        </w:trPr>
        <w:tc>
          <w:tcPr>
            <w:tcW w:w="6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
        </w:trPr>
        <w:tc>
          <w:tcPr>
            <w:tcW w:w="6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9"/>
        </w:trPr>
        <w:tc>
          <w:tcPr>
            <w:tcW w:w="6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
        </w:trPr>
        <w:tc>
          <w:tcPr>
            <w:tcW w:w="6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9"/>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Preference shares, $0.0001 par value; 1,000,000 shares authorized; none issued and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r>
        <w:trPr>
          <w:trHeight w:val="216"/>
        </w:trPr>
        <w:tc>
          <w:tcPr>
            <w:tcW w:w="6940" w:type="dxa"/>
            <w:vAlign w:val="bottom"/>
          </w:tcPr>
          <w:p>
            <w:pPr>
              <w:ind w:left="160"/>
              <w:spacing w:after="0"/>
              <w:rPr>
                <w:sz w:val="20"/>
                <w:szCs w:val="20"/>
                <w:color w:val="auto"/>
              </w:rPr>
            </w:pPr>
            <w:r>
              <w:rPr>
                <w:rFonts w:ascii="Arial" w:cs="Arial" w:eastAsia="Arial" w:hAnsi="Arial"/>
                <w:sz w:val="15"/>
                <w:szCs w:val="15"/>
                <w:color w:val="auto"/>
              </w:rPr>
              <w:t>Class A ordinary shares, $0.0001 par value; 479,000,000 shares authorized; none issued and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7"/>
        </w:trPr>
        <w:tc>
          <w:tcPr>
            <w:tcW w:w="6940" w:type="dxa"/>
            <w:vAlign w:val="bottom"/>
          </w:tcPr>
          <w:p>
            <w:pPr>
              <w:ind w:left="300"/>
              <w:spacing w:after="0"/>
              <w:rPr>
                <w:sz w:val="20"/>
                <w:szCs w:val="20"/>
                <w:color w:val="auto"/>
              </w:rPr>
            </w:pPr>
            <w:r>
              <w:rPr>
                <w:rFonts w:ascii="Arial" w:cs="Arial" w:eastAsia="Arial" w:hAnsi="Arial"/>
                <w:sz w:val="15"/>
                <w:szCs w:val="15"/>
                <w:color w:val="auto"/>
              </w:rPr>
              <w:t>outstanding</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5"/>
                <w:szCs w:val="15"/>
                <w:color w:val="auto"/>
              </w:rPr>
              <w:t>—</w:t>
            </w:r>
          </w:p>
        </w:tc>
      </w:tr>
      <w:tr>
        <w:trPr>
          <w:trHeight w:val="49"/>
        </w:trPr>
        <w:tc>
          <w:tcPr>
            <w:tcW w:w="6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Class B ordinary shares, $0.0001 par value; 20,000,000 shares authorized; 3,593,750 shares issued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7"/>
        </w:trPr>
        <w:tc>
          <w:tcPr>
            <w:tcW w:w="6940" w:type="dxa"/>
            <w:vAlign w:val="bottom"/>
            <w:shd w:val="clear" w:color="auto" w:fill="CCEEFF"/>
          </w:tcPr>
          <w:p>
            <w:pPr>
              <w:ind w:left="300"/>
              <w:spacing w:after="0" w:line="227" w:lineRule="exact"/>
              <w:rPr>
                <w:sz w:val="20"/>
                <w:szCs w:val="20"/>
                <w:color w:val="auto"/>
              </w:rPr>
            </w:pPr>
            <w:r>
              <w:rPr>
                <w:rFonts w:ascii="Arial" w:cs="Arial" w:eastAsia="Arial" w:hAnsi="Arial"/>
                <w:sz w:val="15"/>
                <w:szCs w:val="15"/>
                <w:color w:val="auto"/>
              </w:rPr>
              <w:t>and outstanding</w:t>
            </w:r>
            <w:r>
              <w:rPr>
                <w:rFonts w:ascii="Arial" w:cs="Arial" w:eastAsia="Arial" w:hAnsi="Arial"/>
                <w:sz w:val="24"/>
                <w:szCs w:val="24"/>
                <w:color w:val="auto"/>
                <w:vertAlign w:val="superscript"/>
              </w:rPr>
              <w:t>(1)</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359</w:t>
            </w:r>
          </w:p>
        </w:tc>
        <w:tc>
          <w:tcPr>
            <w:tcW w:w="40" w:type="dxa"/>
            <w:vAlign w:val="bottom"/>
            <w:shd w:val="clear" w:color="auto" w:fill="CCEEFF"/>
          </w:tcPr>
          <w:p>
            <w:pPr>
              <w:spacing w:after="0"/>
              <w:rPr>
                <w:sz w:val="19"/>
                <w:szCs w:val="19"/>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24,641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
        </w:trPr>
        <w:tc>
          <w:tcPr>
            <w:tcW w:w="6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1"/>
        </w:trPr>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deficit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(4,245)</w:t>
            </w:r>
          </w:p>
        </w:tc>
      </w:tr>
      <w:tr>
        <w:trPr>
          <w:trHeight w:val="61"/>
        </w:trPr>
        <w:tc>
          <w:tcPr>
            <w:tcW w:w="69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44"/>
        </w:trPr>
        <w:tc>
          <w:tcPr>
            <w:tcW w:w="6940" w:type="dxa"/>
            <w:vAlign w:val="bottom"/>
          </w:tcPr>
          <w:p>
            <w:pPr>
              <w:ind w:left="160"/>
              <w:spacing w:after="0"/>
              <w:rPr>
                <w:sz w:val="20"/>
                <w:szCs w:val="20"/>
                <w:color w:val="auto"/>
              </w:rPr>
            </w:pPr>
            <w:r>
              <w:rPr>
                <w:rFonts w:ascii="Arial" w:cs="Arial" w:eastAsia="Arial" w:hAnsi="Arial"/>
                <w:sz w:val="15"/>
                <w:szCs w:val="15"/>
                <w:b w:val="1"/>
                <w:bCs w:val="1"/>
                <w:color w:val="auto"/>
              </w:rPr>
              <w:t>Total shareholder’s equity</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20,755</w:t>
            </w:r>
          </w:p>
        </w:tc>
        <w:tc>
          <w:tcPr>
            <w:tcW w:w="40" w:type="dxa"/>
            <w:vAlign w:val="bottom"/>
          </w:tcPr>
          <w:p>
            <w:pPr>
              <w:spacing w:after="0"/>
              <w:rPr>
                <w:sz w:val="21"/>
                <w:szCs w:val="21"/>
                <w:color w:val="auto"/>
              </w:rPr>
            </w:pPr>
          </w:p>
        </w:tc>
      </w:tr>
      <w:tr>
        <w:trPr>
          <w:trHeight w:val="61"/>
        </w:trPr>
        <w:tc>
          <w:tcPr>
            <w:tcW w:w="6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337"/>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 and Shareholder’s Equity</w:t>
            </w:r>
          </w:p>
        </w:tc>
        <w:tc>
          <w:tcPr>
            <w:tcW w:w="34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25,000</w:t>
            </w:r>
          </w:p>
        </w:tc>
        <w:tc>
          <w:tcPr>
            <w:tcW w:w="40" w:type="dxa"/>
            <w:vAlign w:val="bottom"/>
            <w:tcBorders>
              <w:bottom w:val="single" w:sz="8" w:color="auto"/>
            </w:tcBorders>
            <w:shd w:val="clear" w:color="auto" w:fill="CCEEFF"/>
          </w:tcPr>
          <w:p>
            <w:pPr>
              <w:spacing w:after="0"/>
              <w:rPr>
                <w:sz w:val="24"/>
                <w:szCs w:val="24"/>
                <w:color w:val="auto"/>
              </w:rPr>
            </w:pPr>
          </w:p>
        </w:tc>
      </w:tr>
    </w:tbl>
    <w:p>
      <w:pPr>
        <w:spacing w:after="0" w:line="31" w:lineRule="exact"/>
        <w:rPr>
          <w:sz w:val="20"/>
          <w:szCs w:val="20"/>
          <w:color w:val="auto"/>
        </w:rPr>
      </w:pPr>
    </w:p>
    <w:p>
      <w:pPr>
        <w:ind w:left="900" w:hanging="305"/>
        <w:spacing w:after="0"/>
        <w:tabs>
          <w:tab w:leader="none" w:pos="90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This number includes up to 468,750 shares subject to forfeiture if the over-allotment option is not exercised in full or in part by the underwriters.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6" w:name="page147"/>
    <w:bookmarkEnd w:id="14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ARYA SCIENCES ACQUISITION CORP III</w:t>
      </w:r>
    </w:p>
    <w:p>
      <w:pPr>
        <w:jc w:val="center"/>
        <w:spacing w:after="0"/>
        <w:rPr>
          <w:sz w:val="20"/>
          <w:szCs w:val="20"/>
          <w:color w:val="auto"/>
        </w:rPr>
      </w:pPr>
      <w:r>
        <w:rPr>
          <w:rFonts w:ascii="Arial" w:cs="Arial" w:eastAsia="Arial" w:hAnsi="Arial"/>
          <w:sz w:val="16"/>
          <w:szCs w:val="16"/>
          <w:b w:val="1"/>
          <w:bCs w:val="1"/>
          <w:color w:val="auto"/>
        </w:rPr>
        <w:t>STATEMENT OF OPERATIONS</w:t>
      </w:r>
    </w:p>
    <w:p>
      <w:pPr>
        <w:jc w:val="center"/>
        <w:spacing w:after="0"/>
        <w:rPr>
          <w:sz w:val="20"/>
          <w:szCs w:val="20"/>
          <w:color w:val="auto"/>
        </w:rPr>
      </w:pPr>
      <w:r>
        <w:rPr>
          <w:rFonts w:ascii="Arial" w:cs="Arial" w:eastAsia="Arial" w:hAnsi="Arial"/>
          <w:sz w:val="16"/>
          <w:szCs w:val="16"/>
          <w:b w:val="1"/>
          <w:bCs w:val="1"/>
          <w:color w:val="auto"/>
        </w:rPr>
        <w:t>For the period from March 27, 2020 (inception) through April 2, 2020</w:t>
      </w:r>
    </w:p>
    <w:p>
      <w:pPr>
        <w:spacing w:after="0" w:line="134" w:lineRule="exact"/>
        <w:rPr>
          <w:sz w:val="20"/>
          <w:szCs w:val="20"/>
          <w:color w:val="auto"/>
        </w:rPr>
      </w:pPr>
    </w:p>
    <w:tbl>
      <w:tblPr>
        <w:tblLayout w:type="fixed"/>
        <w:tblInd w:w="600" w:type="dxa"/>
        <w:tblCellMar>
          <w:top w:w="0" w:type="dxa"/>
          <w:left w:w="0" w:type="dxa"/>
          <w:bottom w:w="0" w:type="dxa"/>
          <w:right w:w="0" w:type="dxa"/>
        </w:tblCellMar>
      </w:tblPr>
      <w:tr>
        <w:trPr>
          <w:trHeight w:val="302"/>
        </w:trPr>
        <w:tc>
          <w:tcPr>
            <w:tcW w:w="6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General and administrative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4,245</w:t>
            </w: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9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(4,245)</w:t>
            </w: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9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6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960" w:type="dxa"/>
            <w:vAlign w:val="bottom"/>
            <w:vMerge w:val="restart"/>
          </w:tcPr>
          <w:p>
            <w:pPr>
              <w:spacing w:after="0" w:line="256" w:lineRule="exact"/>
              <w:rPr>
                <w:sz w:val="20"/>
                <w:szCs w:val="20"/>
                <w:color w:val="auto"/>
              </w:rPr>
            </w:pPr>
            <w:r>
              <w:rPr>
                <w:rFonts w:ascii="Arial" w:cs="Arial" w:eastAsia="Arial" w:hAnsi="Arial"/>
                <w:sz w:val="15"/>
                <w:szCs w:val="15"/>
                <w:color w:val="auto"/>
              </w:rPr>
              <w:t>Weighted average shares outstanding, basic and diluted</w:t>
            </w:r>
            <w:r>
              <w:rPr>
                <w:rFonts w:ascii="Arial" w:cs="Arial" w:eastAsia="Arial" w:hAnsi="Arial"/>
                <w:sz w:val="24"/>
                <w:szCs w:val="24"/>
                <w:color w:val="auto"/>
                <w:vertAlign w:val="superscript"/>
              </w:rPr>
              <w:t>(1)</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2"/>
              </w:rPr>
              <w:t>3,125,000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9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6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960" w:type="dxa"/>
            <w:vAlign w:val="bottom"/>
            <w:vMerge w:val="restart"/>
          </w:tcPr>
          <w:p>
            <w:pPr>
              <w:spacing w:after="0"/>
              <w:rPr>
                <w:sz w:val="20"/>
                <w:szCs w:val="20"/>
                <w:color w:val="auto"/>
              </w:rPr>
            </w:pPr>
            <w:r>
              <w:rPr>
                <w:rFonts w:ascii="Arial" w:cs="Arial" w:eastAsia="Arial" w:hAnsi="Arial"/>
                <w:sz w:val="15"/>
                <w:szCs w:val="15"/>
                <w:b w:val="1"/>
                <w:bCs w:val="1"/>
                <w:color w:val="auto"/>
              </w:rPr>
              <w:t>Basic and diluted net loss per share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6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00" w:right="1099" w:hanging="305"/>
        <w:spacing w:after="0" w:line="246" w:lineRule="auto"/>
        <w:tabs>
          <w:tab w:leader="none" w:pos="90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This number excludes an aggregate of up to 468,750 shares subject to forfeiture if the over-allotment option is not exercised in full or in part by the underwriters.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7" w:name="page148"/>
    <w:bookmarkEnd w:id="14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left="595" w:right="614"/>
        <w:spacing w:after="0"/>
        <w:rPr>
          <w:sz w:val="20"/>
          <w:szCs w:val="20"/>
          <w:color w:val="auto"/>
        </w:rPr>
      </w:pPr>
      <w:r>
        <w:rPr>
          <w:rFonts w:ascii="Arial" w:cs="Arial" w:eastAsia="Arial" w:hAnsi="Arial"/>
          <w:sz w:val="16"/>
          <w:szCs w:val="16"/>
          <w:b w:val="1"/>
          <w:bCs w:val="1"/>
          <w:color w:val="auto"/>
        </w:rPr>
        <w:t>ARYA SCIENCES ACQUISITION CORP III STATEMENT OF CHANGES IN SHAREHOLDER’S EQUITY For the period from March 27, 2020 (inception) through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97155</wp:posOffset>
            </wp:positionV>
            <wp:extent cx="496443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63"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rPr>
              <w:t>Ordinary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6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3"/>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18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6"/>
          </w:tcPr>
          <w:p>
            <w:pPr>
              <w:ind w:left="40"/>
              <w:spacing w:after="0"/>
              <w:rPr>
                <w:sz w:val="20"/>
                <w:szCs w:val="20"/>
                <w:color w:val="auto"/>
              </w:rPr>
            </w:pPr>
            <w:r>
              <w:rPr>
                <w:rFonts w:ascii="Arial" w:cs="Arial" w:eastAsia="Arial" w:hAnsi="Arial"/>
                <w:sz w:val="12"/>
                <w:szCs w:val="12"/>
                <w:b w:val="1"/>
                <w:bCs w:val="1"/>
                <w:color w:val="auto"/>
              </w:rPr>
              <w:t>Class A</w:t>
            </w:r>
          </w:p>
        </w:tc>
        <w:tc>
          <w:tcPr>
            <w:tcW w:w="960" w:type="dxa"/>
            <w:vAlign w:val="bottom"/>
            <w:gridSpan w:val="4"/>
          </w:tcPr>
          <w:p>
            <w:pPr>
              <w:ind w:left="440"/>
              <w:spacing w:after="0"/>
              <w:rPr>
                <w:sz w:val="20"/>
                <w:szCs w:val="20"/>
                <w:color w:val="auto"/>
              </w:rPr>
            </w:pPr>
            <w:r>
              <w:rPr>
                <w:rFonts w:ascii="Arial" w:cs="Arial" w:eastAsia="Arial" w:hAnsi="Arial"/>
                <w:sz w:val="12"/>
                <w:szCs w:val="12"/>
                <w:b w:val="1"/>
                <w:bCs w:val="1"/>
                <w:color w:val="auto"/>
              </w:rPr>
              <w:t>Class B</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6"/>
        </w:trPr>
        <w:tc>
          <w:tcPr>
            <w:tcW w:w="26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center"/>
              <w:ind w:right="260"/>
              <w:spacing w:after="0"/>
              <w:rPr>
                <w:sz w:val="20"/>
                <w:szCs w:val="20"/>
                <w:color w:val="auto"/>
              </w:rPr>
            </w:pPr>
            <w:r>
              <w:rPr>
                <w:rFonts w:ascii="Arial" w:cs="Arial" w:eastAsia="Arial" w:hAnsi="Arial"/>
                <w:sz w:val="12"/>
                <w:szCs w:val="12"/>
                <w:b w:val="1"/>
                <w:bCs w:val="1"/>
                <w:color w:val="auto"/>
              </w:rPr>
              <w:t>Paid-in</w:t>
            </w:r>
          </w:p>
        </w:tc>
        <w:tc>
          <w:tcPr>
            <w:tcW w:w="920" w:type="dxa"/>
            <w:vAlign w:val="bottom"/>
            <w:gridSpan w:val="6"/>
            <w:vMerge w:val="restart"/>
          </w:tcPr>
          <w:p>
            <w:pPr>
              <w:jc w:val="center"/>
              <w:ind w:right="140"/>
              <w:spacing w:after="0"/>
              <w:rPr>
                <w:sz w:val="20"/>
                <w:szCs w:val="20"/>
                <w:color w:val="auto"/>
              </w:rPr>
            </w:pPr>
            <w:r>
              <w:rPr>
                <w:rFonts w:ascii="Arial" w:cs="Arial" w:eastAsia="Arial" w:hAnsi="Arial"/>
                <w:sz w:val="12"/>
                <w:szCs w:val="12"/>
                <w:b w:val="1"/>
                <w:bCs w:val="1"/>
                <w:color w:val="auto"/>
              </w:rPr>
              <w:t>Accumulated</w:t>
            </w:r>
          </w:p>
        </w:tc>
        <w:tc>
          <w:tcPr>
            <w:tcW w:w="840" w:type="dxa"/>
            <w:vAlign w:val="bottom"/>
            <w:gridSpan w:val="5"/>
            <w:vMerge w:val="restart"/>
          </w:tcPr>
          <w:p>
            <w:pPr>
              <w:jc w:val="center"/>
              <w:ind w:right="20"/>
              <w:spacing w:after="0"/>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3"/>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920" w:type="dxa"/>
            <w:vAlign w:val="bottom"/>
            <w:gridSpan w:val="6"/>
            <w:vMerge w:val="continue"/>
          </w:tcPr>
          <w:p>
            <w:pPr>
              <w:spacing w:after="0"/>
              <w:rPr>
                <w:sz w:val="5"/>
                <w:szCs w:val="5"/>
                <w:color w:val="auto"/>
              </w:rPr>
            </w:pPr>
          </w:p>
        </w:tc>
        <w:tc>
          <w:tcPr>
            <w:tcW w:w="8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4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69"/>
        </w:trPr>
        <w:tc>
          <w:tcPr>
            <w:tcW w:w="26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 March 27, 2020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(inception)</w:t>
            </w:r>
          </w:p>
        </w:tc>
        <w:tc>
          <w:tcPr>
            <w:tcW w:w="5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b w:val="1"/>
                <w:bCs w:val="1"/>
                <w:color w:val="auto"/>
                <w:w w:val="94"/>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5"/>
        </w:trPr>
        <w:tc>
          <w:tcPr>
            <w:tcW w:w="2640" w:type="dxa"/>
            <w:vAlign w:val="bottom"/>
          </w:tcPr>
          <w:p>
            <w:pPr>
              <w:ind w:left="160"/>
              <w:spacing w:after="0"/>
              <w:rPr>
                <w:sz w:val="20"/>
                <w:szCs w:val="20"/>
                <w:color w:val="auto"/>
              </w:rPr>
            </w:pPr>
            <w:r>
              <w:rPr>
                <w:rFonts w:ascii="Arial" w:cs="Arial" w:eastAsia="Arial" w:hAnsi="Arial"/>
                <w:sz w:val="15"/>
                <w:szCs w:val="15"/>
                <w:color w:val="auto"/>
              </w:rPr>
              <w:t>Issuance of Class B ordinary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300"/>
              <w:spacing w:after="0" w:line="227" w:lineRule="exact"/>
              <w:rPr>
                <w:sz w:val="20"/>
                <w:szCs w:val="20"/>
                <w:color w:val="auto"/>
              </w:rPr>
            </w:pPr>
            <w:r>
              <w:rPr>
                <w:rFonts w:ascii="Arial" w:cs="Arial" w:eastAsia="Arial" w:hAnsi="Arial"/>
                <w:sz w:val="15"/>
                <w:szCs w:val="15"/>
                <w:color w:val="auto"/>
              </w:rPr>
              <w:t>to Sponsor</w:t>
            </w:r>
            <w:r>
              <w:rPr>
                <w:rFonts w:ascii="Arial" w:cs="Arial" w:eastAsia="Arial" w:hAnsi="Arial"/>
                <w:sz w:val="24"/>
                <w:szCs w:val="24"/>
                <w:color w:val="auto"/>
                <w:vertAlign w:val="superscript"/>
              </w:rPr>
              <w:t>(1)</w:t>
            </w:r>
          </w:p>
        </w:tc>
        <w:tc>
          <w:tcPr>
            <w:tcW w:w="560" w:type="dxa"/>
            <w:vAlign w:val="bottom"/>
            <w:gridSpan w:val="4"/>
          </w:tcPr>
          <w:p>
            <w:pPr>
              <w:ind w:lef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3,593,750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87"/>
              </w:rPr>
              <w:t>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24,641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25,000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loss</w:t>
            </w:r>
          </w:p>
        </w:tc>
        <w:tc>
          <w:tcPr>
            <w:tcW w:w="560" w:type="dxa"/>
            <w:vAlign w:val="bottom"/>
            <w:gridSpan w:val="4"/>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center"/>
              <w:ind w:right="180"/>
              <w:spacing w:after="0"/>
              <w:rPr>
                <w:sz w:val="20"/>
                <w:szCs w:val="20"/>
                <w:color w:val="auto"/>
              </w:rPr>
            </w:pPr>
            <w:r>
              <w:rPr>
                <w:rFonts w:ascii="Arial" w:cs="Arial" w:eastAsia="Arial" w:hAnsi="Arial"/>
                <w:sz w:val="15"/>
                <w:szCs w:val="15"/>
                <w:color w:val="auto"/>
                <w:w w:val="96"/>
              </w:rPr>
              <w:t>(4,245)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(4,245)</w:t>
            </w:r>
          </w:p>
        </w:tc>
        <w:tc>
          <w:tcPr>
            <w:tcW w:w="0" w:type="dxa"/>
            <w:vAlign w:val="bottom"/>
          </w:tcPr>
          <w:p>
            <w:pPr>
              <w:spacing w:after="0"/>
              <w:rPr>
                <w:sz w:val="1"/>
                <w:szCs w:val="1"/>
                <w:color w:val="auto"/>
              </w:rPr>
            </w:pPr>
          </w:p>
        </w:tc>
      </w:tr>
      <w:tr>
        <w:trPr>
          <w:trHeight w:val="61"/>
        </w:trPr>
        <w:tc>
          <w:tcPr>
            <w:tcW w:w="2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640" w:type="dxa"/>
            <w:vAlign w:val="bottom"/>
            <w:vMerge w:val="restart"/>
          </w:tcPr>
          <w:p>
            <w:pPr>
              <w:spacing w:after="0"/>
              <w:rPr>
                <w:sz w:val="20"/>
                <w:szCs w:val="20"/>
                <w:color w:val="auto"/>
              </w:rPr>
            </w:pPr>
            <w:r>
              <w:rPr>
                <w:rFonts w:ascii="Arial" w:cs="Arial" w:eastAsia="Arial" w:hAnsi="Arial"/>
                <w:sz w:val="15"/>
                <w:szCs w:val="15"/>
                <w:b w:val="1"/>
                <w:bCs w:val="1"/>
                <w:color w:val="auto"/>
              </w:rPr>
              <w:t>Balance - April 2, 2020</w:t>
            </w:r>
          </w:p>
        </w:tc>
        <w:tc>
          <w:tcPr>
            <w:tcW w:w="560" w:type="dxa"/>
            <w:vAlign w:val="bottom"/>
            <w:gridSpan w:val="4"/>
          </w:tcPr>
          <w:p>
            <w:pPr>
              <w:ind w:left="1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1"/>
                <w:szCs w:val="21"/>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94"/>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3,593,750</w:t>
            </w:r>
          </w:p>
        </w:tc>
        <w:tc>
          <w:tcPr>
            <w:tcW w:w="140" w:type="dxa"/>
            <w:vAlign w:val="bottom"/>
          </w:tcPr>
          <w:p>
            <w:pPr>
              <w:spacing w:after="0"/>
              <w:rPr>
                <w:sz w:val="21"/>
                <w:szCs w:val="21"/>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359</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24,641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(4,245)</w:t>
            </w:r>
          </w:p>
        </w:tc>
        <w:tc>
          <w:tcPr>
            <w:tcW w:w="14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20,755</w:t>
            </w:r>
          </w:p>
        </w:tc>
        <w:tc>
          <w:tcPr>
            <w:tcW w:w="0" w:type="dxa"/>
            <w:vAlign w:val="bottom"/>
          </w:tcPr>
          <w:p>
            <w:pPr>
              <w:spacing w:after="0"/>
              <w:rPr>
                <w:sz w:val="1"/>
                <w:szCs w:val="1"/>
                <w:color w:val="auto"/>
              </w:rPr>
            </w:pPr>
          </w:p>
        </w:tc>
      </w:tr>
      <w:tr>
        <w:trPr>
          <w:trHeight w:val="20"/>
        </w:trPr>
        <w:tc>
          <w:tcPr>
            <w:tcW w:w="26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-989330</wp:posOffset>
            </wp:positionV>
            <wp:extent cx="889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-989330</wp:posOffset>
            </wp:positionV>
            <wp:extent cx="889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-989330</wp:posOffset>
            </wp:positionV>
            <wp:extent cx="889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-989330</wp:posOffset>
            </wp:positionV>
            <wp:extent cx="444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450" cy="762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-989330</wp:posOffset>
            </wp:positionV>
            <wp:extent cx="889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-989330</wp:posOffset>
            </wp:positionV>
            <wp:extent cx="889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-989330</wp:posOffset>
            </wp:positionV>
            <wp:extent cx="889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0" cy="7620"/>
                    </a:xfrm>
                    <a:prstGeom prst="rect">
                      <a:avLst/>
                    </a:prstGeom>
                    <a:noFill/>
                  </pic:spPr>
                </pic:pic>
              </a:graphicData>
            </a:graphic>
          </wp:anchor>
        </w:drawing>
      </w:r>
    </w:p>
    <w:p>
      <w:pPr>
        <w:spacing w:after="0" w:line="11" w:lineRule="exact"/>
        <w:rPr>
          <w:sz w:val="20"/>
          <w:szCs w:val="20"/>
          <w:color w:val="auto"/>
        </w:rPr>
      </w:pPr>
    </w:p>
    <w:p>
      <w:pPr>
        <w:ind w:left="900" w:hanging="305"/>
        <w:spacing w:after="0"/>
        <w:tabs>
          <w:tab w:leader="none" w:pos="90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This number includes up to 468,750 shares subject to forfeiture if the over-allotment option is not exercised in full or in part by the underwriters.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8" w:name="page149"/>
    <w:bookmarkEnd w:id="14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ARYA SCIENCES ACQUISITION CORP III</w:t>
      </w:r>
    </w:p>
    <w:p>
      <w:pPr>
        <w:jc w:val="center"/>
        <w:spacing w:after="0"/>
        <w:rPr>
          <w:sz w:val="20"/>
          <w:szCs w:val="20"/>
          <w:color w:val="auto"/>
        </w:rPr>
      </w:pPr>
      <w:r>
        <w:rPr>
          <w:rFonts w:ascii="Arial" w:cs="Arial" w:eastAsia="Arial" w:hAnsi="Arial"/>
          <w:sz w:val="16"/>
          <w:szCs w:val="16"/>
          <w:b w:val="1"/>
          <w:bCs w:val="1"/>
          <w:color w:val="auto"/>
        </w:rPr>
        <w:t>STATEMENT OF CASH FLOWS</w:t>
      </w:r>
    </w:p>
    <w:p>
      <w:pPr>
        <w:jc w:val="center"/>
        <w:spacing w:after="0"/>
        <w:rPr>
          <w:sz w:val="20"/>
          <w:szCs w:val="20"/>
          <w:color w:val="auto"/>
        </w:rPr>
      </w:pPr>
      <w:r>
        <w:rPr>
          <w:rFonts w:ascii="Arial" w:cs="Arial" w:eastAsia="Arial" w:hAnsi="Arial"/>
          <w:sz w:val="16"/>
          <w:szCs w:val="16"/>
          <w:b w:val="1"/>
          <w:bCs w:val="1"/>
          <w:color w:val="auto"/>
        </w:rPr>
        <w:t>For the period from March 27, 2020 (inception) through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97790</wp:posOffset>
            </wp:positionV>
            <wp:extent cx="4964430" cy="2292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64430" cy="229235"/>
                    </a:xfrm>
                    <a:prstGeom prst="rect">
                      <a:avLst/>
                    </a:prstGeom>
                    <a:noFill/>
                  </pic:spPr>
                </pic:pic>
              </a:graphicData>
            </a:graphic>
          </wp:anchor>
        </w:drawing>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Cash Flows from Operating Activities:</w:t>
      </w:r>
    </w:p>
    <w:p>
      <w:pPr>
        <w:spacing w:after="0" w:line="125"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7220" w:type="dxa"/>
            <w:vAlign w:val="bottom"/>
          </w:tcPr>
          <w:p>
            <w:pPr>
              <w:spacing w:after="0"/>
              <w:rPr>
                <w:sz w:val="20"/>
                <w:szCs w:val="20"/>
                <w:color w:val="auto"/>
              </w:rPr>
            </w:pPr>
            <w:r>
              <w:rPr>
                <w:rFonts w:ascii="Arial" w:cs="Arial" w:eastAsia="Arial" w:hAnsi="Arial"/>
                <w:sz w:val="15"/>
                <w:szCs w:val="15"/>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4"/>
          </w:tcPr>
          <w:p>
            <w:pPr>
              <w:jc w:val="right"/>
              <w:ind w:right="20"/>
              <w:spacing w:after="0"/>
              <w:rPr>
                <w:sz w:val="20"/>
                <w:szCs w:val="20"/>
                <w:color w:val="auto"/>
              </w:rPr>
            </w:pPr>
            <w:r>
              <w:rPr>
                <w:rFonts w:ascii="Arial" w:cs="Arial" w:eastAsia="Arial" w:hAnsi="Arial"/>
                <w:sz w:val="15"/>
                <w:szCs w:val="15"/>
                <w:color w:val="auto"/>
                <w:w w:val="96"/>
              </w:rPr>
              <w:t>(4,245)</w:t>
            </w:r>
          </w:p>
        </w:tc>
        <w:tc>
          <w:tcPr>
            <w:tcW w:w="0" w:type="dxa"/>
            <w:vAlign w:val="bottom"/>
          </w:tcPr>
          <w:p>
            <w:pPr>
              <w:spacing w:after="0"/>
              <w:rPr>
                <w:sz w:val="1"/>
                <w:szCs w:val="1"/>
                <w:color w:val="auto"/>
              </w:rPr>
            </w:pPr>
          </w:p>
        </w:tc>
      </w:tr>
      <w:tr>
        <w:trPr>
          <w:trHeight w:val="49"/>
        </w:trPr>
        <w:tc>
          <w:tcPr>
            <w:tcW w:w="7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220" w:type="dxa"/>
            <w:vAlign w:val="bottom"/>
          </w:tcPr>
          <w:p>
            <w:pPr>
              <w:ind w:left="300"/>
              <w:spacing w:after="0"/>
              <w:rPr>
                <w:sz w:val="20"/>
                <w:szCs w:val="20"/>
                <w:color w:val="auto"/>
              </w:rPr>
            </w:pPr>
            <w:r>
              <w:rPr>
                <w:rFonts w:ascii="Arial" w:cs="Arial" w:eastAsia="Arial" w:hAnsi="Arial"/>
                <w:sz w:val="15"/>
                <w:szCs w:val="15"/>
                <w:color w:val="auto"/>
              </w:rPr>
              <w:t>Accrued expenses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7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22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operating activities</w:t>
            </w:r>
          </w:p>
        </w:tc>
        <w:tc>
          <w:tcPr>
            <w:tcW w:w="10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1"/>
        </w:trPr>
        <w:tc>
          <w:tcPr>
            <w:tcW w:w="7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change in cash</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9"/>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 beginning of the period</w:t>
            </w:r>
          </w:p>
        </w:tc>
        <w:tc>
          <w:tcPr>
            <w:tcW w:w="1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1"/>
        </w:trPr>
        <w:tc>
          <w:tcPr>
            <w:tcW w:w="7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220" w:type="dxa"/>
            <w:vAlign w:val="bottom"/>
            <w:vMerge w:val="restart"/>
          </w:tcPr>
          <w:p>
            <w:pPr>
              <w:spacing w:after="0"/>
              <w:rPr>
                <w:sz w:val="20"/>
                <w:szCs w:val="20"/>
                <w:color w:val="auto"/>
              </w:rPr>
            </w:pPr>
            <w:r>
              <w:rPr>
                <w:rFonts w:ascii="Arial" w:cs="Arial" w:eastAsia="Arial" w:hAnsi="Arial"/>
                <w:sz w:val="15"/>
                <w:szCs w:val="15"/>
                <w:b w:val="1"/>
                <w:bCs w:val="1"/>
                <w:color w:val="auto"/>
              </w:rPr>
              <w:t>Cash - end of the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tcPr>
          <w:p>
            <w:pPr>
              <w:ind w:left="320"/>
              <w:spacing w:after="0"/>
              <w:rPr>
                <w:sz w:val="20"/>
                <w:szCs w:val="20"/>
                <w:color w:val="auto"/>
              </w:rPr>
            </w:pPr>
            <w:r>
              <w:rPr>
                <w:rFonts w:ascii="Arial" w:cs="Arial" w:eastAsia="Arial" w:hAnsi="Arial"/>
                <w:sz w:val="15"/>
                <w:szCs w:val="15"/>
                <w:color w:val="auto"/>
                <w:w w:val="79"/>
              </w:rPr>
              <w:t>—</w:t>
            </w:r>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7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7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72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7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Deferred offering costs paid by Sponsor in exchange for issuance of Class B ordinary shares</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$25,000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9" w:name="page150"/>
    <w:bookmarkEnd w:id="14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ARYA SCIENCES ACQUISITION CORP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FINANCIAL STATEMENTS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1 — Description of Organization and Business Operations</w:t>
      </w:r>
    </w:p>
    <w:p>
      <w:pPr>
        <w:spacing w:after="0" w:line="148" w:lineRule="exact"/>
        <w:rPr>
          <w:sz w:val="20"/>
          <w:szCs w:val="20"/>
          <w:color w:val="auto"/>
        </w:rPr>
      </w:pPr>
    </w:p>
    <w:p>
      <w:pPr>
        <w:ind w:left="600" w:right="779"/>
        <w:spacing w:after="0" w:line="230" w:lineRule="auto"/>
        <w:rPr>
          <w:sz w:val="20"/>
          <w:szCs w:val="20"/>
          <w:color w:val="auto"/>
        </w:rPr>
      </w:pPr>
      <w:r>
        <w:rPr>
          <w:rFonts w:ascii="Arial" w:cs="Arial" w:eastAsia="Arial" w:hAnsi="Arial"/>
          <w:sz w:val="15"/>
          <w:szCs w:val="15"/>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9" w:lineRule="exact"/>
        <w:rPr>
          <w:sz w:val="20"/>
          <w:szCs w:val="20"/>
          <w:color w:val="auto"/>
        </w:rPr>
      </w:pPr>
    </w:p>
    <w:p>
      <w:pPr>
        <w:ind w:left="600" w:right="779"/>
        <w:spacing w:after="0" w:line="229" w:lineRule="auto"/>
        <w:rPr>
          <w:sz w:val="20"/>
          <w:szCs w:val="20"/>
          <w:color w:val="auto"/>
        </w:rPr>
      </w:pPr>
      <w:r>
        <w:rPr>
          <w:rFonts w:ascii="Arial" w:cs="Arial" w:eastAsia="Arial" w:hAnsi="Arial"/>
          <w:sz w:val="15"/>
          <w:szCs w:val="15"/>
          <w:color w:val="auto"/>
        </w:rPr>
        <w:t>As of April 2, 2020, the Company had not commenced any operations. All activity for the period from March 27, 2020 (inception) through April 2,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41" w:lineRule="exact"/>
        <w:rPr>
          <w:sz w:val="20"/>
          <w:szCs w:val="20"/>
          <w:color w:val="auto"/>
        </w:rPr>
      </w:pPr>
    </w:p>
    <w:p>
      <w:pPr>
        <w:ind w:left="600" w:right="619"/>
        <w:spacing w:after="0" w:line="246" w:lineRule="auto"/>
        <w:rPr>
          <w:sz w:val="20"/>
          <w:szCs w:val="20"/>
          <w:color w:val="auto"/>
        </w:rPr>
      </w:pPr>
      <w:r>
        <w:rPr>
          <w:rFonts w:ascii="Arial" w:cs="Arial" w:eastAsia="Arial" w:hAnsi="Arial"/>
          <w:sz w:val="14"/>
          <w:szCs w:val="14"/>
          <w:color w:val="auto"/>
        </w:rPr>
        <w:t>The Company’s sponsor is ARYA Sciences Holdings III, a Cayman Islands exempted limited company (the “Sponsor”). The Company’s ability to commence operations is contingent upon obtaining adequate financial resources through a proposed public offering (the “Proposed Public Offering”) of 12,500,000 Class A ordinary shares (each, a “Public Share” and collectively, the “Public Shares”) at $10.00 per Public Share (or 14,375,000 Public Shares if the underwriters’ over-allotment option is exercised in full), which is discussed in Note 3, and the sale of 450,000 Class A ordinary shares (or 487,500 Class A ordinary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22" w:lineRule="exact"/>
        <w:rPr>
          <w:sz w:val="20"/>
          <w:szCs w:val="20"/>
          <w:color w:val="auto"/>
        </w:rPr>
      </w:pPr>
    </w:p>
    <w:p>
      <w:pPr>
        <w:ind w:left="600" w:right="619"/>
        <w:spacing w:after="0" w:line="227"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Public Share sold in the Proposed Public Offering, including the proceeds from the sale of the Private Placement Shares, will be held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146"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0" w:name="page151"/>
    <w:bookmarkEnd w:id="15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43" w:lineRule="auto"/>
        <w:rPr>
          <w:sz w:val="20"/>
          <w:szCs w:val="20"/>
          <w:color w:val="auto"/>
        </w:rPr>
      </w:pPr>
      <w:r>
        <w:rPr>
          <w:rFonts w:ascii="Arial" w:cs="Arial" w:eastAsia="Arial" w:hAnsi="Arial"/>
          <w:sz w:val="14"/>
          <w:szCs w:val="14"/>
          <w:color w:val="auto"/>
        </w:rPr>
        <w:t>These Public Shares will be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Subsequent to the consummation of the Proposed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311" w:lineRule="exact"/>
        <w:rPr>
          <w:sz w:val="20"/>
          <w:szCs w:val="20"/>
          <w:color w:val="auto"/>
        </w:rPr>
      </w:pPr>
    </w:p>
    <w:p>
      <w:pPr>
        <w:ind w:left="600" w:right="599"/>
        <w:spacing w:after="0" w:line="229" w:lineRule="auto"/>
        <w:rPr>
          <w:sz w:val="20"/>
          <w:szCs w:val="20"/>
          <w:color w:val="auto"/>
        </w:rPr>
      </w:pPr>
      <w:r>
        <w:rPr>
          <w:rFonts w:ascii="Arial" w:cs="Arial" w:eastAsia="Arial" w:hAnsi="Arial"/>
          <w:sz w:val="15"/>
          <w:szCs w:val="15"/>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Proposed Public Offering, without the prior consent of the Company.</w:t>
      </w:r>
    </w:p>
    <w:p>
      <w:pPr>
        <w:spacing w:after="0" w:line="139" w:lineRule="exact"/>
        <w:rPr>
          <w:sz w:val="20"/>
          <w:szCs w:val="20"/>
          <w:color w:val="auto"/>
        </w:rPr>
      </w:pPr>
    </w:p>
    <w:p>
      <w:pPr>
        <w:ind w:left="600" w:right="619"/>
        <w:spacing w:after="0" w:line="246" w:lineRule="auto"/>
        <w:rPr>
          <w:sz w:val="20"/>
          <w:szCs w:val="20"/>
          <w:color w:val="auto"/>
        </w:rPr>
      </w:pPr>
      <w:r>
        <w:rPr>
          <w:rFonts w:ascii="Arial" w:cs="Arial" w:eastAsia="Arial" w:hAnsi="Arial"/>
          <w:sz w:val="14"/>
          <w:szCs w:val="14"/>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Proposed Public Offering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25" w:lineRule="exact"/>
        <w:rPr>
          <w:sz w:val="20"/>
          <w:szCs w:val="20"/>
          <w:color w:val="auto"/>
        </w:rPr>
      </w:pPr>
    </w:p>
    <w:p>
      <w:pPr>
        <w:ind w:left="600" w:right="639"/>
        <w:spacing w:after="0" w:line="242" w:lineRule="auto"/>
        <w:rPr>
          <w:sz w:val="20"/>
          <w:szCs w:val="20"/>
          <w:color w:val="auto"/>
        </w:rPr>
      </w:pPr>
      <w:r>
        <w:rPr>
          <w:rFonts w:ascii="Arial" w:cs="Arial" w:eastAsia="Arial" w:hAnsi="Arial"/>
          <w:sz w:val="14"/>
          <w:szCs w:val="14"/>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w:t>
      </w:r>
    </w:p>
    <w:p>
      <w:pPr>
        <w:spacing w:after="0" w:line="4" w:lineRule="exact"/>
        <w:rPr>
          <w:sz w:val="20"/>
          <w:szCs w:val="20"/>
          <w:color w:val="auto"/>
        </w:rPr>
      </w:pPr>
    </w:p>
    <w:p>
      <w:pPr>
        <w:ind w:left="600" w:right="699" w:hanging="5"/>
        <w:spacing w:after="0" w:line="231" w:lineRule="auto"/>
        <w:tabs>
          <w:tab w:leader="none" w:pos="837" w:val="left"/>
        </w:tabs>
        <w:numPr>
          <w:ilvl w:val="0"/>
          <w:numId w:val="39"/>
        </w:numPr>
        <w:rPr>
          <w:rFonts w:ascii="Arial" w:cs="Arial" w:eastAsia="Arial" w:hAnsi="Arial"/>
          <w:sz w:val="15"/>
          <w:szCs w:val="15"/>
          <w:color w:val="auto"/>
        </w:rPr>
      </w:pPr>
      <w:r>
        <w:rPr>
          <w:rFonts w:ascii="Arial" w:cs="Arial" w:eastAsia="Arial" w:hAnsi="Arial"/>
          <w:sz w:val="15"/>
          <w:szCs w:val="15"/>
          <w:color w:val="auto"/>
        </w:rPr>
        <w:t>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39" w:lineRule="exact"/>
        <w:rPr>
          <w:sz w:val="20"/>
          <w:szCs w:val="20"/>
          <w:color w:val="auto"/>
        </w:rPr>
      </w:pPr>
    </w:p>
    <w:p>
      <w:pPr>
        <w:ind w:left="600" w:right="799"/>
        <w:spacing w:after="0" w:line="231" w:lineRule="auto"/>
        <w:rPr>
          <w:sz w:val="20"/>
          <w:szCs w:val="20"/>
          <w:color w:val="auto"/>
        </w:rPr>
      </w:pPr>
      <w:r>
        <w:rPr>
          <w:rFonts w:ascii="Arial" w:cs="Arial" w:eastAsia="Arial" w:hAnsi="Arial"/>
          <w:sz w:val="15"/>
          <w:szCs w:val="15"/>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Proposed Public Offering, they will be entitled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1" w:name="page152"/>
    <w:bookmarkEnd w:id="151"/>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19"/>
        <w:spacing w:after="0" w:line="242" w:lineRule="auto"/>
        <w:rPr>
          <w:sz w:val="20"/>
          <w:szCs w:val="20"/>
          <w:color w:val="auto"/>
        </w:rPr>
      </w:pPr>
      <w:r>
        <w:rPr>
          <w:rFonts w:ascii="Arial" w:cs="Arial" w:eastAsia="Arial" w:hAnsi="Arial"/>
          <w:sz w:val="14"/>
          <w:szCs w:val="14"/>
          <w:color w:val="auto"/>
        </w:rPr>
        <w:t>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w:t>
      </w:r>
    </w:p>
    <w:p>
      <w:pPr>
        <w:spacing w:after="0" w:line="5" w:lineRule="exact"/>
        <w:rPr>
          <w:sz w:val="20"/>
          <w:szCs w:val="20"/>
          <w:color w:val="auto"/>
        </w:rPr>
      </w:pPr>
    </w:p>
    <w:p>
      <w:pPr>
        <w:ind w:left="600" w:right="679" w:hanging="5"/>
        <w:spacing w:after="0" w:line="229" w:lineRule="auto"/>
        <w:tabs>
          <w:tab w:leader="none" w:pos="772" w:val="left"/>
        </w:tabs>
        <w:numPr>
          <w:ilvl w:val="0"/>
          <w:numId w:val="40"/>
        </w:numPr>
        <w:rPr>
          <w:rFonts w:ascii="Arial" w:cs="Arial" w:eastAsia="Arial" w:hAnsi="Arial"/>
          <w:sz w:val="15"/>
          <w:szCs w:val="15"/>
          <w:color w:val="auto"/>
        </w:rPr>
      </w:pPr>
      <w:r>
        <w:rPr>
          <w:rFonts w:ascii="Arial" w:cs="Arial" w:eastAsia="Arial" w:hAnsi="Arial"/>
          <w:sz w:val="15"/>
          <w:szCs w:val="15"/>
          <w:color w:val="auto"/>
        </w:rPr>
        <w:t>$10.00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w:t>
      </w:r>
    </w:p>
    <w:p>
      <w:pPr>
        <w:spacing w:after="0" w:line="141"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2 — Summary of Significant Accounting Policies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43" w:lineRule="exact"/>
        <w:rPr>
          <w:sz w:val="20"/>
          <w:szCs w:val="20"/>
          <w:color w:val="auto"/>
        </w:rPr>
      </w:pPr>
    </w:p>
    <w:p>
      <w:pPr>
        <w:ind w:left="600" w:right="699"/>
        <w:spacing w:after="0" w:line="267" w:lineRule="auto"/>
        <w:rPr>
          <w:sz w:val="20"/>
          <w:szCs w:val="20"/>
          <w:color w:val="auto"/>
        </w:rPr>
      </w:pPr>
      <w:r>
        <w:rPr>
          <w:rFonts w:ascii="Arial" w:cs="Arial" w:eastAsia="Arial" w:hAnsi="Arial"/>
          <w:sz w:val="14"/>
          <w:szCs w:val="14"/>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07"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The Company does not have sufficient liquidity to meet its anticipated obligations over the next year from the date of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at which time the Company will have sufficient working capital, or one year from the issuance of these financial statements.</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Emerging Growth Company</w:t>
      </w:r>
    </w:p>
    <w:p>
      <w:pPr>
        <w:spacing w:after="0" w:line="43" w:lineRule="exact"/>
        <w:rPr>
          <w:sz w:val="20"/>
          <w:szCs w:val="20"/>
          <w:color w:val="auto"/>
        </w:rPr>
      </w:pPr>
    </w:p>
    <w:p>
      <w:pPr>
        <w:ind w:left="600" w:right="619"/>
        <w:spacing w:after="0" w:line="245" w:lineRule="auto"/>
        <w:rPr>
          <w:sz w:val="20"/>
          <w:szCs w:val="20"/>
          <w:color w:val="auto"/>
        </w:rPr>
      </w:pPr>
      <w:r>
        <w:rPr>
          <w:rFonts w:ascii="Arial" w:cs="Arial" w:eastAsia="Arial" w:hAnsi="Arial"/>
          <w:sz w:val="14"/>
          <w:szCs w:val="14"/>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Net Loss Per Ordinary Share</w:t>
      </w:r>
    </w:p>
    <w:p>
      <w:pPr>
        <w:spacing w:after="0" w:line="43" w:lineRule="exact"/>
        <w:rPr>
          <w:sz w:val="20"/>
          <w:szCs w:val="20"/>
          <w:color w:val="auto"/>
        </w:rPr>
      </w:pPr>
    </w:p>
    <w:p>
      <w:pPr>
        <w:ind w:left="600" w:right="839"/>
        <w:spacing w:after="0" w:line="231" w:lineRule="auto"/>
        <w:rPr>
          <w:sz w:val="20"/>
          <w:szCs w:val="20"/>
          <w:color w:val="auto"/>
        </w:rPr>
      </w:pPr>
      <w:r>
        <w:rPr>
          <w:rFonts w:ascii="Arial" w:cs="Arial" w:eastAsia="Arial" w:hAnsi="Arial"/>
          <w:sz w:val="15"/>
          <w:szCs w:val="15"/>
          <w:color w:val="auto"/>
        </w:rPr>
        <w:t>The Company complies with accounting and disclosure requirements of FASB ASC Topic 260, “Earnings Per Share.” Net loss per share is computed by dividing net loss by the weighted average number of ordinary shares outstanding during the period. At April 2, 2020, the Company did not have any dilutive securities and other contracts that could, potentially,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2" w:name="page153"/>
    <w:bookmarkEnd w:id="152"/>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659"/>
        <w:spacing w:after="0" w:line="236" w:lineRule="auto"/>
        <w:rPr>
          <w:sz w:val="20"/>
          <w:szCs w:val="20"/>
          <w:color w:val="auto"/>
        </w:rPr>
      </w:pPr>
      <w:r>
        <w:rPr>
          <w:rFonts w:ascii="Arial" w:cs="Arial" w:eastAsia="Arial" w:hAnsi="Arial"/>
          <w:sz w:val="15"/>
          <w:szCs w:val="15"/>
          <w:color w:val="auto"/>
        </w:rPr>
        <w:t>exercised or converted into ordinary shares and then share in the earnings of the Company. As a result, diluted loss per share is the same as basic loss per share for the period presented.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43" w:lineRule="exact"/>
        <w:rPr>
          <w:sz w:val="20"/>
          <w:szCs w:val="20"/>
          <w:color w:val="auto"/>
        </w:rPr>
      </w:pPr>
    </w:p>
    <w:p>
      <w:pPr>
        <w:ind w:left="600" w:right="699"/>
        <w:spacing w:after="0" w:line="231"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Financial Instruments</w:t>
      </w:r>
    </w:p>
    <w:p>
      <w:pPr>
        <w:spacing w:after="0" w:line="43" w:lineRule="exact"/>
        <w:rPr>
          <w:sz w:val="20"/>
          <w:szCs w:val="20"/>
          <w:color w:val="auto"/>
        </w:rPr>
      </w:pPr>
    </w:p>
    <w:p>
      <w:pPr>
        <w:ind w:left="600" w:right="739"/>
        <w:spacing w:after="0" w:line="267" w:lineRule="auto"/>
        <w:rPr>
          <w:sz w:val="20"/>
          <w:szCs w:val="20"/>
          <w:color w:val="auto"/>
        </w:rPr>
      </w:pPr>
      <w:r>
        <w:rPr>
          <w:rFonts w:ascii="Arial" w:cs="Arial" w:eastAsia="Arial" w:hAnsi="Arial"/>
          <w:sz w:val="14"/>
          <w:szCs w:val="14"/>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32"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Deferred Offering Costs Associated with the Proposed Public Offering</w:t>
      </w:r>
    </w:p>
    <w:p>
      <w:pPr>
        <w:spacing w:after="0" w:line="43" w:lineRule="exact"/>
        <w:rPr>
          <w:sz w:val="20"/>
          <w:szCs w:val="20"/>
          <w:color w:val="auto"/>
        </w:rPr>
      </w:pPr>
    </w:p>
    <w:p>
      <w:pPr>
        <w:ind w:left="600" w:right="619"/>
        <w:spacing w:after="0" w:line="231" w:lineRule="auto"/>
        <w:rPr>
          <w:sz w:val="20"/>
          <w:szCs w:val="20"/>
          <w:color w:val="auto"/>
        </w:rPr>
      </w:pPr>
      <w:r>
        <w:rPr>
          <w:rFonts w:ascii="Arial" w:cs="Arial" w:eastAsia="Arial" w:hAnsi="Arial"/>
          <w:sz w:val="15"/>
          <w:szCs w:val="15"/>
          <w:color w:val="auto"/>
        </w:rPr>
        <w:t>Deferred offering costs consist of legal, accounting, underwriting fees and other costs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Income Taxes</w:t>
      </w:r>
    </w:p>
    <w:p>
      <w:pPr>
        <w:spacing w:after="0" w:line="43" w:lineRule="exact"/>
        <w:rPr>
          <w:sz w:val="20"/>
          <w:szCs w:val="20"/>
          <w:color w:val="auto"/>
        </w:rPr>
      </w:pPr>
    </w:p>
    <w:p>
      <w:pPr>
        <w:ind w:left="600" w:right="739"/>
        <w:spacing w:after="0" w:line="229" w:lineRule="auto"/>
        <w:rPr>
          <w:sz w:val="20"/>
          <w:szCs w:val="20"/>
          <w:color w:val="auto"/>
        </w:rPr>
      </w:pPr>
      <w:r>
        <w:rPr>
          <w:rFonts w:ascii="Arial" w:cs="Arial" w:eastAsia="Arial" w:hAnsi="Arial"/>
          <w:sz w:val="15"/>
          <w:szCs w:val="15"/>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8" w:lineRule="exact"/>
        <w:rPr>
          <w:sz w:val="20"/>
          <w:szCs w:val="20"/>
          <w:color w:val="auto"/>
        </w:rPr>
      </w:pPr>
    </w:p>
    <w:p>
      <w:pPr>
        <w:ind w:left="600" w:right="659"/>
        <w:spacing w:after="0" w:line="228" w:lineRule="auto"/>
        <w:rPr>
          <w:sz w:val="20"/>
          <w:szCs w:val="20"/>
          <w:color w:val="auto"/>
        </w:rPr>
      </w:pPr>
      <w:r>
        <w:rPr>
          <w:rFonts w:ascii="Arial" w:cs="Arial" w:eastAsia="Arial" w:hAnsi="Arial"/>
          <w:sz w:val="15"/>
          <w:szCs w:val="15"/>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April 2,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March 27, 2020 (inception) through April 2, 2020. The Company is currently not aware of any issues under review that could result in significant payments, accruals or material deviation from its position. The Company is subject to income tax examinations by major taxing authorities since inception. There is currently no taxation imposed on income by the Government of the Cayman Islands. In accordance with Cayman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43" w:lineRule="exact"/>
        <w:rPr>
          <w:sz w:val="20"/>
          <w:szCs w:val="20"/>
          <w:color w:val="auto"/>
        </w:rPr>
      </w:pPr>
    </w:p>
    <w:p>
      <w:pPr>
        <w:ind w:left="600" w:right="739"/>
        <w:spacing w:after="0" w:line="236" w:lineRule="auto"/>
        <w:rPr>
          <w:sz w:val="20"/>
          <w:szCs w:val="20"/>
          <w:color w:val="auto"/>
        </w:rPr>
      </w:pPr>
      <w:r>
        <w:rPr>
          <w:rFonts w:ascii="Arial" w:cs="Arial" w:eastAsia="Arial" w:hAnsi="Arial"/>
          <w:sz w:val="15"/>
          <w:szCs w:val="15"/>
          <w:color w:val="auto"/>
        </w:rPr>
        <w:t>Management does not believe that any recently issued, but not yet effective, accounting standards if currently adopted would have a material effect on the accompanying financial statements.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3 — Proposed Public Offering</w:t>
      </w:r>
    </w:p>
    <w:p>
      <w:pPr>
        <w:spacing w:after="0" w:line="160" w:lineRule="exact"/>
        <w:rPr>
          <w:sz w:val="20"/>
          <w:szCs w:val="20"/>
          <w:color w:val="auto"/>
        </w:rPr>
      </w:pPr>
    </w:p>
    <w:p>
      <w:pPr>
        <w:ind w:left="600" w:right="819"/>
        <w:spacing w:after="0" w:line="233" w:lineRule="auto"/>
        <w:rPr>
          <w:sz w:val="20"/>
          <w:szCs w:val="20"/>
          <w:color w:val="auto"/>
        </w:rPr>
      </w:pPr>
      <w:r>
        <w:rPr>
          <w:rFonts w:ascii="Arial" w:cs="Arial" w:eastAsia="Arial" w:hAnsi="Arial"/>
          <w:sz w:val="15"/>
          <w:szCs w:val="15"/>
          <w:color w:val="auto"/>
        </w:rPr>
        <w:t>Pursuant to the Proposed Public Offering, the Company intends to offer for sale 12,500,000 Public Shares (or 14,375,000 Public Shares if the underwriter’s over-allotment option is exercised in full) at a price of $10.00 per Public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3" w:name="page154"/>
    <w:bookmarkEnd w:id="153"/>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4 — Related Party Transactions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Founder Shares</w:t>
      </w:r>
    </w:p>
    <w:p>
      <w:pPr>
        <w:spacing w:after="0" w:line="43" w:lineRule="exact"/>
        <w:rPr>
          <w:sz w:val="20"/>
          <w:szCs w:val="20"/>
          <w:color w:val="auto"/>
        </w:rPr>
      </w:pPr>
    </w:p>
    <w:p>
      <w:pPr>
        <w:ind w:left="600" w:right="599"/>
        <w:spacing w:after="0" w:line="227" w:lineRule="auto"/>
        <w:rPr>
          <w:sz w:val="20"/>
          <w:szCs w:val="20"/>
          <w:color w:val="auto"/>
        </w:rPr>
      </w:pPr>
      <w:r>
        <w:rPr>
          <w:rFonts w:ascii="Arial" w:cs="Arial" w:eastAsia="Arial" w:hAnsi="Arial"/>
          <w:sz w:val="15"/>
          <w:szCs w:val="15"/>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The Sponsor has agreed to forfeit up to 468,750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ordinary shares (excluding the Private Placement Shares and assuming the initial shareholders do not purchase any Public Shares in the Proposed Public Offering) after the Proposed Public Offering. If the Company increases or decreases the size of the offering, the Company will effect a share dividend or share contribution back to capital, as applicable, immediately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 (excluding the Private Placement Shares). The initial shareholders will agree,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Private Placement Share</w:t>
      </w:r>
    </w:p>
    <w:p>
      <w:pPr>
        <w:spacing w:after="0" w:line="43" w:lineRule="exact"/>
        <w:rPr>
          <w:sz w:val="20"/>
          <w:szCs w:val="20"/>
          <w:color w:val="auto"/>
        </w:rPr>
      </w:pPr>
    </w:p>
    <w:p>
      <w:pPr>
        <w:ind w:left="600" w:right="679"/>
        <w:spacing w:after="0" w:line="248" w:lineRule="auto"/>
        <w:rPr>
          <w:sz w:val="20"/>
          <w:szCs w:val="20"/>
          <w:color w:val="auto"/>
        </w:rPr>
      </w:pPr>
      <w:r>
        <w:rPr>
          <w:rFonts w:ascii="Arial" w:cs="Arial" w:eastAsia="Arial" w:hAnsi="Arial"/>
          <w:sz w:val="14"/>
          <w:szCs w:val="14"/>
          <w:color w:val="auto"/>
        </w:rPr>
        <w:t>The Sponsor will agree to purchase an aggregate of 450,000 Private Placement Shares (or 487,500 Private Placement Shares if the underwriters’ over-allotment option is exercised in full), at a price of $10.00 per Private Placement Share ($4.5 million in the aggregate, or $4.875 million if the underwriters’ over-allotment option is exercised in full) in a private placement that will occur simultaneously with the closing of the Proposed Public Offering. The Private Placement Shares will not be transferable or salable until 30 days after the completion of the initial Business Combination.</w:t>
      </w:r>
    </w:p>
    <w:p>
      <w:pPr>
        <w:spacing w:after="0" w:line="134" w:lineRule="exact"/>
        <w:rPr>
          <w:sz w:val="20"/>
          <w:szCs w:val="20"/>
          <w:color w:val="auto"/>
        </w:rPr>
      </w:pPr>
    </w:p>
    <w:p>
      <w:pPr>
        <w:ind w:left="600" w:right="619"/>
        <w:spacing w:after="0" w:line="233" w:lineRule="auto"/>
        <w:rPr>
          <w:sz w:val="20"/>
          <w:szCs w:val="20"/>
          <w:color w:val="auto"/>
        </w:rPr>
      </w:pPr>
      <w:r>
        <w:rPr>
          <w:rFonts w:ascii="Arial" w:cs="Arial" w:eastAsia="Arial" w:hAnsi="Arial"/>
          <w:sz w:val="15"/>
          <w:szCs w:val="15"/>
          <w:color w:val="auto"/>
        </w:rPr>
        <w:t>The proceeds from the Private Placement Shares will be added to the proceeds from the Proposed Public Offering to be held in the Trust Account. If the Company does not complete a Business Combination within the Combination Period, the Private Placement Shares</w:t>
      </w:r>
    </w:p>
    <w:p>
      <w:pPr>
        <w:spacing w:after="0" w:line="126" w:lineRule="exact"/>
        <w:rPr>
          <w:sz w:val="20"/>
          <w:szCs w:val="20"/>
          <w:color w:val="auto"/>
        </w:rPr>
      </w:pPr>
    </w:p>
    <w:p>
      <w:pPr>
        <w:ind w:left="600" w:right="619"/>
        <w:spacing w:after="0" w:line="236" w:lineRule="auto"/>
        <w:rPr>
          <w:sz w:val="20"/>
          <w:szCs w:val="20"/>
          <w:color w:val="auto"/>
        </w:rPr>
      </w:pPr>
      <w:r>
        <w:rPr>
          <w:rFonts w:ascii="Arial" w:cs="Arial" w:eastAsia="Arial" w:hAnsi="Arial"/>
          <w:sz w:val="15"/>
          <w:szCs w:val="15"/>
          <w:color w:val="auto"/>
        </w:rPr>
        <w:t>The Sponsor and the Company’s officers and directors will agree, subject to limited exceptions, not to transfer, assign or sell any of their Private Placement Shares until 30 days after the completion of the initial Business Combination.</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43" w:lineRule="exact"/>
        <w:rPr>
          <w:sz w:val="20"/>
          <w:szCs w:val="20"/>
          <w:color w:val="auto"/>
        </w:rPr>
      </w:pPr>
    </w:p>
    <w:p>
      <w:pPr>
        <w:ind w:left="600" w:right="639"/>
        <w:spacing w:after="0" w:line="230" w:lineRule="auto"/>
        <w:rPr>
          <w:sz w:val="20"/>
          <w:szCs w:val="20"/>
          <w:color w:val="auto"/>
        </w:rPr>
      </w:pPr>
      <w:r>
        <w:rPr>
          <w:rFonts w:ascii="Arial" w:cs="Arial" w:eastAsia="Arial" w:hAnsi="Arial"/>
          <w:sz w:val="15"/>
          <w:szCs w:val="15"/>
          <w:color w:val="auto"/>
        </w:rPr>
        <w:t>On April 2, 2020, the Sponsor agreed to loan the Company an aggregate of up to $300,000 to cover for expenses related to the Proposed Public Offering pursuant to a promissory note (the “Note”). This loan is non-interest bearing and payable on the earlier of December 31, 2020 and the completion of the Proposed Public Offering. As of April 2, 2020, the Company has not borrowed any amount under the Note. Subsequent to April 2, 2020, the Company fully borrowed $200,000 under the Note.</w:t>
      </w:r>
    </w:p>
    <w:p>
      <w:pPr>
        <w:spacing w:after="0" w:line="128"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4" w:name="page155"/>
    <w:bookmarkEnd w:id="154"/>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859"/>
        <w:spacing w:after="0" w:line="233" w:lineRule="auto"/>
        <w:rPr>
          <w:sz w:val="20"/>
          <w:szCs w:val="20"/>
          <w:color w:val="auto"/>
        </w:rPr>
      </w:pPr>
      <w:r>
        <w:rPr>
          <w:rFonts w:ascii="Arial" w:cs="Arial" w:eastAsia="Arial" w:hAnsi="Arial"/>
          <w:sz w:val="15"/>
          <w:szCs w:val="15"/>
          <w:color w:val="auto"/>
        </w:rPr>
        <w:t>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Administrative Support Agreement</w:t>
      </w:r>
    </w:p>
    <w:p>
      <w:pPr>
        <w:spacing w:after="0" w:line="43" w:lineRule="exact"/>
        <w:rPr>
          <w:sz w:val="20"/>
          <w:szCs w:val="20"/>
          <w:color w:val="auto"/>
        </w:rPr>
      </w:pPr>
    </w:p>
    <w:p>
      <w:pPr>
        <w:ind w:left="600" w:right="659"/>
        <w:spacing w:after="0" w:line="231" w:lineRule="auto"/>
        <w:rPr>
          <w:sz w:val="20"/>
          <w:szCs w:val="20"/>
          <w:color w:val="auto"/>
        </w:rPr>
      </w:pPr>
      <w:r>
        <w:rPr>
          <w:rFonts w:ascii="Arial" w:cs="Arial" w:eastAsia="Arial" w:hAnsi="Arial"/>
          <w:sz w:val="15"/>
          <w:szCs w:val="15"/>
          <w:color w:val="auto"/>
        </w:rPr>
        <w:t>Commencing on the date that the Company’s securities are first listed on the Nasdaq through the earlier of consummation of the initial Business Combination and the Company’s liquidation, the Company will reimburse the Sponsor for office space, secretarial and administrative services provided to the Company in the amount of $10,000 per month.</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Forward Purchase Arrangement</w:t>
      </w:r>
    </w:p>
    <w:p>
      <w:pPr>
        <w:spacing w:after="0" w:line="43" w:lineRule="exact"/>
        <w:rPr>
          <w:sz w:val="20"/>
          <w:szCs w:val="20"/>
          <w:color w:val="auto"/>
        </w:rPr>
      </w:pPr>
    </w:p>
    <w:p>
      <w:pPr>
        <w:ind w:left="600" w:right="659"/>
        <w:spacing w:after="0" w:line="230" w:lineRule="auto"/>
        <w:rPr>
          <w:sz w:val="20"/>
          <w:szCs w:val="20"/>
          <w:color w:val="auto"/>
        </w:rPr>
      </w:pPr>
      <w:r>
        <w:rPr>
          <w:rFonts w:ascii="Arial" w:cs="Arial" w:eastAsia="Arial" w:hAnsi="Arial"/>
          <w:sz w:val="15"/>
          <w:szCs w:val="15"/>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5 — Commitments &amp; Contingencies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43" w:lineRule="exact"/>
        <w:rPr>
          <w:sz w:val="20"/>
          <w:szCs w:val="20"/>
          <w:color w:val="auto"/>
        </w:rPr>
      </w:pPr>
    </w:p>
    <w:p>
      <w:pPr>
        <w:ind w:left="600" w:right="619"/>
        <w:spacing w:after="0" w:line="228" w:lineRule="auto"/>
        <w:rPr>
          <w:sz w:val="20"/>
          <w:szCs w:val="20"/>
          <w:color w:val="auto"/>
        </w:rPr>
      </w:pPr>
      <w:r>
        <w:rPr>
          <w:rFonts w:ascii="Arial" w:cs="Arial" w:eastAsia="Arial" w:hAnsi="Arial"/>
          <w:sz w:val="15"/>
          <w:szCs w:val="15"/>
          <w:color w:val="auto"/>
        </w:rPr>
        <w:t>The holders of Founder Shares, Private Placement Shares and Private Placement Shares that may be issued upon conversion of working capital loans, will be entitled to registration rights pursuant to a registration and shareholder rights agreement to be signed upon consummation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 s Business Combination. The Company will bear the expenses incurred in connection with the filing of any such registration statements.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Underwriting Agreement</w:t>
      </w:r>
    </w:p>
    <w:p>
      <w:pPr>
        <w:spacing w:after="0" w:line="43" w:lineRule="exact"/>
        <w:rPr>
          <w:sz w:val="20"/>
          <w:szCs w:val="20"/>
          <w:color w:val="auto"/>
        </w:rPr>
      </w:pPr>
    </w:p>
    <w:p>
      <w:pPr>
        <w:ind w:left="600" w:right="819"/>
        <w:spacing w:after="0" w:line="233" w:lineRule="auto"/>
        <w:rPr>
          <w:sz w:val="20"/>
          <w:szCs w:val="20"/>
          <w:color w:val="auto"/>
        </w:rPr>
      </w:pPr>
      <w:r>
        <w:rPr>
          <w:rFonts w:ascii="Arial" w:cs="Arial" w:eastAsia="Arial" w:hAnsi="Arial"/>
          <w:sz w:val="15"/>
          <w:szCs w:val="15"/>
          <w:color w:val="auto"/>
        </w:rPr>
        <w:t>The Company will grant the underwriters a 45-day option from the final prospectus relating to the Proposed Public Offering to purchase up to 1,875,000 additional Public Shares to cover over-allotments, if any, at the Proposed Public Offering price less the underwriting discounts and commissions.</w:t>
      </w:r>
    </w:p>
    <w:p>
      <w:pPr>
        <w:spacing w:after="0" w:line="138" w:lineRule="exact"/>
        <w:rPr>
          <w:sz w:val="20"/>
          <w:szCs w:val="20"/>
          <w:color w:val="auto"/>
        </w:rPr>
      </w:pPr>
    </w:p>
    <w:p>
      <w:pPr>
        <w:ind w:left="600" w:right="699"/>
        <w:spacing w:after="0" w:line="229" w:lineRule="auto"/>
        <w:rPr>
          <w:sz w:val="20"/>
          <w:szCs w:val="20"/>
          <w:color w:val="auto"/>
        </w:rPr>
      </w:pPr>
      <w:r>
        <w:rPr>
          <w:rFonts w:ascii="Arial" w:cs="Arial" w:eastAsia="Arial" w:hAnsi="Arial"/>
          <w:sz w:val="15"/>
          <w:szCs w:val="15"/>
          <w:color w:val="auto"/>
        </w:rPr>
        <w:t>The underwriters will be entitled to an underwriting discount of $0.20 per Public Share, or $2.5 million in the aggregate (or $2.875 million in the aggregate if the underwriters’ over-allotment option is exercised in full), payable upon the closing of the Proposed Public Offering. In addition, $0.35 per Public Share, or approximately $4.375 million in the aggregate (or approximately $5.03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43"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6 — Shareholder’s Equity</w:t>
      </w:r>
    </w:p>
    <w:p>
      <w:pPr>
        <w:spacing w:after="0" w:line="142" w:lineRule="exact"/>
        <w:rPr>
          <w:sz w:val="20"/>
          <w:szCs w:val="20"/>
          <w:color w:val="auto"/>
        </w:rPr>
      </w:pPr>
    </w:p>
    <w:p>
      <w:pPr>
        <w:ind w:left="600" w:right="999"/>
        <w:spacing w:after="0" w:line="293" w:lineRule="auto"/>
        <w:rPr>
          <w:sz w:val="20"/>
          <w:szCs w:val="20"/>
          <w:color w:val="auto"/>
        </w:rPr>
      </w:pPr>
      <w:r>
        <w:rPr>
          <w:rFonts w:ascii="Arial" w:cs="Arial" w:eastAsia="Arial" w:hAnsi="Arial"/>
          <w:sz w:val="14"/>
          <w:szCs w:val="14"/>
          <w:b w:val="1"/>
          <w:bCs w:val="1"/>
          <w:i w:val="1"/>
          <w:iCs w:val="1"/>
          <w:color w:val="auto"/>
        </w:rPr>
        <w:t xml:space="preserve">Class A Ordinary Shares — </w:t>
      </w:r>
      <w:r>
        <w:rPr>
          <w:rFonts w:ascii="Arial" w:cs="Arial" w:eastAsia="Arial" w:hAnsi="Arial"/>
          <w:sz w:val="14"/>
          <w:szCs w:val="14"/>
          <w:color w:val="auto"/>
        </w:rPr>
        <w:t>The Company is authorized to issue 479,000,000 Class A ordinary shares with a par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of $0.0001 per share. As of April 2, 2020, there were no Class A ordinary shares issued or outstanding.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5" w:name="page156"/>
    <w:bookmarkEnd w:id="155"/>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3" w:lineRule="exact"/>
        <w:rPr>
          <w:sz w:val="20"/>
          <w:szCs w:val="20"/>
          <w:color w:val="auto"/>
        </w:rPr>
      </w:pPr>
    </w:p>
    <w:p>
      <w:pPr>
        <w:ind w:left="600" w:right="659"/>
        <w:spacing w:after="0" w:line="239" w:lineRule="auto"/>
        <w:rPr>
          <w:sz w:val="20"/>
          <w:szCs w:val="20"/>
          <w:color w:val="auto"/>
        </w:rPr>
      </w:pPr>
      <w:r>
        <w:rPr>
          <w:rFonts w:ascii="Arial" w:cs="Arial" w:eastAsia="Arial" w:hAnsi="Arial"/>
          <w:sz w:val="15"/>
          <w:szCs w:val="15"/>
          <w:b w:val="1"/>
          <w:bCs w:val="1"/>
          <w:i w:val="1"/>
          <w:iCs w:val="1"/>
          <w:color w:val="auto"/>
        </w:rPr>
        <w:t xml:space="preserve">Class B Ordinary Shares — </w:t>
      </w:r>
      <w:r>
        <w:rPr>
          <w:rFonts w:ascii="Arial" w:cs="Arial" w:eastAsia="Arial" w:hAnsi="Arial"/>
          <w:sz w:val="15"/>
          <w:szCs w:val="15"/>
          <w:color w:val="auto"/>
        </w:rPr>
        <w:t>The Company is authorized to issue 20,000,000 Class B ordinary shares with a par value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$0.0001 per share. On April 2, 2020, the Company issued 3,593,750 Class B ordinary shares. Of the</w:t>
      </w:r>
    </w:p>
    <w:p>
      <w:pPr>
        <w:ind w:left="600" w:right="679"/>
        <w:spacing w:after="0" w:line="230" w:lineRule="auto"/>
        <w:rPr>
          <w:sz w:val="20"/>
          <w:szCs w:val="20"/>
          <w:color w:val="auto"/>
        </w:rPr>
      </w:pPr>
      <w:r>
        <w:rPr>
          <w:rFonts w:ascii="Arial" w:cs="Arial" w:eastAsia="Arial" w:hAnsi="Arial"/>
          <w:sz w:val="15"/>
          <w:szCs w:val="15"/>
          <w:color w:val="auto"/>
        </w:rPr>
        <w:t>3,593,750 Class B ordinary shares outstanding, an aggregate of up to 468,750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(excluding the Private Placement Shares and assuming the initial shareholders do not purchase any shares in the Proposed Public Offering) (See Note 4).</w:t>
      </w:r>
    </w:p>
    <w:p>
      <w:pPr>
        <w:spacing w:after="0" w:line="139" w:lineRule="exact"/>
        <w:rPr>
          <w:sz w:val="20"/>
          <w:szCs w:val="20"/>
          <w:color w:val="auto"/>
        </w:rPr>
      </w:pPr>
    </w:p>
    <w:p>
      <w:pPr>
        <w:ind w:left="600" w:right="619"/>
        <w:spacing w:after="0" w:line="230" w:lineRule="auto"/>
        <w:rPr>
          <w:sz w:val="20"/>
          <w:szCs w:val="20"/>
          <w:color w:val="auto"/>
        </w:rPr>
      </w:pPr>
      <w:r>
        <w:rPr>
          <w:rFonts w:ascii="Arial" w:cs="Arial" w:eastAsia="Arial" w:hAnsi="Arial"/>
          <w:sz w:val="15"/>
          <w:szCs w:val="15"/>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9" w:lineRule="exact"/>
        <w:rPr>
          <w:sz w:val="20"/>
          <w:szCs w:val="20"/>
          <w:color w:val="auto"/>
        </w:rPr>
      </w:pPr>
    </w:p>
    <w:p>
      <w:pPr>
        <w:ind w:left="600" w:right="679"/>
        <w:spacing w:after="0" w:line="228" w:lineRule="auto"/>
        <w:rPr>
          <w:sz w:val="20"/>
          <w:szCs w:val="20"/>
          <w:color w:val="auto"/>
        </w:rPr>
      </w:pPr>
      <w:r>
        <w:rPr>
          <w:rFonts w:ascii="Arial" w:cs="Arial" w:eastAsia="Arial" w:hAnsi="Arial"/>
          <w:sz w:val="15"/>
          <w:szCs w:val="15"/>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Proposed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10" w:lineRule="exact"/>
        <w:rPr>
          <w:sz w:val="20"/>
          <w:szCs w:val="20"/>
          <w:color w:val="auto"/>
        </w:rPr>
      </w:pPr>
    </w:p>
    <w:p>
      <w:pPr>
        <w:ind w:left="600" w:right="639"/>
        <w:spacing w:after="0" w:line="242" w:lineRule="auto"/>
        <w:rPr>
          <w:sz w:val="20"/>
          <w:szCs w:val="20"/>
          <w:color w:val="auto"/>
        </w:rPr>
      </w:pPr>
      <w:r>
        <w:rPr>
          <w:rFonts w:ascii="Arial" w:cs="Arial" w:eastAsia="Arial" w:hAnsi="Arial"/>
          <w:sz w:val="15"/>
          <w:szCs w:val="15"/>
          <w:b w:val="1"/>
          <w:bCs w:val="1"/>
          <w:i w:val="1"/>
          <w:iCs w:val="1"/>
          <w:color w:val="auto"/>
        </w:rPr>
        <w:t xml:space="preserve">Preference Shares — </w:t>
      </w:r>
      <w:r>
        <w:rPr>
          <w:rFonts w:ascii="Arial" w:cs="Arial" w:eastAsia="Arial" w:hAnsi="Arial"/>
          <w:sz w:val="15"/>
          <w:szCs w:val="15"/>
          <w:color w:val="auto"/>
        </w:rPr>
        <w:t>The Company is authorized to issue 1,000,000 preference shares with such designations,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rights and preferences as may be determined from time to time by the Company’s board of directors. As of April 2, 2020, there were no preference shares issued or outstanding.</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Note 7 — Subsequent Events</w:t>
      </w:r>
    </w:p>
    <w:p>
      <w:pPr>
        <w:spacing w:after="0" w:line="148" w:lineRule="exact"/>
        <w:rPr>
          <w:sz w:val="20"/>
          <w:szCs w:val="20"/>
          <w:color w:val="auto"/>
        </w:rPr>
      </w:pPr>
    </w:p>
    <w:p>
      <w:pPr>
        <w:ind w:left="600" w:right="619"/>
        <w:spacing w:after="0" w:line="229" w:lineRule="auto"/>
        <w:rPr>
          <w:sz w:val="20"/>
          <w:szCs w:val="20"/>
          <w:color w:val="auto"/>
        </w:rPr>
      </w:pPr>
      <w:r>
        <w:rPr>
          <w:rFonts w:ascii="Arial" w:cs="Arial" w:eastAsia="Arial" w:hAnsi="Arial"/>
          <w:sz w:val="15"/>
          <w:szCs w:val="15"/>
          <w:color w:val="auto"/>
        </w:rPr>
        <w:t>Subsequent to April 2, 2020, the Company fully borrowed $200,000 under the Note. In July 2020, the Sponsor transferred an aggregate of 90,000 Founder Shares to the Company’s independent director nominees. Management has evaluated subsequent events to determine if events or transactions occurring through July 29, 2020, the date the financial statements were available for issuance, require potential adjustment to or disclosure in the financial statements and has concluded that, except as noted above, all such events that would require recognition or disclosure have been recognized or disclosed.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103505</wp:posOffset>
            </wp:positionV>
            <wp:extent cx="6028055"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6" w:name="page157"/>
    <w:bookmarkEnd w:id="156"/>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80010</wp:posOffset>
            </wp:positionV>
            <wp:extent cx="4964430"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64430" cy="2222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146685</wp:posOffset>
            </wp:positionV>
            <wp:extent cx="496443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12,500,000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685165</wp:posOffset>
            </wp:positionV>
            <wp:extent cx="16548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548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PRELIMINARY PROSPECTUS</w:t>
      </w:r>
    </w:p>
    <w:p>
      <w:pPr>
        <w:spacing w:after="0" w:line="200"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103505</wp:posOffset>
            </wp:positionV>
            <wp:extent cx="16548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548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Joint Book-Running Managers</w:t>
      </w:r>
    </w:p>
    <w:p>
      <w:pPr>
        <w:spacing w:after="0" w:line="221" w:lineRule="exact"/>
        <w:rPr>
          <w:sz w:val="20"/>
          <w:szCs w:val="20"/>
          <w:color w:val="auto"/>
        </w:rPr>
      </w:pPr>
    </w:p>
    <w:p>
      <w:pPr>
        <w:jc w:val="both"/>
        <w:ind w:left="1940"/>
        <w:spacing w:after="0"/>
        <w:tabs>
          <w:tab w:leader="none" w:pos="4720" w:val="left"/>
        </w:tabs>
        <w:rPr>
          <w:sz w:val="20"/>
          <w:szCs w:val="20"/>
          <w:color w:val="auto"/>
        </w:rPr>
      </w:pPr>
      <w:r>
        <w:rPr>
          <w:rFonts w:ascii="Arial" w:cs="Arial" w:eastAsia="Arial" w:hAnsi="Arial"/>
          <w:sz w:val="28"/>
          <w:szCs w:val="28"/>
          <w:b w:val="1"/>
          <w:bCs w:val="1"/>
          <w:color w:val="auto"/>
        </w:rPr>
        <w:t>Jefferies</w:t>
      </w:r>
      <w:r>
        <w:rPr>
          <w:sz w:val="20"/>
          <w:szCs w:val="20"/>
          <w:color w:val="auto"/>
        </w:rPr>
        <w:tab/>
      </w:r>
      <w:r>
        <w:rPr>
          <w:rFonts w:ascii="Arial" w:cs="Arial" w:eastAsia="Arial" w:hAnsi="Arial"/>
          <w:sz w:val="28"/>
          <w:szCs w:val="28"/>
          <w:b w:val="1"/>
          <w:bCs w:val="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0" w:right="839"/>
        <w:spacing w:after="0" w:line="231" w:lineRule="auto"/>
        <w:rPr>
          <w:sz w:val="20"/>
          <w:szCs w:val="20"/>
          <w:color w:val="auto"/>
        </w:rPr>
      </w:pPr>
      <w:r>
        <w:rPr>
          <w:rFonts w:ascii="Arial" w:cs="Arial" w:eastAsia="Arial" w:hAnsi="Arial"/>
          <w:sz w:val="15"/>
          <w:szCs w:val="15"/>
          <w:color w:val="auto"/>
        </w:rPr>
        <w:t>Until ,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283845</wp:posOffset>
            </wp:positionV>
            <wp:extent cx="6028055" cy="14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28055" cy="1460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121285</wp:posOffset>
            </wp:positionV>
            <wp:extent cx="496443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64430" cy="762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165100</wp:posOffset>
            </wp:positionV>
            <wp:extent cx="4964430"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64430" cy="2222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57" w:name="page158"/>
    <w:bookmarkEnd w:id="157"/>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79"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Other Expenses of Issuance and Distribution.</w:t>
      </w:r>
    </w:p>
    <w:p>
      <w:pPr>
        <w:spacing w:after="0" w:line="148" w:lineRule="exact"/>
        <w:rPr>
          <w:sz w:val="20"/>
          <w:szCs w:val="20"/>
          <w:color w:val="auto"/>
        </w:rPr>
      </w:pPr>
    </w:p>
    <w:p>
      <w:pPr>
        <w:ind w:left="600" w:right="899"/>
        <w:spacing w:after="0" w:line="236" w:lineRule="auto"/>
        <w:rPr>
          <w:sz w:val="20"/>
          <w:szCs w:val="20"/>
          <w:color w:val="auto"/>
        </w:rPr>
      </w:pPr>
      <w:r>
        <w:rPr>
          <w:rFonts w:ascii="Arial" w:cs="Arial" w:eastAsia="Arial" w:hAnsi="Arial"/>
          <w:sz w:val="15"/>
          <w:szCs w:val="15"/>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600" w:type="dxa"/>
        <w:tblCellMar>
          <w:top w:w="0" w:type="dxa"/>
          <w:left w:w="0" w:type="dxa"/>
          <w:bottom w:w="0" w:type="dxa"/>
          <w:right w:w="0" w:type="dxa"/>
        </w:tblCellMar>
      </w:tblPr>
      <w:tr>
        <w:trPr>
          <w:trHeight w:val="341"/>
        </w:trPr>
        <w:tc>
          <w:tcPr>
            <w:tcW w:w="5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SEC expenses</w:t>
            </w:r>
          </w:p>
        </w:tc>
        <w:tc>
          <w:tcPr>
            <w:tcW w:w="2060" w:type="dxa"/>
            <w:vAlign w:val="bottom"/>
            <w:tcBorders>
              <w:top w:val="single" w:sz="8" w:color="auto"/>
              <w:bottom w:val="single" w:sz="8" w:color="CCEEFF"/>
            </w:tcBorders>
            <w:gridSpan w:val="2"/>
            <w:shd w:val="clear" w:color="auto" w:fill="CCEEFF"/>
          </w:tcPr>
          <w:p>
            <w:pPr>
              <w:ind w:left="1900"/>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18,659</w:t>
            </w: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5"/>
                <w:szCs w:val="15"/>
                <w:color w:val="auto"/>
              </w:rPr>
              <w:t>FINRA expenses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22,063</w:t>
            </w:r>
          </w:p>
        </w:tc>
      </w:tr>
      <w:tr>
        <w:trPr>
          <w:trHeight w:val="49"/>
        </w:trPr>
        <w:tc>
          <w:tcPr>
            <w:tcW w:w="5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9"/>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Accounting fees and expenses</w:t>
            </w:r>
          </w:p>
        </w:tc>
        <w:tc>
          <w:tcPr>
            <w:tcW w:w="1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60,000</w:t>
            </w:r>
          </w:p>
        </w:tc>
      </w:tr>
      <w:tr>
        <w:trPr>
          <w:trHeight w:val="230"/>
        </w:trPr>
        <w:tc>
          <w:tcPr>
            <w:tcW w:w="5100" w:type="dxa"/>
            <w:vAlign w:val="bottom"/>
          </w:tcPr>
          <w:p>
            <w:pPr>
              <w:spacing w:after="0"/>
              <w:rPr>
                <w:sz w:val="20"/>
                <w:szCs w:val="20"/>
                <w:color w:val="auto"/>
              </w:rPr>
            </w:pPr>
            <w:r>
              <w:rPr>
                <w:rFonts w:ascii="Arial" w:cs="Arial" w:eastAsia="Arial" w:hAnsi="Arial"/>
                <w:sz w:val="15"/>
                <w:szCs w:val="15"/>
                <w:color w:val="auto"/>
              </w:rPr>
              <w:t>Printing and engraving expenses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30,000</w:t>
            </w:r>
          </w:p>
        </w:tc>
      </w:tr>
      <w:tr>
        <w:trPr>
          <w:trHeight w:val="49"/>
        </w:trPr>
        <w:tc>
          <w:tcPr>
            <w:tcW w:w="5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9"/>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Travel and road show expenses</w:t>
            </w:r>
          </w:p>
        </w:tc>
        <w:tc>
          <w:tcPr>
            <w:tcW w:w="1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20,000</w:t>
            </w:r>
          </w:p>
        </w:tc>
      </w:tr>
      <w:tr>
        <w:trPr>
          <w:trHeight w:val="230"/>
        </w:trPr>
        <w:tc>
          <w:tcPr>
            <w:tcW w:w="510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325,000</w:t>
            </w:r>
          </w:p>
        </w:tc>
        <w:tc>
          <w:tcPr>
            <w:tcW w:w="60" w:type="dxa"/>
            <w:vAlign w:val="bottom"/>
          </w:tcPr>
          <w:p>
            <w:pPr>
              <w:spacing w:after="0"/>
              <w:rPr>
                <w:sz w:val="20"/>
                <w:szCs w:val="20"/>
                <w:color w:val="auto"/>
              </w:rPr>
            </w:pPr>
          </w:p>
        </w:tc>
      </w:tr>
      <w:tr>
        <w:trPr>
          <w:trHeight w:val="49"/>
        </w:trPr>
        <w:tc>
          <w:tcPr>
            <w:tcW w:w="5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9"/>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Nasdaq listing and filing fees</w:t>
            </w:r>
          </w:p>
        </w:tc>
        <w:tc>
          <w:tcPr>
            <w:tcW w:w="1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55,000</w:t>
            </w:r>
          </w:p>
        </w:tc>
      </w:tr>
      <w:tr>
        <w:trPr>
          <w:trHeight w:val="279"/>
        </w:trPr>
        <w:tc>
          <w:tcPr>
            <w:tcW w:w="5100" w:type="dxa"/>
            <w:vAlign w:val="bottom"/>
          </w:tcPr>
          <w:p>
            <w:pPr>
              <w:spacing w:after="0"/>
              <w:rPr>
                <w:sz w:val="20"/>
                <w:szCs w:val="20"/>
                <w:color w:val="auto"/>
              </w:rPr>
            </w:pPr>
            <w:r>
              <w:rPr>
                <w:rFonts w:ascii="Arial" w:cs="Arial" w:eastAsia="Arial" w:hAnsi="Arial"/>
                <w:sz w:val="15"/>
                <w:szCs w:val="15"/>
                <w:color w:val="auto"/>
              </w:rPr>
              <w:t>Director &amp; Officers liability insurance premiums</w:t>
            </w:r>
            <w:r>
              <w:rPr>
                <w:rFonts w:ascii="Arial" w:cs="Arial" w:eastAsia="Arial" w:hAnsi="Arial"/>
                <w:sz w:val="24"/>
                <w:szCs w:val="24"/>
                <w:color w:val="auto"/>
                <w:vertAlign w:val="superscript"/>
              </w:rPr>
              <w:t>(1)</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125,000</w:t>
            </w:r>
          </w:p>
        </w:tc>
        <w:tc>
          <w:tcPr>
            <w:tcW w:w="60" w:type="dxa"/>
            <w:vAlign w:val="bottom"/>
          </w:tcPr>
          <w:p>
            <w:pPr>
              <w:spacing w:after="0"/>
              <w:rPr>
                <w:sz w:val="24"/>
                <w:szCs w:val="24"/>
                <w:color w:val="auto"/>
              </w:rPr>
            </w:pPr>
          </w:p>
        </w:tc>
      </w:tr>
      <w:tr>
        <w:trPr>
          <w:trHeight w:val="221"/>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Miscellaneous</w:t>
            </w:r>
          </w:p>
        </w:tc>
        <w:tc>
          <w:tcPr>
            <w:tcW w:w="1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344,278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61"/>
        </w:trPr>
        <w:tc>
          <w:tcPr>
            <w:tcW w:w="510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r>
      <w:tr>
        <w:trPr>
          <w:trHeight w:val="244"/>
        </w:trPr>
        <w:tc>
          <w:tcPr>
            <w:tcW w:w="5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w:t>
            </w:r>
          </w:p>
        </w:tc>
        <w:tc>
          <w:tcPr>
            <w:tcW w:w="2660" w:type="dxa"/>
            <w:vAlign w:val="bottom"/>
            <w:tcBorders>
              <w:bottom w:val="single" w:sz="8" w:color="auto"/>
            </w:tcBorders>
            <w:gridSpan w:val="3"/>
          </w:tcPr>
          <w:p>
            <w:pPr>
              <w:ind w:left="1900"/>
              <w:spacing w:after="0"/>
              <w:rPr>
                <w:sz w:val="20"/>
                <w:szCs w:val="20"/>
                <w:color w:val="auto"/>
              </w:rPr>
            </w:pPr>
            <w:r>
              <w:rPr>
                <w:rFonts w:ascii="Arial" w:cs="Arial" w:eastAsia="Arial" w:hAnsi="Arial"/>
                <w:sz w:val="15"/>
                <w:szCs w:val="15"/>
                <w:color w:val="auto"/>
                <w:w w:val="98"/>
              </w:rPr>
              <w:t>$1,000,000</w:t>
            </w:r>
          </w:p>
        </w:tc>
        <w:tc>
          <w:tcPr>
            <w:tcW w:w="60" w:type="dxa"/>
            <w:vAlign w:val="bottom"/>
            <w:tcBorders>
              <w:bottom w:val="single" w:sz="8" w:color="auto"/>
            </w:tcBorders>
          </w:tcPr>
          <w:p>
            <w:pPr>
              <w:spacing w:after="0"/>
              <w:rPr>
                <w:sz w:val="21"/>
                <w:szCs w:val="21"/>
                <w:color w:val="auto"/>
              </w:rPr>
            </w:pPr>
          </w:p>
        </w:tc>
      </w:tr>
    </w:tbl>
    <w:p>
      <w:pPr>
        <w:spacing w:after="0" w:line="41" w:lineRule="exact"/>
        <w:rPr>
          <w:sz w:val="20"/>
          <w:szCs w:val="20"/>
          <w:color w:val="auto"/>
        </w:rPr>
      </w:pPr>
    </w:p>
    <w:p>
      <w:pPr>
        <w:ind w:left="900" w:right="819" w:hanging="305"/>
        <w:spacing w:after="0" w:line="233" w:lineRule="auto"/>
        <w:tabs>
          <w:tab w:leader="none" w:pos="9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62"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Indemnification of Directors and Officers.</w:t>
      </w:r>
    </w:p>
    <w:p>
      <w:pPr>
        <w:spacing w:after="0" w:line="160" w:lineRule="exact"/>
        <w:rPr>
          <w:sz w:val="20"/>
          <w:szCs w:val="20"/>
          <w:color w:val="auto"/>
        </w:rPr>
      </w:pPr>
    </w:p>
    <w:p>
      <w:pPr>
        <w:ind w:left="600" w:right="639"/>
        <w:spacing w:after="0" w:line="228" w:lineRule="auto"/>
        <w:rPr>
          <w:sz w:val="20"/>
          <w:szCs w:val="20"/>
          <w:color w:val="auto"/>
        </w:rPr>
      </w:pPr>
      <w:r>
        <w:rPr>
          <w:rFonts w:ascii="Arial" w:cs="Arial" w:eastAsia="Arial" w:hAnsi="Arial"/>
          <w:sz w:val="15"/>
          <w:szCs w:val="15"/>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1" w:lineRule="exact"/>
        <w:rPr>
          <w:sz w:val="20"/>
          <w:szCs w:val="20"/>
          <w:color w:val="auto"/>
        </w:rPr>
      </w:pPr>
    </w:p>
    <w:p>
      <w:pPr>
        <w:ind w:left="600" w:right="859"/>
        <w:spacing w:after="0" w:line="248" w:lineRule="auto"/>
        <w:rPr>
          <w:sz w:val="20"/>
          <w:szCs w:val="20"/>
          <w:color w:val="auto"/>
        </w:rPr>
      </w:pPr>
      <w:r>
        <w:rPr>
          <w:rFonts w:ascii="Arial" w:cs="Arial" w:eastAsia="Arial" w:hAnsi="Arial"/>
          <w:sz w:val="14"/>
          <w:szCs w:val="14"/>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34" w:lineRule="exact"/>
        <w:rPr>
          <w:sz w:val="20"/>
          <w:szCs w:val="20"/>
          <w:color w:val="auto"/>
        </w:rPr>
      </w:pPr>
    </w:p>
    <w:p>
      <w:pPr>
        <w:ind w:left="600" w:right="619"/>
        <w:spacing w:after="0" w:line="233"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61"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60" w:lineRule="exact"/>
        <w:rPr>
          <w:sz w:val="20"/>
          <w:szCs w:val="20"/>
          <w:color w:val="auto"/>
        </w:rPr>
      </w:pPr>
    </w:p>
    <w:p>
      <w:pPr>
        <w:ind w:left="600" w:right="819"/>
        <w:spacing w:after="0" w:line="231" w:lineRule="auto"/>
        <w:rPr>
          <w:sz w:val="20"/>
          <w:szCs w:val="20"/>
          <w:color w:val="auto"/>
        </w:rPr>
      </w:pPr>
      <w:r>
        <w:rPr>
          <w:rFonts w:ascii="Arial" w:cs="Arial" w:eastAsia="Arial" w:hAnsi="Arial"/>
          <w:sz w:val="15"/>
          <w:szCs w:val="15"/>
          <w:color w:val="auto"/>
        </w:rPr>
        <w:t>On April 2, 2020, we issued to ARYA Sciences Holdings III, our sponsor, 3,593,750 of our Class B ordinary shares, in exchange for a capital contribution of $25,000, or approximately $0.007 per share. Such securities were issued in connection with our organization pursuant to the exemption from registration contained in Section 4(a)(2) of the Securities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8" w:name="page159"/>
    <w:bookmarkEnd w:id="158"/>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21" w:lineRule="exact"/>
        <w:rPr>
          <w:sz w:val="20"/>
          <w:szCs w:val="20"/>
          <w:color w:val="auto"/>
        </w:rPr>
      </w:pPr>
    </w:p>
    <w:p>
      <w:pPr>
        <w:ind w:left="600" w:right="739"/>
        <w:spacing w:after="0" w:line="233" w:lineRule="auto"/>
        <w:rPr>
          <w:sz w:val="20"/>
          <w:szCs w:val="20"/>
          <w:color w:val="auto"/>
        </w:rPr>
      </w:pPr>
      <w:r>
        <w:rPr>
          <w:rFonts w:ascii="Arial" w:cs="Arial" w:eastAsia="Arial" w:hAnsi="Arial"/>
          <w:sz w:val="15"/>
          <w:szCs w:val="15"/>
          <w:color w:val="auto"/>
        </w:rPr>
        <w:t>Our sponsor is an accredited investor for purposes of Rule 501 of Regulation D. Each of the equity holders in our sponsor is an accredited investor under Rule 501 of Regulation D. The sole business of ARYA Sciences Holdings III is to act as the company’s sponsor in connection with this offering.</w:t>
      </w:r>
    </w:p>
    <w:p>
      <w:pPr>
        <w:spacing w:after="0" w:line="138" w:lineRule="exact"/>
        <w:rPr>
          <w:sz w:val="20"/>
          <w:szCs w:val="20"/>
          <w:color w:val="auto"/>
        </w:rPr>
      </w:pPr>
    </w:p>
    <w:p>
      <w:pPr>
        <w:ind w:left="600" w:right="699"/>
        <w:spacing w:after="0" w:line="248" w:lineRule="auto"/>
        <w:rPr>
          <w:sz w:val="20"/>
          <w:szCs w:val="20"/>
          <w:color w:val="auto"/>
        </w:rPr>
      </w:pPr>
      <w:r>
        <w:rPr>
          <w:rFonts w:ascii="Arial" w:cs="Arial" w:eastAsia="Arial" w:hAnsi="Arial"/>
          <w:sz w:val="14"/>
          <w:szCs w:val="14"/>
          <w:color w:val="auto"/>
        </w:rPr>
        <w:t>Our sponsor has committed, pursuant to a written agreement, to purchase 450,000 private placement shares (or 487,500 private placement shares if the underwriters’ overallotment option is exercised in full), at a price of $10.00 per private placement share ($4,500,000 in the aggregate or $4,875,000 if the underwriters’ over-allotment option is exercised in full), in a private placement that will close simultaneously with the closing of this offering. These issuances will be made pursuant to the exemption from registration contained in Section 4(a)(2) of the Securities Act.</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 underwriting discounts or commissions were paid with respect to such sales.</w:t>
      </w:r>
    </w:p>
    <w:p>
      <w:pPr>
        <w:spacing w:after="0" w:line="65"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60" w:lineRule="exact"/>
        <w:rPr>
          <w:sz w:val="20"/>
          <w:szCs w:val="20"/>
          <w:color w:val="auto"/>
        </w:rPr>
      </w:pPr>
    </w:p>
    <w:p>
      <w:pPr>
        <w:ind w:left="1200" w:hanging="295"/>
        <w:spacing w:after="0"/>
        <w:tabs>
          <w:tab w:leader="none" w:pos="1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Exhibit Index is incorporated herein by reference.</w:t>
      </w:r>
    </w:p>
    <w:p>
      <w:pPr>
        <w:spacing w:after="0" w:line="65"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b w:val="1"/>
          <w:bCs w:val="1"/>
          <w:color w:val="auto"/>
        </w:rPr>
        <w:t>Item 17.   Undertakings.</w:t>
      </w:r>
    </w:p>
    <w:p>
      <w:pPr>
        <w:spacing w:after="0" w:line="148" w:lineRule="exact"/>
        <w:rPr>
          <w:sz w:val="20"/>
          <w:szCs w:val="20"/>
          <w:color w:val="auto"/>
        </w:rPr>
      </w:pPr>
    </w:p>
    <w:p>
      <w:pPr>
        <w:ind w:left="1200" w:right="699" w:hanging="295"/>
        <w:spacing w:after="0" w:line="233" w:lineRule="auto"/>
        <w:tabs>
          <w:tab w:leader="none" w:pos="1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7" w:lineRule="exact"/>
        <w:rPr>
          <w:rFonts w:ascii="Arial" w:cs="Arial" w:eastAsia="Arial" w:hAnsi="Arial"/>
          <w:sz w:val="15"/>
          <w:szCs w:val="15"/>
          <w:color w:val="auto"/>
        </w:rPr>
      </w:pPr>
    </w:p>
    <w:p>
      <w:pPr>
        <w:ind w:left="1200" w:right="739" w:hanging="295"/>
        <w:spacing w:after="0" w:line="228" w:lineRule="auto"/>
        <w:tabs>
          <w:tab w:leader="none" w:pos="1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0" w:lineRule="exact"/>
        <w:rPr>
          <w:rFonts w:ascii="Arial" w:cs="Arial" w:eastAsia="Arial" w:hAnsi="Arial"/>
          <w:sz w:val="15"/>
          <w:szCs w:val="15"/>
          <w:color w:val="auto"/>
        </w:rPr>
      </w:pPr>
    </w:p>
    <w:p>
      <w:pPr>
        <w:ind w:left="1200" w:hanging="295"/>
        <w:spacing w:after="0"/>
        <w:tabs>
          <w:tab w:leader="none" w:pos="1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undersigned registrant hereby undertakes that:</w:t>
      </w:r>
    </w:p>
    <w:p>
      <w:pPr>
        <w:spacing w:after="0" w:line="130" w:lineRule="exact"/>
        <w:rPr>
          <w:rFonts w:ascii="Arial" w:cs="Arial" w:eastAsia="Arial" w:hAnsi="Arial"/>
          <w:sz w:val="15"/>
          <w:szCs w:val="15"/>
          <w:color w:val="auto"/>
        </w:rPr>
      </w:pPr>
    </w:p>
    <w:p>
      <w:pPr>
        <w:ind w:left="1520" w:right="699" w:hanging="305"/>
        <w:spacing w:after="0" w:line="230" w:lineRule="auto"/>
        <w:tabs>
          <w:tab w:leader="none" w:pos="1520" w:val="left"/>
        </w:tabs>
        <w:numPr>
          <w:ilvl w:val="1"/>
          <w:numId w:val="43"/>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9" w:lineRule="exact"/>
        <w:rPr>
          <w:rFonts w:ascii="Arial" w:cs="Arial" w:eastAsia="Arial" w:hAnsi="Arial"/>
          <w:sz w:val="15"/>
          <w:szCs w:val="15"/>
          <w:color w:val="auto"/>
        </w:rPr>
      </w:pPr>
    </w:p>
    <w:p>
      <w:pPr>
        <w:ind w:left="1520" w:right="619" w:hanging="305"/>
        <w:spacing w:after="0" w:line="231" w:lineRule="auto"/>
        <w:tabs>
          <w:tab w:leader="none" w:pos="1520" w:val="left"/>
        </w:tabs>
        <w:numPr>
          <w:ilvl w:val="1"/>
          <w:numId w:val="43"/>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9" w:name="page160"/>
    <w:bookmarkEnd w:id="159"/>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109220</wp:posOffset>
            </wp:positionV>
            <wp:extent cx="496443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82" w:lineRule="exact"/>
        <w:rPr>
          <w:sz w:val="20"/>
          <w:szCs w:val="20"/>
          <w:color w:val="auto"/>
        </w:rPr>
      </w:pPr>
    </w:p>
    <w:p>
      <w:pPr>
        <w:ind w:left="600"/>
        <w:spacing w:after="0"/>
        <w:tabs>
          <w:tab w:leader="none" w:pos="448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59055</wp:posOffset>
            </wp:positionV>
            <wp:extent cx="4964430" cy="1993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64430" cy="199390"/>
                    </a:xfrm>
                    <a:prstGeom prst="rect">
                      <a:avLst/>
                    </a:prstGeom>
                    <a:noFill/>
                  </pic:spPr>
                </pic:pic>
              </a:graphicData>
            </a:graphic>
          </wp:anchor>
        </w:drawing>
      </w:r>
    </w:p>
    <w:p>
      <w:pPr>
        <w:spacing w:after="0" w:line="161" w:lineRule="exact"/>
        <w:rPr>
          <w:sz w:val="20"/>
          <w:szCs w:val="20"/>
          <w:color w:val="auto"/>
        </w:rPr>
      </w:pPr>
    </w:p>
    <w:p>
      <w:pPr>
        <w:ind w:left="860"/>
        <w:spacing w:after="0"/>
        <w:tabs>
          <w:tab w:leader="none" w:pos="1420" w:val="left"/>
        </w:tabs>
        <w:rPr>
          <w:rFonts w:ascii="Arial" w:cs="Arial" w:eastAsia="Arial" w:hAnsi="Arial"/>
          <w:sz w:val="15"/>
          <w:szCs w:val="15"/>
          <w:color w:val="0000EE"/>
        </w:rPr>
      </w:pPr>
      <w:hyperlink w:anchor="page162">
        <w:r>
          <w:rPr>
            <w:rFonts w:ascii="Arial" w:cs="Arial" w:eastAsia="Arial" w:hAnsi="Arial"/>
            <w:sz w:val="15"/>
            <w:szCs w:val="15"/>
            <w:u w:val="single" w:color="auto"/>
            <w:color w:val="0000EE"/>
          </w:rPr>
          <w:t>1.1</w:t>
        </w:r>
      </w:hyperlink>
      <w:r>
        <w:rPr>
          <w:rFonts w:ascii="Arial" w:cs="Arial" w:eastAsia="Arial" w:hAnsi="Arial"/>
          <w:sz w:val="15"/>
          <w:szCs w:val="15"/>
          <w:color w:val="0000EE"/>
        </w:rPr>
        <w:tab/>
      </w:r>
      <w:r>
        <w:rPr>
          <w:rFonts w:ascii="Arial" w:cs="Arial" w:eastAsia="Arial" w:hAnsi="Arial"/>
          <w:sz w:val="14"/>
          <w:szCs w:val="14"/>
          <w:color w:val="0000EE"/>
        </w:rPr>
        <w:t>Form of Underwriting Agreement.</w:t>
      </w:r>
    </w:p>
    <w:p>
      <w:pPr>
        <w:spacing w:after="0" w:line="107" w:lineRule="exact"/>
        <w:rPr>
          <w:sz w:val="20"/>
          <w:szCs w:val="20"/>
          <w:color w:val="auto"/>
        </w:rPr>
      </w:pPr>
    </w:p>
    <w:p>
      <w:pPr>
        <w:ind w:left="860"/>
        <w:spacing w:after="0"/>
        <w:tabs>
          <w:tab w:leader="none" w:pos="1420" w:val="left"/>
        </w:tabs>
        <w:rPr>
          <w:rFonts w:ascii="Arial" w:cs="Arial" w:eastAsia="Arial" w:hAnsi="Arial"/>
          <w:sz w:val="15"/>
          <w:szCs w:val="15"/>
          <w:color w:val="0000EE"/>
        </w:rPr>
      </w:pPr>
      <w:hyperlink w:anchor="page201">
        <w:r>
          <w:rPr>
            <w:rFonts w:ascii="Arial" w:cs="Arial" w:eastAsia="Arial" w:hAnsi="Arial"/>
            <w:sz w:val="15"/>
            <w:szCs w:val="15"/>
            <w:u w:val="single" w:color="auto"/>
            <w:color w:val="0000EE"/>
          </w:rPr>
          <w:t>3.1</w:t>
        </w:r>
      </w:hyperlink>
      <w:r>
        <w:rPr>
          <w:rFonts w:ascii="Arial" w:cs="Arial" w:eastAsia="Arial" w:hAnsi="Arial"/>
          <w:sz w:val="15"/>
          <w:szCs w:val="15"/>
          <w:color w:val="0000EE"/>
        </w:rPr>
        <w:tab/>
      </w:r>
      <w:r>
        <w:rPr>
          <w:rFonts w:ascii="Arial" w:cs="Arial" w:eastAsia="Arial" w:hAnsi="Arial"/>
          <w:sz w:val="14"/>
          <w:szCs w:val="14"/>
          <w:color w:val="0000EE"/>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1771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64430" cy="177165"/>
                    </a:xfrm>
                    <a:prstGeom prst="rect">
                      <a:avLst/>
                    </a:prstGeom>
                    <a:noFill/>
                  </pic:spPr>
                </pic:pic>
              </a:graphicData>
            </a:graphic>
          </wp:anchor>
        </w:drawing>
      </w:r>
    </w:p>
    <w:p>
      <w:pPr>
        <w:spacing w:after="0" w:line="87" w:lineRule="exact"/>
        <w:rPr>
          <w:sz w:val="20"/>
          <w:szCs w:val="20"/>
          <w:color w:val="auto"/>
        </w:rPr>
      </w:pPr>
    </w:p>
    <w:p>
      <w:pPr>
        <w:ind w:left="860"/>
        <w:spacing w:after="0"/>
        <w:tabs>
          <w:tab w:leader="none" w:pos="1420" w:val="left"/>
        </w:tabs>
        <w:rPr>
          <w:rFonts w:ascii="Arial" w:cs="Arial" w:eastAsia="Arial" w:hAnsi="Arial"/>
          <w:sz w:val="15"/>
          <w:szCs w:val="15"/>
          <w:color w:val="0000EE"/>
        </w:rPr>
      </w:pPr>
      <w:hyperlink w:anchor="page262">
        <w:r>
          <w:rPr>
            <w:rFonts w:ascii="Arial" w:cs="Arial" w:eastAsia="Arial" w:hAnsi="Arial"/>
            <w:sz w:val="15"/>
            <w:szCs w:val="15"/>
            <w:u w:val="single" w:color="auto"/>
            <w:color w:val="0000EE"/>
          </w:rPr>
          <w:t>3.2</w:t>
        </w:r>
      </w:hyperlink>
      <w:r>
        <w:rPr>
          <w:rFonts w:ascii="Arial" w:cs="Arial" w:eastAsia="Arial" w:hAnsi="Arial"/>
          <w:sz w:val="15"/>
          <w:szCs w:val="15"/>
          <w:color w:val="0000EE"/>
        </w:rPr>
        <w:tab/>
      </w:r>
      <w:r>
        <w:rPr>
          <w:rFonts w:ascii="Arial" w:cs="Arial" w:eastAsia="Arial" w:hAnsi="Arial"/>
          <w:sz w:val="14"/>
          <w:szCs w:val="14"/>
          <w:color w:val="0000EE"/>
        </w:rPr>
        <w:t>Form of Amended and Restated Memorandum and Articles of Association.</w:t>
      </w:r>
    </w:p>
    <w:p>
      <w:pPr>
        <w:spacing w:after="0" w:line="107" w:lineRule="exact"/>
        <w:rPr>
          <w:sz w:val="20"/>
          <w:szCs w:val="20"/>
          <w:color w:val="auto"/>
        </w:rPr>
      </w:pPr>
    </w:p>
    <w:p>
      <w:pPr>
        <w:ind w:left="860"/>
        <w:spacing w:after="0"/>
        <w:tabs>
          <w:tab w:leader="none" w:pos="1420" w:val="left"/>
        </w:tabs>
        <w:rPr>
          <w:rFonts w:ascii="Arial" w:cs="Arial" w:eastAsia="Arial" w:hAnsi="Arial"/>
          <w:sz w:val="15"/>
          <w:szCs w:val="15"/>
          <w:color w:val="0000EE"/>
        </w:rPr>
      </w:pPr>
      <w:hyperlink w:anchor="page333">
        <w:r>
          <w:rPr>
            <w:rFonts w:ascii="Arial" w:cs="Arial" w:eastAsia="Arial" w:hAnsi="Arial"/>
            <w:sz w:val="15"/>
            <w:szCs w:val="15"/>
            <w:u w:val="single" w:color="auto"/>
            <w:color w:val="0000EE"/>
          </w:rPr>
          <w:t>4.1</w:t>
        </w:r>
      </w:hyperlink>
      <w:r>
        <w:rPr>
          <w:rFonts w:ascii="Arial" w:cs="Arial" w:eastAsia="Arial" w:hAnsi="Arial"/>
          <w:sz w:val="15"/>
          <w:szCs w:val="15"/>
          <w:color w:val="0000EE"/>
        </w:rPr>
        <w:tab/>
      </w:r>
      <w:r>
        <w:rPr>
          <w:rFonts w:ascii="Arial" w:cs="Arial" w:eastAsia="Arial" w:hAnsi="Arial"/>
          <w:sz w:val="14"/>
          <w:szCs w:val="14"/>
          <w:color w:val="0000EE"/>
        </w:rPr>
        <w:t>Specimen Ordinary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1771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64430" cy="177165"/>
                    </a:xfrm>
                    <a:prstGeom prst="rect">
                      <a:avLst/>
                    </a:prstGeom>
                    <a:noFill/>
                  </pic:spPr>
                </pic:pic>
              </a:graphicData>
            </a:graphic>
          </wp:anchor>
        </w:drawing>
      </w:r>
    </w:p>
    <w:p>
      <w:pPr>
        <w:spacing w:after="0" w:line="87" w:lineRule="exact"/>
        <w:rPr>
          <w:sz w:val="20"/>
          <w:szCs w:val="20"/>
          <w:color w:val="auto"/>
        </w:rPr>
      </w:pPr>
    </w:p>
    <w:p>
      <w:pPr>
        <w:ind w:left="860"/>
        <w:spacing w:after="0"/>
        <w:tabs>
          <w:tab w:leader="none" w:pos="1420" w:val="left"/>
        </w:tabs>
        <w:rPr>
          <w:rFonts w:ascii="Arial" w:cs="Arial" w:eastAsia="Arial" w:hAnsi="Arial"/>
          <w:sz w:val="15"/>
          <w:szCs w:val="15"/>
          <w:color w:val="0000EE"/>
        </w:rPr>
      </w:pPr>
      <w:hyperlink w:anchor="page336">
        <w:r>
          <w:rPr>
            <w:rFonts w:ascii="Arial" w:cs="Arial" w:eastAsia="Arial" w:hAnsi="Arial"/>
            <w:sz w:val="15"/>
            <w:szCs w:val="15"/>
            <w:u w:val="single" w:color="auto"/>
            <w:color w:val="0000EE"/>
          </w:rPr>
          <w:t>5.1</w:t>
        </w:r>
      </w:hyperlink>
      <w:r>
        <w:rPr>
          <w:rFonts w:ascii="Arial" w:cs="Arial" w:eastAsia="Arial" w:hAnsi="Arial"/>
          <w:sz w:val="15"/>
          <w:szCs w:val="15"/>
          <w:color w:val="0000EE"/>
        </w:rPr>
        <w:tab/>
      </w:r>
      <w:r>
        <w:rPr>
          <w:rFonts w:ascii="Arial" w:cs="Arial" w:eastAsia="Arial" w:hAnsi="Arial"/>
          <w:sz w:val="14"/>
          <w:szCs w:val="14"/>
          <w:color w:val="0000EE"/>
        </w:rPr>
        <w:t>Opinion of Ogier, Cayman Islands Counsel to the Registrant.</w:t>
      </w:r>
    </w:p>
    <w:p>
      <w:pPr>
        <w:spacing w:after="0" w:line="107" w:lineRule="exact"/>
        <w:rPr>
          <w:sz w:val="20"/>
          <w:szCs w:val="20"/>
          <w:color w:val="auto"/>
        </w:rPr>
      </w:pPr>
    </w:p>
    <w:p>
      <w:pPr>
        <w:ind w:left="1440" w:right="619" w:hanging="608"/>
        <w:spacing w:after="0" w:line="236" w:lineRule="auto"/>
        <w:tabs>
          <w:tab w:leader="none" w:pos="1420" w:val="left"/>
        </w:tabs>
        <w:rPr>
          <w:rFonts w:ascii="Arial" w:cs="Arial" w:eastAsia="Arial" w:hAnsi="Arial"/>
          <w:sz w:val="15"/>
          <w:szCs w:val="15"/>
          <w:color w:val="0000EE"/>
        </w:rPr>
      </w:pPr>
      <w:hyperlink w:anchor="page346">
        <w:r>
          <w:rPr>
            <w:rFonts w:ascii="Arial" w:cs="Arial" w:eastAsia="Arial" w:hAnsi="Arial"/>
            <w:sz w:val="15"/>
            <w:szCs w:val="15"/>
            <w:u w:val="single" w:color="auto"/>
            <w:color w:val="0000EE"/>
          </w:rPr>
          <w:t>10.1</w:t>
        </w:r>
      </w:hyperlink>
      <w:r>
        <w:rPr>
          <w:rFonts w:ascii="Arial" w:cs="Arial" w:eastAsia="Arial" w:hAnsi="Arial"/>
          <w:sz w:val="15"/>
          <w:szCs w:val="15"/>
          <w:color w:val="0000EE"/>
        </w:rPr>
        <w:tab/>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31750</wp:posOffset>
            </wp:positionV>
            <wp:extent cx="4964430" cy="2806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64430" cy="280670"/>
                    </a:xfrm>
                    <a:prstGeom prst="rect">
                      <a:avLst/>
                    </a:prstGeom>
                    <a:noFill/>
                  </pic:spPr>
                </pic:pic>
              </a:graphicData>
            </a:graphic>
          </wp:anchor>
        </w:drawing>
      </w:r>
    </w:p>
    <w:p>
      <w:pPr>
        <w:spacing w:after="0" w:line="83" w:lineRule="exact"/>
        <w:rPr>
          <w:sz w:val="20"/>
          <w:szCs w:val="20"/>
          <w:color w:val="auto"/>
        </w:rPr>
      </w:pPr>
    </w:p>
    <w:p>
      <w:pPr>
        <w:ind w:left="1440" w:right="619" w:hanging="608"/>
        <w:spacing w:after="0" w:line="236" w:lineRule="auto"/>
        <w:tabs>
          <w:tab w:leader="none" w:pos="1420" w:val="left"/>
        </w:tabs>
        <w:rPr>
          <w:rFonts w:ascii="Arial" w:cs="Arial" w:eastAsia="Arial" w:hAnsi="Arial"/>
          <w:sz w:val="15"/>
          <w:szCs w:val="15"/>
          <w:color w:val="0000EE"/>
        </w:rPr>
      </w:pPr>
      <w:hyperlink w:anchor="page362">
        <w:r>
          <w:rPr>
            <w:rFonts w:ascii="Arial" w:cs="Arial" w:eastAsia="Arial" w:hAnsi="Arial"/>
            <w:sz w:val="15"/>
            <w:szCs w:val="15"/>
            <w:u w:val="single" w:color="auto"/>
            <w:color w:val="0000EE"/>
          </w:rPr>
          <w:t>10.2</w:t>
        </w:r>
      </w:hyperlink>
      <w:r>
        <w:rPr>
          <w:rFonts w:ascii="Arial" w:cs="Arial" w:eastAsia="Arial" w:hAnsi="Arial"/>
          <w:sz w:val="15"/>
          <w:szCs w:val="15"/>
          <w:color w:val="0000EE"/>
        </w:rPr>
        <w:tab/>
        <w:t>Form of Registration and Shareholder Rights Agreement among the Registrant, the Sponsor and the Holders signatory thereto.</w:t>
      </w:r>
    </w:p>
    <w:p>
      <w:pPr>
        <w:spacing w:after="0" w:line="103"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388">
        <w:r>
          <w:rPr>
            <w:rFonts w:ascii="Arial" w:cs="Arial" w:eastAsia="Arial" w:hAnsi="Arial"/>
            <w:sz w:val="15"/>
            <w:szCs w:val="15"/>
            <w:u w:val="single" w:color="auto"/>
            <w:color w:val="0000EE"/>
          </w:rPr>
          <w:t>10.3</w:t>
        </w:r>
      </w:hyperlink>
      <w:r>
        <w:rPr>
          <w:rFonts w:ascii="Arial" w:cs="Arial" w:eastAsia="Arial" w:hAnsi="Arial"/>
          <w:sz w:val="15"/>
          <w:szCs w:val="15"/>
          <w:color w:val="0000EE"/>
        </w:rPr>
        <w:tab/>
      </w:r>
      <w:r>
        <w:rPr>
          <w:rFonts w:ascii="Arial" w:cs="Arial" w:eastAsia="Arial" w:hAnsi="Arial"/>
          <w:sz w:val="14"/>
          <w:szCs w:val="14"/>
          <w:color w:val="0000EE"/>
        </w:rPr>
        <w:t>Form of Private Placement Shares Purchase Agreement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1771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64430" cy="177165"/>
                    </a:xfrm>
                    <a:prstGeom prst="rect">
                      <a:avLst/>
                    </a:prstGeom>
                    <a:noFill/>
                  </pic:spPr>
                </pic:pic>
              </a:graphicData>
            </a:graphic>
          </wp:anchor>
        </w:drawing>
      </w:r>
    </w:p>
    <w:p>
      <w:pPr>
        <w:spacing w:after="0" w:line="87"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397">
        <w:r>
          <w:rPr>
            <w:rFonts w:ascii="Arial" w:cs="Arial" w:eastAsia="Arial" w:hAnsi="Arial"/>
            <w:sz w:val="15"/>
            <w:szCs w:val="15"/>
            <w:u w:val="single" w:color="auto"/>
            <w:color w:val="0000EE"/>
          </w:rPr>
          <w:t>10.4</w:t>
        </w:r>
      </w:hyperlink>
      <w:r>
        <w:rPr>
          <w:rFonts w:ascii="Arial" w:cs="Arial" w:eastAsia="Arial" w:hAnsi="Arial"/>
          <w:sz w:val="15"/>
          <w:szCs w:val="15"/>
          <w:color w:val="0000EE"/>
        </w:rPr>
        <w:tab/>
      </w:r>
      <w:r>
        <w:rPr>
          <w:rFonts w:ascii="Arial" w:cs="Arial" w:eastAsia="Arial" w:hAnsi="Arial"/>
          <w:sz w:val="14"/>
          <w:szCs w:val="14"/>
          <w:color w:val="0000EE"/>
        </w:rPr>
        <w:t>Form of Indemnity Agreement.</w:t>
      </w:r>
    </w:p>
    <w:p>
      <w:pPr>
        <w:spacing w:after="0" w:line="107"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418">
        <w:r>
          <w:rPr>
            <w:rFonts w:ascii="Arial" w:cs="Arial" w:eastAsia="Arial" w:hAnsi="Arial"/>
            <w:sz w:val="15"/>
            <w:szCs w:val="15"/>
            <w:u w:val="single" w:color="auto"/>
            <w:color w:val="0000EE"/>
          </w:rPr>
          <w:t>10.5</w:t>
        </w:r>
      </w:hyperlink>
      <w:r>
        <w:rPr>
          <w:rFonts w:ascii="Arial" w:cs="Arial" w:eastAsia="Arial" w:hAnsi="Arial"/>
          <w:sz w:val="15"/>
          <w:szCs w:val="15"/>
          <w:color w:val="0000EE"/>
        </w:rPr>
        <w:tab/>
      </w:r>
      <w:r>
        <w:rPr>
          <w:rFonts w:ascii="Arial" w:cs="Arial" w:eastAsia="Arial" w:hAnsi="Arial"/>
          <w:sz w:val="14"/>
          <w:szCs w:val="14"/>
          <w:color w:val="0000EE"/>
        </w:rPr>
        <w:t>Form of Administrative Services Agreement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1771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64430" cy="177165"/>
                    </a:xfrm>
                    <a:prstGeom prst="rect">
                      <a:avLst/>
                    </a:prstGeom>
                    <a:noFill/>
                  </pic:spPr>
                </pic:pic>
              </a:graphicData>
            </a:graphic>
          </wp:anchor>
        </w:drawing>
      </w:r>
    </w:p>
    <w:p>
      <w:pPr>
        <w:spacing w:after="0" w:line="87"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421">
        <w:r>
          <w:rPr>
            <w:rFonts w:ascii="Arial" w:cs="Arial" w:eastAsia="Arial" w:hAnsi="Arial"/>
            <w:sz w:val="15"/>
            <w:szCs w:val="15"/>
            <w:u w:val="single" w:color="auto"/>
            <w:color w:val="0000EE"/>
          </w:rPr>
          <w:t>10.6</w:t>
        </w:r>
      </w:hyperlink>
      <w:r>
        <w:rPr>
          <w:rFonts w:ascii="Arial" w:cs="Arial" w:eastAsia="Arial" w:hAnsi="Arial"/>
          <w:sz w:val="15"/>
          <w:szCs w:val="15"/>
          <w:color w:val="0000EE"/>
        </w:rPr>
        <w:tab/>
      </w:r>
      <w:r>
        <w:rPr>
          <w:rFonts w:ascii="Arial" w:cs="Arial" w:eastAsia="Arial" w:hAnsi="Arial"/>
          <w:sz w:val="14"/>
          <w:szCs w:val="14"/>
          <w:color w:val="0000EE"/>
        </w:rPr>
        <w:t>Promissory Note, dated as of April 2, 2020, issued to the Sponsor.</w:t>
      </w:r>
    </w:p>
    <w:p>
      <w:pPr>
        <w:spacing w:after="0" w:line="107"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426">
        <w:r>
          <w:rPr>
            <w:rFonts w:ascii="Arial" w:cs="Arial" w:eastAsia="Arial" w:hAnsi="Arial"/>
            <w:sz w:val="15"/>
            <w:szCs w:val="15"/>
            <w:u w:val="single" w:color="auto"/>
            <w:color w:val="0000EE"/>
          </w:rPr>
          <w:t>10.7</w:t>
        </w:r>
      </w:hyperlink>
      <w:r>
        <w:rPr>
          <w:rFonts w:ascii="Arial" w:cs="Arial" w:eastAsia="Arial" w:hAnsi="Arial"/>
          <w:sz w:val="15"/>
          <w:szCs w:val="15"/>
          <w:color w:val="0000EE"/>
        </w:rPr>
        <w:tab/>
      </w:r>
      <w:r>
        <w:rPr>
          <w:rFonts w:ascii="Arial" w:cs="Arial" w:eastAsia="Arial" w:hAnsi="Arial"/>
          <w:sz w:val="14"/>
          <w:szCs w:val="14"/>
          <w:color w:val="0000EE"/>
        </w:rPr>
        <w:t>Securities Subscription Agreement, dated April 2, 2020,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2806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64430" cy="280670"/>
                    </a:xfrm>
                    <a:prstGeom prst="rect">
                      <a:avLst/>
                    </a:prstGeom>
                    <a:noFill/>
                  </pic:spPr>
                </pic:pic>
              </a:graphicData>
            </a:graphic>
          </wp:anchor>
        </w:drawing>
      </w:r>
    </w:p>
    <w:p>
      <w:pPr>
        <w:spacing w:after="0" w:line="87" w:lineRule="exact"/>
        <w:rPr>
          <w:sz w:val="20"/>
          <w:szCs w:val="20"/>
          <w:color w:val="auto"/>
        </w:rPr>
      </w:pPr>
    </w:p>
    <w:p>
      <w:pPr>
        <w:ind w:left="1440" w:right="619" w:hanging="608"/>
        <w:spacing w:after="0" w:line="236" w:lineRule="auto"/>
        <w:tabs>
          <w:tab w:leader="none" w:pos="1420" w:val="left"/>
        </w:tabs>
        <w:rPr>
          <w:rFonts w:ascii="Arial" w:cs="Arial" w:eastAsia="Arial" w:hAnsi="Arial"/>
          <w:sz w:val="15"/>
          <w:szCs w:val="15"/>
          <w:color w:val="0000EE"/>
        </w:rPr>
      </w:pPr>
      <w:hyperlink w:anchor="page434">
        <w:r>
          <w:rPr>
            <w:rFonts w:ascii="Arial" w:cs="Arial" w:eastAsia="Arial" w:hAnsi="Arial"/>
            <w:sz w:val="15"/>
            <w:szCs w:val="15"/>
            <w:u w:val="single" w:color="auto"/>
            <w:color w:val="0000EE"/>
          </w:rPr>
          <w:t>10.8</w:t>
        </w:r>
      </w:hyperlink>
      <w:r>
        <w:rPr>
          <w:rFonts w:ascii="Arial" w:cs="Arial" w:eastAsia="Arial" w:hAnsi="Arial"/>
          <w:sz w:val="15"/>
          <w:szCs w:val="15"/>
          <w:color w:val="0000EE"/>
        </w:rPr>
        <w:tab/>
        <w:t>Form of Letter Agreement among the Registrant, the Sponsor and each director and executive officer of the Registrant.</w:t>
      </w:r>
    </w:p>
    <w:p>
      <w:pPr>
        <w:spacing w:after="0" w:line="103"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449">
        <w:r>
          <w:rPr>
            <w:rFonts w:ascii="Arial" w:cs="Arial" w:eastAsia="Arial" w:hAnsi="Arial"/>
            <w:sz w:val="15"/>
            <w:szCs w:val="15"/>
            <w:u w:val="single" w:color="auto"/>
            <w:color w:val="0000EE"/>
          </w:rPr>
          <w:t>23.1</w:t>
        </w:r>
      </w:hyperlink>
      <w:r>
        <w:rPr>
          <w:rFonts w:ascii="Arial" w:cs="Arial" w:eastAsia="Arial" w:hAnsi="Arial"/>
          <w:sz w:val="15"/>
          <w:szCs w:val="15"/>
          <w:color w:val="0000EE"/>
        </w:rPr>
        <w:tab/>
      </w:r>
      <w:r>
        <w:rPr>
          <w:rFonts w:ascii="Arial" w:cs="Arial" w:eastAsia="Arial" w:hAnsi="Arial"/>
          <w:sz w:val="14"/>
          <w:szCs w:val="14"/>
          <w:color w:val="0000EE"/>
        </w:rPr>
        <w:t>Consent of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1771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64430" cy="177165"/>
                    </a:xfrm>
                    <a:prstGeom prst="rect">
                      <a:avLst/>
                    </a:prstGeom>
                    <a:noFill/>
                  </pic:spPr>
                </pic:pic>
              </a:graphicData>
            </a:graphic>
          </wp:anchor>
        </w:drawing>
      </w:r>
    </w:p>
    <w:p>
      <w:pPr>
        <w:spacing w:after="0" w:line="87" w:lineRule="exact"/>
        <w:rPr>
          <w:sz w:val="20"/>
          <w:szCs w:val="20"/>
          <w:color w:val="auto"/>
        </w:rPr>
      </w:pPr>
    </w:p>
    <w:p>
      <w:pPr>
        <w:ind w:left="820"/>
        <w:spacing w:after="0"/>
        <w:tabs>
          <w:tab w:leader="none" w:pos="1420" w:val="left"/>
        </w:tabs>
        <w:rPr>
          <w:rFonts w:ascii="Arial" w:cs="Arial" w:eastAsia="Arial" w:hAnsi="Arial"/>
          <w:sz w:val="15"/>
          <w:szCs w:val="15"/>
          <w:color w:val="0000EE"/>
        </w:rPr>
      </w:pPr>
      <w:hyperlink w:anchor="page336">
        <w:r>
          <w:rPr>
            <w:rFonts w:ascii="Arial" w:cs="Arial" w:eastAsia="Arial" w:hAnsi="Arial"/>
            <w:sz w:val="15"/>
            <w:szCs w:val="15"/>
            <w:u w:val="single" w:color="auto"/>
            <w:color w:val="0000EE"/>
          </w:rPr>
          <w:t>23.2</w:t>
        </w:r>
      </w:hyperlink>
      <w:r>
        <w:rPr>
          <w:rFonts w:ascii="Arial" w:cs="Arial" w:eastAsia="Arial" w:hAnsi="Arial"/>
          <w:sz w:val="15"/>
          <w:szCs w:val="15"/>
          <w:color w:val="0000EE"/>
        </w:rPr>
        <w:tab/>
      </w:r>
      <w:r>
        <w:rPr>
          <w:rFonts w:ascii="Arial" w:cs="Arial" w:eastAsia="Arial" w:hAnsi="Arial"/>
          <w:sz w:val="14"/>
          <w:szCs w:val="14"/>
          <w:color w:val="0000EE"/>
        </w:rPr>
        <w:t>Consent of Ogier (included in Exhibit 5.1).</w:t>
      </w:r>
    </w:p>
    <w:p>
      <w:pPr>
        <w:spacing w:after="0" w:line="107" w:lineRule="exact"/>
        <w:rPr>
          <w:sz w:val="20"/>
          <w:szCs w:val="20"/>
          <w:color w:val="auto"/>
        </w:rPr>
      </w:pPr>
    </w:p>
    <w:p>
      <w:pPr>
        <w:ind w:left="1440" w:hanging="555"/>
        <w:spacing w:after="0"/>
        <w:tabs>
          <w:tab w:leader="none" w:pos="1440" w:val="left"/>
        </w:tabs>
        <w:numPr>
          <w:ilvl w:val="0"/>
          <w:numId w:val="44"/>
        </w:numPr>
        <w:rPr>
          <w:rFonts w:ascii="Arial" w:cs="Arial" w:eastAsia="Arial" w:hAnsi="Arial"/>
          <w:sz w:val="15"/>
          <w:szCs w:val="15"/>
          <w:u w:val="single" w:color="auto"/>
          <w:color w:val="0000EE"/>
        </w:rPr>
      </w:pPr>
      <w:r>
        <w:rPr>
          <w:rFonts w:ascii="Arial" w:cs="Arial" w:eastAsia="Arial" w:hAnsi="Arial"/>
          <w:sz w:val="15"/>
          <w:szCs w:val="15"/>
          <w:color w:val="auto"/>
        </w:rPr>
        <w:t>Power of Attorney (included on the signature page of the initial filing of this Registration Statement).*</w:t>
      </w:r>
    </w:p>
    <w:p>
      <w:pPr>
        <w:spacing w:after="0" w:line="106" w:lineRule="exact"/>
        <w:rPr>
          <w:rFonts w:ascii="Arial" w:cs="Arial" w:eastAsia="Arial" w:hAnsi="Arial"/>
          <w:sz w:val="15"/>
          <w:szCs w:val="15"/>
          <w:u w:val="single" w:color="auto"/>
          <w:color w:val="0000EE"/>
        </w:rPr>
      </w:pPr>
    </w:p>
    <w:p>
      <w:pPr>
        <w:ind w:left="820"/>
        <w:spacing w:after="0"/>
        <w:rPr>
          <w:rFonts w:ascii="Arial" w:cs="Arial" w:eastAsia="Arial" w:hAnsi="Arial"/>
          <w:sz w:val="15"/>
          <w:szCs w:val="15"/>
          <w:color w:val="0000EE"/>
        </w:rPr>
      </w:pPr>
      <w:hyperlink r:id="rId273">
        <w:r>
          <w:rPr>
            <w:rFonts w:ascii="Arial" w:cs="Arial" w:eastAsia="Arial" w:hAnsi="Arial"/>
            <w:sz w:val="15"/>
            <w:szCs w:val="15"/>
            <w:u w:val="single" w:color="auto"/>
            <w:color w:val="0000EE"/>
          </w:rPr>
          <w:t>99.1</w:t>
        </w:r>
      </w:hyperlink>
      <w:r>
        <w:rPr>
          <w:rFonts w:ascii="Arial" w:cs="Arial" w:eastAsia="Arial" w:hAnsi="Arial"/>
          <w:sz w:val="14"/>
          <w:szCs w:val="14"/>
          <w:color w:val="auto"/>
        </w:rPr>
        <w:t>Consent of Todd Wider.*</w:t>
      </w:r>
    </w:p>
    <w:p>
      <w:pPr>
        <w:spacing w:after="0" w:line="106" w:lineRule="exact"/>
        <w:rPr>
          <w:rFonts w:ascii="Arial" w:cs="Arial" w:eastAsia="Arial" w:hAnsi="Arial"/>
          <w:sz w:val="15"/>
          <w:szCs w:val="15"/>
          <w:color w:val="0000EE"/>
        </w:rPr>
      </w:pPr>
    </w:p>
    <w:p>
      <w:pPr>
        <w:ind w:left="820"/>
        <w:spacing w:after="0"/>
        <w:rPr>
          <w:rFonts w:ascii="Arial" w:cs="Arial" w:eastAsia="Arial" w:hAnsi="Arial"/>
          <w:sz w:val="15"/>
          <w:szCs w:val="15"/>
          <w:color w:val="0000EE"/>
        </w:rPr>
      </w:pPr>
      <w:hyperlink w:anchor="page450">
        <w:r>
          <w:rPr>
            <w:rFonts w:ascii="Arial" w:cs="Arial" w:eastAsia="Arial" w:hAnsi="Arial"/>
            <w:sz w:val="15"/>
            <w:szCs w:val="15"/>
            <w:u w:val="single" w:color="auto"/>
            <w:color w:val="0000EE"/>
          </w:rPr>
          <w:t>99.2</w:t>
        </w:r>
      </w:hyperlink>
      <w:r>
        <w:rPr>
          <w:rFonts w:ascii="Arial" w:cs="Arial" w:eastAsia="Arial" w:hAnsi="Arial"/>
          <w:sz w:val="14"/>
          <w:szCs w:val="14"/>
          <w:color w:val="auto"/>
        </w:rPr>
        <w:t>Consent of Bradley L. Campbell.</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377825</wp:posOffset>
            </wp:positionH>
            <wp:positionV relativeFrom="paragraph">
              <wp:posOffset>-320040</wp:posOffset>
            </wp:positionV>
            <wp:extent cx="4964430" cy="177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4964430" cy="17716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34290</wp:posOffset>
            </wp:positionV>
            <wp:extent cx="4964430" cy="140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4964430" cy="140335"/>
                    </a:xfrm>
                    <a:prstGeom prst="rect">
                      <a:avLst/>
                    </a:prstGeom>
                    <a:noFill/>
                  </pic:spPr>
                </pic:pic>
              </a:graphicData>
            </a:graphic>
          </wp:anchor>
        </w:drawing>
      </w:r>
    </w:p>
    <w:p>
      <w:pPr>
        <w:spacing w:after="0" w:line="87" w:lineRule="exact"/>
        <w:rPr>
          <w:rFonts w:ascii="Arial" w:cs="Arial" w:eastAsia="Arial" w:hAnsi="Arial"/>
          <w:sz w:val="15"/>
          <w:szCs w:val="15"/>
          <w:u w:val="single" w:color="auto"/>
          <w:color w:val="0000EE"/>
        </w:rPr>
      </w:pPr>
    </w:p>
    <w:p>
      <w:pPr>
        <w:ind w:left="820"/>
        <w:spacing w:after="0"/>
        <w:tabs>
          <w:tab w:leader="none" w:pos="1420" w:val="left"/>
        </w:tabs>
        <w:rPr>
          <w:rFonts w:ascii="Arial" w:cs="Arial" w:eastAsia="Arial" w:hAnsi="Arial"/>
          <w:sz w:val="15"/>
          <w:szCs w:val="15"/>
          <w:color w:val="0000EE"/>
        </w:rPr>
      </w:pPr>
      <w:hyperlink w:anchor="page451">
        <w:r>
          <w:rPr>
            <w:rFonts w:ascii="Arial" w:cs="Arial" w:eastAsia="Arial" w:hAnsi="Arial"/>
            <w:sz w:val="15"/>
            <w:szCs w:val="15"/>
            <w:u w:val="single" w:color="auto"/>
            <w:color w:val="0000EE"/>
          </w:rPr>
          <w:t>99.3</w:t>
        </w:r>
      </w:hyperlink>
      <w:r>
        <w:rPr>
          <w:rFonts w:ascii="Arial" w:cs="Arial" w:eastAsia="Arial" w:hAnsi="Arial"/>
          <w:sz w:val="15"/>
          <w:szCs w:val="15"/>
          <w:color w:val="0000EE"/>
        </w:rPr>
        <w:tab/>
      </w:r>
      <w:r>
        <w:rPr>
          <w:rFonts w:ascii="Arial" w:cs="Arial" w:eastAsia="Arial" w:hAnsi="Arial"/>
          <w:sz w:val="14"/>
          <w:szCs w:val="14"/>
          <w:color w:val="0000EE"/>
        </w:rPr>
        <w:t>Consent of Saqib Islam.</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377825</wp:posOffset>
            </wp:positionH>
            <wp:positionV relativeFrom="paragraph">
              <wp:posOffset>-1905</wp:posOffset>
            </wp:positionV>
            <wp:extent cx="496443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4964430" cy="7620"/>
                    </a:xfrm>
                    <a:prstGeom prst="rect">
                      <a:avLst/>
                    </a:prstGeom>
                    <a:noFill/>
                  </pic:spPr>
                </pic:pic>
              </a:graphicData>
            </a:graphic>
          </wp:anchor>
        </w:drawing>
      </w:r>
    </w:p>
    <w:p>
      <w:pPr>
        <w:spacing w:after="0" w:line="29" w:lineRule="exact"/>
        <w:rPr>
          <w:rFonts w:ascii="Arial" w:cs="Arial" w:eastAsia="Arial" w:hAnsi="Arial"/>
          <w:sz w:val="15"/>
          <w:szCs w:val="15"/>
          <w:u w:val="single" w:color="auto"/>
          <w:color w:val="0000EE"/>
        </w:rPr>
      </w:pPr>
    </w:p>
    <w:p>
      <w:pPr>
        <w:ind w:left="900" w:hanging="305"/>
        <w:spacing w:after="0"/>
        <w:tabs>
          <w:tab w:leader="none" w:pos="9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Previously filed.</w:t>
      </w:r>
    </w:p>
    <w:p>
      <w:pPr>
        <w:spacing w:after="0" w:line="183" w:lineRule="exact"/>
        <w:rPr>
          <w:rFonts w:ascii="Arial" w:cs="Arial" w:eastAsia="Arial" w:hAnsi="Arial"/>
          <w:sz w:val="15"/>
          <w:szCs w:val="15"/>
          <w:u w:val="single" w:color="auto"/>
          <w:color w:val="0000EE"/>
        </w:rPr>
      </w:pPr>
    </w:p>
    <w:p>
      <w:pPr>
        <w:jc w:val="center"/>
        <w:ind w:right="19"/>
        <w:spacing w:after="0"/>
        <w:rPr>
          <w:sz w:val="20"/>
          <w:szCs w:val="20"/>
          <w:color w:val="auto"/>
        </w:rPr>
      </w:pPr>
      <w:r>
        <w:rPr>
          <w:rFonts w:ascii="Arial" w:cs="Arial" w:eastAsia="Arial" w:hAnsi="Arial"/>
          <w:sz w:val="14"/>
          <w:szCs w:val="14"/>
          <w:color w:val="auto"/>
        </w:rPr>
        <w:t>II-3</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-153670</wp:posOffset>
            </wp:positionH>
            <wp:positionV relativeFrom="paragraph">
              <wp:posOffset>95885</wp:posOffset>
            </wp:positionV>
            <wp:extent cx="6028055"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028055" cy="1460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0" w:name="page161"/>
    <w:bookmarkEnd w:id="160"/>
    <w:p>
      <w:pPr>
        <w:ind w:left="60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55" w:lineRule="exact"/>
        <w:rPr>
          <w:sz w:val="20"/>
          <w:szCs w:val="20"/>
          <w:color w:val="auto"/>
        </w:rPr>
      </w:pPr>
    </w:p>
    <w:p>
      <w:pPr>
        <w:ind w:left="600" w:right="599"/>
        <w:spacing w:after="0" w:line="233"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 the undersigned, thereunto duly authorized, in the City of New York, State of New York, on the 29th day of July, 2020.</w:t>
      </w:r>
    </w:p>
    <w:p>
      <w:pPr>
        <w:spacing w:after="0" w:line="247"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tabs>
          <w:tab w:leader="none" w:pos="47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34290</wp:posOffset>
            </wp:positionV>
            <wp:extent cx="231203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312035" cy="7620"/>
                    </a:xfrm>
                    <a:prstGeom prst="rect">
                      <a:avLst/>
                    </a:prstGeom>
                    <a:noFill/>
                  </pic:spPr>
                </pic:pic>
              </a:graphicData>
            </a:graphic>
          </wp:anchor>
        </w:drawing>
      </w:r>
    </w:p>
    <w:p>
      <w:pPr>
        <w:spacing w:after="0" w:line="98" w:lineRule="exact"/>
        <w:rPr>
          <w:sz w:val="20"/>
          <w:szCs w:val="20"/>
          <w:color w:val="auto"/>
        </w:rPr>
      </w:pPr>
    </w:p>
    <w:p>
      <w:pPr>
        <w:ind w:left="4780"/>
        <w:spacing w:after="0"/>
        <w:rPr>
          <w:sz w:val="20"/>
          <w:szCs w:val="20"/>
          <w:color w:val="auto"/>
        </w:rPr>
      </w:pPr>
      <w:r>
        <w:rPr>
          <w:rFonts w:ascii="Arial" w:cs="Arial" w:eastAsia="Arial" w:hAnsi="Arial"/>
          <w:sz w:val="15"/>
          <w:szCs w:val="15"/>
          <w:color w:val="auto"/>
        </w:rPr>
        <w:t>Name: Adam Stone</w:t>
      </w:r>
    </w:p>
    <w:p>
      <w:pPr>
        <w:spacing w:after="0" w:line="83" w:lineRule="exact"/>
        <w:rPr>
          <w:sz w:val="20"/>
          <w:szCs w:val="20"/>
          <w:color w:val="auto"/>
        </w:rPr>
      </w:pPr>
    </w:p>
    <w:p>
      <w:pPr>
        <w:ind w:left="4780"/>
        <w:spacing w:after="0"/>
        <w:rPr>
          <w:sz w:val="20"/>
          <w:szCs w:val="20"/>
          <w:color w:val="auto"/>
        </w:rPr>
      </w:pPr>
      <w:r>
        <w:rPr>
          <w:rFonts w:ascii="Arial" w:cs="Arial" w:eastAsia="Arial" w:hAnsi="Arial"/>
          <w:sz w:val="15"/>
          <w:szCs w:val="15"/>
          <w:color w:val="auto"/>
        </w:rPr>
        <w:t>Title: Chief Executive Officer</w:t>
      </w:r>
    </w:p>
    <w:p>
      <w:pPr>
        <w:spacing w:after="0" w:line="130" w:lineRule="exact"/>
        <w:rPr>
          <w:sz w:val="20"/>
          <w:szCs w:val="20"/>
          <w:color w:val="auto"/>
        </w:rPr>
      </w:pPr>
    </w:p>
    <w:p>
      <w:pPr>
        <w:ind w:left="600" w:right="779"/>
        <w:spacing w:after="0" w:line="236"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below by the following persons in the capacities and on the dates indicated.</w:t>
      </w:r>
    </w:p>
    <w:p>
      <w:pPr>
        <w:spacing w:after="0" w:line="261"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4"/>
                <w:szCs w:val="14"/>
                <w:color w:val="auto"/>
              </w:rPr>
            </w:pPr>
          </w:p>
        </w:tc>
        <w:tc>
          <w:tcPr>
            <w:tcW w:w="3560" w:type="dxa"/>
            <w:vAlign w:val="bottom"/>
          </w:tcPr>
          <w:p>
            <w:pPr>
              <w:ind w:left="1480"/>
              <w:spacing w:after="0"/>
              <w:rPr>
                <w:sz w:val="20"/>
                <w:szCs w:val="20"/>
                <w:color w:val="auto"/>
              </w:rPr>
            </w:pPr>
            <w:r>
              <w:rPr>
                <w:rFonts w:ascii="Arial" w:cs="Arial" w:eastAsia="Arial" w:hAnsi="Arial"/>
                <w:sz w:val="12"/>
                <w:szCs w:val="12"/>
                <w:b w:val="1"/>
                <w:bCs w:val="1"/>
                <w:color w:val="auto"/>
              </w:rPr>
              <w:t>POSITION</w:t>
            </w:r>
          </w:p>
        </w:tc>
        <w:tc>
          <w:tcPr>
            <w:tcW w:w="18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45"/>
        </w:trPr>
        <w:tc>
          <w:tcPr>
            <w:tcW w:w="26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5"/>
                <w:szCs w:val="15"/>
                <w:color w:val="auto"/>
              </w:rPr>
              <w:t>/s/ Joseph Edelman</w:t>
            </w:r>
          </w:p>
        </w:tc>
        <w:tc>
          <w:tcPr>
            <w:tcW w:w="1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5"/>
                <w:szCs w:val="15"/>
                <w:color w:val="auto"/>
              </w:rPr>
              <w:t>Chairman of the Board of Directors</w:t>
            </w:r>
          </w:p>
        </w:tc>
        <w:tc>
          <w:tcPr>
            <w:tcW w:w="1480" w:type="dxa"/>
            <w:vAlign w:val="bottom"/>
            <w:gridSpan w:val="2"/>
          </w:tcPr>
          <w:p>
            <w:pPr>
              <w:ind w:left="180"/>
              <w:spacing w:after="0"/>
              <w:rPr>
                <w:sz w:val="20"/>
                <w:szCs w:val="20"/>
                <w:color w:val="auto"/>
              </w:rPr>
            </w:pPr>
            <w:r>
              <w:rPr>
                <w:rFonts w:ascii="Arial" w:cs="Arial" w:eastAsia="Arial" w:hAnsi="Arial"/>
                <w:sz w:val="15"/>
                <w:szCs w:val="15"/>
                <w:color w:val="auto"/>
              </w:rPr>
              <w:t>July 29, 2020</w:t>
            </w:r>
          </w:p>
        </w:tc>
        <w:tc>
          <w:tcPr>
            <w:tcW w:w="0" w:type="dxa"/>
            <w:vAlign w:val="bottom"/>
          </w:tcPr>
          <w:p>
            <w:pPr>
              <w:spacing w:after="0"/>
              <w:rPr>
                <w:sz w:val="1"/>
                <w:szCs w:val="1"/>
                <w:color w:val="auto"/>
              </w:rPr>
            </w:pPr>
          </w:p>
        </w:tc>
      </w:tr>
      <w:tr>
        <w:trPr>
          <w:trHeight w:val="49"/>
        </w:trPr>
        <w:tc>
          <w:tcPr>
            <w:tcW w:w="26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5"/>
                <w:szCs w:val="15"/>
                <w:color w:val="auto"/>
              </w:rPr>
              <w:t>Joseph Edelman</w:t>
            </w:r>
          </w:p>
        </w:tc>
        <w:tc>
          <w:tcPr>
            <w:tcW w:w="1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2600" w:type="dxa"/>
            <w:vAlign w:val="bottom"/>
          </w:tcPr>
          <w:p>
            <w:pPr>
              <w:spacing w:after="0"/>
              <w:rPr>
                <w:sz w:val="20"/>
                <w:szCs w:val="20"/>
                <w:color w:val="auto"/>
              </w:rPr>
            </w:pPr>
            <w:r>
              <w:rPr>
                <w:rFonts w:ascii="Arial" w:cs="Arial" w:eastAsia="Arial" w:hAnsi="Arial"/>
                <w:sz w:val="15"/>
                <w:szCs w:val="15"/>
                <w:color w:val="auto"/>
              </w:rPr>
              <w:t>/s/ Adam Stone</w:t>
            </w:r>
          </w:p>
        </w:tc>
        <w:tc>
          <w:tcPr>
            <w:tcW w:w="18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5"/>
                <w:szCs w:val="15"/>
                <w:color w:val="auto"/>
              </w:rPr>
              <w:t>Chief Executive Officer and Director</w:t>
            </w:r>
          </w:p>
        </w:tc>
        <w:tc>
          <w:tcPr>
            <w:tcW w:w="1480" w:type="dxa"/>
            <w:vAlign w:val="bottom"/>
            <w:gridSpan w:val="2"/>
          </w:tcPr>
          <w:p>
            <w:pPr>
              <w:ind w:left="180"/>
              <w:spacing w:after="0"/>
              <w:rPr>
                <w:sz w:val="20"/>
                <w:szCs w:val="20"/>
                <w:color w:val="auto"/>
              </w:rPr>
            </w:pPr>
            <w:r>
              <w:rPr>
                <w:rFonts w:ascii="Arial" w:cs="Arial" w:eastAsia="Arial" w:hAnsi="Arial"/>
                <w:sz w:val="15"/>
                <w:szCs w:val="15"/>
                <w:color w:val="auto"/>
              </w:rPr>
              <w:t>July 29, 2020</w:t>
            </w:r>
          </w:p>
        </w:tc>
        <w:tc>
          <w:tcPr>
            <w:tcW w:w="0" w:type="dxa"/>
            <w:vAlign w:val="bottom"/>
          </w:tcPr>
          <w:p>
            <w:pPr>
              <w:spacing w:after="0"/>
              <w:rPr>
                <w:sz w:val="1"/>
                <w:szCs w:val="1"/>
                <w:color w:val="auto"/>
              </w:rPr>
            </w:pPr>
          </w:p>
        </w:tc>
      </w:tr>
      <w:tr>
        <w:trPr>
          <w:trHeight w:val="66"/>
        </w:trPr>
        <w:tc>
          <w:tcPr>
            <w:tcW w:w="26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00" w:type="dxa"/>
            <w:vAlign w:val="bottom"/>
          </w:tcPr>
          <w:p>
            <w:pPr>
              <w:spacing w:after="0"/>
              <w:rPr>
                <w:sz w:val="20"/>
                <w:szCs w:val="20"/>
                <w:color w:val="auto"/>
              </w:rPr>
            </w:pPr>
            <w:r>
              <w:rPr>
                <w:rFonts w:ascii="Arial" w:cs="Arial" w:eastAsia="Arial" w:hAnsi="Arial"/>
                <w:sz w:val="15"/>
                <w:szCs w:val="15"/>
                <w:color w:val="auto"/>
              </w:rPr>
              <w:t>Adam Stone</w:t>
            </w:r>
          </w:p>
        </w:tc>
        <w:tc>
          <w:tcPr>
            <w:tcW w:w="18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Executive Officer</w:t>
            </w: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2"/>
        </w:trPr>
        <w:tc>
          <w:tcPr>
            <w:tcW w:w="2600" w:type="dxa"/>
            <w:vAlign w:val="bottom"/>
          </w:tcPr>
          <w:p>
            <w:pPr>
              <w:spacing w:after="0"/>
              <w:rPr>
                <w:sz w:val="20"/>
                <w:szCs w:val="20"/>
                <w:color w:val="auto"/>
              </w:rPr>
            </w:pPr>
            <w:r>
              <w:rPr>
                <w:rFonts w:ascii="Arial" w:cs="Arial" w:eastAsia="Arial" w:hAnsi="Arial"/>
                <w:sz w:val="15"/>
                <w:szCs w:val="15"/>
                <w:color w:val="auto"/>
              </w:rPr>
              <w:t>/s/ Michael Altman</w:t>
            </w:r>
          </w:p>
        </w:tc>
        <w:tc>
          <w:tcPr>
            <w:tcW w:w="18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5"/>
                <w:szCs w:val="15"/>
                <w:color w:val="auto"/>
              </w:rPr>
              <w:t>Chief Financial Officer and Director</w:t>
            </w:r>
          </w:p>
        </w:tc>
        <w:tc>
          <w:tcPr>
            <w:tcW w:w="1480" w:type="dxa"/>
            <w:vAlign w:val="bottom"/>
            <w:gridSpan w:val="2"/>
          </w:tcPr>
          <w:p>
            <w:pPr>
              <w:ind w:left="180"/>
              <w:spacing w:after="0"/>
              <w:rPr>
                <w:sz w:val="20"/>
                <w:szCs w:val="20"/>
                <w:color w:val="auto"/>
              </w:rPr>
            </w:pPr>
            <w:r>
              <w:rPr>
                <w:rFonts w:ascii="Arial" w:cs="Arial" w:eastAsia="Arial" w:hAnsi="Arial"/>
                <w:sz w:val="15"/>
                <w:szCs w:val="15"/>
                <w:color w:val="auto"/>
              </w:rPr>
              <w:t>July 29, 2020</w:t>
            </w:r>
          </w:p>
        </w:tc>
        <w:tc>
          <w:tcPr>
            <w:tcW w:w="0" w:type="dxa"/>
            <w:vAlign w:val="bottom"/>
          </w:tcPr>
          <w:p>
            <w:pPr>
              <w:spacing w:after="0"/>
              <w:rPr>
                <w:sz w:val="1"/>
                <w:szCs w:val="1"/>
                <w:color w:val="auto"/>
              </w:rPr>
            </w:pPr>
          </w:p>
        </w:tc>
      </w:tr>
      <w:tr>
        <w:trPr>
          <w:trHeight w:val="49"/>
        </w:trPr>
        <w:tc>
          <w:tcPr>
            <w:tcW w:w="26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600" w:type="dxa"/>
            <w:vAlign w:val="bottom"/>
            <w:vMerge w:val="restart"/>
          </w:tcPr>
          <w:p>
            <w:pPr>
              <w:spacing w:after="0"/>
              <w:rPr>
                <w:sz w:val="20"/>
                <w:szCs w:val="20"/>
                <w:color w:val="auto"/>
              </w:rPr>
            </w:pPr>
            <w:r>
              <w:rPr>
                <w:rFonts w:ascii="Arial" w:cs="Arial" w:eastAsia="Arial" w:hAnsi="Arial"/>
                <w:sz w:val="15"/>
                <w:szCs w:val="15"/>
                <w:color w:val="auto"/>
              </w:rPr>
              <w:t>Michael Altman</w:t>
            </w:r>
          </w:p>
        </w:tc>
        <w:tc>
          <w:tcPr>
            <w:tcW w:w="18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and Accounting Officer</w:t>
            </w: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ind w:left="1020"/>
              <w:spacing w:after="0"/>
              <w:rPr>
                <w:sz w:val="20"/>
                <w:szCs w:val="20"/>
                <w:color w:val="auto"/>
              </w:rPr>
            </w:pPr>
            <w:r>
              <w:rPr>
                <w:rFonts w:ascii="Arial" w:cs="Arial" w:eastAsia="Arial" w:hAnsi="Arial"/>
                <w:sz w:val="14"/>
                <w:szCs w:val="14"/>
                <w:color w:val="auto"/>
              </w:rPr>
              <w:t>II-4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12,500,000 Class A Ordinary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ARYA Sciences Acquisition Corp III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UNDERWRITING AGREEMENT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JEFFERIES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Representatives of the several Underwriters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 JEFFERIES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520 Madison Avenue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 GOLDMAN SACHS &amp; CO.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200 West Street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82" w:lineRule="exact"/>
        <w:rPr>
          <w:sz w:val="20"/>
          <w:szCs w:val="20"/>
          <w:color w:val="auto"/>
        </w:rPr>
      </w:pPr>
    </w:p>
    <w:p>
      <w:pPr>
        <w:ind w:right="140" w:firstLine="559"/>
        <w:spacing w:after="0" w:line="283" w:lineRule="auto"/>
        <w:rPr>
          <w:sz w:val="20"/>
          <w:szCs w:val="20"/>
          <w:color w:val="auto"/>
        </w:rPr>
      </w:pPr>
      <w:r>
        <w:rPr>
          <w:rFonts w:ascii="Arial" w:cs="Arial" w:eastAsia="Arial" w:hAnsi="Arial"/>
          <w:sz w:val="14"/>
          <w:szCs w:val="14"/>
          <w:b w:val="1"/>
          <w:bCs w:val="1"/>
          <w:color w:val="auto"/>
        </w:rPr>
        <w:t xml:space="preserve">Introductory. </w:t>
      </w:r>
      <w:r>
        <w:rPr>
          <w:rFonts w:ascii="Arial" w:cs="Arial" w:eastAsia="Arial" w:hAnsi="Arial"/>
          <w:sz w:val="14"/>
          <w:szCs w:val="14"/>
          <w:color w:val="auto"/>
        </w:rPr>
        <w:t>ARYA Sciences Acquisition Corp III, a Cayman Islands exempted company (the “</w:t>
      </w:r>
      <w:r>
        <w:rPr>
          <w:rFonts w:ascii="Arial" w:cs="Arial" w:eastAsia="Arial" w:hAnsi="Arial"/>
          <w:sz w:val="14"/>
          <w:szCs w:val="14"/>
          <w:b w:val="1"/>
          <w:bCs w:val="1"/>
          <w:color w:val="auto"/>
        </w:rPr>
        <w:t>Company</w:t>
      </w:r>
      <w:r>
        <w:rPr>
          <w:rFonts w:ascii="Arial" w:cs="Arial" w:eastAsia="Arial" w:hAnsi="Arial"/>
          <w:sz w:val="14"/>
          <w:szCs w:val="14"/>
          <w:color w:val="auto"/>
        </w:rPr>
        <w:t>”), proposes, upon the terms and subject to the conditions set</w:t>
      </w:r>
      <w:r>
        <w:rPr>
          <w:rFonts w:ascii="Arial" w:cs="Arial" w:eastAsia="Arial" w:hAnsi="Arial"/>
          <w:sz w:val="14"/>
          <w:szCs w:val="14"/>
          <w:b w:val="1"/>
          <w:bCs w:val="1"/>
          <w:color w:val="auto"/>
        </w:rPr>
        <w:t xml:space="preserve"> </w:t>
      </w:r>
      <w:r>
        <w:rPr>
          <w:rFonts w:ascii="Arial" w:cs="Arial" w:eastAsia="Arial" w:hAnsi="Arial"/>
          <w:sz w:val="14"/>
          <w:szCs w:val="14"/>
          <w:color w:val="auto"/>
        </w:rPr>
        <w:t>forth in this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xml:space="preserve">”), to issue and sell to the several underwriters named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(the “</w:t>
      </w:r>
      <w:r>
        <w:rPr>
          <w:rFonts w:ascii="Arial" w:cs="Arial" w:eastAsia="Arial" w:hAnsi="Arial"/>
          <w:sz w:val="14"/>
          <w:szCs w:val="14"/>
          <w:b w:val="1"/>
          <w:bCs w:val="1"/>
          <w:color w:val="auto"/>
        </w:rPr>
        <w:t>Underwriters</w:t>
      </w:r>
      <w:r>
        <w:rPr>
          <w:rFonts w:ascii="Arial" w:cs="Arial" w:eastAsia="Arial" w:hAnsi="Arial"/>
          <w:sz w:val="14"/>
          <w:szCs w:val="14"/>
          <w:color w:val="auto"/>
        </w:rPr>
        <w:t>”) an aggregate of 12,500,000 Class A ordinary shares, par value $0.0001 per share, of the Company (“</w:t>
      </w:r>
      <w:r>
        <w:rPr>
          <w:rFonts w:ascii="Arial" w:cs="Arial" w:eastAsia="Arial" w:hAnsi="Arial"/>
          <w:sz w:val="14"/>
          <w:szCs w:val="14"/>
          <w:b w:val="1"/>
          <w:bCs w:val="1"/>
          <w:color w:val="auto"/>
        </w:rPr>
        <w:t>Class A Ordinary Shares</w:t>
      </w:r>
      <w:r>
        <w:rPr>
          <w:rFonts w:ascii="Arial" w:cs="Arial" w:eastAsia="Arial" w:hAnsi="Arial"/>
          <w:sz w:val="14"/>
          <w:szCs w:val="14"/>
          <w:color w:val="auto"/>
        </w:rPr>
        <w:t>”). The 12,500,000 Class A Ordinary Shares to be sold by the Company are called the “</w:t>
      </w:r>
      <w:r>
        <w:rPr>
          <w:rFonts w:ascii="Arial" w:cs="Arial" w:eastAsia="Arial" w:hAnsi="Arial"/>
          <w:sz w:val="14"/>
          <w:szCs w:val="14"/>
          <w:b w:val="1"/>
          <w:bCs w:val="1"/>
          <w:color w:val="auto"/>
        </w:rPr>
        <w:t>Firm</w:t>
      </w:r>
      <w:r>
        <w:rPr>
          <w:rFonts w:ascii="Arial" w:cs="Arial" w:eastAsia="Arial" w:hAnsi="Arial"/>
          <w:sz w:val="14"/>
          <w:szCs w:val="14"/>
          <w:color w:val="auto"/>
        </w:rPr>
        <w:t xml:space="preserve"> </w:t>
      </w:r>
      <w:r>
        <w:rPr>
          <w:rFonts w:ascii="Arial" w:cs="Arial" w:eastAsia="Arial" w:hAnsi="Arial"/>
          <w:sz w:val="14"/>
          <w:szCs w:val="14"/>
          <w:b w:val="1"/>
          <w:bCs w:val="1"/>
          <w:color w:val="auto"/>
        </w:rPr>
        <w:t>Securities</w:t>
      </w:r>
      <w:r>
        <w:rPr>
          <w:rFonts w:ascii="Arial" w:cs="Arial" w:eastAsia="Arial" w:hAnsi="Arial"/>
          <w:sz w:val="14"/>
          <w:szCs w:val="14"/>
          <w:color w:val="auto"/>
        </w:rPr>
        <w:t>.” In addition, the Company has granted to the Underwriters an option to purchase up to an additional 1,875,000 Class A Ordinary Shares as provided in Section 2. The</w:t>
      </w:r>
      <w:r>
        <w:rPr>
          <w:rFonts w:ascii="Arial" w:cs="Arial" w:eastAsia="Arial" w:hAnsi="Arial"/>
          <w:sz w:val="14"/>
          <w:szCs w:val="14"/>
          <w:b w:val="1"/>
          <w:bCs w:val="1"/>
          <w:color w:val="auto"/>
        </w:rPr>
        <w:t xml:space="preserve"> </w:t>
      </w:r>
      <w:r>
        <w:rPr>
          <w:rFonts w:ascii="Arial" w:cs="Arial" w:eastAsia="Arial" w:hAnsi="Arial"/>
          <w:sz w:val="14"/>
          <w:szCs w:val="14"/>
          <w:color w:val="auto"/>
        </w:rPr>
        <w:t>additional 1,875,000 Class A Ordinary Shares to be sold by the Company pursuant to such option are collectively called the “</w:t>
      </w:r>
      <w:r>
        <w:rPr>
          <w:rFonts w:ascii="Arial" w:cs="Arial" w:eastAsia="Arial" w:hAnsi="Arial"/>
          <w:sz w:val="14"/>
          <w:szCs w:val="14"/>
          <w:b w:val="1"/>
          <w:bCs w:val="1"/>
          <w:color w:val="auto"/>
        </w:rPr>
        <w:t>Optional Securities</w:t>
      </w:r>
      <w:r>
        <w:rPr>
          <w:rFonts w:ascii="Arial" w:cs="Arial" w:eastAsia="Arial" w:hAnsi="Arial"/>
          <w:sz w:val="14"/>
          <w:szCs w:val="14"/>
          <w:color w:val="auto"/>
        </w:rPr>
        <w:t>.” The Firm Securities and, if and to the extent such option is exercised, the Optional Securities are collectively called the “</w:t>
      </w:r>
      <w:r>
        <w:rPr>
          <w:rFonts w:ascii="Arial" w:cs="Arial" w:eastAsia="Arial" w:hAnsi="Arial"/>
          <w:sz w:val="14"/>
          <w:szCs w:val="14"/>
          <w:b w:val="1"/>
          <w:bCs w:val="1"/>
          <w:color w:val="auto"/>
        </w:rPr>
        <w:t>Offered Securities</w:t>
      </w:r>
      <w:r>
        <w:rPr>
          <w:rFonts w:ascii="Arial" w:cs="Arial" w:eastAsia="Arial" w:hAnsi="Arial"/>
          <w:sz w:val="14"/>
          <w:szCs w:val="14"/>
          <w:color w:val="auto"/>
        </w:rPr>
        <w:t>.” Jefferies LLC and Goldman Sachs &amp; Co. LLC has agreed to act as Representatives of the several Underwriters (together in such capacity, the “</w:t>
      </w:r>
      <w:r>
        <w:rPr>
          <w:rFonts w:ascii="Arial" w:cs="Arial" w:eastAsia="Arial" w:hAnsi="Arial"/>
          <w:sz w:val="14"/>
          <w:szCs w:val="14"/>
          <w:b w:val="1"/>
          <w:bCs w:val="1"/>
          <w:color w:val="auto"/>
        </w:rPr>
        <w:t>Representatives</w:t>
      </w:r>
      <w:r>
        <w:rPr>
          <w:rFonts w:ascii="Arial" w:cs="Arial" w:eastAsia="Arial" w:hAnsi="Arial"/>
          <w:sz w:val="14"/>
          <w:szCs w:val="14"/>
          <w:color w:val="auto"/>
        </w:rPr>
        <w:t>”) in connection with the offering of the Offered Securities for sale to the public as contemplated in the Prospectus (as defined below) (the “</w:t>
      </w:r>
      <w:r>
        <w:rPr>
          <w:rFonts w:ascii="Arial" w:cs="Arial" w:eastAsia="Arial" w:hAnsi="Arial"/>
          <w:sz w:val="14"/>
          <w:szCs w:val="14"/>
          <w:b w:val="1"/>
          <w:bCs w:val="1"/>
          <w:color w:val="auto"/>
        </w:rPr>
        <w:t>Offering</w:t>
      </w:r>
      <w:r>
        <w:rPr>
          <w:rFonts w:ascii="Arial" w:cs="Arial" w:eastAsia="Arial" w:hAnsi="Arial"/>
          <w:sz w:val="14"/>
          <w:szCs w:val="14"/>
          <w:color w:val="auto"/>
        </w:rPr>
        <w:t xml:space="preserve">”). To the extent there are no additional underwriters listed on </w:t>
      </w:r>
      <w:r>
        <w:rPr>
          <w:rFonts w:ascii="Arial" w:cs="Arial" w:eastAsia="Arial" w:hAnsi="Arial"/>
          <w:sz w:val="14"/>
          <w:szCs w:val="14"/>
          <w:u w:val="single" w:color="auto"/>
          <w:color w:val="auto"/>
        </w:rPr>
        <w:t>Schedule A</w:t>
      </w:r>
      <w:r>
        <w:rPr>
          <w:rFonts w:ascii="Arial" w:cs="Arial" w:eastAsia="Arial" w:hAnsi="Arial"/>
          <w:sz w:val="14"/>
          <w:szCs w:val="14"/>
          <w:color w:val="auto"/>
        </w:rPr>
        <w:t>, the term “Representatives” as used herein shall mean you, as Underwriters, and the term “Underwriters” shall mean either the singular or the plural, as the context requires. As used herein, the term “</w:t>
      </w:r>
      <w:r>
        <w:rPr>
          <w:rFonts w:ascii="Arial" w:cs="Arial" w:eastAsia="Arial" w:hAnsi="Arial"/>
          <w:sz w:val="14"/>
          <w:szCs w:val="14"/>
          <w:b w:val="1"/>
          <w:bCs w:val="1"/>
          <w:color w:val="auto"/>
        </w:rPr>
        <w:t>Business</w:t>
      </w:r>
      <w:r>
        <w:rPr>
          <w:rFonts w:ascii="Arial" w:cs="Arial" w:eastAsia="Arial" w:hAnsi="Arial"/>
          <w:sz w:val="14"/>
          <w:szCs w:val="14"/>
          <w:color w:val="auto"/>
        </w:rPr>
        <w:t xml:space="preserve"> </w:t>
      </w:r>
      <w:r>
        <w:rPr>
          <w:rFonts w:ascii="Arial" w:cs="Arial" w:eastAsia="Arial" w:hAnsi="Arial"/>
          <w:sz w:val="14"/>
          <w:szCs w:val="14"/>
          <w:b w:val="1"/>
          <w:bCs w:val="1"/>
          <w:color w:val="auto"/>
        </w:rPr>
        <w:t>Combination</w:t>
      </w:r>
      <w:r>
        <w:rPr>
          <w:rFonts w:ascii="Arial" w:cs="Arial" w:eastAsia="Arial" w:hAnsi="Arial"/>
          <w:sz w:val="14"/>
          <w:szCs w:val="14"/>
          <w:color w:val="auto"/>
        </w:rPr>
        <w:t>” (as described more fully in the Registration Statement (as defined below)) shall mean a merger, share exchange, asset acquisition, share purchase, reorganization or</w:t>
      </w:r>
      <w:r>
        <w:rPr>
          <w:rFonts w:ascii="Arial" w:cs="Arial" w:eastAsia="Arial" w:hAnsi="Arial"/>
          <w:sz w:val="14"/>
          <w:szCs w:val="14"/>
          <w:b w:val="1"/>
          <w:bCs w:val="1"/>
          <w:color w:val="auto"/>
        </w:rPr>
        <w:t xml:space="preserve"> </w:t>
      </w:r>
      <w:r>
        <w:rPr>
          <w:rFonts w:ascii="Arial" w:cs="Arial" w:eastAsia="Arial" w:hAnsi="Arial"/>
          <w:sz w:val="14"/>
          <w:szCs w:val="14"/>
          <w:color w:val="auto"/>
        </w:rPr>
        <w:t>similar business combination with one or more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151370" cy="14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63" w:right="319" w:bottom="1440" w:gutter="0" w:footer="0" w:header="0"/>
        </w:sectPr>
      </w:pPr>
    </w:p>
    <w:bookmarkStart w:id="162" w:name="page163"/>
    <w:bookmarkEnd w:id="162"/>
    <w:p>
      <w:pPr>
        <w:ind w:firstLine="559"/>
        <w:spacing w:after="0" w:line="280" w:lineRule="auto"/>
        <w:rPr>
          <w:sz w:val="20"/>
          <w:szCs w:val="20"/>
          <w:color w:val="auto"/>
        </w:rPr>
      </w:pPr>
      <w:r>
        <w:rPr>
          <w:rFonts w:ascii="Arial" w:cs="Arial" w:eastAsia="Arial" w:hAnsi="Arial"/>
          <w:sz w:val="14"/>
          <w:szCs w:val="14"/>
          <w:color w:val="auto"/>
        </w:rPr>
        <w:t>The Company has prepared and filed with the U.S. Securities and Exchange Commission (the “</w:t>
      </w:r>
      <w:r>
        <w:rPr>
          <w:rFonts w:ascii="Arial" w:cs="Arial" w:eastAsia="Arial" w:hAnsi="Arial"/>
          <w:sz w:val="14"/>
          <w:szCs w:val="14"/>
          <w:b w:val="1"/>
          <w:bCs w:val="1"/>
          <w:color w:val="auto"/>
        </w:rPr>
        <w:t>Commission</w:t>
      </w:r>
      <w:r>
        <w:rPr>
          <w:rFonts w:ascii="Arial" w:cs="Arial" w:eastAsia="Arial" w:hAnsi="Arial"/>
          <w:sz w:val="14"/>
          <w:szCs w:val="14"/>
          <w:color w:val="auto"/>
        </w:rPr>
        <w:t>”) a registration statement on Form S-1, File No. 333-239986 which contains a form of prospectus to be used in connection with the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4"/>
          <w:szCs w:val="14"/>
          <w:b w:val="1"/>
          <w:bCs w:val="1"/>
          <w:color w:val="auto"/>
        </w:rPr>
        <w:t>Securities Act</w:t>
      </w:r>
      <w:r>
        <w:rPr>
          <w:rFonts w:ascii="Arial" w:cs="Arial" w:eastAsia="Arial" w:hAnsi="Arial"/>
          <w:sz w:val="14"/>
          <w:szCs w:val="14"/>
          <w:color w:val="auto"/>
        </w:rPr>
        <w:t>”), including any information deemed to be a part thereof at the time of effectiveness pursuant to Rule 430A under the Securities Act, is called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Any registration statement filed by the Company pursuant to Rule 462(b) under the Securities Act in connection with the offer and sale of the Offered Securities is called the “</w:t>
      </w:r>
      <w:r>
        <w:rPr>
          <w:rFonts w:ascii="Arial" w:cs="Arial" w:eastAsia="Arial" w:hAnsi="Arial"/>
          <w:sz w:val="14"/>
          <w:szCs w:val="14"/>
          <w:b w:val="1"/>
          <w:bCs w:val="1"/>
          <w:color w:val="auto"/>
        </w:rPr>
        <w:t>Rule 462(b) Registration Statement</w:t>
      </w:r>
      <w:r>
        <w:rPr>
          <w:rFonts w:ascii="Arial" w:cs="Arial" w:eastAsia="Arial" w:hAnsi="Arial"/>
          <w:sz w:val="14"/>
          <w:szCs w:val="14"/>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Securities or in the form first made available to the Underwriters by the Company to meet requests of purchasers pursuant to Rule 173 under the Securities Act, is called the “</w:t>
      </w:r>
      <w:r>
        <w:rPr>
          <w:rFonts w:ascii="Arial" w:cs="Arial" w:eastAsia="Arial" w:hAnsi="Arial"/>
          <w:sz w:val="14"/>
          <w:szCs w:val="14"/>
          <w:b w:val="1"/>
          <w:bCs w:val="1"/>
          <w:color w:val="auto"/>
        </w:rPr>
        <w:t>Prospectus</w:t>
      </w:r>
      <w:r>
        <w:rPr>
          <w:rFonts w:ascii="Arial" w:cs="Arial" w:eastAsia="Arial" w:hAnsi="Arial"/>
          <w:sz w:val="14"/>
          <w:szCs w:val="14"/>
          <w:color w:val="auto"/>
        </w:rPr>
        <w:t>.” The preliminary prospectus dated [ ], 2020 describing the Offered Securities and the Offering thereof is called the “</w:t>
      </w:r>
      <w:r>
        <w:rPr>
          <w:rFonts w:ascii="Arial" w:cs="Arial" w:eastAsia="Arial" w:hAnsi="Arial"/>
          <w:sz w:val="14"/>
          <w:szCs w:val="14"/>
          <w:b w:val="1"/>
          <w:bCs w:val="1"/>
          <w:color w:val="auto"/>
        </w:rPr>
        <w:t>Preliminary Prospectus</w:t>
      </w:r>
      <w:r>
        <w:rPr>
          <w:rFonts w:ascii="Arial" w:cs="Arial" w:eastAsia="Arial" w:hAnsi="Arial"/>
          <w:sz w:val="14"/>
          <w:szCs w:val="14"/>
          <w:color w:val="auto"/>
        </w:rPr>
        <w:t>,” and the Preliminary Prospectus and any other prospectus in preliminary form that describes the Offered Securities and the Offering thereof and is used prior to the filing of the Prospectus is called a “</w:t>
      </w:r>
      <w:r>
        <w:rPr>
          <w:rFonts w:ascii="Arial" w:cs="Arial" w:eastAsia="Arial" w:hAnsi="Arial"/>
          <w:sz w:val="14"/>
          <w:szCs w:val="14"/>
          <w:b w:val="1"/>
          <w:bCs w:val="1"/>
          <w:color w:val="auto"/>
        </w:rPr>
        <w:t>preliminary</w:t>
      </w:r>
      <w:r>
        <w:rPr>
          <w:rFonts w:ascii="Arial" w:cs="Arial" w:eastAsia="Arial" w:hAnsi="Arial"/>
          <w:sz w:val="14"/>
          <w:szCs w:val="14"/>
          <w:color w:val="auto"/>
        </w:rPr>
        <w:t xml:space="preserve"> </w:t>
      </w:r>
      <w:r>
        <w:rPr>
          <w:rFonts w:ascii="Arial" w:cs="Arial" w:eastAsia="Arial" w:hAnsi="Arial"/>
          <w:sz w:val="14"/>
          <w:szCs w:val="14"/>
          <w:b w:val="1"/>
          <w:bCs w:val="1"/>
          <w:color w:val="auto"/>
        </w:rPr>
        <w:t>prospectus</w:t>
      </w:r>
      <w:r>
        <w:rPr>
          <w:rFonts w:ascii="Arial" w:cs="Arial" w:eastAsia="Arial" w:hAnsi="Arial"/>
          <w:sz w:val="14"/>
          <w:szCs w:val="14"/>
          <w:color w:val="auto"/>
        </w:rPr>
        <w:t>.” As used herein, “</w:t>
      </w:r>
      <w:r>
        <w:rPr>
          <w:rFonts w:ascii="Arial" w:cs="Arial" w:eastAsia="Arial" w:hAnsi="Arial"/>
          <w:sz w:val="14"/>
          <w:szCs w:val="14"/>
          <w:b w:val="1"/>
          <w:bCs w:val="1"/>
          <w:color w:val="auto"/>
        </w:rPr>
        <w:t>Applicable Time</w:t>
      </w:r>
      <w:r>
        <w:rPr>
          <w:rFonts w:ascii="Arial" w:cs="Arial" w:eastAsia="Arial" w:hAnsi="Arial"/>
          <w:sz w:val="14"/>
          <w:szCs w:val="14"/>
          <w:color w:val="auto"/>
        </w:rPr>
        <w:t>” is [ ] p.m. (New York City time) on [ ], 2020. As used herein, “</w:t>
      </w:r>
      <w:r>
        <w:rPr>
          <w:rFonts w:ascii="Arial" w:cs="Arial" w:eastAsia="Arial" w:hAnsi="Arial"/>
          <w:sz w:val="14"/>
          <w:szCs w:val="14"/>
          <w:b w:val="1"/>
          <w:bCs w:val="1"/>
          <w:color w:val="auto"/>
        </w:rPr>
        <w:t>Effective Date</w:t>
      </w:r>
      <w:r>
        <w:rPr>
          <w:rFonts w:ascii="Arial" w:cs="Arial" w:eastAsia="Arial" w:hAnsi="Arial"/>
          <w:sz w:val="14"/>
          <w:szCs w:val="14"/>
          <w:color w:val="auto"/>
        </w:rPr>
        <w:t>” means the date and time at which such registration</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 or the most recent post-effective amendment thereto, was declared effective by the Commission in accordance with the rules and regulations under the Securities Act. As used herein, “</w:t>
      </w:r>
      <w:r>
        <w:rPr>
          <w:rFonts w:ascii="Arial" w:cs="Arial" w:eastAsia="Arial" w:hAnsi="Arial"/>
          <w:sz w:val="14"/>
          <w:szCs w:val="14"/>
          <w:b w:val="1"/>
          <w:bCs w:val="1"/>
          <w:color w:val="auto"/>
        </w:rPr>
        <w:t>free writing prospectus</w:t>
      </w:r>
      <w:r>
        <w:rPr>
          <w:rFonts w:ascii="Arial" w:cs="Arial" w:eastAsia="Arial" w:hAnsi="Arial"/>
          <w:sz w:val="14"/>
          <w:szCs w:val="14"/>
          <w:color w:val="auto"/>
        </w:rPr>
        <w:t>” has the meaning set forth in Rule 405 under the Securities Act, and “</w:t>
      </w:r>
      <w:r>
        <w:rPr>
          <w:rFonts w:ascii="Arial" w:cs="Arial" w:eastAsia="Arial" w:hAnsi="Arial"/>
          <w:sz w:val="14"/>
          <w:szCs w:val="14"/>
          <w:b w:val="1"/>
          <w:bCs w:val="1"/>
          <w:color w:val="auto"/>
        </w:rPr>
        <w:t>Time of Sale Prospectus</w:t>
      </w:r>
      <w:r>
        <w:rPr>
          <w:rFonts w:ascii="Arial" w:cs="Arial" w:eastAsia="Arial" w:hAnsi="Arial"/>
          <w:sz w:val="14"/>
          <w:szCs w:val="14"/>
          <w:color w:val="auto"/>
        </w:rPr>
        <w:t xml:space="preserve">” means the Preliminary Prospectus together with the Time of Delivery Information, if any, set forth on </w:t>
      </w:r>
      <w:r>
        <w:rPr>
          <w:rFonts w:ascii="Arial" w:cs="Arial" w:eastAsia="Arial" w:hAnsi="Arial"/>
          <w:sz w:val="14"/>
          <w:szCs w:val="14"/>
          <w:u w:val="single" w:color="auto"/>
          <w:color w:val="auto"/>
        </w:rPr>
        <w:t>Schedule B</w:t>
      </w:r>
      <w:r>
        <w:rPr>
          <w:rFonts w:ascii="Arial" w:cs="Arial" w:eastAsia="Arial" w:hAnsi="Arial"/>
          <w:sz w:val="14"/>
          <w:szCs w:val="14"/>
          <w:color w:val="auto"/>
        </w:rPr>
        <w:t xml:space="preserve"> hereto. As used herein, “</w:t>
      </w:r>
      <w:r>
        <w:rPr>
          <w:rFonts w:ascii="Arial" w:cs="Arial" w:eastAsia="Arial" w:hAnsi="Arial"/>
          <w:sz w:val="14"/>
          <w:szCs w:val="14"/>
          <w:b w:val="1"/>
          <w:bCs w:val="1"/>
          <w:color w:val="auto"/>
        </w:rPr>
        <w:t>Road Show</w:t>
      </w:r>
      <w:r>
        <w:rPr>
          <w:rFonts w:ascii="Arial" w:cs="Arial" w:eastAsia="Arial" w:hAnsi="Arial"/>
          <w:sz w:val="14"/>
          <w:szCs w:val="14"/>
          <w:color w:val="auto"/>
        </w:rPr>
        <w:t>” means a “road show” (as defined in Rule 433 under the Securities Act) relating to the Offering contemplated hereby that is a “written communication” (as defined in Rule 405 under the Securities Act). As used herein, “</w:t>
      </w:r>
      <w:r>
        <w:rPr>
          <w:rFonts w:ascii="Arial" w:cs="Arial" w:eastAsia="Arial" w:hAnsi="Arial"/>
          <w:sz w:val="14"/>
          <w:szCs w:val="14"/>
          <w:b w:val="1"/>
          <w:bCs w:val="1"/>
          <w:color w:val="auto"/>
        </w:rPr>
        <w:t>Section 5(d) Written</w:t>
      </w:r>
      <w:r>
        <w:rPr>
          <w:rFonts w:ascii="Arial" w:cs="Arial" w:eastAsia="Arial" w:hAnsi="Arial"/>
          <w:sz w:val="14"/>
          <w:szCs w:val="14"/>
          <w:color w:val="auto"/>
        </w:rPr>
        <w:t xml:space="preserve"> </w:t>
      </w:r>
      <w:r>
        <w:rPr>
          <w:rFonts w:ascii="Arial" w:cs="Arial" w:eastAsia="Arial" w:hAnsi="Arial"/>
          <w:sz w:val="14"/>
          <w:szCs w:val="14"/>
          <w:b w:val="1"/>
          <w:bCs w:val="1"/>
          <w:color w:val="auto"/>
        </w:rPr>
        <w:t>Communication</w:t>
      </w:r>
      <w:r>
        <w:rPr>
          <w:rFonts w:ascii="Arial" w:cs="Arial" w:eastAsia="Arial" w:hAnsi="Arial"/>
          <w:sz w:val="14"/>
          <w:szCs w:val="14"/>
          <w:color w:val="auto"/>
        </w:rPr>
        <w:t>” means each written communication (within the meaning of Rule 405 under the Securities Act) that is made in reliance on Section 5(d) of the Securities Act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or any person authorized to act on behalf of the Company to one or more potential investors that are qualified institutional buyers (“</w:t>
      </w:r>
      <w:r>
        <w:rPr>
          <w:rFonts w:ascii="Arial" w:cs="Arial" w:eastAsia="Arial" w:hAnsi="Arial"/>
          <w:sz w:val="14"/>
          <w:szCs w:val="14"/>
          <w:b w:val="1"/>
          <w:bCs w:val="1"/>
          <w:color w:val="auto"/>
        </w:rPr>
        <w:t>QIBs</w:t>
      </w:r>
      <w:r>
        <w:rPr>
          <w:rFonts w:ascii="Arial" w:cs="Arial" w:eastAsia="Arial" w:hAnsi="Arial"/>
          <w:sz w:val="14"/>
          <w:szCs w:val="14"/>
          <w:color w:val="auto"/>
        </w:rPr>
        <w:t>”) and/or institutions that are accredited investors (“</w:t>
      </w:r>
      <w:r>
        <w:rPr>
          <w:rFonts w:ascii="Arial" w:cs="Arial" w:eastAsia="Arial" w:hAnsi="Arial"/>
          <w:sz w:val="14"/>
          <w:szCs w:val="14"/>
          <w:b w:val="1"/>
          <w:bCs w:val="1"/>
          <w:color w:val="auto"/>
        </w:rPr>
        <w:t>IAIs</w:t>
      </w:r>
      <w:r>
        <w:rPr>
          <w:rFonts w:ascii="Arial" w:cs="Arial" w:eastAsia="Arial" w:hAnsi="Arial"/>
          <w:sz w:val="14"/>
          <w:szCs w:val="14"/>
          <w:color w:val="auto"/>
        </w:rPr>
        <w:t>”), as such terms are respectively defined in Rule 144A and Rule 501(a) under the Securities Act, to determine whether such investors might have an interest in the Offering; “</w:t>
      </w:r>
      <w:r>
        <w:rPr>
          <w:rFonts w:ascii="Arial" w:cs="Arial" w:eastAsia="Arial" w:hAnsi="Arial"/>
          <w:sz w:val="14"/>
          <w:szCs w:val="14"/>
          <w:b w:val="1"/>
          <w:bCs w:val="1"/>
          <w:color w:val="auto"/>
        </w:rPr>
        <w:t>Section 5(d) Oral Communication</w:t>
      </w:r>
      <w:r>
        <w:rPr>
          <w:rFonts w:ascii="Arial" w:cs="Arial" w:eastAsia="Arial" w:hAnsi="Arial"/>
          <w:sz w:val="14"/>
          <w:szCs w:val="14"/>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w:t>
      </w:r>
      <w:r>
        <w:rPr>
          <w:rFonts w:ascii="Arial" w:cs="Arial" w:eastAsia="Arial" w:hAnsi="Arial"/>
          <w:sz w:val="14"/>
          <w:szCs w:val="14"/>
          <w:b w:val="1"/>
          <w:bCs w:val="1"/>
          <w:color w:val="auto"/>
        </w:rPr>
        <w:t>Marketing Materials</w:t>
      </w:r>
      <w:r>
        <w:rPr>
          <w:rFonts w:ascii="Arial" w:cs="Arial" w:eastAsia="Arial" w:hAnsi="Arial"/>
          <w:sz w:val="14"/>
          <w:szCs w:val="14"/>
          <w:color w:val="auto"/>
        </w:rPr>
        <w:t>” means any materials or information provided to investors by, or with the approval of, the Company in connection with the marketing of the Offering, including any Road Show or investor presentations made to investors by the Company (whether in person or electronically); and “</w:t>
      </w:r>
      <w:r>
        <w:rPr>
          <w:rFonts w:ascii="Arial" w:cs="Arial" w:eastAsia="Arial" w:hAnsi="Arial"/>
          <w:sz w:val="14"/>
          <w:szCs w:val="14"/>
          <w:b w:val="1"/>
          <w:bCs w:val="1"/>
          <w:color w:val="auto"/>
        </w:rPr>
        <w:t>Permitted Section 5(d) Communication</w:t>
      </w:r>
      <w:r>
        <w:rPr>
          <w:rFonts w:ascii="Arial" w:cs="Arial" w:eastAsia="Arial" w:hAnsi="Arial"/>
          <w:sz w:val="14"/>
          <w:szCs w:val="14"/>
          <w:color w:val="auto"/>
        </w:rPr>
        <w:t xml:space="preserve">” means the Section 5(d) Written Communication(s) and Marketing Materials listed on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attached hereto.</w:t>
      </w:r>
    </w:p>
    <w:p>
      <w:pPr>
        <w:spacing w:after="0" w:line="154"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w:t>
      </w:r>
    </w:p>
    <w:p>
      <w:pPr>
        <w:spacing w:after="0" w:line="164" w:lineRule="exact"/>
        <w:rPr>
          <w:sz w:val="20"/>
          <w:szCs w:val="20"/>
          <w:color w:val="auto"/>
        </w:rPr>
      </w:pPr>
    </w:p>
    <w:p>
      <w:pPr>
        <w:ind w:right="100" w:firstLine="559"/>
        <w:spacing w:after="0" w:line="297" w:lineRule="auto"/>
        <w:rPr>
          <w:sz w:val="20"/>
          <w:szCs w:val="20"/>
          <w:color w:val="auto"/>
        </w:rPr>
      </w:pPr>
      <w:r>
        <w:rPr>
          <w:rFonts w:ascii="Arial" w:cs="Arial" w:eastAsia="Arial" w:hAnsi="Arial"/>
          <w:sz w:val="14"/>
          <w:szCs w:val="14"/>
          <w:color w:val="auto"/>
        </w:rPr>
        <w:t>The Company has entered into a Securities Subscription Agreement, dated as of April 2, 2020 (the “</w:t>
      </w:r>
      <w:r>
        <w:rPr>
          <w:rFonts w:ascii="Arial" w:cs="Arial" w:eastAsia="Arial" w:hAnsi="Arial"/>
          <w:sz w:val="14"/>
          <w:szCs w:val="14"/>
          <w:b w:val="1"/>
          <w:bCs w:val="1"/>
          <w:color w:val="auto"/>
        </w:rPr>
        <w:t>Subscription Agreement</w:t>
      </w:r>
      <w:r>
        <w:rPr>
          <w:rFonts w:ascii="Arial" w:cs="Arial" w:eastAsia="Arial" w:hAnsi="Arial"/>
          <w:sz w:val="14"/>
          <w:szCs w:val="14"/>
          <w:color w:val="auto"/>
        </w:rPr>
        <w:t>”), with ARYA Sciences Holdings III, a Cayman Islands exempted limited company (the “</w:t>
      </w:r>
      <w:r>
        <w:rPr>
          <w:rFonts w:ascii="Arial" w:cs="Arial" w:eastAsia="Arial" w:hAnsi="Arial"/>
          <w:sz w:val="14"/>
          <w:szCs w:val="14"/>
          <w:b w:val="1"/>
          <w:bCs w:val="1"/>
          <w:color w:val="auto"/>
        </w:rPr>
        <w:t>Sponsor</w:t>
      </w:r>
      <w:r>
        <w:rPr>
          <w:rFonts w:ascii="Arial" w:cs="Arial" w:eastAsia="Arial" w:hAnsi="Arial"/>
          <w:sz w:val="14"/>
          <w:szCs w:val="14"/>
          <w:color w:val="auto"/>
        </w:rPr>
        <w:t>”), in substantially the form filed as Exhibit 10.7 to the Registration Statement, pursuant to which the Sponsor purchased an aggregate of 3,593,750 Class B ordinary shares for an aggregate purchase price of $25,000, or approximately $0.007 per share (the “</w:t>
      </w:r>
      <w:r>
        <w:rPr>
          <w:rFonts w:ascii="Arial" w:cs="Arial" w:eastAsia="Arial" w:hAnsi="Arial"/>
          <w:sz w:val="14"/>
          <w:szCs w:val="14"/>
          <w:b w:val="1"/>
          <w:bCs w:val="1"/>
          <w:color w:val="auto"/>
        </w:rPr>
        <w:t>Founder Shares</w:t>
      </w:r>
      <w:r>
        <w:rPr>
          <w:rFonts w:ascii="Arial" w:cs="Arial" w:eastAsia="Arial" w:hAnsi="Arial"/>
          <w:sz w:val="14"/>
          <w:szCs w:val="14"/>
          <w:color w:val="auto"/>
        </w:rPr>
        <w:t>”). The Founder Shares are substantially similar to the Class A Ordinary Shares except as described in the Prospectus.</w:t>
      </w:r>
    </w:p>
    <w:p>
      <w:pPr>
        <w:spacing w:after="0" w:line="140" w:lineRule="exact"/>
        <w:rPr>
          <w:sz w:val="20"/>
          <w:szCs w:val="20"/>
          <w:color w:val="auto"/>
        </w:rPr>
      </w:pPr>
    </w:p>
    <w:p>
      <w:pPr>
        <w:ind w:right="80" w:firstLine="559"/>
        <w:spacing w:after="0" w:line="294" w:lineRule="auto"/>
        <w:rPr>
          <w:sz w:val="20"/>
          <w:szCs w:val="20"/>
          <w:color w:val="auto"/>
        </w:rPr>
      </w:pPr>
      <w:r>
        <w:rPr>
          <w:rFonts w:ascii="Arial" w:cs="Arial" w:eastAsia="Arial" w:hAnsi="Arial"/>
          <w:sz w:val="14"/>
          <w:szCs w:val="14"/>
          <w:color w:val="auto"/>
        </w:rPr>
        <w:t>Prior to the First Closing Date (as defined below), the Sponsor will subscribe to purchase an aggregate of 450,000 Class A Ordinary Shares (or up to 487,500 Class A Ordinary Shares if the option to purchase additional Class A Ordinary Shares as provided in Section 2 is exercised in full) (the “</w:t>
      </w:r>
      <w:r>
        <w:rPr>
          <w:rFonts w:ascii="Arial" w:cs="Arial" w:eastAsia="Arial" w:hAnsi="Arial"/>
          <w:sz w:val="14"/>
          <w:szCs w:val="14"/>
          <w:b w:val="1"/>
          <w:bCs w:val="1"/>
          <w:color w:val="auto"/>
        </w:rPr>
        <w:t>Sponsor Shares</w:t>
      </w:r>
      <w:r>
        <w:rPr>
          <w:rFonts w:ascii="Arial" w:cs="Arial" w:eastAsia="Arial" w:hAnsi="Arial"/>
          <w:sz w:val="14"/>
          <w:szCs w:val="14"/>
          <w:color w:val="auto"/>
        </w:rPr>
        <w:t>”), and the Company will enter into a Private Placement Shares Purchase Agreement with the Sponsor (the “</w:t>
      </w:r>
      <w:r>
        <w:rPr>
          <w:rFonts w:ascii="Arial" w:cs="Arial" w:eastAsia="Arial" w:hAnsi="Arial"/>
          <w:sz w:val="14"/>
          <w:szCs w:val="14"/>
          <w:b w:val="1"/>
          <w:bCs w:val="1"/>
          <w:color w:val="auto"/>
        </w:rPr>
        <w:t>Sponsor Shares Purchase Agreement</w:t>
      </w:r>
      <w:r>
        <w:rPr>
          <w:rFonts w:ascii="Arial" w:cs="Arial" w:eastAsia="Arial" w:hAnsi="Arial"/>
          <w:sz w:val="14"/>
          <w:szCs w:val="14"/>
          <w:color w:val="auto"/>
        </w:rPr>
        <w:t>”) in substantially the form filed as Exhibit 10.3 to the Registration Statement. Except as described in the Registration Statement, the Time of Sale Prospectus and the Prospectus, the Sponsor Shares have the same terms as the Firm Securities.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63" w:name="page164"/>
    <w:bookmarkEnd w:id="163"/>
    <w:p>
      <w:pPr>
        <w:ind w:left="560"/>
        <w:spacing w:after="0"/>
        <w:rPr>
          <w:sz w:val="20"/>
          <w:szCs w:val="20"/>
          <w:color w:val="auto"/>
        </w:rPr>
      </w:pPr>
      <w:r>
        <w:rPr>
          <w:rFonts w:ascii="Arial" w:cs="Arial" w:eastAsia="Arial" w:hAnsi="Arial"/>
          <w:sz w:val="14"/>
          <w:szCs w:val="14"/>
          <w:color w:val="auto"/>
        </w:rPr>
        <w:t>The Company will enter into an Investment Management Trust Agreement, effective as of the First Closing Date, with Continental Stock Transfer &amp; Trust Company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CST</w:t>
      </w:r>
      <w:r>
        <w:rPr>
          <w:rFonts w:ascii="Arial" w:cs="Arial" w:eastAsia="Arial" w:hAnsi="Arial"/>
          <w:sz w:val="14"/>
          <w:szCs w:val="14"/>
          <w:color w:val="auto"/>
        </w:rPr>
        <w:t>”), as trustee, in substantially the form filed as Exhibit 10.1 to the Registration Statement (the “</w:t>
      </w:r>
      <w:r>
        <w:rPr>
          <w:rFonts w:ascii="Arial" w:cs="Arial" w:eastAsia="Arial" w:hAnsi="Arial"/>
          <w:sz w:val="14"/>
          <w:szCs w:val="14"/>
          <w:b w:val="1"/>
          <w:bCs w:val="1"/>
          <w:color w:val="auto"/>
        </w:rPr>
        <w:t>Trust Agreement</w:t>
      </w:r>
      <w:r>
        <w:rPr>
          <w:rFonts w:ascii="Arial" w:cs="Arial" w:eastAsia="Arial" w:hAnsi="Arial"/>
          <w:sz w:val="14"/>
          <w:szCs w:val="14"/>
          <w:color w:val="auto"/>
        </w:rPr>
        <w:t>”), pursuant to which proceeds from the sale of the Sponsor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Shares and proceeds from the Offering and sale of the Offered Securities will be deposited and held in a trust account (the “</w:t>
      </w:r>
      <w:r>
        <w:rPr>
          <w:rFonts w:ascii="Arial" w:cs="Arial" w:eastAsia="Arial" w:hAnsi="Arial"/>
          <w:sz w:val="14"/>
          <w:szCs w:val="14"/>
          <w:b w:val="1"/>
          <w:bCs w:val="1"/>
          <w:color w:val="auto"/>
        </w:rPr>
        <w:t>Trust Account</w:t>
      </w:r>
      <w:r>
        <w:rPr>
          <w:rFonts w:ascii="Arial" w:cs="Arial" w:eastAsia="Arial" w:hAnsi="Arial"/>
          <w:sz w:val="14"/>
          <w:szCs w:val="14"/>
          <w:color w:val="auto"/>
        </w:rPr>
        <w:t>”) for the benefit of the Company,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Underwriters and the holders of the Firm Securities and the Optional Securities, if and when issued.</w:t>
      </w:r>
    </w:p>
    <w:p>
      <w:pPr>
        <w:spacing w:after="0" w:line="178" w:lineRule="exact"/>
        <w:rPr>
          <w:sz w:val="20"/>
          <w:szCs w:val="20"/>
          <w:color w:val="auto"/>
        </w:rPr>
      </w:pPr>
    </w:p>
    <w:p>
      <w:pPr>
        <w:ind w:firstLine="559"/>
        <w:spacing w:after="0" w:line="294" w:lineRule="auto"/>
        <w:rPr>
          <w:sz w:val="20"/>
          <w:szCs w:val="20"/>
          <w:color w:val="auto"/>
        </w:rPr>
      </w:pPr>
      <w:r>
        <w:rPr>
          <w:rFonts w:ascii="Arial" w:cs="Arial" w:eastAsia="Arial" w:hAnsi="Arial"/>
          <w:sz w:val="14"/>
          <w:szCs w:val="14"/>
          <w:color w:val="auto"/>
        </w:rPr>
        <w:t>The Company will enter into a Registration and Shareholder Rights Agreement, dated as of the First Closing Date, with the Sponsor and the other parties thereto, in substantially the form filed as Exhibit 10.2 to the Registration Statement (the “</w:t>
      </w:r>
      <w:r>
        <w:rPr>
          <w:rFonts w:ascii="Arial" w:cs="Arial" w:eastAsia="Arial" w:hAnsi="Arial"/>
          <w:sz w:val="14"/>
          <w:szCs w:val="14"/>
          <w:b w:val="1"/>
          <w:bCs w:val="1"/>
          <w:color w:val="auto"/>
        </w:rPr>
        <w:t>Registration Rights Agreement</w:t>
      </w:r>
      <w:r>
        <w:rPr>
          <w:rFonts w:ascii="Arial" w:cs="Arial" w:eastAsia="Arial" w:hAnsi="Arial"/>
          <w:sz w:val="14"/>
          <w:szCs w:val="14"/>
          <w:color w:val="auto"/>
        </w:rPr>
        <w:t>”), pursuant to which the Company will grant certain registration and shareholder rights in respect of the Founder Shares, the Sponsor Shares and any Class A Ordinary Shares issued upon the conversion of working capital loans by the Sponsor, the Company’s officers and directors or their respective affiliates, to the Company (the “</w:t>
      </w:r>
      <w:r>
        <w:rPr>
          <w:rFonts w:ascii="Arial" w:cs="Arial" w:eastAsia="Arial" w:hAnsi="Arial"/>
          <w:sz w:val="14"/>
          <w:szCs w:val="14"/>
          <w:b w:val="1"/>
          <w:bCs w:val="1"/>
          <w:color w:val="auto"/>
        </w:rPr>
        <w:t>Working Capital Shares</w:t>
      </w:r>
      <w:r>
        <w:rPr>
          <w:rFonts w:ascii="Arial" w:cs="Arial" w:eastAsia="Arial" w:hAnsi="Arial"/>
          <w:sz w:val="14"/>
          <w:szCs w:val="14"/>
          <w:color w:val="auto"/>
        </w:rPr>
        <w:t>”).</w:t>
      </w:r>
    </w:p>
    <w:p>
      <w:pPr>
        <w:spacing w:after="0" w:line="142" w:lineRule="exact"/>
        <w:rPr>
          <w:sz w:val="20"/>
          <w:szCs w:val="20"/>
          <w:color w:val="auto"/>
        </w:rPr>
      </w:pPr>
    </w:p>
    <w:p>
      <w:pPr>
        <w:ind w:right="100" w:firstLine="559"/>
        <w:spacing w:after="0" w:line="258" w:lineRule="auto"/>
        <w:rPr>
          <w:sz w:val="20"/>
          <w:szCs w:val="20"/>
          <w:color w:val="auto"/>
        </w:rPr>
      </w:pPr>
      <w:r>
        <w:rPr>
          <w:rFonts w:ascii="Arial" w:cs="Arial" w:eastAsia="Arial" w:hAnsi="Arial"/>
          <w:sz w:val="16"/>
          <w:szCs w:val="16"/>
          <w:color w:val="auto"/>
        </w:rPr>
        <w:t>The Company has entered into a letter agreement, dated as of the date hereof, with the Sponsor and the Company’s officers and directors, in substantially the form filed as Exhibit 10.8 to the Registration Statement (the “</w:t>
      </w:r>
      <w:r>
        <w:rPr>
          <w:rFonts w:ascii="Arial" w:cs="Arial" w:eastAsia="Arial" w:hAnsi="Arial"/>
          <w:sz w:val="16"/>
          <w:szCs w:val="16"/>
          <w:b w:val="1"/>
          <w:bCs w:val="1"/>
          <w:color w:val="auto"/>
        </w:rPr>
        <w:t>Insider Letter</w:t>
      </w:r>
      <w:r>
        <w:rPr>
          <w:rFonts w:ascii="Arial" w:cs="Arial" w:eastAsia="Arial" w:hAnsi="Arial"/>
          <w:sz w:val="16"/>
          <w:szCs w:val="16"/>
          <w:color w:val="auto"/>
        </w:rPr>
        <w:t>”).</w:t>
      </w:r>
    </w:p>
    <w:p>
      <w:pPr>
        <w:spacing w:after="0" w:line="163" w:lineRule="exact"/>
        <w:rPr>
          <w:sz w:val="20"/>
          <w:szCs w:val="20"/>
          <w:color w:val="auto"/>
        </w:rPr>
      </w:pPr>
    </w:p>
    <w:p>
      <w:pPr>
        <w:jc w:val="both"/>
        <w:ind w:right="60" w:firstLine="559"/>
        <w:spacing w:after="0" w:line="250" w:lineRule="auto"/>
        <w:rPr>
          <w:sz w:val="20"/>
          <w:szCs w:val="20"/>
          <w:color w:val="auto"/>
        </w:rPr>
      </w:pPr>
      <w:r>
        <w:rPr>
          <w:rFonts w:ascii="Arial" w:cs="Arial" w:eastAsia="Arial" w:hAnsi="Arial"/>
          <w:sz w:val="16"/>
          <w:szCs w:val="16"/>
          <w:color w:val="auto"/>
        </w:rPr>
        <w:t>The Company will enter into an Administrative Services Agreement, dated as of the First Closing Date, with the Sponsor, in substantially the form filed as Exhibit 10.5 to the Registration Statement (the “</w:t>
      </w:r>
      <w:r>
        <w:rPr>
          <w:rFonts w:ascii="Arial" w:cs="Arial" w:eastAsia="Arial" w:hAnsi="Arial"/>
          <w:sz w:val="16"/>
          <w:szCs w:val="16"/>
          <w:b w:val="1"/>
          <w:bCs w:val="1"/>
          <w:color w:val="auto"/>
        </w:rPr>
        <w:t>Administrative Services Agreement</w:t>
      </w:r>
      <w:r>
        <w:rPr>
          <w:rFonts w:ascii="Arial" w:cs="Arial" w:eastAsia="Arial" w:hAnsi="Arial"/>
          <w:sz w:val="16"/>
          <w:szCs w:val="16"/>
          <w:color w:val="auto"/>
        </w:rPr>
        <w:t>”), pursuant to which the Company will pay to Sponsor an aggregate monthly fee of $10,000 for office space, secretarial and administrative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hereby confirms its agreements with the Underwriters as follows:</w:t>
      </w:r>
    </w:p>
    <w:p>
      <w:pPr>
        <w:spacing w:after="0" w:line="182" w:lineRule="exact"/>
        <w:rPr>
          <w:sz w:val="20"/>
          <w:szCs w:val="20"/>
          <w:color w:val="auto"/>
        </w:rPr>
      </w:pPr>
    </w:p>
    <w:p>
      <w:pPr>
        <w:ind w:left="1120"/>
        <w:spacing w:after="0"/>
        <w:tabs>
          <w:tab w:leader="none" w:pos="19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3"/>
          <w:szCs w:val="13"/>
          <w:b w:val="1"/>
          <w:bCs w:val="1"/>
          <w:color w:val="auto"/>
        </w:rPr>
        <w:t>Representations and Warranties of the Company.</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hereby represents, warrants and covenants to each Underwriter as follows:</w:t>
      </w:r>
    </w:p>
    <w:p>
      <w:pPr>
        <w:spacing w:after="0" w:line="182" w:lineRule="exact"/>
        <w:rPr>
          <w:sz w:val="20"/>
          <w:szCs w:val="20"/>
          <w:color w:val="auto"/>
        </w:rPr>
      </w:pPr>
    </w:p>
    <w:p>
      <w:pPr>
        <w:ind w:right="280" w:firstLine="552"/>
        <w:spacing w:after="0" w:line="250" w:lineRule="auto"/>
        <w:tabs>
          <w:tab w:leader="none" w:pos="101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has become effective under the Securities Act. The Company has complied,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64" w:lineRule="exact"/>
        <w:rPr>
          <w:rFonts w:ascii="Arial" w:cs="Arial" w:eastAsia="Arial" w:hAnsi="Arial"/>
          <w:sz w:val="16"/>
          <w:szCs w:val="16"/>
          <w:b w:val="1"/>
          <w:bCs w:val="1"/>
          <w:color w:val="auto"/>
        </w:rPr>
      </w:pPr>
    </w:p>
    <w:p>
      <w:pPr>
        <w:ind w:firstLine="552"/>
        <w:spacing w:after="0" w:line="282" w:lineRule="auto"/>
        <w:tabs>
          <w:tab w:leader="none" w:pos="1019"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Disclosure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Each preliminary prospectus and the Prospectus when filed complied in all material respects with the Securities Act and, if filed by electronic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501" w:right="359" w:bottom="1440" w:gutter="0" w:footer="0" w:header="0"/>
        </w:sectPr>
      </w:pPr>
    </w:p>
    <w:bookmarkStart w:id="164" w:name="page165"/>
    <w:bookmarkEnd w:id="164"/>
    <w:p>
      <w:pPr>
        <w:ind w:firstLine="552"/>
        <w:spacing w:after="0" w:line="286" w:lineRule="auto"/>
        <w:tabs>
          <w:tab w:leader="none" w:pos="1002"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Free Writing Prospectuses; Road Show</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of the determination date referenced in Rule 164(h) under the Securities Act and as of the date hereof, the Company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was and is an “ineligible issuer” in connection with the Offering pursuant to Rules 164, 405 and 433 under the Securities Act. The Company has not prepared, used or referred to, and will not, without your prior written consent, prepare, use or refer to, any free writing prospectus. Each of the Marketing Materials (including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8(b) below.</w:t>
      </w:r>
    </w:p>
    <w:p>
      <w:pPr>
        <w:spacing w:after="0" w:line="140" w:lineRule="exact"/>
        <w:rPr>
          <w:rFonts w:ascii="Arial" w:cs="Arial" w:eastAsia="Arial" w:hAnsi="Arial"/>
          <w:sz w:val="14"/>
          <w:szCs w:val="14"/>
          <w:b w:val="1"/>
          <w:bCs w:val="1"/>
          <w:color w:val="auto"/>
        </w:rPr>
      </w:pPr>
    </w:p>
    <w:p>
      <w:pPr>
        <w:ind w:firstLine="552"/>
        <w:spacing w:after="0" w:line="250" w:lineRule="auto"/>
        <w:tabs>
          <w:tab w:leader="none" w:pos="1019"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 Underwriters in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 (ii) the completion of the Underwriters’ distribution of the Offered Securities and (iii) the expiration of 25 days after the date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64" w:lineRule="exact"/>
        <w:rPr>
          <w:rFonts w:ascii="Arial" w:cs="Arial" w:eastAsia="Arial" w:hAnsi="Arial"/>
          <w:sz w:val="16"/>
          <w:szCs w:val="16"/>
          <w:b w:val="1"/>
          <w:bCs w:val="1"/>
          <w:color w:val="auto"/>
        </w:rPr>
      </w:pPr>
    </w:p>
    <w:p>
      <w:pPr>
        <w:ind w:right="20" w:firstLine="552"/>
        <w:spacing w:after="0" w:line="254" w:lineRule="auto"/>
        <w:tabs>
          <w:tab w:leader="none" w:pos="1002"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Underwriting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has been duly and validly authorized, executed and delivered by the Company, and is a valid and binding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0" w:lineRule="exact"/>
        <w:rPr>
          <w:rFonts w:ascii="Arial" w:cs="Arial" w:eastAsia="Arial" w:hAnsi="Arial"/>
          <w:sz w:val="16"/>
          <w:szCs w:val="16"/>
          <w:b w:val="1"/>
          <w:bCs w:val="1"/>
          <w:color w:val="auto"/>
        </w:rPr>
      </w:pPr>
    </w:p>
    <w:p>
      <w:pPr>
        <w:ind w:right="280" w:firstLine="552"/>
        <w:spacing w:after="0" w:line="250" w:lineRule="auto"/>
        <w:tabs>
          <w:tab w:leader="none" w:pos="98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Filing of a Form 8-A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filed with the Commission a registration statement (the “</w:t>
      </w:r>
      <w:r>
        <w:rPr>
          <w:rFonts w:ascii="Arial" w:cs="Arial" w:eastAsia="Arial" w:hAnsi="Arial"/>
          <w:sz w:val="16"/>
          <w:szCs w:val="16"/>
          <w:b w:val="1"/>
          <w:bCs w:val="1"/>
          <w:color w:val="auto"/>
        </w:rPr>
        <w:t>Exchange Act Registration Statement</w:t>
      </w:r>
      <w:r>
        <w:rPr>
          <w:rFonts w:ascii="Arial" w:cs="Arial" w:eastAsia="Arial" w:hAnsi="Arial"/>
          <w:sz w:val="16"/>
          <w:szCs w:val="16"/>
          <w:color w:val="auto"/>
        </w:rPr>
        <w:t>”) on Form 8-A (file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001-[ ]) providing for the registration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of the Class A Ordinary Shares, which registration is currently effective on the date hereof. The Exchange Act Registration Statement has become effective as provided in Section 12 of the Exchange Act.</w:t>
      </w:r>
    </w:p>
    <w:p>
      <w:pPr>
        <w:spacing w:after="0" w:line="164" w:lineRule="exact"/>
        <w:rPr>
          <w:rFonts w:ascii="Arial" w:cs="Arial" w:eastAsia="Arial" w:hAnsi="Arial"/>
          <w:sz w:val="16"/>
          <w:szCs w:val="16"/>
          <w:b w:val="1"/>
          <w:bCs w:val="1"/>
          <w:color w:val="auto"/>
        </w:rPr>
      </w:pPr>
    </w:p>
    <w:p>
      <w:pPr>
        <w:ind w:left="1000" w:hanging="448"/>
        <w:spacing w:after="0"/>
        <w:tabs>
          <w:tab w:leader="none" w:pos="100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Stock Exchange Listing</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Class A Ordinary Shares have been approved for listing on The Nasdaq Capital Market (“</w:t>
      </w:r>
      <w:r>
        <w:rPr>
          <w:rFonts w:ascii="Arial" w:cs="Arial" w:eastAsia="Arial" w:hAnsi="Arial"/>
          <w:sz w:val="14"/>
          <w:szCs w:val="14"/>
          <w:b w:val="1"/>
          <w:bCs w:val="1"/>
          <w:color w:val="auto"/>
        </w:rPr>
        <w:t>Nasdaq</w:t>
      </w:r>
      <w:r>
        <w:rPr>
          <w:rFonts w:ascii="Arial" w:cs="Arial" w:eastAsia="Arial" w:hAnsi="Arial"/>
          <w:sz w:val="14"/>
          <w:szCs w:val="14"/>
          <w:color w:val="auto"/>
        </w:rPr>
        <w:t>”), subject only to official notice of</w:t>
      </w:r>
    </w:p>
    <w:p>
      <w:pPr>
        <w:spacing w:after="0" w:line="41"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issuance.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309" w:right="359" w:bottom="1440" w:gutter="0" w:footer="0" w:header="0"/>
        </w:sectPr>
      </w:pPr>
    </w:p>
    <w:bookmarkStart w:id="165" w:name="page166"/>
    <w:bookmarkEnd w:id="165"/>
    <w:p>
      <w:pPr>
        <w:ind w:firstLine="552"/>
        <w:spacing w:after="0" w:line="266" w:lineRule="auto"/>
        <w:tabs>
          <w:tab w:leader="none" w:pos="98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Integration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affiliates has, prior to the date hereof, made any offer or sale of any securities that are required to be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the Securities Act with the offer and sale of the Offered Securities pursuant to the Registration Statement.</w:t>
      </w:r>
    </w:p>
    <w:p>
      <w:pPr>
        <w:spacing w:after="0" w:line="150" w:lineRule="exact"/>
        <w:rPr>
          <w:rFonts w:ascii="Arial" w:cs="Arial" w:eastAsia="Arial" w:hAnsi="Arial"/>
          <w:sz w:val="16"/>
          <w:szCs w:val="16"/>
          <w:b w:val="1"/>
          <w:bCs w:val="1"/>
          <w:color w:val="auto"/>
        </w:rPr>
      </w:pPr>
    </w:p>
    <w:p>
      <w:pPr>
        <w:jc w:val="both"/>
        <w:ind w:right="60" w:firstLine="552"/>
        <w:spacing w:after="0" w:line="250" w:lineRule="auto"/>
        <w:tabs>
          <w:tab w:leader="none" w:pos="97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Sponsor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Sponsor Shares have been duly authorized by the Company and, when issued and delivered in the manner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 Shares Purchase Agreement (by the entry of the name of the registered owner thereof in the register of members of the Company confirming that such Sponsor Shares have been issued credited as fully paid) against payment therefor, will be validly issued, fully paid and non-assessable and free of preemptive rights, rights of first refusal and similar rights.</w:t>
      </w:r>
    </w:p>
    <w:p>
      <w:pPr>
        <w:spacing w:after="0" w:line="164" w:lineRule="exact"/>
        <w:rPr>
          <w:rFonts w:ascii="Arial" w:cs="Arial" w:eastAsia="Arial" w:hAnsi="Arial"/>
          <w:sz w:val="16"/>
          <w:szCs w:val="16"/>
          <w:b w:val="1"/>
          <w:bCs w:val="1"/>
          <w:color w:val="auto"/>
        </w:rPr>
      </w:pPr>
    </w:p>
    <w:p>
      <w:pPr>
        <w:ind w:left="980" w:hanging="428"/>
        <w:spacing w:after="0"/>
        <w:tabs>
          <w:tab w:leader="none" w:pos="9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Authorization of the Founder Shares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Founder Shares have been duly authorized, were validly issued and are fully paid and non-assessable.</w:t>
      </w:r>
    </w:p>
    <w:p>
      <w:pPr>
        <w:spacing w:after="0" w:line="211" w:lineRule="exact"/>
        <w:rPr>
          <w:rFonts w:ascii="Arial" w:cs="Arial" w:eastAsia="Arial" w:hAnsi="Arial"/>
          <w:sz w:val="14"/>
          <w:szCs w:val="14"/>
          <w:b w:val="1"/>
          <w:bCs w:val="1"/>
          <w:color w:val="auto"/>
        </w:rPr>
      </w:pPr>
    </w:p>
    <w:p>
      <w:pPr>
        <w:ind w:right="100" w:firstLine="552"/>
        <w:spacing w:after="0" w:line="250" w:lineRule="auto"/>
        <w:tabs>
          <w:tab w:leader="none" w:pos="98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Offered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Offered Securities have been duly authorized for issuance and sale pursuant to this Agreement and, when issued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delivered by the Company (by the entry of the name of the registered owner thereof in the register of members of the Company confirming that such securities have been issued credited as fully paid) against payment therefor pursuant to this Agreement, will be validly issued, fully paid and non-assessable and free of preemptive rights, rights of first refusal and similar rights.</w:t>
      </w:r>
    </w:p>
    <w:p>
      <w:pPr>
        <w:spacing w:after="0" w:line="164" w:lineRule="exact"/>
        <w:rPr>
          <w:rFonts w:ascii="Arial" w:cs="Arial" w:eastAsia="Arial" w:hAnsi="Arial"/>
          <w:sz w:val="16"/>
          <w:szCs w:val="16"/>
          <w:b w:val="1"/>
          <w:bCs w:val="1"/>
          <w:color w:val="auto"/>
        </w:rPr>
      </w:pPr>
    </w:p>
    <w:p>
      <w:pPr>
        <w:ind w:right="40" w:firstLine="552"/>
        <w:spacing w:after="0" w:line="308" w:lineRule="auto"/>
        <w:tabs>
          <w:tab w:leader="none" w:pos="976"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Trust Agreement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Trust Agreement has been duly authorized and on the First Closing Date, the Trust Agreement will be duly executed and delivered by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24" w:lineRule="exact"/>
        <w:rPr>
          <w:rFonts w:ascii="Arial" w:cs="Arial" w:eastAsia="Arial" w:hAnsi="Arial"/>
          <w:sz w:val="14"/>
          <w:szCs w:val="14"/>
          <w:b w:val="1"/>
          <w:bCs w:val="1"/>
          <w:color w:val="auto"/>
        </w:rPr>
      </w:pPr>
    </w:p>
    <w:p>
      <w:pPr>
        <w:ind w:right="180" w:firstLine="552"/>
        <w:spacing w:after="0" w:line="308" w:lineRule="auto"/>
        <w:tabs>
          <w:tab w:leader="none" w:pos="1024"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Subscription Agreement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Subscription Agreement has been duly authorized, executed and delivered by the Company and the Sponsor, and is a valid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24" w:lineRule="exact"/>
        <w:rPr>
          <w:rFonts w:ascii="Arial" w:cs="Arial" w:eastAsia="Arial" w:hAnsi="Arial"/>
          <w:sz w:val="14"/>
          <w:szCs w:val="14"/>
          <w:b w:val="1"/>
          <w:bCs w:val="1"/>
          <w:color w:val="auto"/>
        </w:rPr>
      </w:pPr>
    </w:p>
    <w:p>
      <w:pPr>
        <w:ind w:firstLine="552"/>
        <w:spacing w:after="0" w:line="250" w:lineRule="auto"/>
        <w:tabs>
          <w:tab w:leader="none" w:pos="1019"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Sponsor Shares Purchase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Sponsor Shares Purchase Agreement has been duly authorized, executed and delivered by the Company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4" w:lineRule="exact"/>
        <w:rPr>
          <w:rFonts w:ascii="Arial" w:cs="Arial" w:eastAsia="Arial" w:hAnsi="Arial"/>
          <w:sz w:val="16"/>
          <w:szCs w:val="16"/>
          <w:b w:val="1"/>
          <w:bCs w:val="1"/>
          <w:color w:val="auto"/>
        </w:rPr>
      </w:pPr>
    </w:p>
    <w:p>
      <w:pPr>
        <w:ind w:firstLine="552"/>
        <w:spacing w:after="0" w:line="250" w:lineRule="auto"/>
        <w:tabs>
          <w:tab w:leader="none" w:pos="101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Registration Rights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Rights Agreement has been duly authorized and on the First Closing Date, the Registration Rights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4" w:lineRule="exact"/>
        <w:rPr>
          <w:rFonts w:ascii="Arial" w:cs="Arial" w:eastAsia="Arial" w:hAnsi="Arial"/>
          <w:sz w:val="16"/>
          <w:szCs w:val="16"/>
          <w:b w:val="1"/>
          <w:bCs w:val="1"/>
          <w:color w:val="auto"/>
        </w:rPr>
      </w:pPr>
    </w:p>
    <w:p>
      <w:pPr>
        <w:ind w:right="120" w:firstLine="552"/>
        <w:spacing w:after="0" w:line="292" w:lineRule="auto"/>
        <w:tabs>
          <w:tab w:leader="none" w:pos="1019"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Insider Letter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Insider Letter has been duly authorized, executed and delivered by the Company and the Sponsor and, to the Company’s knowledge, each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 director and director nominee, respectively, and is a valid and binding agreement of the Company, the Sponsor and, to the Company’s knowledge, each executive officer, director and director nominee of the Company, respectively, enforceable against the Company, the Sponsor and, to the Company’s knowledge, each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66" w:name="page167"/>
    <w:bookmarkEnd w:id="166"/>
    <w:p>
      <w:pPr>
        <w:ind w:firstLine="552"/>
        <w:spacing w:after="0" w:line="297" w:lineRule="auto"/>
        <w:tabs>
          <w:tab w:leader="none" w:pos="1019"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Administrative Services Agreement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Administrative Services Agreement has been duly authorized and on the First Closing Date, the Administrative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Agreement will be duly executed and delivered by the Company, and, assuming the due authorization, execution and delivery thereof by Sponsor,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33" w:lineRule="exact"/>
        <w:rPr>
          <w:rFonts w:ascii="Arial" w:cs="Arial" w:eastAsia="Arial" w:hAnsi="Arial"/>
          <w:sz w:val="14"/>
          <w:szCs w:val="14"/>
          <w:b w:val="1"/>
          <w:bCs w:val="1"/>
          <w:color w:val="auto"/>
        </w:rPr>
      </w:pPr>
    </w:p>
    <w:p>
      <w:pPr>
        <w:ind w:right="260" w:firstLine="552"/>
        <w:spacing w:after="0" w:line="266" w:lineRule="auto"/>
        <w:tabs>
          <w:tab w:leader="none" w:pos="1002"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Applicable Registration or Other Similar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persons with registration or other similar rights to have equity or debt securities registered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under the Registration Statement or included in the offering contemplated by this Agreement.</w:t>
      </w:r>
    </w:p>
    <w:p>
      <w:pPr>
        <w:spacing w:after="0" w:line="150" w:lineRule="exact"/>
        <w:rPr>
          <w:rFonts w:ascii="Arial" w:cs="Arial" w:eastAsia="Arial" w:hAnsi="Arial"/>
          <w:sz w:val="16"/>
          <w:szCs w:val="16"/>
          <w:b w:val="1"/>
          <w:bCs w:val="1"/>
          <w:color w:val="auto"/>
        </w:rPr>
      </w:pPr>
    </w:p>
    <w:p>
      <w:pPr>
        <w:jc w:val="both"/>
        <w:ind w:firstLine="552"/>
        <w:spacing w:after="0" w:line="297" w:lineRule="auto"/>
        <w:tabs>
          <w:tab w:leader="none" w:pos="993"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Independent Accountants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WithumSmith+Brown, PC (“</w:t>
      </w:r>
      <w:r>
        <w:rPr>
          <w:rFonts w:ascii="Arial" w:cs="Arial" w:eastAsia="Arial" w:hAnsi="Arial"/>
          <w:sz w:val="14"/>
          <w:szCs w:val="14"/>
          <w:b w:val="1"/>
          <w:bCs w:val="1"/>
          <w:color w:val="auto"/>
        </w:rPr>
        <w:t>Withum</w:t>
      </w:r>
      <w:r>
        <w:rPr>
          <w:rFonts w:ascii="Arial" w:cs="Arial" w:eastAsia="Arial" w:hAnsi="Arial"/>
          <w:sz w:val="14"/>
          <w:szCs w:val="14"/>
          <w:color w:val="auto"/>
        </w:rPr>
        <w:t>”), who have certified certain financial statements of the Company and delivered their report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respect to the audited financial statements (which term as used in this Agreement includes the related notes thereto and the supporting schedules, if any)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133" w:lineRule="exact"/>
        <w:rPr>
          <w:rFonts w:ascii="Arial" w:cs="Arial" w:eastAsia="Arial" w:hAnsi="Arial"/>
          <w:sz w:val="14"/>
          <w:szCs w:val="14"/>
          <w:b w:val="1"/>
          <w:bCs w:val="1"/>
          <w:color w:val="auto"/>
        </w:rPr>
      </w:pPr>
    </w:p>
    <w:p>
      <w:pPr>
        <w:ind w:right="20" w:firstLine="552"/>
        <w:spacing w:after="0" w:line="285" w:lineRule="auto"/>
        <w:tabs>
          <w:tab w:leader="none" w:pos="985"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Financial Statements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financial statements, including the notes thereto and the supporting schedules, if any, filed with the Commission as a part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Registration Statement, the Time of Sale Prospectus and the Prospectus present fairly the financial position of the Company as of the dates indicated and the results of their operations, changes in shareholders’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40" w:lineRule="exact"/>
        <w:rPr>
          <w:rFonts w:ascii="Arial" w:cs="Arial" w:eastAsia="Arial" w:hAnsi="Arial"/>
          <w:sz w:val="14"/>
          <w:szCs w:val="14"/>
          <w:b w:val="1"/>
          <w:bCs w:val="1"/>
          <w:color w:val="auto"/>
        </w:rPr>
      </w:pPr>
    </w:p>
    <w:p>
      <w:pPr>
        <w:ind w:firstLine="552"/>
        <w:spacing w:after="0" w:line="247" w:lineRule="auto"/>
        <w:tabs>
          <w:tab w:leader="none" w:pos="1019"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required by Rule 13a-15(e) under the Exchange Act, the Company will maintain “disclosure controls and procedures”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defined under Rule 13a-15(e) under the Exchange Act) and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67" w:name="page168"/>
    <w:bookmarkEnd w:id="167"/>
    <w:p>
      <w:pPr>
        <w:ind w:right="240" w:firstLine="552"/>
        <w:spacing w:after="0" w:line="266" w:lineRule="auto"/>
        <w:tabs>
          <w:tab w:leader="none" w:pos="1011"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maintains effective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controls and procedures” as defined under Rule 13a-15(e) under the Exchange Act, to the extent required by such rule.</w:t>
      </w:r>
    </w:p>
    <w:p>
      <w:pPr>
        <w:spacing w:after="0" w:line="150" w:lineRule="exact"/>
        <w:rPr>
          <w:rFonts w:ascii="Arial" w:cs="Arial" w:eastAsia="Arial" w:hAnsi="Arial"/>
          <w:sz w:val="16"/>
          <w:szCs w:val="16"/>
          <w:b w:val="1"/>
          <w:bCs w:val="1"/>
          <w:color w:val="auto"/>
        </w:rPr>
      </w:pPr>
    </w:p>
    <w:p>
      <w:pPr>
        <w:ind w:right="40" w:firstLine="552"/>
        <w:spacing w:after="0" w:line="297" w:lineRule="auto"/>
        <w:tabs>
          <w:tab w:leader="none" w:pos="1006"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Compliance with the Sarbanes-Oxley Act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Solely to the extent that the Sarbanes-Oxley Act of 2002, as amended, and the rules and regulations promulgated by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Commission and Nasdaq thereunder (the “</w:t>
      </w:r>
      <w:r>
        <w:rPr>
          <w:rFonts w:ascii="Arial" w:cs="Arial" w:eastAsia="Arial" w:hAnsi="Arial"/>
          <w:sz w:val="14"/>
          <w:szCs w:val="14"/>
          <w:b w:val="1"/>
          <w:bCs w:val="1"/>
          <w:color w:val="auto"/>
        </w:rPr>
        <w:t>Sarbanes-Oxley Act</w:t>
      </w:r>
      <w:r>
        <w:rPr>
          <w:rFonts w:ascii="Arial" w:cs="Arial" w:eastAsia="Arial" w:hAnsi="Arial"/>
          <w:sz w:val="14"/>
          <w:szCs w:val="14"/>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33" w:lineRule="exact"/>
        <w:rPr>
          <w:rFonts w:ascii="Arial" w:cs="Arial" w:eastAsia="Arial" w:hAnsi="Arial"/>
          <w:sz w:val="14"/>
          <w:szCs w:val="14"/>
          <w:b w:val="1"/>
          <w:bCs w:val="1"/>
          <w:color w:val="auto"/>
        </w:rPr>
      </w:pPr>
    </w:p>
    <w:p>
      <w:pPr>
        <w:ind w:right="20" w:firstLine="552"/>
        <w:spacing w:after="0" w:line="292" w:lineRule="auto"/>
        <w:tabs>
          <w:tab w:leader="none" w:pos="1011"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Compliance with Nasdaq Rules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There is and has been no failure on the part of the Company or, to the knowledge of the Company, any of the Company’s officers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directors, in their capacities as such, to comply with (as and when applicable), and immediately following the Effective Date, the Company will be in compliance with, Nasdaq Marketplace Rule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137" w:lineRule="exact"/>
        <w:rPr>
          <w:rFonts w:ascii="Arial" w:cs="Arial" w:eastAsia="Arial" w:hAnsi="Arial"/>
          <w:sz w:val="14"/>
          <w:szCs w:val="14"/>
          <w:b w:val="1"/>
          <w:bCs w:val="1"/>
          <w:color w:val="auto"/>
        </w:rPr>
      </w:pPr>
    </w:p>
    <w:p>
      <w:pPr>
        <w:jc w:val="both"/>
        <w:ind w:right="380" w:firstLine="552"/>
        <w:spacing w:after="0" w:line="308" w:lineRule="auto"/>
        <w:tabs>
          <w:tab w:leader="none" w:pos="1011"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 Fees Related to this Agreement or the Offering of Offered Securities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There are no transfer, stamp, issue, registration, documentary or other similar taxes,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24" w:lineRule="exact"/>
        <w:rPr>
          <w:rFonts w:ascii="Arial" w:cs="Arial" w:eastAsia="Arial" w:hAnsi="Arial"/>
          <w:sz w:val="14"/>
          <w:szCs w:val="14"/>
          <w:b w:val="1"/>
          <w:bCs w:val="1"/>
          <w:color w:val="auto"/>
        </w:rPr>
      </w:pPr>
    </w:p>
    <w:p>
      <w:pPr>
        <w:ind w:firstLine="552"/>
        <w:spacing w:after="0" w:line="286" w:lineRule="auto"/>
        <w:tabs>
          <w:tab w:leader="none" w:pos="1002"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Incorporation and Good Standing of the Company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has been duly incorporated and is validly existing as an exempted company in good standing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Subscription Agreement, the Sponsor Shares Purchase Agreement, the Registration Rights Agreement, the Insider Letter and the Administrative Services Agreement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on the financial condition, earnings, business, properties, operations, assets, liabilities or prospects of the Company (a “</w:t>
      </w:r>
      <w:r>
        <w:rPr>
          <w:rFonts w:ascii="Arial" w:cs="Arial" w:eastAsia="Arial" w:hAnsi="Arial"/>
          <w:sz w:val="14"/>
          <w:szCs w:val="14"/>
          <w:b w:val="1"/>
          <w:bCs w:val="1"/>
          <w:color w:val="auto"/>
        </w:rPr>
        <w:t>Material Adverse</w:t>
      </w:r>
      <w:r>
        <w:rPr>
          <w:rFonts w:ascii="Arial" w:cs="Arial" w:eastAsia="Arial" w:hAnsi="Arial"/>
          <w:sz w:val="14"/>
          <w:szCs w:val="14"/>
          <w:color w:val="auto"/>
        </w:rPr>
        <w:t xml:space="preserve"> </w:t>
      </w:r>
      <w:r>
        <w:rPr>
          <w:rFonts w:ascii="Arial" w:cs="Arial" w:eastAsia="Arial" w:hAnsi="Arial"/>
          <w:sz w:val="14"/>
          <w:szCs w:val="14"/>
          <w:b w:val="1"/>
          <w:bCs w:val="1"/>
          <w:color w:val="auto"/>
        </w:rPr>
        <w:t>Effect</w:t>
      </w:r>
      <w:r>
        <w:rPr>
          <w:rFonts w:ascii="Arial" w:cs="Arial" w:eastAsia="Arial" w:hAnsi="Arial"/>
          <w:sz w:val="14"/>
          <w:szCs w:val="14"/>
          <w:color w:val="auto"/>
        </w:rPr>
        <w:t>”) on the Company.</w:t>
      </w:r>
    </w:p>
    <w:p>
      <w:pPr>
        <w:spacing w:after="0" w:line="141" w:lineRule="exact"/>
        <w:rPr>
          <w:sz w:val="20"/>
          <w:szCs w:val="20"/>
          <w:color w:val="auto"/>
        </w:rPr>
      </w:pPr>
    </w:p>
    <w:p>
      <w:pPr>
        <w:ind w:right="100" w:firstLine="552"/>
        <w:spacing w:after="0" w:line="266" w:lineRule="auto"/>
        <w:tabs>
          <w:tab w:leader="none" w:pos="101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Interests in Other Entities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does not own or control, directly or indirectly, an interest in any corporation, partnership, limited liability company, joint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trust or other entity.</w:t>
      </w:r>
    </w:p>
    <w:p>
      <w:pPr>
        <w:spacing w:after="0" w:line="156" w:lineRule="exact"/>
        <w:rPr>
          <w:rFonts w:ascii="Arial" w:cs="Arial" w:eastAsia="Arial" w:hAnsi="Arial"/>
          <w:sz w:val="16"/>
          <w:szCs w:val="16"/>
          <w:b w:val="1"/>
          <w:bCs w:val="1"/>
          <w:color w:val="auto"/>
        </w:rPr>
      </w:pPr>
    </w:p>
    <w:p>
      <w:pPr>
        <w:ind w:firstLine="552"/>
        <w:spacing w:after="0" w:line="284" w:lineRule="auto"/>
        <w:tabs>
          <w:tab w:leader="none" w:pos="1028"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Capitalization and Other Share Capital Matters. </w:t>
      </w:r>
      <w:r>
        <w:rPr>
          <w:rFonts w:ascii="Arial" w:cs="Arial" w:eastAsia="Arial" w:hAnsi="Arial"/>
          <w:sz w:val="14"/>
          <w:szCs w:val="14"/>
          <w:color w:val="auto"/>
        </w:rPr>
        <w:t>The authorized, issued and outstanding share capital of the Company is as set forth in the Registration Statement,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Time of Sale Prospectus and the Prospectus under the caption “Capitalization” (other than for subsequent issuances, if any, pursuant to employee benefit plans, or upon the exercise of outstanding options or warrants, in each case described in the Registration Statement). The share capital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 capital of the Company other than those described in the Registration Statement, the Time of Sale Prospectus and the Prospectus.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68" w:name="page169"/>
    <w:bookmarkEnd w:id="168"/>
    <w:p>
      <w:pPr>
        <w:ind w:left="-20" w:right="100" w:firstLine="552"/>
        <w:spacing w:after="0" w:line="254" w:lineRule="auto"/>
        <w:tabs>
          <w:tab w:leader="none" w:pos="97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Sale of Securities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securities of the Company have been sold by the Company or by or on behalf of, or for the benefit of, any person or persons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controlling, controlled by, or under common control with the Company from its inception through and including the date hereof, except as disclosed in the Registration Statement, the Time of Sale Prospectus and the Prospectus.</w:t>
      </w:r>
    </w:p>
    <w:p>
      <w:pPr>
        <w:spacing w:after="0" w:line="166" w:lineRule="exact"/>
        <w:rPr>
          <w:rFonts w:ascii="Arial" w:cs="Arial" w:eastAsia="Arial" w:hAnsi="Arial"/>
          <w:sz w:val="16"/>
          <w:szCs w:val="16"/>
          <w:b w:val="1"/>
          <w:bCs w:val="1"/>
          <w:color w:val="auto"/>
        </w:rPr>
      </w:pPr>
    </w:p>
    <w:p>
      <w:pPr>
        <w:ind w:left="-20" w:right="80" w:firstLine="552"/>
        <w:spacing w:after="0" w:line="250" w:lineRule="auto"/>
        <w:tabs>
          <w:tab w:leader="none" w:pos="1008"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“Penny Stock” Securities. </w:t>
      </w:r>
      <w:r>
        <w:rPr>
          <w:rFonts w:ascii="Arial" w:cs="Arial" w:eastAsia="Arial" w:hAnsi="Arial"/>
          <w:sz w:val="16"/>
          <w:szCs w:val="16"/>
          <w:color w:val="auto"/>
        </w:rPr>
        <w:t>Upon delivery and payment for the Class A Ordinary Shares on the First Closing Date and any Option Closing Dates, the Company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Rule 419 under the Securities Act and none of the Company’s outstanding securities will be deemed to be a “penny stock” as defined in Rule 3a51-1 under the Exchange Act.</w:t>
      </w:r>
    </w:p>
    <w:p>
      <w:pPr>
        <w:spacing w:after="0" w:line="169" w:lineRule="exact"/>
        <w:rPr>
          <w:rFonts w:ascii="Arial" w:cs="Arial" w:eastAsia="Arial" w:hAnsi="Arial"/>
          <w:sz w:val="16"/>
          <w:szCs w:val="16"/>
          <w:b w:val="1"/>
          <w:bCs w:val="1"/>
          <w:color w:val="auto"/>
        </w:rPr>
      </w:pPr>
    </w:p>
    <w:p>
      <w:pPr>
        <w:ind w:left="-20" w:firstLine="552"/>
        <w:spacing w:after="0" w:line="280" w:lineRule="auto"/>
        <w:tabs>
          <w:tab w:leader="none" w:pos="973"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Non-Contravention of Existing Instruments; No Further Authorizations or Approvals Required. </w:t>
      </w:r>
      <w:r>
        <w:rPr>
          <w:rFonts w:ascii="Arial" w:cs="Arial" w:eastAsia="Arial" w:hAnsi="Arial"/>
          <w:sz w:val="14"/>
          <w:szCs w:val="14"/>
          <w:color w:val="auto"/>
        </w:rPr>
        <w:t>The Company is not in violation of its memorandum and articles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association and, as of the First Closing Date, will not be in violation of its amended and restated memorandum and articles of association (as it may be amended from time to time, the “</w:t>
      </w:r>
      <w:r>
        <w:rPr>
          <w:rFonts w:ascii="Arial" w:cs="Arial" w:eastAsia="Arial" w:hAnsi="Arial"/>
          <w:sz w:val="14"/>
          <w:szCs w:val="14"/>
          <w:b w:val="1"/>
          <w:bCs w:val="1"/>
          <w:color w:val="auto"/>
        </w:rPr>
        <w:t>Amended and Restated Memorandum and Articles of Association</w:t>
      </w:r>
      <w:r>
        <w:rPr>
          <w:rFonts w:ascii="Arial" w:cs="Arial" w:eastAsia="Arial" w:hAnsi="Arial"/>
          <w:sz w:val="14"/>
          <w:szCs w:val="14"/>
          <w:color w:val="auto"/>
        </w:rPr>
        <w:t>”), and is not in default (or, with the giving of notice or lapse of time, would not be in default) (“</w:t>
      </w:r>
      <w:r>
        <w:rPr>
          <w:rFonts w:ascii="Arial" w:cs="Arial" w:eastAsia="Arial" w:hAnsi="Arial"/>
          <w:sz w:val="14"/>
          <w:szCs w:val="14"/>
          <w:b w:val="1"/>
          <w:bCs w:val="1"/>
          <w:color w:val="auto"/>
        </w:rPr>
        <w:t>Default</w:t>
      </w:r>
      <w:r>
        <w:rPr>
          <w:rFonts w:ascii="Arial" w:cs="Arial" w:eastAsia="Arial" w:hAnsi="Arial"/>
          <w:sz w:val="14"/>
          <w:szCs w:val="14"/>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Arial" w:cs="Arial" w:eastAsia="Arial" w:hAnsi="Arial"/>
          <w:sz w:val="14"/>
          <w:szCs w:val="14"/>
          <w:b w:val="1"/>
          <w:bCs w:val="1"/>
          <w:color w:val="auto"/>
        </w:rPr>
        <w:t>Existing Instrument</w:t>
      </w:r>
      <w:r>
        <w:rPr>
          <w:rFonts w:ascii="Arial" w:cs="Arial" w:eastAsia="Arial" w:hAnsi="Arial"/>
          <w:sz w:val="14"/>
          <w:szCs w:val="14"/>
          <w:color w:val="auto"/>
        </w:rPr>
        <w:t>”), except for such Defaults as could not be reasonably expected, individually or in the aggregate, to have a Material Adverse Effect. The Company’s execution, delivery and performance of this Agreement, the Trust Agreement, the Subscription Agreement, the Sponsor Shares Purchase Agreement, the Registration Rights Agreement, the Insider Letter or the Administrative Services Agreement,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will not result in any violation of the provisions of the Amended and Restated Memorandum and Articles of Association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Subscription Agreement, the Sponsor Shares Purchase Agreement, the Registration Rights Agreement, the Insider Letter or the Administrative Services Agreement and consummation of the transactions contemplated hereby and thereby and by the Registration Statement, the Time of Sale Prospectus and the Prospectus, except such as have been obtained or made by the Company and are in full force and effect under the Securities Act or Exchange Act and such as may be required under applicable state securities or blue sky laws or the Financial Industry Regulatory Authority, Inc. (the “</w:t>
      </w:r>
      <w:r>
        <w:rPr>
          <w:rFonts w:ascii="Arial" w:cs="Arial" w:eastAsia="Arial" w:hAnsi="Arial"/>
          <w:sz w:val="14"/>
          <w:szCs w:val="14"/>
          <w:b w:val="1"/>
          <w:bCs w:val="1"/>
          <w:color w:val="auto"/>
        </w:rPr>
        <w:t>FINRA</w:t>
      </w:r>
      <w:r>
        <w:rPr>
          <w:rFonts w:ascii="Arial" w:cs="Arial" w:eastAsia="Arial" w:hAnsi="Arial"/>
          <w:sz w:val="14"/>
          <w:szCs w:val="14"/>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151370" cy="146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40" w:top="309" w:right="339" w:bottom="1440" w:gutter="0" w:footer="0" w:header="0"/>
        </w:sectPr>
      </w:pPr>
    </w:p>
    <w:bookmarkStart w:id="169" w:name="page170"/>
    <w:bookmarkEnd w:id="169"/>
    <w:p>
      <w:pPr>
        <w:ind w:right="300" w:firstLine="552"/>
        <w:spacing w:after="0" w:line="258" w:lineRule="auto"/>
        <w:tabs>
          <w:tab w:leader="none" w:pos="998"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Laws. </w:t>
      </w:r>
      <w:r>
        <w:rPr>
          <w:rFonts w:ascii="Arial" w:cs="Arial" w:eastAsia="Arial" w:hAnsi="Arial"/>
          <w:sz w:val="16"/>
          <w:szCs w:val="16"/>
          <w:color w:val="auto"/>
        </w:rPr>
        <w:t>The Company has been and is in compliance with all applicable laws, rules and regulations, except where failure to be so in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could not be expected, individually or in the aggregate, to have a Material Adverse Effect.</w:t>
      </w:r>
    </w:p>
    <w:p>
      <w:pPr>
        <w:spacing w:after="0" w:line="156" w:lineRule="exact"/>
        <w:rPr>
          <w:rFonts w:ascii="Arial" w:cs="Arial" w:eastAsia="Arial" w:hAnsi="Arial"/>
          <w:sz w:val="16"/>
          <w:szCs w:val="16"/>
          <w:b w:val="1"/>
          <w:bCs w:val="1"/>
          <w:color w:val="auto"/>
        </w:rPr>
      </w:pPr>
    </w:p>
    <w:p>
      <w:pPr>
        <w:ind w:right="60" w:firstLine="552"/>
        <w:spacing w:after="0" w:line="248" w:lineRule="auto"/>
        <w:tabs>
          <w:tab w:leader="none" w:pos="1049"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governmental entity now pending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Subscription Agreement, the Sponsor Shares Purchase Agreement, the Registration Rights Agreement, the Insider Letter or the Administrative Services Agreement or the performance by the Company of its obligations hereunder and thereunder.</w:t>
      </w:r>
    </w:p>
    <w:p>
      <w:pPr>
        <w:spacing w:after="0" w:line="166" w:lineRule="exact"/>
        <w:rPr>
          <w:rFonts w:ascii="Arial" w:cs="Arial" w:eastAsia="Arial" w:hAnsi="Arial"/>
          <w:sz w:val="16"/>
          <w:szCs w:val="16"/>
          <w:b w:val="1"/>
          <w:bCs w:val="1"/>
          <w:color w:val="auto"/>
        </w:rPr>
      </w:pPr>
    </w:p>
    <w:p>
      <w:pPr>
        <w:jc w:val="both"/>
        <w:ind w:right="60" w:firstLine="552"/>
        <w:spacing w:after="0" w:line="297" w:lineRule="auto"/>
        <w:tabs>
          <w:tab w:leader="none" w:pos="1061"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All Necessary Permits, etc</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possesses such valid and current licenses, certificates, authorizations or permits required by state, federal or foreign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regulatory agencies or bodies to conduct its business as currently conducted and as described in the Registration Statement, the Time of Sale Prospectus or the Prospectus. The Company has not received any notice of proceedings relating to the revocation or modification of, or non-compliance with, any such license, certificate, authorization or permit that, individually or in the aggregate, if the subject of an unfavorable decision, ruling or finding, could reasonably be expected to have a Material Adverse Effect.</w:t>
      </w:r>
    </w:p>
    <w:p>
      <w:pPr>
        <w:spacing w:after="0" w:line="133" w:lineRule="exact"/>
        <w:rPr>
          <w:rFonts w:ascii="Arial" w:cs="Arial" w:eastAsia="Arial" w:hAnsi="Arial"/>
          <w:sz w:val="14"/>
          <w:szCs w:val="14"/>
          <w:b w:val="1"/>
          <w:bCs w:val="1"/>
          <w:color w:val="auto"/>
        </w:rPr>
      </w:pPr>
    </w:p>
    <w:p>
      <w:pPr>
        <w:ind w:left="1020" w:hanging="468"/>
        <w:spacing w:after="0"/>
        <w:tabs>
          <w:tab w:leader="none" w:pos="102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owns or leases all such properties as are necessary to the conduct of its operations as presently conducted.</w:t>
      </w:r>
    </w:p>
    <w:p>
      <w:pPr>
        <w:spacing w:after="0" w:line="188" w:lineRule="exact"/>
        <w:rPr>
          <w:rFonts w:ascii="Arial" w:cs="Arial" w:eastAsia="Arial" w:hAnsi="Arial"/>
          <w:sz w:val="16"/>
          <w:szCs w:val="16"/>
          <w:b w:val="1"/>
          <w:bCs w:val="1"/>
          <w:color w:val="auto"/>
        </w:rPr>
      </w:pPr>
    </w:p>
    <w:p>
      <w:pPr>
        <w:ind w:firstLine="552"/>
        <w:spacing w:after="0" w:line="297" w:lineRule="auto"/>
        <w:tabs>
          <w:tab w:leader="none" w:pos="998"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Tax Law Compliance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has filed all necessary federal, state and foreign income and franchise tax returns or has properly requested extensions thereof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 in any case in which the failure to so file would not have a Material Adverse Effect) and has paid all taxes required to be paid by it and, if due and payable, any related or similar assessment, fine or penalty levied against it, except for any such assessment, fine or penalty that is currently being contested in good faith and by appropriate proceedings and for which adequate reserves required by generally accepted accounting principles have been created with respect thereto or as would not have a Material Adverse Effect.</w:t>
      </w:r>
    </w:p>
    <w:p>
      <w:pPr>
        <w:spacing w:after="0" w:line="133" w:lineRule="exact"/>
        <w:rPr>
          <w:rFonts w:ascii="Arial" w:cs="Arial" w:eastAsia="Arial" w:hAnsi="Arial"/>
          <w:sz w:val="14"/>
          <w:szCs w:val="14"/>
          <w:b w:val="1"/>
          <w:bCs w:val="1"/>
          <w:color w:val="auto"/>
        </w:rPr>
      </w:pPr>
    </w:p>
    <w:p>
      <w:pPr>
        <w:ind w:right="260" w:firstLine="552"/>
        <w:spacing w:after="0" w:line="266" w:lineRule="auto"/>
        <w:tabs>
          <w:tab w:leader="none" w:pos="1067"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not established or maintained any “employee benefit plan” (as defined under the Employee Retirement Income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and thus is not subject to ERISA.</w:t>
      </w:r>
    </w:p>
    <w:p>
      <w:pPr>
        <w:spacing w:after="0" w:line="156" w:lineRule="exact"/>
        <w:rPr>
          <w:rFonts w:ascii="Arial" w:cs="Arial" w:eastAsia="Arial" w:hAnsi="Arial"/>
          <w:sz w:val="16"/>
          <w:szCs w:val="16"/>
          <w:b w:val="1"/>
          <w:bCs w:val="1"/>
          <w:color w:val="auto"/>
        </w:rPr>
      </w:pPr>
    </w:p>
    <w:p>
      <w:pPr>
        <w:ind w:right="120" w:firstLine="552"/>
        <w:spacing w:after="0" w:line="250" w:lineRule="auto"/>
        <w:tabs>
          <w:tab w:leader="none" w:pos="9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Securities or after the application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63" w:lineRule="exact"/>
        <w:rPr>
          <w:rFonts w:ascii="Arial" w:cs="Arial" w:eastAsia="Arial" w:hAnsi="Arial"/>
          <w:sz w:val="16"/>
          <w:szCs w:val="16"/>
          <w:b w:val="1"/>
          <w:bCs w:val="1"/>
          <w:color w:val="auto"/>
        </w:rPr>
      </w:pPr>
    </w:p>
    <w:p>
      <w:pPr>
        <w:jc w:val="both"/>
        <w:ind w:firstLine="552"/>
        <w:spacing w:after="0" w:line="254" w:lineRule="auto"/>
        <w:tabs>
          <w:tab w:leader="none" w:pos="115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not taken, directly or indirectly, any action designed to or that might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70" w:name="page171"/>
    <w:bookmarkEnd w:id="170"/>
    <w:p>
      <w:pPr>
        <w:ind w:left="7" w:right="140" w:firstLine="552"/>
        <w:spacing w:after="0" w:line="266" w:lineRule="auto"/>
        <w:tabs>
          <w:tab w:leader="none" w:pos="1074"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 required to be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Registration Statement, the Time of Sale Prospectus or the Prospectus that have not been described as required.</w:t>
      </w:r>
    </w:p>
    <w:p>
      <w:pPr>
        <w:spacing w:after="0" w:line="150" w:lineRule="exact"/>
        <w:rPr>
          <w:rFonts w:ascii="Arial" w:cs="Arial" w:eastAsia="Arial" w:hAnsi="Arial"/>
          <w:sz w:val="16"/>
          <w:szCs w:val="16"/>
          <w:b w:val="1"/>
          <w:bCs w:val="1"/>
          <w:color w:val="auto"/>
        </w:rPr>
      </w:pPr>
    </w:p>
    <w:p>
      <w:pPr>
        <w:ind w:left="7" w:right="60" w:firstLine="552"/>
        <w:spacing w:after="0" w:line="250" w:lineRule="auto"/>
        <w:tabs>
          <w:tab w:leader="none" w:pos="1095"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Sponsor, the Company and, to the knowledge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its counsel, its officers, directors, director nominees and the other holders of any securities (debt or equity) or options to acquire any securities of the Company in connection with the Offering, is true, complete and correct in all material respects and the Company has not become aware of any other information that would cause such provided information to become inaccurate and incorrect in any material respect.</w:t>
      </w:r>
    </w:p>
    <w:p>
      <w:pPr>
        <w:spacing w:after="0" w:line="164" w:lineRule="exact"/>
        <w:rPr>
          <w:rFonts w:ascii="Arial" w:cs="Arial" w:eastAsia="Arial" w:hAnsi="Arial"/>
          <w:sz w:val="16"/>
          <w:szCs w:val="16"/>
          <w:b w:val="1"/>
          <w:bCs w:val="1"/>
          <w:color w:val="auto"/>
        </w:rPr>
      </w:pPr>
    </w:p>
    <w:p>
      <w:pPr>
        <w:ind w:left="1067" w:hanging="508"/>
        <w:spacing w:after="0"/>
        <w:tabs>
          <w:tab w:leader="none" w:pos="1067" w:val="left"/>
        </w:tabs>
        <w:numPr>
          <w:ilvl w:val="1"/>
          <w:numId w:val="5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FINRA Conflict of Interest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Company’s knowledge after reasonable inquiry, there are no affiliations or associations between (i) any member of FINRA and</w:t>
      </w:r>
    </w:p>
    <w:p>
      <w:pPr>
        <w:spacing w:after="0" w:line="41" w:lineRule="exact"/>
        <w:rPr>
          <w:rFonts w:ascii="Arial" w:cs="Arial" w:eastAsia="Arial" w:hAnsi="Arial"/>
          <w:sz w:val="14"/>
          <w:szCs w:val="14"/>
          <w:b w:val="1"/>
          <w:bCs w:val="1"/>
          <w:color w:val="auto"/>
        </w:rPr>
      </w:pPr>
    </w:p>
    <w:p>
      <w:pPr>
        <w:ind w:left="7" w:right="40" w:hanging="7"/>
        <w:spacing w:after="0" w:line="244" w:lineRule="auto"/>
        <w:tabs>
          <w:tab w:leader="none" w:pos="2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73" w:lineRule="exact"/>
        <w:rPr>
          <w:rFonts w:ascii="Arial" w:cs="Arial" w:eastAsia="Arial" w:hAnsi="Arial"/>
          <w:sz w:val="16"/>
          <w:szCs w:val="16"/>
          <w:color w:val="auto"/>
        </w:rPr>
      </w:pPr>
    </w:p>
    <w:p>
      <w:pPr>
        <w:ind w:left="7" w:firstLine="552"/>
        <w:spacing w:after="0" w:line="303" w:lineRule="auto"/>
        <w:tabs>
          <w:tab w:leader="none" w:pos="1074" w:val="left"/>
        </w:tabs>
        <w:numPr>
          <w:ilvl w:val="1"/>
          <w:numId w:val="5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Non-Compete/Non-Solicit</w:t>
      </w:r>
      <w:r>
        <w:rPr>
          <w:rFonts w:ascii="Arial" w:cs="Arial" w:eastAsia="Arial" w:hAnsi="Arial"/>
          <w:sz w:val="14"/>
          <w:szCs w:val="14"/>
          <w:color w:val="auto"/>
        </w:rPr>
        <w:t>. Except as described in the Registration Statement, the Time of Sale Prospectus and the Prospectus, to the Company’s knowledge, none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Sponsor, officers, directors or director nominees of the Company is 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28" w:lineRule="exact"/>
        <w:rPr>
          <w:rFonts w:ascii="Arial" w:cs="Arial" w:eastAsia="Arial" w:hAnsi="Arial"/>
          <w:sz w:val="14"/>
          <w:szCs w:val="14"/>
          <w:b w:val="1"/>
          <w:bCs w:val="1"/>
          <w:color w:val="auto"/>
        </w:rPr>
      </w:pPr>
    </w:p>
    <w:p>
      <w:pPr>
        <w:ind w:left="7" w:right="80" w:firstLine="552"/>
        <w:spacing w:after="0" w:line="254" w:lineRule="auto"/>
        <w:tabs>
          <w:tab w:leader="none" w:pos="1039"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Statistical and Market-Related Data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statistical, industry-related and market-related data included in the Registration Statement, the Time of Sale Prospectus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60" w:lineRule="exact"/>
        <w:rPr>
          <w:rFonts w:ascii="Arial" w:cs="Arial" w:eastAsia="Arial" w:hAnsi="Arial"/>
          <w:sz w:val="16"/>
          <w:szCs w:val="16"/>
          <w:b w:val="1"/>
          <w:bCs w:val="1"/>
          <w:color w:val="auto"/>
        </w:rPr>
      </w:pPr>
    </w:p>
    <w:p>
      <w:pPr>
        <w:ind w:left="7" w:right="160" w:firstLine="552"/>
        <w:spacing w:after="0" w:line="254" w:lineRule="auto"/>
        <w:tabs>
          <w:tab w:leader="none" w:pos="1022"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Unlawful Contributions or Other Payments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 of the Company, the Sponsor, or, to the knowledge of the Company, any director, director nominee,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 employee or affiliate of the Company, has made any contribution or other payment to any official of, or candidate for, any federal, state or foreign office in violation of the FCPA (as defined below).</w:t>
      </w:r>
    </w:p>
    <w:p>
      <w:pPr>
        <w:spacing w:after="0" w:line="160" w:lineRule="exact"/>
        <w:rPr>
          <w:rFonts w:ascii="Arial" w:cs="Arial" w:eastAsia="Arial" w:hAnsi="Arial"/>
          <w:sz w:val="16"/>
          <w:szCs w:val="16"/>
          <w:b w:val="1"/>
          <w:bCs w:val="1"/>
          <w:color w:val="auto"/>
        </w:rPr>
      </w:pPr>
    </w:p>
    <w:p>
      <w:pPr>
        <w:ind w:left="7" w:right="20" w:firstLine="552"/>
        <w:spacing w:after="0" w:line="285" w:lineRule="auto"/>
        <w:tabs>
          <w:tab w:leader="none" w:pos="1005" w:val="left"/>
        </w:tabs>
        <w:numPr>
          <w:ilvl w:val="1"/>
          <w:numId w:val="5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Foreign Corrupt Practices Act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None of the Company, the Sponsor, or, to the knowledge of the Company, any director, director nominee, officer, agent, employee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affiliate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4"/>
          <w:szCs w:val="14"/>
          <w:b w:val="1"/>
          <w:bCs w:val="1"/>
          <w:color w:val="auto"/>
        </w:rPr>
        <w:t>FCPA</w:t>
      </w:r>
      <w:r>
        <w:rPr>
          <w:rFonts w:ascii="Arial" w:cs="Arial" w:eastAsia="Arial" w:hAnsi="Arial"/>
          <w:sz w:val="14"/>
          <w:szCs w:val="14"/>
          <w:color w:val="auto"/>
        </w:rPr>
        <w:t>”)) or employee from corporate funds; (iii) violated or is in violation of any provision of the FCPA or the OECD Convention on Bribery of Foreign Public Officials in International Business Transactions; or (iv) made any unlawful bribe, rebate, payoff, influence payment, kickback or other unlawful payment to any domestic government official, such foreign official or employee; and the Company, the Sponsor, and, to the knowledge of the Company, the Company’s directors, director nominees, officers, agents, employees and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1370" cy="14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171" w:name="page172"/>
    <w:bookmarkEnd w:id="171"/>
    <w:p>
      <w:pPr>
        <w:ind w:right="40" w:firstLine="552"/>
        <w:spacing w:after="0" w:line="292" w:lineRule="auto"/>
        <w:tabs>
          <w:tab w:leader="none" w:pos="1067"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Money Laundering Laws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operations of the Company and the Sponsor have been conducted at all times, in compliance with applicable financial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4"/>
          <w:szCs w:val="14"/>
          <w:b w:val="1"/>
          <w:bCs w:val="1"/>
          <w:color w:val="auto"/>
        </w:rPr>
        <w:t>Money Laundering Laws</w:t>
      </w:r>
      <w:r>
        <w:rPr>
          <w:rFonts w:ascii="Arial" w:cs="Arial" w:eastAsia="Arial" w:hAnsi="Arial"/>
          <w:sz w:val="14"/>
          <w:szCs w:val="14"/>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37" w:lineRule="exact"/>
        <w:rPr>
          <w:rFonts w:ascii="Arial" w:cs="Arial" w:eastAsia="Arial" w:hAnsi="Arial"/>
          <w:sz w:val="14"/>
          <w:szCs w:val="14"/>
          <w:b w:val="1"/>
          <w:bCs w:val="1"/>
          <w:color w:val="auto"/>
        </w:rPr>
      </w:pPr>
    </w:p>
    <w:p>
      <w:pPr>
        <w:ind w:right="60" w:firstLine="552"/>
        <w:spacing w:after="0" w:line="287" w:lineRule="auto"/>
        <w:tabs>
          <w:tab w:leader="none" w:pos="1049"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OFAC</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None of the Company, the Sponsor, or, to the knowledge of the Company, any director, director nominee, officer, agent, employee or affiliate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is currently subject to any U.S. sanctions administered by the Office of Foreign Assets Control of the U.S. Treasury Department (“</w:t>
      </w:r>
      <w:r>
        <w:rPr>
          <w:rFonts w:ascii="Arial" w:cs="Arial" w:eastAsia="Arial" w:hAnsi="Arial"/>
          <w:sz w:val="14"/>
          <w:szCs w:val="14"/>
          <w:b w:val="1"/>
          <w:bCs w:val="1"/>
          <w:color w:val="auto"/>
        </w:rPr>
        <w:t>OFAC</w:t>
      </w:r>
      <w:r>
        <w:rPr>
          <w:rFonts w:ascii="Arial" w:cs="Arial" w:eastAsia="Arial" w:hAnsi="Arial"/>
          <w:sz w:val="14"/>
          <w:szCs w:val="14"/>
          <w:color w:val="auto"/>
        </w:rPr>
        <w:t>”), the United Nations Security Council (“</w:t>
      </w:r>
      <w:r>
        <w:rPr>
          <w:rFonts w:ascii="Arial" w:cs="Arial" w:eastAsia="Arial" w:hAnsi="Arial"/>
          <w:sz w:val="14"/>
          <w:szCs w:val="14"/>
          <w:b w:val="1"/>
          <w:bCs w:val="1"/>
          <w:color w:val="auto"/>
        </w:rPr>
        <w:t>UNSC</w:t>
      </w:r>
      <w:r>
        <w:rPr>
          <w:rFonts w:ascii="Arial" w:cs="Arial" w:eastAsia="Arial" w:hAnsi="Arial"/>
          <w:sz w:val="14"/>
          <w:szCs w:val="14"/>
          <w:color w:val="auto"/>
        </w:rPr>
        <w:t>”), the European Union, Her Majesty’s Treasury (“</w:t>
      </w:r>
      <w:r>
        <w:rPr>
          <w:rFonts w:ascii="Arial" w:cs="Arial" w:eastAsia="Arial" w:hAnsi="Arial"/>
          <w:sz w:val="14"/>
          <w:szCs w:val="14"/>
          <w:b w:val="1"/>
          <w:bCs w:val="1"/>
          <w:color w:val="auto"/>
        </w:rPr>
        <w:t>HMT</w:t>
      </w:r>
      <w:r>
        <w:rPr>
          <w:rFonts w:ascii="Arial" w:cs="Arial" w:eastAsia="Arial" w:hAnsi="Arial"/>
          <w:sz w:val="14"/>
          <w:szCs w:val="14"/>
          <w:color w:val="auto"/>
        </w:rPr>
        <w:t>”), or other relevant sanctions authority (collectively, “</w:t>
      </w:r>
      <w:r>
        <w:rPr>
          <w:rFonts w:ascii="Arial" w:cs="Arial" w:eastAsia="Arial" w:hAnsi="Arial"/>
          <w:sz w:val="14"/>
          <w:szCs w:val="14"/>
          <w:b w:val="1"/>
          <w:bCs w:val="1"/>
          <w:color w:val="auto"/>
        </w:rPr>
        <w:t>Sanctions</w:t>
      </w:r>
      <w:r>
        <w:rPr>
          <w:rFonts w:ascii="Arial" w:cs="Arial" w:eastAsia="Arial" w:hAnsi="Arial"/>
          <w:sz w:val="14"/>
          <w:szCs w:val="14"/>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141" w:lineRule="exact"/>
        <w:rPr>
          <w:rFonts w:ascii="Arial" w:cs="Arial" w:eastAsia="Arial" w:hAnsi="Arial"/>
          <w:sz w:val="14"/>
          <w:szCs w:val="14"/>
          <w:b w:val="1"/>
          <w:bCs w:val="1"/>
          <w:color w:val="auto"/>
        </w:rPr>
      </w:pPr>
    </w:p>
    <w:p>
      <w:pPr>
        <w:ind w:right="60" w:firstLine="552"/>
        <w:spacing w:after="0" w:line="338" w:lineRule="auto"/>
        <w:tabs>
          <w:tab w:leader="none" w:pos="1118"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Brokers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 as described in the Registration Statement, the Time of Sale Prospectus and the Prospectus, there is no broker, finder or other party that is entitled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receive from the Company any brokerage or finder’s fee or other fee or commission as a result of any transactions contemplated by this Agreement.</w:t>
      </w:r>
    </w:p>
    <w:p>
      <w:pPr>
        <w:spacing w:after="0" w:line="110" w:lineRule="exact"/>
        <w:rPr>
          <w:rFonts w:ascii="Arial" w:cs="Arial" w:eastAsia="Arial" w:hAnsi="Arial"/>
          <w:sz w:val="14"/>
          <w:szCs w:val="14"/>
          <w:b w:val="1"/>
          <w:bCs w:val="1"/>
          <w:color w:val="auto"/>
        </w:rPr>
      </w:pPr>
    </w:p>
    <w:p>
      <w:pPr>
        <w:ind w:firstLine="552"/>
        <w:spacing w:after="0" w:line="281" w:lineRule="auto"/>
        <w:tabs>
          <w:tab w:leader="none" w:pos="1088"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Cybersecurity. </w:t>
      </w:r>
      <w:r>
        <w:rPr>
          <w:rFonts w:ascii="Arial" w:cs="Arial" w:eastAsia="Arial" w:hAnsi="Arial"/>
          <w:sz w:val="14"/>
          <w:szCs w:val="14"/>
          <w:color w:val="auto"/>
        </w:rPr>
        <w:t>The Company’s information technology assets and equipment, computers, systems, networks, hardware, software, websites, applications,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databases (collectively, “</w:t>
      </w:r>
      <w:r>
        <w:rPr>
          <w:rFonts w:ascii="Arial" w:cs="Arial" w:eastAsia="Arial" w:hAnsi="Arial"/>
          <w:sz w:val="14"/>
          <w:szCs w:val="14"/>
          <w:b w:val="1"/>
          <w:bCs w:val="1"/>
          <w:color w:val="auto"/>
        </w:rPr>
        <w:t>IT Systems</w:t>
      </w:r>
      <w:r>
        <w:rPr>
          <w:rFonts w:ascii="Arial" w:cs="Arial" w:eastAsia="Arial" w:hAnsi="Arial"/>
          <w:sz w:val="14"/>
          <w:szCs w:val="14"/>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Arial" w:cs="Arial" w:eastAsia="Arial" w:hAnsi="Arial"/>
          <w:sz w:val="14"/>
          <w:szCs w:val="14"/>
          <w:b w:val="1"/>
          <w:bCs w:val="1"/>
          <w:color w:val="auto"/>
        </w:rPr>
        <w:t>Personal Data</w:t>
      </w:r>
      <w:r>
        <w:rPr>
          <w:rFonts w:ascii="Arial" w:cs="Arial" w:eastAsia="Arial" w:hAnsi="Arial"/>
          <w:sz w:val="14"/>
          <w:szCs w:val="14"/>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and (iv)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the Company has implemented backup and disaster recovery technology consistent with industry standards and practices.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72" w:name="page173"/>
    <w:bookmarkEnd w:id="172"/>
    <w:p>
      <w:pPr>
        <w:ind w:firstLine="552"/>
        <w:spacing w:after="0" w:line="250" w:lineRule="auto"/>
        <w:tabs>
          <w:tab w:leader="none" w:pos="1049"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Emerging Growth Company Status</w:t>
      </w:r>
      <w:r>
        <w:rPr>
          <w:rFonts w:ascii="Arial" w:cs="Arial" w:eastAsia="Arial" w:hAnsi="Arial"/>
          <w:sz w:val="16"/>
          <w:szCs w:val="16"/>
          <w:color w:val="auto"/>
        </w:rPr>
        <w:t>. From the time of the initial confidential submission of the Registration Statement to the Commission (or, if earlier,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63" w:lineRule="exact"/>
        <w:rPr>
          <w:rFonts w:ascii="Arial" w:cs="Arial" w:eastAsia="Arial" w:hAnsi="Arial"/>
          <w:sz w:val="16"/>
          <w:szCs w:val="16"/>
          <w:b w:val="1"/>
          <w:bCs w:val="1"/>
          <w:color w:val="auto"/>
        </w:rPr>
      </w:pPr>
    </w:p>
    <w:p>
      <w:pPr>
        <w:ind w:right="120" w:firstLine="552"/>
        <w:spacing w:after="0" w:line="254" w:lineRule="auto"/>
        <w:tabs>
          <w:tab w:leader="none" w:pos="103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Communications with Potential Business Combination Targets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date hereof, neither the Company nor anyone on its behalf has, and as of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Date, neither the Company nor anyone on its behalf will have selected any Business Combination target or initiated any substantive discussions, directly or indirectly, with any Business Combination target.</w:t>
      </w:r>
    </w:p>
    <w:p>
      <w:pPr>
        <w:spacing w:after="0" w:line="166" w:lineRule="exact"/>
        <w:rPr>
          <w:sz w:val="20"/>
          <w:szCs w:val="20"/>
          <w:color w:val="auto"/>
        </w:rPr>
      </w:pPr>
    </w:p>
    <w:p>
      <w:pPr>
        <w:ind w:firstLine="552"/>
        <w:spacing w:after="0" w:line="284" w:lineRule="auto"/>
        <w:tabs>
          <w:tab w:leader="none" w:pos="1127"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Communications</w:t>
      </w:r>
      <w:r>
        <w:rPr>
          <w:rFonts w:ascii="Arial" w:cs="Arial" w:eastAsia="Arial" w:hAnsi="Arial"/>
          <w:sz w:val="14"/>
          <w:szCs w:val="14"/>
          <w:color w:val="auto"/>
        </w:rPr>
        <w:t>. The Company (i) has not alone engaged in communications with potential investors in reliance on Section 5(d) of the Securities Act other than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47" w:lineRule="exact"/>
        <w:rPr>
          <w:sz w:val="20"/>
          <w:szCs w:val="20"/>
          <w:color w:val="auto"/>
        </w:rPr>
      </w:pPr>
    </w:p>
    <w:p>
      <w:pPr>
        <w:ind w:right="180" w:firstLine="559"/>
        <w:spacing w:after="0" w:line="373" w:lineRule="auto"/>
        <w:rPr>
          <w:sz w:val="20"/>
          <w:szCs w:val="20"/>
          <w:color w:val="auto"/>
        </w:rPr>
      </w:pPr>
      <w:r>
        <w:rPr>
          <w:rFonts w:ascii="Arial" w:cs="Arial" w:eastAsia="Arial" w:hAnsi="Arial"/>
          <w:sz w:val="13"/>
          <w:szCs w:val="13"/>
          <w:color w:val="auto"/>
        </w:rPr>
        <w:t>Any certificate signed by any officer of the Company and delivered to the Representatives,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94" w:lineRule="exact"/>
        <w:rPr>
          <w:sz w:val="20"/>
          <w:szCs w:val="20"/>
          <w:color w:val="auto"/>
        </w:rPr>
      </w:pPr>
    </w:p>
    <w:p>
      <w:pPr>
        <w:ind w:right="40" w:firstLine="559"/>
        <w:spacing w:after="0" w:line="250" w:lineRule="auto"/>
        <w:rPr>
          <w:sz w:val="20"/>
          <w:szCs w:val="20"/>
          <w:color w:val="auto"/>
        </w:rPr>
      </w:pPr>
      <w:r>
        <w:rPr>
          <w:rFonts w:ascii="Arial" w:cs="Arial" w:eastAsia="Arial" w:hAnsi="Arial"/>
          <w:sz w:val="16"/>
          <w:szCs w:val="16"/>
          <w:color w:val="auto"/>
        </w:rPr>
        <w:t>The Company has a reasonable basis for making each of the representations set forth in this Section 1.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64" w:lineRule="exact"/>
        <w:rPr>
          <w:sz w:val="20"/>
          <w:szCs w:val="20"/>
          <w:color w:val="auto"/>
        </w:rPr>
      </w:pPr>
    </w:p>
    <w:p>
      <w:pPr>
        <w:ind w:left="1120"/>
        <w:spacing w:after="0"/>
        <w:tabs>
          <w:tab w:leader="none" w:pos="196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3"/>
          <w:szCs w:val="13"/>
          <w:b w:val="1"/>
          <w:bCs w:val="1"/>
          <w:color w:val="auto"/>
        </w:rPr>
        <w:t>Purchase, Sale and Delivery of the Offered Securities</w:t>
      </w:r>
      <w:r>
        <w:rPr>
          <w:rFonts w:ascii="Arial" w:cs="Arial" w:eastAsia="Arial" w:hAnsi="Arial"/>
          <w:sz w:val="13"/>
          <w:szCs w:val="13"/>
          <w:color w:val="auto"/>
        </w:rPr>
        <w:t>.</w:t>
      </w:r>
    </w:p>
    <w:p>
      <w:pPr>
        <w:spacing w:after="0" w:line="188" w:lineRule="exact"/>
        <w:rPr>
          <w:sz w:val="20"/>
          <w:szCs w:val="20"/>
          <w:color w:val="auto"/>
        </w:rPr>
      </w:pPr>
    </w:p>
    <w:p>
      <w:pPr>
        <w:ind w:firstLine="552"/>
        <w:spacing w:after="0" w:line="297" w:lineRule="auto"/>
        <w:tabs>
          <w:tab w:leader="none" w:pos="1011"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Firm Securities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the terms herein set forth, the Company agrees to issue and sell to the several Underwriters an aggregate of 12,500,000 Class A Ordinary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14"/>
          <w:szCs w:val="14"/>
          <w:u w:val="single" w:color="auto"/>
          <w:color w:val="auto"/>
        </w:rPr>
        <w:t>Schedule A</w:t>
      </w:r>
      <w:r>
        <w:rPr>
          <w:rFonts w:ascii="Arial" w:cs="Arial" w:eastAsia="Arial" w:hAnsi="Arial"/>
          <w:sz w:val="14"/>
          <w:szCs w:val="14"/>
          <w:color w:val="auto"/>
        </w:rPr>
        <w:t>. The purchase price per Class A Ordinary Share to be paid by the several Underwriters to the Company shall be $9.80 per Class A Ordinary Share (the “</w:t>
      </w:r>
      <w:r>
        <w:rPr>
          <w:rFonts w:ascii="Arial" w:cs="Arial" w:eastAsia="Arial" w:hAnsi="Arial"/>
          <w:sz w:val="14"/>
          <w:szCs w:val="14"/>
          <w:b w:val="1"/>
          <w:bCs w:val="1"/>
          <w:color w:val="auto"/>
        </w:rPr>
        <w:t>Purchase Price</w:t>
      </w:r>
      <w:r>
        <w:rPr>
          <w:rFonts w:ascii="Arial" w:cs="Arial" w:eastAsia="Arial" w:hAnsi="Arial"/>
          <w:sz w:val="14"/>
          <w:szCs w:val="14"/>
          <w:color w:val="auto"/>
        </w:rPr>
        <w:t>”).</w:t>
      </w:r>
    </w:p>
    <w:p>
      <w:pPr>
        <w:spacing w:after="0" w:line="133" w:lineRule="exact"/>
        <w:rPr>
          <w:rFonts w:ascii="Arial" w:cs="Arial" w:eastAsia="Arial" w:hAnsi="Arial"/>
          <w:sz w:val="14"/>
          <w:szCs w:val="14"/>
          <w:b w:val="1"/>
          <w:bCs w:val="1"/>
          <w:color w:val="auto"/>
        </w:rPr>
      </w:pPr>
    </w:p>
    <w:p>
      <w:pPr>
        <w:ind w:firstLine="552"/>
        <w:spacing w:after="0" w:line="289" w:lineRule="auto"/>
        <w:tabs>
          <w:tab w:leader="none" w:pos="1019"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First Closing Date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Delivery of the Firm Securities to be purchased by the Underwriters and payment therefor shall be made at 9:00 a.m. New York City time,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August [ ], 2020, or such other time and date not later than 1:30 p.m. New York City time on August [ ], 2020 as the Representatives shall designate by notice to the Company (the time and date of such closing are called the “</w:t>
      </w:r>
      <w:r>
        <w:rPr>
          <w:rFonts w:ascii="Arial" w:cs="Arial" w:eastAsia="Arial" w:hAnsi="Arial"/>
          <w:sz w:val="14"/>
          <w:szCs w:val="14"/>
          <w:b w:val="1"/>
          <w:bCs w:val="1"/>
          <w:color w:val="auto"/>
        </w:rPr>
        <w:t>First Closing Date</w:t>
      </w:r>
      <w:r>
        <w:rPr>
          <w:rFonts w:ascii="Arial" w:cs="Arial" w:eastAsia="Arial" w:hAnsi="Arial"/>
          <w:sz w:val="14"/>
          <w:szCs w:val="14"/>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10. Delivery of the Firm Securities shall be made through the facilities of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unless the Representatives shall otherwise instruct.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73" w:name="page174"/>
    <w:bookmarkEnd w:id="173"/>
    <w:p>
      <w:pPr>
        <w:ind w:firstLine="552"/>
        <w:spacing w:after="0" w:line="283" w:lineRule="auto"/>
        <w:tabs>
          <w:tab w:leader="none" w:pos="1002"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The Optional Securities; Option Closing Date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addition, on the basis of the representations, warranties and agreements herein contained, and upon the terms but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subject to the conditions herein set forth, the Company hereby grants an option to the several Underwriters to purchase, severally and not jointly, up to an aggregate of 1,875,000 Class A Ordinary Shares from the Company at the purchase price per Class A Ordinary Share to be paid by the Underwriters for the Firm Securities. The option granted hereunder may be exercised at any time and from time to time in whole or in part upon notice by the Representatives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4"/>
          <w:szCs w:val="14"/>
          <w:b w:val="1"/>
          <w:bCs w:val="1"/>
          <w:color w:val="auto"/>
        </w:rPr>
        <w:t>First Closing Date</w:t>
      </w:r>
      <w:r>
        <w:rPr>
          <w:rFonts w:ascii="Arial" w:cs="Arial" w:eastAsia="Arial" w:hAnsi="Arial"/>
          <w:sz w:val="14"/>
          <w:szCs w:val="14"/>
          <w:color w:val="auto"/>
        </w:rPr>
        <w:t>” shall refer to the time and date of delivery of the Firm Securities and such Optional Securities). Any such time and date of delivery, if subsequent to the First Closing Date, is called an “</w:t>
      </w:r>
      <w:r>
        <w:rPr>
          <w:rFonts w:ascii="Arial" w:cs="Arial" w:eastAsia="Arial" w:hAnsi="Arial"/>
          <w:sz w:val="14"/>
          <w:szCs w:val="14"/>
          <w:b w:val="1"/>
          <w:bCs w:val="1"/>
          <w:color w:val="auto"/>
        </w:rPr>
        <w:t>Option Closing Date</w:t>
      </w:r>
      <w:r>
        <w:rPr>
          <w:rFonts w:ascii="Arial" w:cs="Arial" w:eastAsia="Arial" w:hAnsi="Arial"/>
          <w:sz w:val="14"/>
          <w:szCs w:val="14"/>
          <w:color w:val="auto"/>
        </w:rPr>
        <w:t xml:space="preserve">,” and shall be determined by the Representatives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Representatives may determine) that bears the same proportion to the total number of Optional Securities to be purchased as the number of Firm Securities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the name of such Underwriter bears to the total number of Firm Securities. The Representatives may cancel the option at any time prior to its expiration by giving written notice of such cancellation to the Company.</w:t>
      </w:r>
    </w:p>
    <w:p>
      <w:pPr>
        <w:spacing w:after="0" w:line="141" w:lineRule="exact"/>
        <w:rPr>
          <w:rFonts w:ascii="Arial" w:cs="Arial" w:eastAsia="Arial" w:hAnsi="Arial"/>
          <w:sz w:val="14"/>
          <w:szCs w:val="14"/>
          <w:b w:val="1"/>
          <w:bCs w:val="1"/>
          <w:color w:val="auto"/>
        </w:rPr>
      </w:pPr>
    </w:p>
    <w:p>
      <w:pPr>
        <w:ind w:right="80" w:firstLine="552"/>
        <w:spacing w:after="0" w:line="308" w:lineRule="auto"/>
        <w:tabs>
          <w:tab w:leader="none" w:pos="1019"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Public Offering of the Offered Securities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Representatives hereby advise the Company that the Underwriters intend to offer for sale to the public, on the terms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set forth in the Registration Statement, the Time of Sale Prospectus and the Prospectus, their respective portions of the Offered Securities as soon after this Agreement has been executed and the Registration Statement has been declared effective as the Representatives, in their sole judgment, has determined is advisable and practicable.</w:t>
      </w:r>
    </w:p>
    <w:p>
      <w:pPr>
        <w:spacing w:after="0" w:line="124" w:lineRule="exact"/>
        <w:rPr>
          <w:rFonts w:ascii="Arial" w:cs="Arial" w:eastAsia="Arial" w:hAnsi="Arial"/>
          <w:sz w:val="14"/>
          <w:szCs w:val="14"/>
          <w:b w:val="1"/>
          <w:bCs w:val="1"/>
          <w:color w:val="auto"/>
        </w:rPr>
      </w:pPr>
    </w:p>
    <w:p>
      <w:pPr>
        <w:ind w:right="60" w:firstLine="552"/>
        <w:spacing w:after="0" w:line="289" w:lineRule="auto"/>
        <w:tabs>
          <w:tab w:leader="none" w:pos="1002"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Delivery and Payment for the Offered Securities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 In addition to the discount from the public offering price represented by the Purchase Price set forth in the last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sentence of Section 2(a) of this Agreement, the Company hereby agrees to pay to the Underwriters a deferred discount of $0.35 per Class A Ordinary Share (including both Firm Securities and Optional Securities) purchased hereunder (the “</w:t>
      </w:r>
      <w:r>
        <w:rPr>
          <w:rFonts w:ascii="Arial" w:cs="Arial" w:eastAsia="Arial" w:hAnsi="Arial"/>
          <w:sz w:val="14"/>
          <w:szCs w:val="14"/>
          <w:b w:val="1"/>
          <w:bCs w:val="1"/>
          <w:color w:val="auto"/>
        </w:rPr>
        <w:t>Deferred Discount</w:t>
      </w:r>
      <w:r>
        <w:rPr>
          <w:rFonts w:ascii="Arial" w:cs="Arial" w:eastAsia="Arial" w:hAnsi="Arial"/>
          <w:sz w:val="14"/>
          <w:szCs w:val="14"/>
          <w:color w:val="auto"/>
        </w:rPr>
        <w:t>”). The Underwriters hereby agree that if no Business Combination is consummated within the time period provided in the Trust Agreement and the funds held under the Trust Agreement are distributed to the holders of the Offered Securities sold pursuant to this Agreement (the “</w:t>
      </w:r>
      <w:r>
        <w:rPr>
          <w:rFonts w:ascii="Arial" w:cs="Arial" w:eastAsia="Arial" w:hAnsi="Arial"/>
          <w:sz w:val="14"/>
          <w:szCs w:val="14"/>
          <w:b w:val="1"/>
          <w:bCs w:val="1"/>
          <w:color w:val="auto"/>
        </w:rPr>
        <w:t>Public Shareholders</w:t>
      </w:r>
      <w:r>
        <w:rPr>
          <w:rFonts w:ascii="Arial" w:cs="Arial" w:eastAsia="Arial" w:hAnsi="Arial"/>
          <w:sz w:val="14"/>
          <w:szCs w:val="14"/>
          <w:color w:val="auto"/>
        </w:rPr>
        <w:t>”), (x) the Underwriters will forfeit any rights or claims to the Deferred Discount and (y) the trustee under the Trust Agreement is authorized to distribute the Deferred Discount to the Public Shareholders on a pro rata basis.</w:t>
      </w:r>
    </w:p>
    <w:p>
      <w:pPr>
        <w:spacing w:after="0" w:line="145" w:lineRule="exact"/>
        <w:rPr>
          <w:rFonts w:ascii="Arial" w:cs="Arial" w:eastAsia="Arial" w:hAnsi="Arial"/>
          <w:sz w:val="14"/>
          <w:szCs w:val="14"/>
          <w:b w:val="1"/>
          <w:bCs w:val="1"/>
          <w:color w:val="auto"/>
        </w:rPr>
      </w:pPr>
    </w:p>
    <w:p>
      <w:pPr>
        <w:ind w:firstLine="1110"/>
        <w:spacing w:after="0" w:line="287" w:lineRule="auto"/>
        <w:tabs>
          <w:tab w:leader="none" w:pos="1578" w:val="left"/>
        </w:tabs>
        <w:numPr>
          <w:ilvl w:val="1"/>
          <w:numId w:val="60"/>
        </w:numPr>
        <w:rPr>
          <w:rFonts w:ascii="Arial" w:cs="Arial" w:eastAsia="Arial" w:hAnsi="Arial"/>
          <w:sz w:val="14"/>
          <w:szCs w:val="14"/>
          <w:color w:val="auto"/>
        </w:rPr>
      </w:pPr>
      <w:r>
        <w:rPr>
          <w:rFonts w:ascii="Arial" w:cs="Arial" w:eastAsia="Arial" w:hAnsi="Arial"/>
          <w:sz w:val="14"/>
          <w:szCs w:val="14"/>
          <w:color w:val="auto"/>
        </w:rPr>
        <w:t>It is understood that the Representatives have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Each of the Representatives,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74" w:name="page175"/>
    <w:bookmarkEnd w:id="174"/>
    <w:p>
      <w:pPr>
        <w:ind w:left="-40" w:firstLine="1110"/>
        <w:spacing w:after="0" w:line="284" w:lineRule="auto"/>
        <w:tabs>
          <w:tab w:leader="none" w:pos="1581" w:val="left"/>
        </w:tabs>
        <w:numPr>
          <w:ilvl w:val="0"/>
          <w:numId w:val="61"/>
        </w:numPr>
        <w:rPr>
          <w:rFonts w:ascii="Arial" w:cs="Arial" w:eastAsia="Arial" w:hAnsi="Arial"/>
          <w:sz w:val="14"/>
          <w:szCs w:val="14"/>
          <w:color w:val="auto"/>
        </w:rPr>
      </w:pPr>
      <w:r>
        <w:rPr>
          <w:rFonts w:ascii="Arial" w:cs="Arial" w:eastAsia="Arial" w:hAnsi="Arial"/>
          <w:sz w:val="14"/>
          <w:szCs w:val="14"/>
          <w:color w:val="auto"/>
        </w:rPr>
        <w:t>Payment for the Firm Securities shall be made as follows: The net proceeds for the Firm Securities (including the Deferred Discount) shall be deposited in the Trust Account pursuant to the terms of the Trust Agreement along with such portion of the proceeds of the sale of the Sponsor Shares in order for the Trust Account to equal the product of the number of Class A Ordinary Shares sold and the public offering price per Class A Ordinary Share as set forth on the cover of the Prospectus upon delivery to the Representatives of the Firm Securities through the facilities of DTC or, if the Representatives have otherwise instructed, upon delivery to the Representatives of certificates (in form and substance satisfactory to the Representatives) representing the Firm Securities, in each case for the account of the Underwriters. The Firm Securities shall be registered in such name or names and in such authorized denominations as the Representatives may request in writing at least one business day prior to the First Closing Date. If delivery is not made through the facilities of DTC, the Company will permit the Representatives to examine and package the Firm Securities for delivery, at least one business day prior to the First Closing Date at a location in New York City as the Representatives may designate. The Company shall not be obligated to sell or deliver the Firm Securities except upon tender of payment by the Representatives for all the Firm Securities.</w:t>
      </w:r>
    </w:p>
    <w:p>
      <w:pPr>
        <w:spacing w:after="0" w:line="146" w:lineRule="exact"/>
        <w:rPr>
          <w:rFonts w:ascii="Arial" w:cs="Arial" w:eastAsia="Arial" w:hAnsi="Arial"/>
          <w:sz w:val="14"/>
          <w:szCs w:val="14"/>
          <w:color w:val="auto"/>
        </w:rPr>
      </w:pPr>
    </w:p>
    <w:p>
      <w:pPr>
        <w:ind w:left="-40" w:firstLine="1110"/>
        <w:spacing w:after="0" w:line="284" w:lineRule="auto"/>
        <w:tabs>
          <w:tab w:leader="none" w:pos="15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Payment for the Optional Securities shall be made as follows: $9.80 per Optional Security (including any Deferred Discount attributable to the Optional Securities) shall be deposited in the Trust Account pursuant to the terms of the Trust Agreement upon delivery to the Representatives of the Optional Securities through the facilities of DTC or, if the Representatives have otherwise instructed, upon delivery to the Representatives of certificates (in form and substance satisfactory to the Representatives) representing the Optional Securities for the account of the Underwriters. The Optional Securities shall be registered in such name or names and in such authorized denominations as the Representatives may request in writing at least two business days prior to the Option Closing Date. If delivery is not made through the facilities of DTC, the Company will permit the Representatives to examine and package the Optional Securities for delivery, at least one business day prior to the Option Closing Date. The Company shall not be obligated to sell or deliver the Optional Securities except upon tender of payment by the Representatives for all the Optional Securities. At least one business day prior to the Optional Securities settlement date, the Company shall deposit the proceeds from the sale of the applicable Sponsor Shares into the Trust Account.</w:t>
      </w:r>
    </w:p>
    <w:p>
      <w:pPr>
        <w:spacing w:after="0" w:line="145" w:lineRule="exact"/>
        <w:rPr>
          <w:sz w:val="20"/>
          <w:szCs w:val="20"/>
          <w:color w:val="auto"/>
        </w:rPr>
      </w:pPr>
    </w:p>
    <w:p>
      <w:pPr>
        <w:ind w:left="1080"/>
        <w:spacing w:after="0"/>
        <w:tabs>
          <w:tab w:leader="none" w:pos="192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3"/>
          <w:szCs w:val="13"/>
          <w:b w:val="1"/>
          <w:bCs w:val="1"/>
          <w:color w:val="auto"/>
        </w:rPr>
        <w:t>Additional Covenants of the Company.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further covenants and agrees with each Underwriter as follows:</w:t>
      </w:r>
    </w:p>
    <w:p>
      <w:pPr>
        <w:spacing w:after="0" w:line="188" w:lineRule="exact"/>
        <w:rPr>
          <w:sz w:val="20"/>
          <w:szCs w:val="20"/>
          <w:color w:val="auto"/>
        </w:rPr>
      </w:pPr>
    </w:p>
    <w:p>
      <w:pPr>
        <w:ind w:left="-40" w:right="100" w:firstLine="552"/>
        <w:spacing w:after="0" w:line="246" w:lineRule="auto"/>
        <w:tabs>
          <w:tab w:leader="none" w:pos="971"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Registration Statement, Time of Sale Prospectus and Prospectus. </w:t>
      </w:r>
      <w:r>
        <w:rPr>
          <w:rFonts w:ascii="Arial" w:cs="Arial" w:eastAsia="Arial" w:hAnsi="Arial"/>
          <w:sz w:val="16"/>
          <w:szCs w:val="16"/>
          <w:color w:val="auto"/>
        </w:rPr>
        <w:t>The Company shall furnish to you in New York City, without charge, prior to 10:00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37465</wp:posOffset>
            </wp:positionV>
            <wp:extent cx="7151370" cy="14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60"/>
          </w:cols>
          <w:pgMar w:left="360" w:top="315" w:right="379" w:bottom="1440" w:gutter="0" w:footer="0" w:header="0"/>
        </w:sectPr>
      </w:pPr>
    </w:p>
    <w:bookmarkStart w:id="175" w:name="page176"/>
    <w:bookmarkEnd w:id="175"/>
    <w:p>
      <w:pPr>
        <w:ind w:left="7" w:right="60" w:firstLine="552"/>
        <w:spacing w:after="0" w:line="284" w:lineRule="auto"/>
        <w:tabs>
          <w:tab w:leader="none" w:pos="1026" w:val="left"/>
        </w:tabs>
        <w:numPr>
          <w:ilvl w:val="1"/>
          <w:numId w:val="6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Representatives’ Review of Proposed Amendments and Supplements. </w:t>
      </w:r>
      <w:r>
        <w:rPr>
          <w:rFonts w:ascii="Arial" w:cs="Arial" w:eastAsia="Arial" w:hAnsi="Arial"/>
          <w:sz w:val="14"/>
          <w:szCs w:val="14"/>
          <w:color w:val="auto"/>
        </w:rPr>
        <w:t>During the period when a prospectus relating to the Offered Securities is required by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51" w:lineRule="exact"/>
        <w:rPr>
          <w:rFonts w:ascii="Arial" w:cs="Arial" w:eastAsia="Arial" w:hAnsi="Arial"/>
          <w:sz w:val="14"/>
          <w:szCs w:val="14"/>
          <w:b w:val="1"/>
          <w:bCs w:val="1"/>
          <w:color w:val="auto"/>
        </w:rPr>
      </w:pPr>
    </w:p>
    <w:p>
      <w:pPr>
        <w:ind w:left="7" w:right="540" w:firstLine="552"/>
        <w:spacing w:after="0" w:line="329" w:lineRule="auto"/>
        <w:tabs>
          <w:tab w:leader="none" w:pos="1009" w:val="left"/>
        </w:tabs>
        <w:numPr>
          <w:ilvl w:val="1"/>
          <w:numId w:val="6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Free Writing Prospectuses. </w:t>
      </w:r>
      <w:r>
        <w:rPr>
          <w:rFonts w:ascii="Arial" w:cs="Arial" w:eastAsia="Arial" w:hAnsi="Arial"/>
          <w:sz w:val="14"/>
          <w:szCs w:val="14"/>
          <w:color w:val="auto"/>
        </w:rPr>
        <w:t>The Company will not make any offer relating to the Class A Ordinary Shares that constitutes or would constitute a free writing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prospectus or a portion thereof required to be filed by the Company with the Commission or retained by the Company under Rule 433 of the Securities Act.</w:t>
      </w:r>
    </w:p>
    <w:p>
      <w:pPr>
        <w:spacing w:after="0" w:line="117" w:lineRule="exact"/>
        <w:rPr>
          <w:rFonts w:ascii="Arial" w:cs="Arial" w:eastAsia="Arial" w:hAnsi="Arial"/>
          <w:sz w:val="14"/>
          <w:szCs w:val="14"/>
          <w:b w:val="1"/>
          <w:bCs w:val="1"/>
          <w:color w:val="auto"/>
        </w:rPr>
      </w:pPr>
    </w:p>
    <w:p>
      <w:pPr>
        <w:ind w:left="7" w:right="20" w:firstLine="552"/>
        <w:spacing w:after="0" w:line="282" w:lineRule="auto"/>
        <w:tabs>
          <w:tab w:leader="none" w:pos="1026" w:val="left"/>
        </w:tabs>
        <w:numPr>
          <w:ilvl w:val="1"/>
          <w:numId w:val="6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Amendments and Supplements to Time of Sale Prospectus. </w:t>
      </w:r>
      <w:r>
        <w:rPr>
          <w:rFonts w:ascii="Arial" w:cs="Arial" w:eastAsia="Arial" w:hAnsi="Arial"/>
          <w:sz w:val="14"/>
          <w:szCs w:val="14"/>
          <w:color w:val="auto"/>
        </w:rPr>
        <w:t>If the Time of Sale Prospectus is being used to solicit offers to buy the Offered Securities at a time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shall be necessary to amend or supplement the Time of Sale Prospectus to comply with the Securities Act or the rules thereunder,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the Securities Act or the rules thereunder.</w:t>
      </w:r>
    </w:p>
    <w:p>
      <w:pPr>
        <w:spacing w:after="0" w:line="146" w:lineRule="exact"/>
        <w:rPr>
          <w:rFonts w:ascii="Arial" w:cs="Arial" w:eastAsia="Arial" w:hAnsi="Arial"/>
          <w:sz w:val="14"/>
          <w:szCs w:val="14"/>
          <w:b w:val="1"/>
          <w:bCs w:val="1"/>
          <w:color w:val="auto"/>
        </w:rPr>
      </w:pPr>
    </w:p>
    <w:p>
      <w:pPr>
        <w:ind w:left="7" w:right="120" w:firstLine="552"/>
        <w:spacing w:after="0" w:line="285" w:lineRule="auto"/>
        <w:tabs>
          <w:tab w:leader="none" w:pos="1009" w:val="left"/>
        </w:tabs>
        <w:numPr>
          <w:ilvl w:val="1"/>
          <w:numId w:val="6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Certain Notifications and Required Actions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After the date of this Agreement, the Company shall promptly advise the Representatives in writing of: (i) the receipt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w:t>
      </w:r>
    </w:p>
    <w:p>
      <w:pPr>
        <w:ind w:left="7" w:hanging="7"/>
        <w:spacing w:after="0" w:line="282" w:lineRule="auto"/>
        <w:tabs>
          <w:tab w:leader="none" w:pos="27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Class A Ordinary Shares from any securities exchange upon which they are listed for trading or included or designated for quotation, or of the threatening or initiation of any proceedings for any of such purposes. If, at any time, the Commission shall enter any such stop order, the Company will use its best efforts to obtain the lifting of such order at the earliest possible moment. Additionally, the Company agrees that it shall comply in all material respects with all applicable provisions of Rule 424(b) and Rule 430A under the Securities Act and will use its reasonable efforts to confirm that any filings made by the Company under Rule 424(b) were received in a timely manner by the Commission.</w:t>
      </w:r>
    </w:p>
    <w:p>
      <w:pPr>
        <w:spacing w:after="0" w:line="200" w:lineRule="exact"/>
        <w:rPr>
          <w:sz w:val="20"/>
          <w:szCs w:val="20"/>
          <w:color w:val="auto"/>
        </w:rPr>
      </w:pPr>
    </w:p>
    <w:p>
      <w:pPr>
        <w:spacing w:after="0" w:line="289"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1370" cy="14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315" w:right="339" w:bottom="1440" w:gutter="0" w:footer="0" w:header="0"/>
        </w:sectPr>
      </w:pPr>
    </w:p>
    <w:bookmarkStart w:id="176" w:name="page177"/>
    <w:bookmarkEnd w:id="176"/>
    <w:p>
      <w:pPr>
        <w:ind w:right="60" w:firstLine="552"/>
        <w:spacing w:after="0" w:line="282" w:lineRule="auto"/>
        <w:tabs>
          <w:tab w:leader="none" w:pos="985"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Amendments and Supplements to the Prospectus and Other Securities Act Matters. </w:t>
      </w:r>
      <w:r>
        <w:rPr>
          <w:rFonts w:ascii="Arial" w:cs="Arial" w:eastAsia="Arial" w:hAnsi="Arial"/>
          <w:sz w:val="14"/>
          <w:szCs w:val="14"/>
          <w:color w:val="auto"/>
        </w:rPr>
        <w:t>If, at any time when a prospectus relating to the Offered Securities is required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be delivered under the Securities Act,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shall be necessary to amend the Registration Statement or supplement the Prospectus to comply with the Securities Act or rules thereunder,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the Securities Act or the rules thereunder. Neither the Representatives’ consent to, nor delivery of, any such amendment or supplement shall constitute a waiver of any of the Company’s obligations under Section 3(b) or Section 3(e).</w:t>
      </w:r>
    </w:p>
    <w:p>
      <w:pPr>
        <w:spacing w:after="0" w:line="146" w:lineRule="exact"/>
        <w:rPr>
          <w:rFonts w:ascii="Arial" w:cs="Arial" w:eastAsia="Arial" w:hAnsi="Arial"/>
          <w:sz w:val="14"/>
          <w:szCs w:val="14"/>
          <w:b w:val="1"/>
          <w:bCs w:val="1"/>
          <w:color w:val="auto"/>
        </w:rPr>
      </w:pPr>
    </w:p>
    <w:p>
      <w:pPr>
        <w:ind w:right="100" w:firstLine="552"/>
        <w:spacing w:after="0" w:line="286" w:lineRule="auto"/>
        <w:tabs>
          <w:tab w:leader="none" w:pos="1011"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Blue Sky Compliance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shall cooperate with the Representatives and counsel for the Underwriters to qualify or register the Offered Securities for sale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under (or obtain exemptions from the application of) the state securities or blue sky laws or Canadian provincial securities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40" w:lineRule="exact"/>
        <w:rPr>
          <w:rFonts w:ascii="Arial" w:cs="Arial" w:eastAsia="Arial" w:hAnsi="Arial"/>
          <w:sz w:val="14"/>
          <w:szCs w:val="14"/>
          <w:b w:val="1"/>
          <w:bCs w:val="1"/>
          <w:color w:val="auto"/>
        </w:rPr>
      </w:pPr>
    </w:p>
    <w:p>
      <w:pPr>
        <w:ind w:right="200" w:firstLine="552"/>
        <w:spacing w:after="0" w:line="338" w:lineRule="auto"/>
        <w:tabs>
          <w:tab w:leader="none" w:pos="1019"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Use of Proceeds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shall apply the net proceeds from the sale of the Offered Securities and the Sponsor Shares sold by it in a manner consistent in 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material respects with the applications described under the caption “Use of Proceeds” in the Registration Statement, the Time of Sale Prospectus and the Prospectus.</w:t>
      </w:r>
    </w:p>
    <w:p>
      <w:pPr>
        <w:spacing w:after="0" w:line="104" w:lineRule="exact"/>
        <w:rPr>
          <w:rFonts w:ascii="Arial" w:cs="Arial" w:eastAsia="Arial" w:hAnsi="Arial"/>
          <w:sz w:val="14"/>
          <w:szCs w:val="14"/>
          <w:b w:val="1"/>
          <w:bCs w:val="1"/>
          <w:color w:val="auto"/>
        </w:rPr>
      </w:pPr>
    </w:p>
    <w:p>
      <w:pPr>
        <w:ind w:firstLine="552"/>
        <w:spacing w:after="0" w:line="297" w:lineRule="auto"/>
        <w:tabs>
          <w:tab w:leader="none" w:pos="976"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Transfer Agent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a period commencing on the Effective Date and ending at least five years from the date of the consummation of the Business Combination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until such earlier time at which the distributions of the Trust Account to the Public Shareholders in connection with the redemption of the Class A Ordinary Shares held by the Public Shareholders pursuant to the terms of the Company’s Amended and Restated Memorandum and Articles of Association, if the Company fails to consummate a Business Combination (the “</w:t>
      </w:r>
      <w:r>
        <w:rPr>
          <w:rFonts w:ascii="Arial" w:cs="Arial" w:eastAsia="Arial" w:hAnsi="Arial"/>
          <w:sz w:val="14"/>
          <w:szCs w:val="14"/>
          <w:b w:val="1"/>
          <w:bCs w:val="1"/>
          <w:color w:val="auto"/>
        </w:rPr>
        <w:t>Liquidation</w:t>
      </w:r>
      <w:r>
        <w:rPr>
          <w:rFonts w:ascii="Arial" w:cs="Arial" w:eastAsia="Arial" w:hAnsi="Arial"/>
          <w:sz w:val="14"/>
          <w:szCs w:val="14"/>
          <w:color w:val="auto"/>
        </w:rPr>
        <w:t>”) occurs or the Class A Ordinary Shares cease to be registered under the Exchange Act, the Company shall retain a transfer agent.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77" w:name="page178"/>
    <w:bookmarkEnd w:id="177"/>
    <w:p>
      <w:pPr>
        <w:jc w:val="both"/>
        <w:ind w:left="-20" w:right="80" w:firstLine="552"/>
        <w:spacing w:after="0" w:line="308" w:lineRule="auto"/>
        <w:tabs>
          <w:tab w:leader="none" w:pos="965"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Earnings Statement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will make generally available to its shareholders and to the Representatives as soon as practicable an earnings statement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24" w:lineRule="exact"/>
        <w:rPr>
          <w:rFonts w:ascii="Arial" w:cs="Arial" w:eastAsia="Arial" w:hAnsi="Arial"/>
          <w:sz w:val="14"/>
          <w:szCs w:val="14"/>
          <w:b w:val="1"/>
          <w:bCs w:val="1"/>
          <w:color w:val="auto"/>
        </w:rPr>
      </w:pPr>
    </w:p>
    <w:p>
      <w:pPr>
        <w:ind w:left="-20" w:firstLine="552"/>
        <w:spacing w:after="0" w:line="247" w:lineRule="auto"/>
        <w:tabs>
          <w:tab w:leader="none" w:pos="999"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 completion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the Offered Securities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Securities as may be required under Rule 463 under the Securities Act.</w:t>
      </w:r>
    </w:p>
    <w:p>
      <w:pPr>
        <w:spacing w:after="0" w:line="172" w:lineRule="exact"/>
        <w:rPr>
          <w:rFonts w:ascii="Arial" w:cs="Arial" w:eastAsia="Arial" w:hAnsi="Arial"/>
          <w:sz w:val="16"/>
          <w:szCs w:val="16"/>
          <w:b w:val="1"/>
          <w:bCs w:val="1"/>
          <w:color w:val="auto"/>
        </w:rPr>
      </w:pPr>
    </w:p>
    <w:p>
      <w:pPr>
        <w:ind w:left="-20" w:right="40" w:firstLine="552"/>
        <w:spacing w:after="0" w:line="246" w:lineRule="auto"/>
        <w:tabs>
          <w:tab w:leader="none" w:pos="956"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Registration of the Securities of the Company</w:t>
      </w:r>
      <w:r>
        <w:rPr>
          <w:rFonts w:ascii="Arial" w:cs="Arial" w:eastAsia="Arial" w:hAnsi="Arial"/>
          <w:sz w:val="16"/>
          <w:szCs w:val="16"/>
          <w:color w:val="auto"/>
        </w:rPr>
        <w:t>. For a period commencing on the Effective Date and ending at least five years from the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Business Combination or until such earlier time at which the Liquidation occurs, the Company will use its best efforts to maintain the registration of the Class A Ordinary Shares under the provisions of the Exchange Act, except after giving effect to a going private transaction after the completion of a Business Combination. The Company will not deregister the Class A Ordinary Shares under the Exchange Act (except in connection with a going private transaction after the completion of a Business Combination) without the prior written consent of the Representatives.</w:t>
      </w:r>
    </w:p>
    <w:p>
      <w:pPr>
        <w:spacing w:after="0" w:line="167" w:lineRule="exact"/>
        <w:rPr>
          <w:rFonts w:ascii="Arial" w:cs="Arial" w:eastAsia="Arial" w:hAnsi="Arial"/>
          <w:sz w:val="16"/>
          <w:szCs w:val="16"/>
          <w:b w:val="1"/>
          <w:bCs w:val="1"/>
          <w:color w:val="auto"/>
        </w:rPr>
      </w:pPr>
    </w:p>
    <w:p>
      <w:pPr>
        <w:ind w:left="-20" w:right="440" w:firstLine="552"/>
        <w:spacing w:after="0" w:line="254" w:lineRule="auto"/>
        <w:tabs>
          <w:tab w:leader="none" w:pos="1042"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use commercially reasonable efforts to effect and maintain the listing of the Class A Ordinary Shares on Nasdaq for a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on the Effective Date and ending at least five years from the date of the consummation of the initial Business Combination or until such earlier time at which the Liquidation occurs or the Class A Ordinary Shares cease to be publicly traded.</w:t>
      </w:r>
    </w:p>
    <w:p>
      <w:pPr>
        <w:spacing w:after="0" w:line="166" w:lineRule="exact"/>
        <w:rPr>
          <w:rFonts w:ascii="Arial" w:cs="Arial" w:eastAsia="Arial" w:hAnsi="Arial"/>
          <w:sz w:val="16"/>
          <w:szCs w:val="16"/>
          <w:b w:val="1"/>
          <w:bCs w:val="1"/>
          <w:color w:val="auto"/>
        </w:rPr>
      </w:pPr>
    </w:p>
    <w:p>
      <w:pPr>
        <w:ind w:left="-20" w:right="80" w:firstLine="552"/>
        <w:spacing w:after="0" w:line="258" w:lineRule="auto"/>
        <w:tabs>
          <w:tab w:leader="none" w:pos="999"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Reservation of Unissued Securities of the Company</w:t>
      </w:r>
      <w:r>
        <w:rPr>
          <w:rFonts w:ascii="Arial" w:cs="Arial" w:eastAsia="Arial" w:hAnsi="Arial"/>
          <w:sz w:val="16"/>
          <w:szCs w:val="16"/>
          <w:color w:val="auto"/>
        </w:rPr>
        <w:t>. The Company will reserve and keep available that maximum number of its authorized but unissued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issuable upon the conversion of the Founder Shares.</w:t>
      </w:r>
    </w:p>
    <w:p>
      <w:pPr>
        <w:spacing w:after="0" w:line="162" w:lineRule="exact"/>
        <w:rPr>
          <w:rFonts w:ascii="Arial" w:cs="Arial" w:eastAsia="Arial" w:hAnsi="Arial"/>
          <w:sz w:val="16"/>
          <w:szCs w:val="16"/>
          <w:b w:val="1"/>
          <w:bCs w:val="1"/>
          <w:color w:val="auto"/>
        </w:rPr>
      </w:pPr>
    </w:p>
    <w:p>
      <w:pPr>
        <w:ind w:left="-20" w:right="160" w:firstLine="552"/>
        <w:spacing w:after="0" w:line="287" w:lineRule="auto"/>
        <w:tabs>
          <w:tab w:leader="none" w:pos="991"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Agreement Not to Issue Additional Class A Ordinary Shares</w:t>
      </w:r>
      <w:r>
        <w:rPr>
          <w:rFonts w:ascii="Arial" w:cs="Arial" w:eastAsia="Arial" w:hAnsi="Arial"/>
          <w:sz w:val="14"/>
          <w:szCs w:val="14"/>
          <w:color w:val="auto"/>
        </w:rPr>
        <w:t>. Prior to the consummation of a Business Combination or the Liquidation, the Company shall not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issue any Class A Ordinary Shares, or any options or other securities convertible into or exercisable or exchangeable for Class A Ordinary Shares, or any preferred shares, in each case, that would entitle the holders thereof to (i) receive funds from the Trust Account or (ii) vote as a class with the Class A Ordinary Shares (a) on a Business Combination or on any other proposal presented to the Public Shareholders prior to or in connection with the completion of a Business Combination or (b) to approve an amendment to the Amended and Restated Memorandum and Articles of Association to (x) extend the time the Company has to consummate a Business Combination beyond 24 months from the First Closing Date or (y) amend such other provisions as set forth in the Registration Statement, Time of Sale Prospectus or the Prospectus.</w:t>
      </w:r>
    </w:p>
    <w:p>
      <w:pPr>
        <w:spacing w:after="0" w:line="141" w:lineRule="exact"/>
        <w:rPr>
          <w:rFonts w:ascii="Arial" w:cs="Arial" w:eastAsia="Arial" w:hAnsi="Arial"/>
          <w:sz w:val="14"/>
          <w:szCs w:val="14"/>
          <w:b w:val="1"/>
          <w:bCs w:val="1"/>
          <w:color w:val="auto"/>
        </w:rPr>
      </w:pPr>
    </w:p>
    <w:p>
      <w:pPr>
        <w:ind w:left="-20" w:right="20" w:firstLine="552"/>
        <w:spacing w:after="0" w:line="283" w:lineRule="auto"/>
        <w:tabs>
          <w:tab w:leader="none" w:pos="999"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Agreement Not to Offer or Sell Additional Securities of the Company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the period commencing on and including the date hereof and continuing through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the 180th day following the date of the Prospectus (such period, as extended as described below, being referred to herein as the “</w:t>
      </w:r>
      <w:r>
        <w:rPr>
          <w:rFonts w:ascii="Arial" w:cs="Arial" w:eastAsia="Arial" w:hAnsi="Arial"/>
          <w:sz w:val="14"/>
          <w:szCs w:val="14"/>
          <w:b w:val="1"/>
          <w:bCs w:val="1"/>
          <w:color w:val="auto"/>
        </w:rPr>
        <w:t>Lock-up Period</w:t>
      </w:r>
      <w:r>
        <w:rPr>
          <w:rFonts w:ascii="Arial" w:cs="Arial" w:eastAsia="Arial" w:hAnsi="Arial"/>
          <w:sz w:val="14"/>
          <w:szCs w:val="14"/>
          <w:color w:val="auto"/>
        </w:rPr>
        <w:t xml:space="preserve">”),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and the rules and regulations of the Commission promulgated thereunder with respect to, any other Class A Ordinary Shares, or any securities convertible into, or exercisable or exchangeable for, Class A Ordinary Shares or publicly announce an intention to effect any such transaction;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Company may (1) issue and sell the Sponsor Shares, (2) issue and sell the Optional Securities on exercise of the option provided for in Section 2 hereof, (3) register with the Commission pursuant to the Registration Rights Agreement, in accordance with the terms of the Registration Rights Agreement, the resale of the Founder Shares, the Sponsor Shares, the Working Capital Shares or the Class A Ordinary Shares issuable upon conversion of such Founder Shares and, (4) issue securities in connection with a Business Combination, or (y) release the Sponsor or any officer, director or director nominee from the 180-day lock-up contained in the Insider Letter.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151370" cy="14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40" w:top="309" w:right="339" w:bottom="1440" w:gutter="0" w:footer="0" w:header="0"/>
        </w:sectPr>
      </w:pPr>
    </w:p>
    <w:bookmarkStart w:id="178" w:name="page179"/>
    <w:bookmarkEnd w:id="178"/>
    <w:p>
      <w:pPr>
        <w:ind w:left="-20" w:right="520" w:firstLine="552"/>
        <w:spacing w:after="0" w:line="338" w:lineRule="auto"/>
        <w:tabs>
          <w:tab w:leader="none" w:pos="999"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Investment Limitation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shall not invest or otherwise use the proceeds received by the Company from its sale of the Offered Securities and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Sponsor Shares in such a manner as would require the Company to register as an investment company under the Investment Company Act.</w:t>
      </w:r>
    </w:p>
    <w:p>
      <w:pPr>
        <w:spacing w:after="0" w:line="104" w:lineRule="exact"/>
        <w:rPr>
          <w:rFonts w:ascii="Arial" w:cs="Arial" w:eastAsia="Arial" w:hAnsi="Arial"/>
          <w:sz w:val="14"/>
          <w:szCs w:val="14"/>
          <w:b w:val="1"/>
          <w:bCs w:val="1"/>
          <w:color w:val="auto"/>
        </w:rPr>
      </w:pPr>
    </w:p>
    <w:p>
      <w:pPr>
        <w:ind w:left="-20" w:right="60" w:firstLine="552"/>
        <w:spacing w:after="0" w:line="254" w:lineRule="auto"/>
        <w:tabs>
          <w:tab w:leader="none" w:pos="982"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not take, directly or indirectly, any action designed to or that might cause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166" w:lineRule="exact"/>
        <w:rPr>
          <w:rFonts w:ascii="Arial" w:cs="Arial" w:eastAsia="Arial" w:hAnsi="Arial"/>
          <w:sz w:val="16"/>
          <w:szCs w:val="16"/>
          <w:b w:val="1"/>
          <w:bCs w:val="1"/>
          <w:color w:val="auto"/>
        </w:rPr>
      </w:pPr>
    </w:p>
    <w:p>
      <w:pPr>
        <w:ind w:left="-20" w:firstLine="552"/>
        <w:spacing w:after="0" w:line="286" w:lineRule="auto"/>
        <w:tabs>
          <w:tab w:leader="none" w:pos="973"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Company to File a Current Report on Form 8-K</w:t>
      </w:r>
      <w:r>
        <w:rPr>
          <w:rFonts w:ascii="Arial" w:cs="Arial" w:eastAsia="Arial" w:hAnsi="Arial"/>
          <w:sz w:val="14"/>
          <w:szCs w:val="14"/>
          <w:color w:val="auto"/>
        </w:rPr>
        <w:t>. The Company shall, on or prior to the date hereof, retain its independent registered public accounting firm to audit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balance sheet of the Company as of the First Closing Date (the “</w:t>
      </w:r>
      <w:r>
        <w:rPr>
          <w:rFonts w:ascii="Arial" w:cs="Arial" w:eastAsia="Arial" w:hAnsi="Arial"/>
          <w:sz w:val="14"/>
          <w:szCs w:val="14"/>
          <w:b w:val="1"/>
          <w:bCs w:val="1"/>
          <w:color w:val="auto"/>
        </w:rPr>
        <w:t>Audited Balance Sheet</w:t>
      </w:r>
      <w:r>
        <w:rPr>
          <w:rFonts w:ascii="Arial" w:cs="Arial" w:eastAsia="Arial" w:hAnsi="Arial"/>
          <w:sz w:val="14"/>
          <w:szCs w:val="14"/>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a Current Report on Form 8-K with the Commission, which report shall contain the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46" w:lineRule="exact"/>
        <w:rPr>
          <w:rFonts w:ascii="Arial" w:cs="Arial" w:eastAsia="Arial" w:hAnsi="Arial"/>
          <w:sz w:val="14"/>
          <w:szCs w:val="14"/>
          <w:b w:val="1"/>
          <w:bCs w:val="1"/>
          <w:color w:val="auto"/>
        </w:rPr>
      </w:pPr>
    </w:p>
    <w:p>
      <w:pPr>
        <w:ind w:left="-20" w:right="20" w:firstLine="552"/>
        <w:spacing w:after="0" w:line="246" w:lineRule="auto"/>
        <w:tabs>
          <w:tab w:leader="none" w:pos="965"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Procure Review of Unaudited Quarterly Financial Statements</w:t>
      </w:r>
      <w:r>
        <w:rPr>
          <w:rFonts w:ascii="Arial" w:cs="Arial" w:eastAsia="Arial" w:hAnsi="Arial"/>
          <w:sz w:val="16"/>
          <w:szCs w:val="16"/>
          <w:color w:val="auto"/>
        </w:rPr>
        <w:t>. For a period commencing on the Effective Date and ending at least five years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consummation of the Business Combination or until such earlier time at which the Liquidation occurs or the Class A Ordinary Shares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Reports on Form 10-Q and the mailing, if any, of quarterly financial information to shareholders.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151370" cy="14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40" w:top="309" w:right="339" w:bottom="1440" w:gutter="0" w:footer="0" w:header="0"/>
        </w:sectPr>
      </w:pPr>
    </w:p>
    <w:bookmarkStart w:id="179" w:name="page180"/>
    <w:bookmarkEnd w:id="179"/>
    <w:p>
      <w:pPr>
        <w:ind w:left="7" w:right="60" w:firstLine="552"/>
        <w:spacing w:after="0" w:line="282" w:lineRule="auto"/>
        <w:tabs>
          <w:tab w:leader="none" w:pos="1026" w:val="left"/>
        </w:tabs>
        <w:numPr>
          <w:ilvl w:val="1"/>
          <w:numId w:val="6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Future Reports to the Representatives. </w:t>
      </w:r>
      <w:r>
        <w:rPr>
          <w:rFonts w:ascii="Arial" w:cs="Arial" w:eastAsia="Arial" w:hAnsi="Arial"/>
          <w:sz w:val="14"/>
          <w:szCs w:val="14"/>
          <w:color w:val="auto"/>
        </w:rPr>
        <w:t>For a period commencing on the Effective Date and ending at least five years from the date of the consummation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Combination or until such earlier time at which the Liquidation occurs, the Company will furnish to the Representatives, c/o Jefferies, at 520 Madison Avenue, New York, New York 10022, Attention: Global Head of Syndicate, and c/o Goldman Sachs &amp; Co. LLC, at 200 West Street, New York, New York 10282, Attention: Registration Department:</w:t>
      </w:r>
    </w:p>
    <w:p>
      <w:pPr>
        <w:ind w:left="7" w:right="120" w:hanging="7"/>
        <w:spacing w:after="0" w:line="283" w:lineRule="auto"/>
        <w:tabs>
          <w:tab w:leader="none" w:pos="192"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share capital; and (iv) such additional documents and information with respect to the Company and the affairs of any future subsidiaries of the Company as the Representatives may from time to time reasonably request;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requirements of this Section 3(u) shall be satisfied to the extent that such reports, statement, communications, financial statements or other documents are available on EDGAR.</w:t>
      </w:r>
    </w:p>
    <w:p>
      <w:pPr>
        <w:spacing w:after="0" w:line="150" w:lineRule="exact"/>
        <w:rPr>
          <w:rFonts w:ascii="Arial" w:cs="Arial" w:eastAsia="Arial" w:hAnsi="Arial"/>
          <w:sz w:val="14"/>
          <w:szCs w:val="14"/>
          <w:color w:val="auto"/>
        </w:rPr>
      </w:pPr>
    </w:p>
    <w:p>
      <w:pPr>
        <w:ind w:left="7" w:right="40" w:firstLine="552"/>
        <w:spacing w:after="0" w:line="246" w:lineRule="auto"/>
        <w:tabs>
          <w:tab w:leader="none" w:pos="1018"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5(d)Communications</w:t>
      </w:r>
      <w:r>
        <w:rPr>
          <w:rFonts w:ascii="Arial" w:cs="Arial" w:eastAsia="Arial" w:hAnsi="Arial"/>
          <w:sz w:val="16"/>
          <w:szCs w:val="16"/>
          <w:color w:val="auto"/>
        </w:rPr>
        <w:t>. If at any time following the distribution of any Permitted Section 5(d)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73" w:lineRule="exact"/>
        <w:rPr>
          <w:rFonts w:ascii="Arial" w:cs="Arial" w:eastAsia="Arial" w:hAnsi="Arial"/>
          <w:sz w:val="16"/>
          <w:szCs w:val="16"/>
          <w:b w:val="1"/>
          <w:bCs w:val="1"/>
          <w:color w:val="auto"/>
        </w:rPr>
      </w:pPr>
    </w:p>
    <w:p>
      <w:pPr>
        <w:ind w:left="7" w:right="240" w:firstLine="552"/>
        <w:spacing w:after="0" w:line="250" w:lineRule="auto"/>
        <w:tabs>
          <w:tab w:leader="none" w:pos="1052"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Emerging Growth Company Status</w:t>
      </w:r>
      <w:r>
        <w:rPr>
          <w:rFonts w:ascii="Arial" w:cs="Arial" w:eastAsia="Arial" w:hAnsi="Arial"/>
          <w:sz w:val="16"/>
          <w:szCs w:val="16"/>
          <w:color w:val="auto"/>
        </w:rPr>
        <w:t>. The Company will promptly notify the Representatives if the Company ceases to be an Emerging Growth Company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169" w:lineRule="exact"/>
        <w:rPr>
          <w:rFonts w:ascii="Arial" w:cs="Arial" w:eastAsia="Arial" w:hAnsi="Arial"/>
          <w:sz w:val="16"/>
          <w:szCs w:val="16"/>
          <w:b w:val="1"/>
          <w:bCs w:val="1"/>
          <w:color w:val="auto"/>
        </w:rPr>
      </w:pPr>
    </w:p>
    <w:p>
      <w:pPr>
        <w:ind w:left="7" w:right="20" w:firstLine="552"/>
        <w:spacing w:after="0" w:line="287" w:lineRule="auto"/>
        <w:tabs>
          <w:tab w:leader="none" w:pos="1018" w:val="left"/>
        </w:tabs>
        <w:numPr>
          <w:ilvl w:val="1"/>
          <w:numId w:val="6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Announcement of Release or Waiver of the Transfer Restrictions. </w:t>
      </w:r>
      <w:r>
        <w:rPr>
          <w:rFonts w:ascii="Arial" w:cs="Arial" w:eastAsia="Arial" w:hAnsi="Arial"/>
          <w:sz w:val="14"/>
          <w:szCs w:val="14"/>
          <w:color w:val="auto"/>
        </w:rPr>
        <w:t>If the Representatives, in their sole discretion, agree to release or waive the transfer restrictions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set forth in the Insider Letter for the Sponsor or an officer, director or director nominee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 xml:space="preserve"> hereto through a major news service at least two business days before the effective date of the release or waiver;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such announcement by the Company shall be made of any release or waiver granted solely to permit a transfer of securities that is not for consideration and where the transferee has agreed in writing to be bound by the terms of the Insider Letter.</w:t>
      </w:r>
    </w:p>
    <w:p>
      <w:pPr>
        <w:spacing w:after="0" w:line="147" w:lineRule="exact"/>
        <w:rPr>
          <w:rFonts w:ascii="Arial" w:cs="Arial" w:eastAsia="Arial" w:hAnsi="Arial"/>
          <w:sz w:val="14"/>
          <w:szCs w:val="14"/>
          <w:b w:val="1"/>
          <w:bCs w:val="1"/>
          <w:color w:val="auto"/>
        </w:rPr>
      </w:pPr>
    </w:p>
    <w:p>
      <w:pPr>
        <w:ind w:left="7" w:firstLine="552"/>
        <w:spacing w:after="0" w:line="284" w:lineRule="auto"/>
        <w:tabs>
          <w:tab w:leader="none" w:pos="1018" w:val="left"/>
        </w:tabs>
        <w:numPr>
          <w:ilvl w:val="1"/>
          <w:numId w:val="6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 Business Combination with Affiliates</w:t>
      </w:r>
      <w:r>
        <w:rPr>
          <w:rFonts w:ascii="Arial" w:cs="Arial" w:eastAsia="Arial" w:hAnsi="Arial"/>
          <w:sz w:val="14"/>
          <w:szCs w:val="14"/>
          <w:color w:val="auto"/>
        </w:rPr>
        <w:t>. The Company will not consummate a Business Combination with any entity that is affiliated with the Sponsor or any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the Company’s officers or directors unless it, or a committee of its independent directors, obtains an opinion from an independent investment banking firm which is a member of FINRA or an independent valuation or accounting firm that such Business Combination is fair to the Company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officers, directors and affiliates (i) may receive reimbursement for out-of-pocket expenses incurred by them related to identifying, investigating, negotiating and completing a Business Combination to the extent that such expenses do not exceed the amount of available proceeds not deposited in the Trust Account; (ii) may be repaid for loans as described in the Registration Statement; and (iii) may be paid $10,000 per month for office space, secretarial and administrative services pursuant to the Administrative Services Agreement.</w:t>
      </w:r>
    </w:p>
    <w:p>
      <w:pPr>
        <w:spacing w:after="0" w:line="200" w:lineRule="exact"/>
        <w:rPr>
          <w:sz w:val="20"/>
          <w:szCs w:val="20"/>
          <w:color w:val="auto"/>
        </w:rPr>
      </w:pPr>
    </w:p>
    <w:p>
      <w:pPr>
        <w:spacing w:after="0" w:line="289"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1370" cy="146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315" w:right="359" w:bottom="1440" w:gutter="0" w:footer="0" w:header="0"/>
        </w:sectPr>
      </w:pPr>
    </w:p>
    <w:bookmarkStart w:id="180" w:name="page181"/>
    <w:bookmarkEnd w:id="180"/>
    <w:p>
      <w:pPr>
        <w:ind w:firstLine="552"/>
        <w:spacing w:after="0" w:line="278" w:lineRule="auto"/>
        <w:tabs>
          <w:tab w:leader="none" w:pos="1002"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Consummation of the Initial Business Combination</w:t>
      </w:r>
      <w:r>
        <w:rPr>
          <w:rFonts w:ascii="Arial" w:cs="Arial" w:eastAsia="Arial" w:hAnsi="Arial"/>
          <w:sz w:val="14"/>
          <w:szCs w:val="14"/>
          <w:color w:val="auto"/>
        </w:rPr>
        <w:t>. The Company may consummate the initial Business Combination and conduct redemptions of the Class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Shares for cash upon consummation of such Business Combination without a shareholder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Class A Ordinary Shares held by such shareholder for an amount of cash per share equal to (A) the aggregate amount then on deposit in the Trust Account calculated as of two business days prior to the consummation of the initial Business Combination representing (x) proceeds held in the Trust Account from the Offering and proceeds from the sale of the Sponsor Shares and (y) any interest earned on the funds held in the Trust Account and not previously released to the Company to pay its income taxes, divided by (B) the total number of Offered Securities then outstanding. If, however, the Company elects not to file such tender offer documents, a shareholder vote is required by applicable law or stock exchange rule in connection with the initial Business Combination, or the Company decides to hold a shareholder vote for business or other legal reasons, the Company will submit such Business Combination to the Company’s shareholders for their approval (“</w:t>
      </w:r>
      <w:r>
        <w:rPr>
          <w:rFonts w:ascii="Arial" w:cs="Arial" w:eastAsia="Arial" w:hAnsi="Arial"/>
          <w:sz w:val="14"/>
          <w:szCs w:val="14"/>
          <w:b w:val="1"/>
          <w:bCs w:val="1"/>
          <w:color w:val="auto"/>
        </w:rPr>
        <w:t>Business</w:t>
      </w:r>
      <w:r>
        <w:rPr>
          <w:rFonts w:ascii="Arial" w:cs="Arial" w:eastAsia="Arial" w:hAnsi="Arial"/>
          <w:sz w:val="14"/>
          <w:szCs w:val="14"/>
          <w:color w:val="auto"/>
        </w:rPr>
        <w:t xml:space="preserve"> </w:t>
      </w:r>
      <w:r>
        <w:rPr>
          <w:rFonts w:ascii="Arial" w:cs="Arial" w:eastAsia="Arial" w:hAnsi="Arial"/>
          <w:sz w:val="14"/>
          <w:szCs w:val="14"/>
          <w:b w:val="1"/>
          <w:bCs w:val="1"/>
          <w:color w:val="auto"/>
        </w:rPr>
        <w:t>Combination Vote</w:t>
      </w:r>
      <w:r>
        <w:rPr>
          <w:rFonts w:ascii="Arial" w:cs="Arial" w:eastAsia="Arial" w:hAnsi="Arial"/>
          <w:sz w:val="14"/>
          <w:szCs w:val="14"/>
          <w:color w:val="auto"/>
        </w:rPr>
        <w:t>”). With respect to the initial Business Combination Vote, if any, the Sponsor and each of the Company’s directors and officers party to the Insider Letter has</w:t>
      </w:r>
      <w:r>
        <w:rPr>
          <w:rFonts w:ascii="Arial" w:cs="Arial" w:eastAsia="Arial" w:hAnsi="Arial"/>
          <w:sz w:val="14"/>
          <w:szCs w:val="14"/>
          <w:b w:val="1"/>
          <w:bCs w:val="1"/>
          <w:color w:val="auto"/>
        </w:rPr>
        <w:t xml:space="preserve"> </w:t>
      </w:r>
      <w:r>
        <w:rPr>
          <w:rFonts w:ascii="Arial" w:cs="Arial" w:eastAsia="Arial" w:hAnsi="Arial"/>
          <w:sz w:val="14"/>
          <w:szCs w:val="14"/>
          <w:color w:val="auto"/>
        </w:rPr>
        <w:t>agreed to vote all of his, her or its respective Founder Shares and any other Class A Ordinary Shares purchased by him, her or it during or after the Offering in favor of the Company’s initial Business Combination. If the Company seeks shareholder approval of the initial Business Combination, the Company will offer to each Public Shareholder holding Class A Ordinary Shares the right to have such Public Shareholder’s Class A Ordinary Shares redeemed in conjunction with a proxy solicitation pursuant to the proxy rules of the Commission at a per share redemption price (the “</w:t>
      </w:r>
      <w:r>
        <w:rPr>
          <w:rFonts w:ascii="Arial" w:cs="Arial" w:eastAsia="Arial" w:hAnsi="Arial"/>
          <w:sz w:val="14"/>
          <w:szCs w:val="14"/>
          <w:b w:val="1"/>
          <w:bCs w:val="1"/>
          <w:color w:val="auto"/>
        </w:rPr>
        <w:t>Redemption Price</w:t>
      </w:r>
      <w:r>
        <w:rPr>
          <w:rFonts w:ascii="Arial" w:cs="Arial" w:eastAsia="Arial" w:hAnsi="Arial"/>
          <w:sz w:val="14"/>
          <w:szCs w:val="14"/>
          <w:color w:val="auto"/>
        </w:rPr>
        <w:t>”) equal to (I) the aggregate amount then on deposit in the Trust Account calculated as of two business days prior to the consummation of the initial Business Combination representing (1) proceeds held in the Trust Account from the Offering and proceeds from the sale of the Sponsor Shares and (2) any interest earned on the funds held in the Trust Account and not previously released to the Company to pay its income taxes, divided by (II) the total number of Offered Securities then outstanding. If the Company seeks shareholder approval of the initial Business Combination, the Company may proceed with such Business Combination only if a majority of the outstanding shares, represented in person or by proxy and entitled to vote thereon, voted by the shareholders at a duly held shareholders meeting are voted in favor of such Business Combination. If, after seeking and receiving such shareholder approval, the Company elects to so proceed, it will redeem Class A Ordinary Shares, at the Redemption Price, from those Public Shareholders who affirmatively requested such redemption. Only Public Shareholders holding Class A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 capital of the Company in connection therewith. In the event that the Company does not effect a Business Combination by 24 months from the closing of the Offering (or such later date as may be approved by the Company’s shareholders), the Company will (i) cease all operations except for the purpose of winding up, (ii) as promptly as reasonably possible but not more than 10 business days thereafter, redeem 100% of the Offered Securities, at a per-share price, payable in cash, equal to the aggregate amount then on deposit in the Trust Account, including interest earned on the funds held in the Trust Account and not previously released to the Company to pay income taxes, if any (less up to $100,000 of interest to pay the Company’s dissolution expenses), divided by the number of then-outstanding Offered Securities,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requirements of other applicable law. Only Public Shareholders holding the Offered Securities shall be entitled to receive such redemption amounts and the Company shall pay no such redemption amounts or any distributions in liquidation with respect to any other holders or share capital of the Company. The Sponsor, and the Company’s officers, directors and director nominees will not propose any amendment to the Company’s Amended and Restated Memorandum and Articles of Association (A) that would modify the substance or timing of the Company’s obligation to provide holders of Class A Ordinary Shares the right to have their shares redeemed in connection with the Company’s initial Business Combination or to redeem 100% of the Offered Securities if the Company does not complete its initial Business Combination within 24 months from the closing of the Offering (or such later date as may be approved by the Company’s shareholders) or (B) with respect to any other provision relating to the rights of holders of the Class A Ordinary Shares, as described in Section [38.9] of the Company’s Amended and Restated Memorandum and Articles of Association, unless the Company offers the opportunity to redeem the Offered Securities upon approval of any such amendment at the Redemption Price.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81" w:name="page182"/>
    <w:bookmarkEnd w:id="181"/>
    <w:p>
      <w:pPr>
        <w:ind w:right="40" w:firstLine="552"/>
        <w:spacing w:after="0" w:line="245" w:lineRule="auto"/>
        <w:tabs>
          <w:tab w:leader="none" w:pos="1049"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of the Consummation of the Initial Business Combination</w:t>
      </w:r>
      <w:r>
        <w:rPr>
          <w:rFonts w:ascii="Arial" w:cs="Arial" w:eastAsia="Arial" w:hAnsi="Arial"/>
          <w:sz w:val="16"/>
          <w:szCs w:val="16"/>
          <w:color w:val="auto"/>
        </w:rPr>
        <w:t>. In the event that the Company desires or is required by an applicable law or regulation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cause an announcement (“</w:t>
      </w:r>
      <w:r>
        <w:rPr>
          <w:rFonts w:ascii="Arial" w:cs="Arial" w:eastAsia="Arial" w:hAnsi="Arial"/>
          <w:sz w:val="16"/>
          <w:szCs w:val="16"/>
          <w:b w:val="1"/>
          <w:bCs w:val="1"/>
          <w:color w:val="auto"/>
        </w:rPr>
        <w:t>Business Combination Announcement</w:t>
      </w:r>
      <w:r>
        <w:rPr>
          <w:rFonts w:ascii="Arial" w:cs="Arial" w:eastAsia="Arial" w:hAnsi="Arial"/>
          <w:sz w:val="16"/>
          <w:szCs w:val="16"/>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Representatives with a draft of the Business Combination Announcement and provide the Representatives with a reasonable advance opportunity to comment thereon, subject to the agreement of the Underwriters to keep confidential such draft announcement in accordance with the Representatives’ standard policies regarding confidential information.</w:t>
      </w:r>
    </w:p>
    <w:p>
      <w:pPr>
        <w:spacing w:after="0" w:line="176" w:lineRule="exact"/>
        <w:rPr>
          <w:rFonts w:ascii="Arial" w:cs="Arial" w:eastAsia="Arial" w:hAnsi="Arial"/>
          <w:sz w:val="16"/>
          <w:szCs w:val="16"/>
          <w:b w:val="1"/>
          <w:bCs w:val="1"/>
          <w:color w:val="auto"/>
        </w:rPr>
      </w:pPr>
    </w:p>
    <w:p>
      <w:pPr>
        <w:ind w:firstLine="552"/>
        <w:spacing w:after="0" w:line="286" w:lineRule="auto"/>
        <w:tabs>
          <w:tab w:leader="none" w:pos="1067"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Payment of Deferred Discount</w:t>
      </w:r>
      <w:r>
        <w:rPr>
          <w:rFonts w:ascii="Arial" w:cs="Arial" w:eastAsia="Arial" w:hAnsi="Arial"/>
          <w:sz w:val="14"/>
          <w:szCs w:val="14"/>
          <w:color w:val="auto"/>
        </w:rPr>
        <w:t>. Upon the consummation of the initial Business Combination, the Company will pay to the Representatives, on behalf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Underwriters, the Deferred Discount. Payment of the Deferred Discount will be made out of the proceeds of the Offering held in the Trust Account, and the Company will instruct CST to transfer the Deferred Discount to the Representatives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(or such later date as may be approved by the Company’s shareholders), the Deferred Discount will not be paid to the Representatives and will, instead, be included in the Liquidation distribution of the proceeds held in the Trust Account made to the Public Shareholders. In connection with any such Liquidation, the Underwriters forfeit any rights or claims to the Deferred Discount.</w:t>
      </w:r>
    </w:p>
    <w:p>
      <w:pPr>
        <w:spacing w:after="0" w:line="146" w:lineRule="exact"/>
        <w:rPr>
          <w:rFonts w:ascii="Arial" w:cs="Arial" w:eastAsia="Arial" w:hAnsi="Arial"/>
          <w:sz w:val="14"/>
          <w:szCs w:val="14"/>
          <w:b w:val="1"/>
          <w:bCs w:val="1"/>
          <w:color w:val="auto"/>
        </w:rPr>
      </w:pPr>
    </w:p>
    <w:p>
      <w:pPr>
        <w:ind w:right="40" w:firstLine="552"/>
        <w:spacing w:after="0" w:line="329" w:lineRule="auto"/>
        <w:tabs>
          <w:tab w:leader="none" w:pos="1032"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Payment Pursuant to the Administrative Services Agreement</w:t>
      </w:r>
      <w:r>
        <w:rPr>
          <w:rFonts w:ascii="Arial" w:cs="Arial" w:eastAsia="Arial" w:hAnsi="Arial"/>
          <w:sz w:val="14"/>
          <w:szCs w:val="14"/>
          <w:color w:val="auto"/>
        </w:rPr>
        <w:t>. In no event will the amounts payable by the Company for office space, secretarial and administrative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exceed $10,000 per month in the aggregate until the earlier of the date of the consummation of the Business Combination or the Liquidation.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82" w:name="page183"/>
    <w:bookmarkEnd w:id="182"/>
    <w:p>
      <w:pPr>
        <w:ind w:firstLine="552"/>
        <w:spacing w:after="0" w:line="290" w:lineRule="auto"/>
        <w:tabs>
          <w:tab w:leader="none" w:pos="1067"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Cancellation of Founder Shares</w:t>
      </w:r>
      <w:r>
        <w:rPr>
          <w:rFonts w:ascii="Arial" w:cs="Arial" w:eastAsia="Arial" w:hAnsi="Arial"/>
          <w:sz w:val="14"/>
          <w:szCs w:val="14"/>
          <w:color w:val="auto"/>
        </w:rPr>
        <w:t>. Upon the earlier to occur of the expiration or termination of the Underwriters’ over-allotment option, the Company shall cancel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otherwise effect the forfeiture of Founder Shares from the Sponsor in an aggregate amount equal to the number of Founder Shares determined by multiplying (a) 468,750 by (b) a fraction, (i) the numerator of which is 1,875,000 minus the number of Optional Securities purchased by the Underwriters upon the exercise of their over-allotment option, and (ii) the denominator of which is 1,875,000. For the avoidance of doubt, if the Underwriters exercise their over-allotment option in full, the Company shall not cancel or otherwise effect the forfeiture of any of the Founder Shares pursuant to this subsection.</w:t>
      </w:r>
    </w:p>
    <w:p>
      <w:pPr>
        <w:spacing w:after="0" w:line="144" w:lineRule="exact"/>
        <w:rPr>
          <w:rFonts w:ascii="Arial" w:cs="Arial" w:eastAsia="Arial" w:hAnsi="Arial"/>
          <w:sz w:val="14"/>
          <w:szCs w:val="14"/>
          <w:b w:val="1"/>
          <w:bCs w:val="1"/>
          <w:color w:val="auto"/>
        </w:rPr>
      </w:pPr>
    </w:p>
    <w:p>
      <w:pPr>
        <w:ind w:right="120" w:firstLine="552"/>
        <w:spacing w:after="0" w:line="250" w:lineRule="auto"/>
        <w:tabs>
          <w:tab w:leader="none" w:pos="1032"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Review of All Payments to the Sponsor</w:t>
      </w:r>
      <w:r>
        <w:rPr>
          <w:rFonts w:ascii="Arial" w:cs="Arial" w:eastAsia="Arial" w:hAnsi="Arial"/>
          <w:sz w:val="16"/>
          <w:szCs w:val="16"/>
          <w:color w:val="auto"/>
        </w:rPr>
        <w:t>. Prior to the consummation of the initial Business Combination or the Liquidation, the Company’s audit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 on a quarterly basis all payments made by the Company to the Sponsor, to the Company’s officers or directors, or to the Company’s or any of such other persons’ respective affiliates.</w:t>
      </w:r>
    </w:p>
    <w:p>
      <w:pPr>
        <w:spacing w:after="0" w:line="169" w:lineRule="exact"/>
        <w:rPr>
          <w:rFonts w:ascii="Arial" w:cs="Arial" w:eastAsia="Arial" w:hAnsi="Arial"/>
          <w:sz w:val="16"/>
          <w:szCs w:val="16"/>
          <w:b w:val="1"/>
          <w:bCs w:val="1"/>
          <w:color w:val="auto"/>
        </w:rPr>
      </w:pPr>
    </w:p>
    <w:p>
      <w:pPr>
        <w:ind w:right="80" w:firstLine="552"/>
        <w:spacing w:after="0" w:line="303" w:lineRule="auto"/>
        <w:tabs>
          <w:tab w:leader="none" w:pos="998"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Compliance with the “Penny Stock” Laws</w:t>
      </w:r>
      <w:r>
        <w:rPr>
          <w:rFonts w:ascii="Arial" w:cs="Arial" w:eastAsia="Arial" w:hAnsi="Arial"/>
          <w:sz w:val="14"/>
          <w:szCs w:val="14"/>
          <w:color w:val="auto"/>
        </w:rPr>
        <w:t>. The Company agrees that it will use commercially reasonable efforts to prevent the Company from becoming subject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34" w:lineRule="exact"/>
        <w:rPr>
          <w:rFonts w:ascii="Arial" w:cs="Arial" w:eastAsia="Arial" w:hAnsi="Arial"/>
          <w:sz w:val="14"/>
          <w:szCs w:val="14"/>
          <w:b w:val="1"/>
          <w:bCs w:val="1"/>
          <w:color w:val="auto"/>
        </w:rPr>
      </w:pPr>
    </w:p>
    <w:p>
      <w:pPr>
        <w:ind w:right="20" w:firstLine="552"/>
        <w:spacing w:after="0" w:line="245" w:lineRule="auto"/>
        <w:tabs>
          <w:tab w:leader="none" w:pos="1049"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Maintenance of Disclosure Controls, Procedures and Internal Accounting Controls</w:t>
      </w:r>
      <w:r>
        <w:rPr>
          <w:rFonts w:ascii="Arial" w:cs="Arial" w:eastAsia="Arial" w:hAnsi="Arial"/>
          <w:sz w:val="16"/>
          <w:szCs w:val="16"/>
          <w:color w:val="auto"/>
        </w:rPr>
        <w:t>. To the extent required by Rule 13a-15(e) under the Exchange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rFonts w:ascii="Arial" w:cs="Arial" w:eastAsia="Arial" w:hAnsi="Arial"/>
          <w:sz w:val="16"/>
          <w:szCs w:val="16"/>
          <w:b w:val="1"/>
          <w:bCs w:val="1"/>
          <w:color w:val="auto"/>
        </w:rPr>
      </w:pPr>
    </w:p>
    <w:p>
      <w:pPr>
        <w:ind w:right="40" w:firstLine="552"/>
        <w:spacing w:after="0" w:line="250" w:lineRule="auto"/>
        <w:tabs>
          <w:tab w:leader="none" w:pos="1067"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the Sarbanes-Oxley Act</w:t>
      </w:r>
      <w:r>
        <w:rPr>
          <w:rFonts w:ascii="Arial" w:cs="Arial" w:eastAsia="Arial" w:hAnsi="Arial"/>
          <w:sz w:val="16"/>
          <w:szCs w:val="16"/>
          <w:color w:val="auto"/>
        </w:rPr>
        <w:t>. As soon as legally required to do so, the Company and its directors and officers, in their capacities as such, shall take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actions necessary to comply with any provision of the Sarbanes-Oxley Act, including Section 402 related to loans and Sections 302 and 906 related to certifications, and to comply with the Nasdaq Marketplace Rules.</w:t>
      </w:r>
    </w:p>
    <w:p>
      <w:pPr>
        <w:spacing w:after="0" w:line="169" w:lineRule="exact"/>
        <w:rPr>
          <w:rFonts w:ascii="Arial" w:cs="Arial" w:eastAsia="Arial" w:hAnsi="Arial"/>
          <w:sz w:val="16"/>
          <w:szCs w:val="16"/>
          <w:b w:val="1"/>
          <w:bCs w:val="1"/>
          <w:color w:val="auto"/>
        </w:rPr>
      </w:pPr>
    </w:p>
    <w:p>
      <w:pPr>
        <w:ind w:right="120" w:firstLine="552"/>
        <w:spacing w:after="0" w:line="258" w:lineRule="auto"/>
        <w:tabs>
          <w:tab w:leader="none" w:pos="1019"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the Organizational Documents</w:t>
      </w:r>
      <w:r>
        <w:rPr>
          <w:rFonts w:ascii="Arial" w:cs="Arial" w:eastAsia="Arial" w:hAnsi="Arial"/>
          <w:sz w:val="16"/>
          <w:szCs w:val="16"/>
          <w:color w:val="auto"/>
        </w:rPr>
        <w:t>. The Company shall not take any action or omit to take any action that would cause the Company to be in breach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violation of the Amended and Restated Memorandum and Articles of Association</w:t>
      </w:r>
    </w:p>
    <w:p>
      <w:pPr>
        <w:spacing w:after="0" w:line="162" w:lineRule="exact"/>
        <w:rPr>
          <w:rFonts w:ascii="Arial" w:cs="Arial" w:eastAsia="Arial" w:hAnsi="Arial"/>
          <w:sz w:val="16"/>
          <w:szCs w:val="16"/>
          <w:b w:val="1"/>
          <w:bCs w:val="1"/>
          <w:color w:val="auto"/>
        </w:rPr>
      </w:pPr>
    </w:p>
    <w:p>
      <w:pPr>
        <w:ind w:right="80" w:firstLine="552"/>
        <w:spacing w:after="0" w:line="287" w:lineRule="auto"/>
        <w:tabs>
          <w:tab w:leader="none" w:pos="995"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Waiver of Interests to the Funds</w:t>
      </w:r>
      <w:r>
        <w:rPr>
          <w:rFonts w:ascii="Arial" w:cs="Arial" w:eastAsia="Arial" w:hAnsi="Arial"/>
          <w:sz w:val="14"/>
          <w:szCs w:val="14"/>
          <w:color w:val="auto"/>
        </w:rPr>
        <w:t>. Prior to the consummation of the initial Business Combination, the Company will seek to have all vendors, service providers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than the Company’s independent registered public accounting firm), prospective target businesses, and other entities with which it does business execute agreements with it waiving any right, title, interest or claim of any kind in or to any monies held in the Trust Account for the benefit of the Public Shareholders. If any third party refuses to execute an agreement waiving such claims to the monies held in the Trust Account, prior to the consummation of the initial Business Combination, the Company’s management will only enter into an agreement with a third party that has not executed such wavier if the Company’s management believes that such third party’s engagement would be significantly more beneficial to the Company than any alternative.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83" w:name="page184"/>
    <w:bookmarkEnd w:id="183"/>
    <w:p>
      <w:pPr>
        <w:ind w:right="20" w:firstLine="552"/>
        <w:spacing w:after="0" w:line="283" w:lineRule="auto"/>
        <w:tabs>
          <w:tab w:leader="none" w:pos="1067"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Maintenance of Funds in the Trust Account</w:t>
      </w:r>
      <w:r>
        <w:rPr>
          <w:rFonts w:ascii="Arial" w:cs="Arial" w:eastAsia="Arial" w:hAnsi="Arial"/>
          <w:sz w:val="14"/>
          <w:szCs w:val="14"/>
          <w:color w:val="auto"/>
        </w:rPr>
        <w:t>. During the period prior to the Company’s initial Business Combination or Liquidation, the Company may instruct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trustee under the Trust Agreement to release from the Trust Account funds (i) solely from interest income earned on the funds held in the Trust Account, the amounts necessary to pay taxes and (ii) to Public Shareholders who properly redeem their Offered Securities in connection with a vote to approve an amendment to the Amended and Restated Memorandum and Articles of Association (A) that would modify the substance or timing of the Company’s obligation to provide holders of Class A Ordinary Shares the right to have their shares redeemed in connection with the Company’s initial Business Combination or to redeem 100% of the Offered Securities if the Company does not complete its initial Business Combination within 24 months from the closing of the Offering (or such later date as may be approved by the Company’s shareholders) or (B) with respect to any other provision relating to the rights of holders of the Class A Ordinary Shares.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49" w:lineRule="exact"/>
        <w:rPr>
          <w:rFonts w:ascii="Arial" w:cs="Arial" w:eastAsia="Arial" w:hAnsi="Arial"/>
          <w:sz w:val="14"/>
          <w:szCs w:val="14"/>
          <w:b w:val="1"/>
          <w:bCs w:val="1"/>
          <w:color w:val="auto"/>
        </w:rPr>
      </w:pPr>
    </w:p>
    <w:p>
      <w:pPr>
        <w:ind w:right="60" w:firstLine="552"/>
        <w:spacing w:after="0" w:line="284" w:lineRule="auto"/>
        <w:tabs>
          <w:tab w:leader="none" w:pos="9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Notification and Disclosure of Arrangements Relating to a Business Combination</w:t>
      </w:r>
      <w:r>
        <w:rPr>
          <w:rFonts w:ascii="Arial" w:cs="Arial" w:eastAsia="Arial" w:hAnsi="Arial"/>
          <w:sz w:val="14"/>
          <w:szCs w:val="14"/>
          <w:color w:val="auto"/>
        </w:rPr>
        <w:t>. For a period of 90 days following the Effective Date, in the event any person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Representatives and their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shareholders or for soliciting shareholder approval, as applicable.</w:t>
      </w:r>
    </w:p>
    <w:p>
      <w:pPr>
        <w:spacing w:after="0" w:line="146" w:lineRule="exact"/>
        <w:rPr>
          <w:rFonts w:ascii="Arial" w:cs="Arial" w:eastAsia="Arial" w:hAnsi="Arial"/>
          <w:sz w:val="14"/>
          <w:szCs w:val="14"/>
          <w:b w:val="1"/>
          <w:bCs w:val="1"/>
          <w:color w:val="auto"/>
        </w:rPr>
      </w:pPr>
    </w:p>
    <w:p>
      <w:pPr>
        <w:ind w:right="380" w:firstLine="552"/>
        <w:spacing w:after="0" w:line="329" w:lineRule="auto"/>
        <w:tabs>
          <w:tab w:leader="none" w:pos="1153"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FINRA Conflict of Interest</w:t>
      </w:r>
      <w:r>
        <w:rPr>
          <w:rFonts w:ascii="Arial" w:cs="Arial" w:eastAsia="Arial" w:hAnsi="Arial"/>
          <w:sz w:val="14"/>
          <w:szCs w:val="14"/>
          <w:color w:val="auto"/>
        </w:rPr>
        <w:t>. The Company shall advise FINRA, the Representatives and their counsel if it is aware that any 5% or greater shareholder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becomes an affiliate or associated person of a member of FINRA participating in the distribution of the Offered Securities.</w:t>
      </w:r>
    </w:p>
    <w:p>
      <w:pPr>
        <w:spacing w:after="0" w:line="117" w:lineRule="exact"/>
        <w:rPr>
          <w:sz w:val="20"/>
          <w:szCs w:val="20"/>
          <w:color w:val="auto"/>
        </w:rPr>
      </w:pPr>
    </w:p>
    <w:p>
      <w:pPr>
        <w:ind w:firstLine="559"/>
        <w:spacing w:after="0" w:line="258" w:lineRule="auto"/>
        <w:rPr>
          <w:sz w:val="20"/>
          <w:szCs w:val="20"/>
          <w:color w:val="auto"/>
        </w:rPr>
      </w:pPr>
      <w:r>
        <w:rPr>
          <w:rFonts w:ascii="Arial" w:cs="Arial" w:eastAsia="Arial" w:hAnsi="Arial"/>
          <w:sz w:val="16"/>
          <w:szCs w:val="16"/>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57" w:lineRule="exact"/>
        <w:rPr>
          <w:sz w:val="20"/>
          <w:szCs w:val="20"/>
          <w:color w:val="auto"/>
        </w:rPr>
      </w:pPr>
    </w:p>
    <w:p>
      <w:pPr>
        <w:ind w:firstLine="1117"/>
        <w:spacing w:after="0" w:line="280" w:lineRule="auto"/>
        <w:rPr>
          <w:sz w:val="20"/>
          <w:szCs w:val="20"/>
          <w:color w:val="auto"/>
        </w:rPr>
      </w:pPr>
      <w:r>
        <w:rPr>
          <w:rFonts w:ascii="Arial" w:cs="Arial" w:eastAsia="Arial" w:hAnsi="Arial"/>
          <w:sz w:val="14"/>
          <w:szCs w:val="14"/>
          <w:b w:val="1"/>
          <w:bCs w:val="1"/>
          <w:color w:val="auto"/>
        </w:rPr>
        <w:t xml:space="preserve">Section 4. Payment of Expenses. </w:t>
      </w:r>
      <w:r>
        <w:rPr>
          <w:rFonts w:ascii="Arial" w:cs="Arial" w:eastAsia="Arial" w:hAnsi="Arial"/>
          <w:sz w:val="14"/>
          <w:szCs w:val="14"/>
          <w:color w:val="auto"/>
        </w:rPr>
        <w:t>The Company agrees to pay all costs, fees and expenses incurred in connection with the performance of its obligations</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registered public accounting firm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in each case, to the extent reasonably requested, (vii) the fees and disbursements of counsel for the Underwriters in an amount not to exceed $25,000 in connection with, the required review by FINRA, (viii) the costs and expenses of the Company (and not the Representatives)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Representatives) and any such consultants, and half of the cost of any aircraft and any other transportation chartered in connection with the Road Show, (ix) the fees and expenses associated with listing the Offered Securities on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84" w:name="page185"/>
    <w:bookmarkEnd w:id="184"/>
    <w:p>
      <w:pPr>
        <w:ind w:firstLine="1117"/>
        <w:spacing w:after="0" w:line="248" w:lineRule="auto"/>
        <w:rPr>
          <w:sz w:val="20"/>
          <w:szCs w:val="20"/>
          <w:color w:val="auto"/>
        </w:rPr>
      </w:pPr>
      <w:r>
        <w:rPr>
          <w:rFonts w:ascii="Arial" w:cs="Arial" w:eastAsia="Arial" w:hAnsi="Arial"/>
          <w:sz w:val="16"/>
          <w:szCs w:val="16"/>
          <w:b w:val="1"/>
          <w:bCs w:val="1"/>
          <w:color w:val="auto"/>
        </w:rPr>
        <w:t xml:space="preserve">Section 5. Conditions of the Obligations of the Underwriters. </w:t>
      </w:r>
      <w:r>
        <w:rPr>
          <w:rFonts w:ascii="Arial" w:cs="Arial" w:eastAsia="Arial" w:hAnsi="Arial"/>
          <w:sz w:val="16"/>
          <w:szCs w:val="16"/>
          <w:color w:val="auto"/>
        </w:rPr>
        <w:t>The respective obligations of the several Underwriters hereunder to purchase and pay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166" w:lineRule="exact"/>
        <w:rPr>
          <w:sz w:val="20"/>
          <w:szCs w:val="20"/>
          <w:color w:val="auto"/>
        </w:rPr>
      </w:pPr>
    </w:p>
    <w:p>
      <w:pPr>
        <w:ind w:right="40" w:firstLine="552"/>
        <w:spacing w:after="0" w:line="297" w:lineRule="auto"/>
        <w:tabs>
          <w:tab w:leader="none" w:pos="1011"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Comfort Letter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the date hereof, the Representatives shall have received from Withum, independent registered public accountants for the Company, a letter dated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Prospectus.</w:t>
      </w:r>
    </w:p>
    <w:p>
      <w:pPr>
        <w:spacing w:after="0" w:line="139" w:lineRule="exact"/>
        <w:rPr>
          <w:rFonts w:ascii="Arial" w:cs="Arial" w:eastAsia="Arial" w:hAnsi="Arial"/>
          <w:sz w:val="14"/>
          <w:szCs w:val="14"/>
          <w:b w:val="1"/>
          <w:bCs w:val="1"/>
          <w:color w:val="auto"/>
        </w:rPr>
      </w:pPr>
    </w:p>
    <w:p>
      <w:pPr>
        <w:ind w:left="1020" w:hanging="468"/>
        <w:spacing w:after="0"/>
        <w:tabs>
          <w:tab w:leader="none" w:pos="102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 No Stop Order; No Objection from FINRA.</w:t>
      </w:r>
    </w:p>
    <w:p>
      <w:pPr>
        <w:spacing w:after="0" w:line="188" w:lineRule="exact"/>
        <w:rPr>
          <w:rFonts w:ascii="Arial" w:cs="Arial" w:eastAsia="Arial" w:hAnsi="Arial"/>
          <w:sz w:val="16"/>
          <w:szCs w:val="16"/>
          <w:b w:val="1"/>
          <w:bCs w:val="1"/>
          <w:color w:val="auto"/>
        </w:rPr>
      </w:pPr>
    </w:p>
    <w:p>
      <w:pPr>
        <w:ind w:right="460" w:firstLine="1110"/>
        <w:spacing w:after="0" w:line="258" w:lineRule="auto"/>
        <w:tabs>
          <w:tab w:leader="none" w:pos="1532"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62" w:lineRule="exact"/>
        <w:rPr>
          <w:rFonts w:ascii="Arial" w:cs="Arial" w:eastAsia="Arial" w:hAnsi="Arial"/>
          <w:sz w:val="16"/>
          <w:szCs w:val="16"/>
          <w:color w:val="auto"/>
        </w:rPr>
      </w:pPr>
    </w:p>
    <w:p>
      <w:pPr>
        <w:ind w:right="140" w:firstLine="1110"/>
        <w:spacing w:after="0" w:line="258" w:lineRule="auto"/>
        <w:tabs>
          <w:tab w:leader="none" w:pos="1578"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2" w:lineRule="exact"/>
        <w:rPr>
          <w:rFonts w:ascii="Arial" w:cs="Arial" w:eastAsia="Arial" w:hAnsi="Arial"/>
          <w:sz w:val="16"/>
          <w:szCs w:val="16"/>
          <w:color w:val="auto"/>
        </w:rPr>
      </w:pPr>
    </w:p>
    <w:p>
      <w:pPr>
        <w:ind w:left="1620" w:hanging="510"/>
        <w:spacing w:after="0"/>
        <w:tabs>
          <w:tab w:leader="none" w:pos="16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FINRA shall have raised no objection to the fairness and reasonableness of the underwriting terms and arrangements.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85" w:name="page186"/>
    <w:bookmarkEnd w:id="185"/>
    <w:p>
      <w:pPr>
        <w:ind w:right="140" w:firstLine="552"/>
        <w:spacing w:after="0" w:line="250" w:lineRule="auto"/>
        <w:tabs>
          <w:tab w:leader="none" w:pos="100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Prevention or Suspension</w:t>
      </w:r>
      <w:r>
        <w:rPr>
          <w:rFonts w:ascii="Arial" w:cs="Arial" w:eastAsia="Arial" w:hAnsi="Arial"/>
          <w:sz w:val="16"/>
          <w:szCs w:val="16"/>
          <w:color w:val="auto"/>
        </w:rPr>
        <w:t>. No order preventing or suspending the sale of the Class A Ordinary Shares in any jurisdiction designated by the Representatives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Section 3(g) hereof shall have been issued as of the First Closing Date and each Option Closing Date, and no proceedings for that purpose shall have been instituted or shall have been threatened.</w:t>
      </w:r>
    </w:p>
    <w:p>
      <w:pPr>
        <w:spacing w:after="0" w:line="163" w:lineRule="exact"/>
        <w:rPr>
          <w:rFonts w:ascii="Arial" w:cs="Arial" w:eastAsia="Arial" w:hAnsi="Arial"/>
          <w:sz w:val="16"/>
          <w:szCs w:val="16"/>
          <w:b w:val="1"/>
          <w:bCs w:val="1"/>
          <w:color w:val="auto"/>
        </w:rPr>
      </w:pPr>
    </w:p>
    <w:p>
      <w:pPr>
        <w:ind w:right="40" w:firstLine="552"/>
        <w:spacing w:after="0" w:line="338" w:lineRule="auto"/>
        <w:tabs>
          <w:tab w:leader="none" w:pos="1019"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 Material Adverse Effect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period from and after the date of this Agreement and through and including the First Closing Date and, with respect to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Optional Securities purchased after the First Closing Date, each Option Closing Date, in the judgment of the Representatives, there shall not have been any Material Adverse Effect.</w:t>
      </w:r>
    </w:p>
    <w:p>
      <w:pPr>
        <w:spacing w:after="0" w:line="104" w:lineRule="exact"/>
        <w:rPr>
          <w:rFonts w:ascii="Arial" w:cs="Arial" w:eastAsia="Arial" w:hAnsi="Arial"/>
          <w:sz w:val="14"/>
          <w:szCs w:val="14"/>
          <w:b w:val="1"/>
          <w:bCs w:val="1"/>
          <w:color w:val="auto"/>
        </w:rPr>
      </w:pPr>
    </w:p>
    <w:p>
      <w:pPr>
        <w:ind w:right="360" w:firstLine="552"/>
        <w:spacing w:after="0" w:line="338" w:lineRule="auto"/>
        <w:tabs>
          <w:tab w:leader="none" w:pos="1002"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Opinion of Counsel for the Company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each of the First Closing Date and each Option Closing Date, the Representatives shall have received the opinion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Kirkland &amp; Ellis LLP, U.S. counsel for the Company, dated as of such date, in form and substance satisfactory to the Representatives.</w:t>
      </w:r>
    </w:p>
    <w:p>
      <w:pPr>
        <w:spacing w:after="0" w:line="104" w:lineRule="exact"/>
        <w:rPr>
          <w:rFonts w:ascii="Arial" w:cs="Arial" w:eastAsia="Arial" w:hAnsi="Arial"/>
          <w:sz w:val="14"/>
          <w:szCs w:val="14"/>
          <w:b w:val="1"/>
          <w:bCs w:val="1"/>
          <w:color w:val="auto"/>
        </w:rPr>
      </w:pPr>
    </w:p>
    <w:p>
      <w:pPr>
        <w:ind w:right="20" w:firstLine="552"/>
        <w:spacing w:after="0" w:line="338" w:lineRule="auto"/>
        <w:tabs>
          <w:tab w:leader="none" w:pos="985"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Opinion of Cayman Islands Counsel for the Company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each of the First Closing Date and each Option Closing Date the Representatives shall have received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opinion of Ogier, Cayman Islands counsel for the Company, dated as of such date, in form and substance satisfactory to the Representatives.</w:t>
      </w:r>
    </w:p>
    <w:p>
      <w:pPr>
        <w:spacing w:after="0" w:line="104" w:lineRule="exact"/>
        <w:rPr>
          <w:rFonts w:ascii="Arial" w:cs="Arial" w:eastAsia="Arial" w:hAnsi="Arial"/>
          <w:sz w:val="14"/>
          <w:szCs w:val="14"/>
          <w:b w:val="1"/>
          <w:bCs w:val="1"/>
          <w:color w:val="auto"/>
        </w:rPr>
      </w:pPr>
    </w:p>
    <w:p>
      <w:pPr>
        <w:jc w:val="both"/>
        <w:ind w:right="160" w:firstLine="552"/>
        <w:spacing w:after="0" w:line="308" w:lineRule="auto"/>
        <w:tabs>
          <w:tab w:leader="none" w:pos="1011"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Opinion of Counsel for the Underwriters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each of the First Closing Date and each Option Closing Date the Representatives shall have received the opinion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Skadden, Arps, Slate, Meagher &amp; Flom LLP, counsel for the Underwriters in connection with the offer and sale of the Offered Securities, in form and substance satisfactory to the Representatives, dated as of such date, with executed copies for each of the other Underwriters named on the Prospectus cover page.</w:t>
      </w:r>
    </w:p>
    <w:p>
      <w:pPr>
        <w:spacing w:after="0" w:line="124" w:lineRule="exact"/>
        <w:rPr>
          <w:rFonts w:ascii="Arial" w:cs="Arial" w:eastAsia="Arial" w:hAnsi="Arial"/>
          <w:sz w:val="14"/>
          <w:szCs w:val="14"/>
          <w:b w:val="1"/>
          <w:bCs w:val="1"/>
          <w:color w:val="auto"/>
        </w:rPr>
      </w:pPr>
    </w:p>
    <w:p>
      <w:pPr>
        <w:ind w:right="180" w:firstLine="552"/>
        <w:spacing w:after="0" w:line="338" w:lineRule="auto"/>
        <w:tabs>
          <w:tab w:leader="none" w:pos="1019"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Officers’ Certificate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each of the First Closing Date and each Option Closing Date, the Representatives shall have received a certificate executed by the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 and the Chief Financial Officer of the Company, dated as of such date, to the effect set forth in Section 5(b)(ii) and further to the effect that:</w:t>
      </w:r>
    </w:p>
    <w:p>
      <w:pPr>
        <w:spacing w:after="0" w:line="110" w:lineRule="exact"/>
        <w:rPr>
          <w:rFonts w:ascii="Arial" w:cs="Arial" w:eastAsia="Arial" w:hAnsi="Arial"/>
          <w:sz w:val="14"/>
          <w:szCs w:val="14"/>
          <w:b w:val="1"/>
          <w:bCs w:val="1"/>
          <w:color w:val="auto"/>
        </w:rPr>
      </w:pPr>
    </w:p>
    <w:p>
      <w:pPr>
        <w:ind w:left="1560" w:hanging="450"/>
        <w:spacing w:after="0"/>
        <w:tabs>
          <w:tab w:leader="none" w:pos="15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been no Material Adverse Effect;</w:t>
      </w:r>
    </w:p>
    <w:p>
      <w:pPr>
        <w:spacing w:after="0" w:line="188" w:lineRule="exact"/>
        <w:rPr>
          <w:rFonts w:ascii="Arial" w:cs="Arial" w:eastAsia="Arial" w:hAnsi="Arial"/>
          <w:sz w:val="16"/>
          <w:szCs w:val="16"/>
          <w:color w:val="auto"/>
        </w:rPr>
      </w:pPr>
    </w:p>
    <w:p>
      <w:pPr>
        <w:ind w:right="120" w:firstLine="1110"/>
        <w:spacing w:after="0" w:line="258" w:lineRule="auto"/>
        <w:tabs>
          <w:tab w:leader="none" w:pos="1578"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representations, warranties, and covenants of the Company set forth in Section 1 of this Agreement are true and correct with the same force and effect as though expressly made on and as of such date; and</w:t>
      </w:r>
    </w:p>
    <w:p>
      <w:pPr>
        <w:spacing w:after="0" w:line="162" w:lineRule="exact"/>
        <w:rPr>
          <w:rFonts w:ascii="Arial" w:cs="Arial" w:eastAsia="Arial" w:hAnsi="Arial"/>
          <w:sz w:val="16"/>
          <w:szCs w:val="16"/>
          <w:color w:val="auto"/>
        </w:rPr>
      </w:pPr>
    </w:p>
    <w:p>
      <w:pPr>
        <w:ind w:left="1580" w:hanging="470"/>
        <w:spacing w:after="0"/>
        <w:tabs>
          <w:tab w:leader="none" w:pos="15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the Company has complied with all the agreements hereunder and satisfied all the conditions on its part to be performed or satisfied hereunder at or prior to</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such date.</w:t>
      </w:r>
    </w:p>
    <w:p>
      <w:pPr>
        <w:spacing w:after="0" w:line="172" w:lineRule="exact"/>
        <w:rPr>
          <w:rFonts w:ascii="Arial" w:cs="Arial" w:eastAsia="Arial" w:hAnsi="Arial"/>
          <w:sz w:val="14"/>
          <w:szCs w:val="14"/>
          <w:color w:val="auto"/>
        </w:rPr>
      </w:pPr>
    </w:p>
    <w:p>
      <w:pPr>
        <w:ind w:right="20" w:firstLine="552"/>
        <w:spacing w:after="0" w:line="248" w:lineRule="auto"/>
        <w:tabs>
          <w:tab w:leader="none" w:pos="976"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Secretary’s Certificate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have furnished to the Representatives a certificate signed by the Secretary or Assistant Secretary of the Company,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First Closing Date and each Option Closing Date, certifying (i) that the Amended and Restated Memorandum and Articles of Association are true and complete, have not been modified and are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66" w:lineRule="exact"/>
        <w:rPr>
          <w:rFonts w:ascii="Arial" w:cs="Arial" w:eastAsia="Arial" w:hAnsi="Arial"/>
          <w:sz w:val="16"/>
          <w:szCs w:val="16"/>
          <w:b w:val="1"/>
          <w:bCs w:val="1"/>
          <w:color w:val="auto"/>
        </w:rPr>
      </w:pPr>
    </w:p>
    <w:p>
      <w:pPr>
        <w:ind w:right="20" w:firstLine="552"/>
        <w:spacing w:after="0" w:line="297" w:lineRule="auto"/>
        <w:tabs>
          <w:tab w:leader="none" w:pos="985"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Bring-down Comfort Letter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each of the First Closing Date and each Option Closing Date, the Representatives shall have received from Withum, independent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registered public accountants for the Company, a letter dated such date, in form and substance satisfactory to the Representatives,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86" w:name="page187"/>
    <w:bookmarkEnd w:id="186"/>
    <w:p>
      <w:pPr>
        <w:ind w:right="100" w:firstLine="552"/>
        <w:spacing w:after="0" w:line="290" w:lineRule="auto"/>
        <w:tabs>
          <w:tab w:leader="none" w:pos="1019"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Transactional Documents</w:t>
      </w:r>
      <w:r>
        <w:rPr>
          <w:rFonts w:ascii="Arial" w:cs="Arial" w:eastAsia="Arial" w:hAnsi="Arial"/>
          <w:sz w:val="14"/>
          <w:szCs w:val="14"/>
          <w:color w:val="auto"/>
        </w:rPr>
        <w:t>. On or prior to the First Closing Date, the Company shall have delivered to the Representatives executed copies of the Trust Agreement,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Subscription Agreement, the Sponsor Shares Purchase Agreement, the Insider Letter, the Registration Rights Agreement and the Administrative Services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or director nominee to execute a joinder to the Insider Letter.</w:t>
      </w:r>
    </w:p>
    <w:p>
      <w:pPr>
        <w:spacing w:after="0" w:line="144" w:lineRule="exact"/>
        <w:rPr>
          <w:rFonts w:ascii="Arial" w:cs="Arial" w:eastAsia="Arial" w:hAnsi="Arial"/>
          <w:sz w:val="14"/>
          <w:szCs w:val="14"/>
          <w:b w:val="1"/>
          <w:bCs w:val="1"/>
          <w:color w:val="auto"/>
        </w:rPr>
      </w:pPr>
    </w:p>
    <w:p>
      <w:pPr>
        <w:ind w:firstLine="552"/>
        <w:spacing w:after="0" w:line="294" w:lineRule="auto"/>
        <w:tabs>
          <w:tab w:leader="none" w:pos="976"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Deposit to the Trust Account</w:t>
      </w:r>
      <w:r>
        <w:rPr>
          <w:rFonts w:ascii="Arial" w:cs="Arial" w:eastAsia="Arial" w:hAnsi="Arial"/>
          <w:sz w:val="14"/>
          <w:szCs w:val="14"/>
          <w:color w:val="auto"/>
        </w:rPr>
        <w:t>. The Sponsor (at least one business day prior to the First Closing Date and each Option Closing Date), shall have caused proceeds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sale of the Sponsor Shares to be deposited into the Trust Account so that together with proceeds for the Firm Securities (including the Deferred Discount), or with respect to the Optional Securities, proceeds from the Optional Securities (including the Deferred Discount), the aggregate amount of money deposited into the Trust Account would equal the product of the number of Class A Ordinary Shares issued and the public offering price per Class A Ordinary Share as set forth on the cover of the Prospectus.</w:t>
      </w:r>
    </w:p>
    <w:p>
      <w:pPr>
        <w:spacing w:after="0" w:line="135" w:lineRule="exact"/>
        <w:rPr>
          <w:rFonts w:ascii="Arial" w:cs="Arial" w:eastAsia="Arial" w:hAnsi="Arial"/>
          <w:sz w:val="14"/>
          <w:szCs w:val="14"/>
          <w:b w:val="1"/>
          <w:bCs w:val="1"/>
          <w:color w:val="auto"/>
        </w:rPr>
      </w:pPr>
    </w:p>
    <w:p>
      <w:pPr>
        <w:ind w:right="140" w:firstLine="552"/>
        <w:spacing w:after="0" w:line="254" w:lineRule="auto"/>
        <w:tabs>
          <w:tab w:leader="none" w:pos="1062"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Rule 462(b) Registration Statement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that a Rule 462(b) Registration Statement is filed in connection with the Offering contemplated by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such Rule 462(b) Registration Statement shall have been filed with the Commission on the date of this Agreement and shall have become effective automatically upon such filing.</w:t>
      </w:r>
    </w:p>
    <w:p>
      <w:pPr>
        <w:spacing w:after="0" w:line="166" w:lineRule="exact"/>
        <w:rPr>
          <w:rFonts w:ascii="Arial" w:cs="Arial" w:eastAsia="Arial" w:hAnsi="Arial"/>
          <w:sz w:val="16"/>
          <w:szCs w:val="16"/>
          <w:b w:val="1"/>
          <w:bCs w:val="1"/>
          <w:color w:val="auto"/>
        </w:rPr>
      </w:pPr>
    </w:p>
    <w:p>
      <w:pPr>
        <w:ind w:left="1020" w:hanging="468"/>
        <w:spacing w:after="0"/>
        <w:tabs>
          <w:tab w:leader="none" w:pos="102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Approval of Listing</w:t>
      </w:r>
      <w:r>
        <w:rPr>
          <w:rFonts w:ascii="Arial" w:cs="Arial" w:eastAsia="Arial" w:hAnsi="Arial"/>
          <w:sz w:val="14"/>
          <w:szCs w:val="14"/>
          <w:color w:val="auto"/>
        </w:rPr>
        <w:t>. At the First Closing Date, the Offered Securities shall have been approved for listing on Nasdaq, subject only to official notice of issuance.</w:t>
      </w:r>
    </w:p>
    <w:p>
      <w:pPr>
        <w:spacing w:after="0" w:line="211" w:lineRule="exact"/>
        <w:rPr>
          <w:rFonts w:ascii="Arial" w:cs="Arial" w:eastAsia="Arial" w:hAnsi="Arial"/>
          <w:sz w:val="14"/>
          <w:szCs w:val="14"/>
          <w:b w:val="1"/>
          <w:bCs w:val="1"/>
          <w:color w:val="auto"/>
        </w:rPr>
      </w:pPr>
    </w:p>
    <w:p>
      <w:pPr>
        <w:jc w:val="both"/>
        <w:ind w:right="60" w:firstLine="552"/>
        <w:spacing w:after="0" w:line="290" w:lineRule="auto"/>
        <w:tabs>
          <w:tab w:leader="none" w:pos="1011"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Additional Documents</w:t>
      </w:r>
      <w:r>
        <w:rPr>
          <w:rFonts w:ascii="Arial" w:cs="Arial" w:eastAsia="Arial" w:hAnsi="Arial"/>
          <w:sz w:val="14"/>
          <w:szCs w:val="14"/>
          <w:color w:val="auto"/>
        </w:rPr>
        <w:t>. On or before each of the First Closing Date and each Option Closing Date, the Representatives and counsel for the Underwriters shall have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spacing w:after="0" w:line="144" w:lineRule="exact"/>
        <w:rPr>
          <w:sz w:val="20"/>
          <w:szCs w:val="20"/>
          <w:color w:val="auto"/>
        </w:rPr>
      </w:pPr>
    </w:p>
    <w:p>
      <w:pPr>
        <w:ind w:firstLine="559"/>
        <w:spacing w:after="0" w:line="248" w:lineRule="auto"/>
        <w:rPr>
          <w:sz w:val="20"/>
          <w:szCs w:val="20"/>
          <w:color w:val="auto"/>
        </w:rPr>
      </w:pPr>
      <w:r>
        <w:rPr>
          <w:rFonts w:ascii="Arial" w:cs="Arial" w:eastAsia="Arial" w:hAnsi="Arial"/>
          <w:sz w:val="16"/>
          <w:szCs w:val="16"/>
          <w:color w:val="auto"/>
        </w:rPr>
        <w:t>If any condition specified in this Section 5 is not satisfied when and as required to be satisfied, this Agreement may be terminated by the Representatives by notice from the Representatives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64" w:lineRule="exact"/>
        <w:rPr>
          <w:sz w:val="20"/>
          <w:szCs w:val="20"/>
          <w:color w:val="auto"/>
        </w:rPr>
      </w:pPr>
    </w:p>
    <w:p>
      <w:pPr>
        <w:ind w:right="40" w:firstLine="1117"/>
        <w:spacing w:after="0" w:line="289" w:lineRule="auto"/>
        <w:rPr>
          <w:sz w:val="20"/>
          <w:szCs w:val="20"/>
          <w:color w:val="auto"/>
        </w:rPr>
      </w:pPr>
      <w:r>
        <w:rPr>
          <w:rFonts w:ascii="Arial" w:cs="Arial" w:eastAsia="Arial" w:hAnsi="Arial"/>
          <w:sz w:val="14"/>
          <w:szCs w:val="14"/>
          <w:b w:val="1"/>
          <w:bCs w:val="1"/>
          <w:color w:val="auto"/>
        </w:rPr>
        <w:t>Section 6. Reimbursement of Underwriters’ Expenses</w:t>
      </w:r>
      <w:r>
        <w:rPr>
          <w:rFonts w:ascii="Arial" w:cs="Arial" w:eastAsia="Arial" w:hAnsi="Arial"/>
          <w:sz w:val="14"/>
          <w:szCs w:val="14"/>
          <w:color w:val="auto"/>
        </w:rPr>
        <w:t>. If this Agreement is terminated by the Representatives pursuant to Section 5, Section 10 or Section</w:t>
      </w:r>
      <w:r>
        <w:rPr>
          <w:rFonts w:ascii="Arial" w:cs="Arial" w:eastAsia="Arial" w:hAnsi="Arial"/>
          <w:sz w:val="14"/>
          <w:szCs w:val="14"/>
          <w:b w:val="1"/>
          <w:bCs w:val="1"/>
          <w:color w:val="auto"/>
        </w:rPr>
        <w:t xml:space="preserve"> </w:t>
      </w:r>
      <w:r>
        <w:rPr>
          <w:rFonts w:ascii="Arial" w:cs="Arial" w:eastAsia="Arial" w:hAnsi="Arial"/>
          <w:sz w:val="14"/>
          <w:szCs w:val="14"/>
          <w:color w:val="auto"/>
        </w:rPr>
        <w:t>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87" w:name="page188"/>
    <w:bookmarkEnd w:id="187"/>
    <w:p>
      <w:pPr>
        <w:ind w:left="1100"/>
        <w:spacing w:after="0"/>
        <w:tabs>
          <w:tab w:leader="none" w:pos="1940" w:val="left"/>
        </w:tabs>
        <w:rPr>
          <w:sz w:val="20"/>
          <w:szCs w:val="20"/>
          <w:color w:val="auto"/>
        </w:rPr>
      </w:pPr>
      <w:r>
        <w:rPr>
          <w:rFonts w:ascii="Arial" w:cs="Arial" w:eastAsia="Arial" w:hAnsi="Arial"/>
          <w:sz w:val="16"/>
          <w:szCs w:val="16"/>
          <w:b w:val="1"/>
          <w:bCs w:val="1"/>
          <w:color w:val="auto"/>
        </w:rPr>
        <w:t>Section 7.</w:t>
      </w:r>
      <w:r>
        <w:rPr>
          <w:sz w:val="20"/>
          <w:szCs w:val="20"/>
          <w:color w:val="auto"/>
        </w:rPr>
        <w:tab/>
      </w:r>
      <w:r>
        <w:rPr>
          <w:rFonts w:ascii="Arial" w:cs="Arial" w:eastAsia="Arial" w:hAnsi="Arial"/>
          <w:sz w:val="13"/>
          <w:szCs w:val="13"/>
          <w:b w:val="1"/>
          <w:bCs w:val="1"/>
          <w:color w:val="auto"/>
        </w:rPr>
        <w:t>Effectiveness of this Agreement</w:t>
      </w:r>
      <w:r>
        <w:rPr>
          <w:rFonts w:ascii="Arial" w:cs="Arial" w:eastAsia="Arial" w:hAnsi="Arial"/>
          <w:sz w:val="13"/>
          <w:szCs w:val="13"/>
          <w:color w:val="auto"/>
        </w:rPr>
        <w:t>. This Agreement shall become effective upon the execution and delivery hereof by the parties hereto.</w:t>
      </w:r>
    </w:p>
    <w:p>
      <w:pPr>
        <w:spacing w:after="0" w:line="188" w:lineRule="exact"/>
        <w:rPr>
          <w:sz w:val="20"/>
          <w:szCs w:val="20"/>
          <w:color w:val="auto"/>
        </w:rPr>
      </w:pPr>
    </w:p>
    <w:p>
      <w:pPr>
        <w:ind w:left="1100"/>
        <w:spacing w:after="0"/>
        <w:tabs>
          <w:tab w:leader="none" w:pos="194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4"/>
          <w:szCs w:val="14"/>
          <w:b w:val="1"/>
          <w:bCs w:val="1"/>
          <w:color w:val="auto"/>
        </w:rPr>
        <w:t>Indemnification</w:t>
      </w:r>
      <w:r>
        <w:rPr>
          <w:rFonts w:ascii="Arial" w:cs="Arial" w:eastAsia="Arial" w:hAnsi="Arial"/>
          <w:sz w:val="14"/>
          <w:szCs w:val="14"/>
          <w:color w:val="auto"/>
        </w:rPr>
        <w:t>.</w:t>
      </w:r>
    </w:p>
    <w:p>
      <w:pPr>
        <w:spacing w:after="0" w:line="188" w:lineRule="exact"/>
        <w:rPr>
          <w:sz w:val="20"/>
          <w:szCs w:val="20"/>
          <w:color w:val="auto"/>
        </w:rPr>
      </w:pPr>
    </w:p>
    <w:p>
      <w:pPr>
        <w:ind w:left="-20" w:firstLine="552"/>
        <w:spacing w:after="0" w:line="280" w:lineRule="auto"/>
        <w:tabs>
          <w:tab w:leader="none" w:pos="991"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Indemnification of the Underwriters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agrees to indemnify and hold harmless each Underwriter, its affiliates, directors, officers, employees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151370" cy="146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40" w:top="309" w:right="339" w:bottom="1440" w:gutter="0" w:footer="0" w:header="0"/>
        </w:sectPr>
      </w:pPr>
    </w:p>
    <w:bookmarkStart w:id="188" w:name="page189"/>
    <w:bookmarkEnd w:id="188"/>
    <w:p>
      <w:pPr>
        <w:ind w:right="20" w:firstLine="552"/>
        <w:spacing w:after="0" w:line="280" w:lineRule="auto"/>
        <w:tabs>
          <w:tab w:leader="none" w:pos="1019"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Indemnification of the Company, its Directors and Officers</w:t>
      </w:r>
      <w:r>
        <w:rPr>
          <w:rFonts w:ascii="Arial" w:cs="Arial" w:eastAsia="Arial" w:hAnsi="Arial"/>
          <w:sz w:val="14"/>
          <w:szCs w:val="14"/>
          <w:color w:val="auto"/>
        </w:rPr>
        <w:t>. Each Underwriter agrees, severally and not jointly, to indemnify and hold harmless the Company, each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Marketing Material,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Marketing Material, any Section 5(d) Written Communication or the Prospectus (or any amendment or supplement to the foregoing) are the following statements set forth under the heading “Underwriting”: (x) the list of Underwriters and their respective roles and participation in the sale of the Offered Securities, (y) the first sentence in the third paragraph, the third sentence in the fourth paragraph, the fifth paragraph (except for the last sentence therein), and (z) the first sentence in the first paragraph, the third sentence in the second paragraph and the first sentence in the sixth paragraph under the heading “Stabilization”, in the Preliminary Prospectus and the Prospectus. The indemnity agreement set forth in this Section 8(b) shall be in addition to any liabilities that each Underwriter may otherwise have.</w:t>
      </w:r>
    </w:p>
    <w:p>
      <w:pPr>
        <w:spacing w:after="0" w:line="144" w:lineRule="exact"/>
        <w:rPr>
          <w:rFonts w:ascii="Arial" w:cs="Arial" w:eastAsia="Arial" w:hAnsi="Arial"/>
          <w:sz w:val="14"/>
          <w:szCs w:val="14"/>
          <w:b w:val="1"/>
          <w:bCs w:val="1"/>
          <w:color w:val="auto"/>
        </w:rPr>
      </w:pPr>
    </w:p>
    <w:p>
      <w:pPr>
        <w:ind w:firstLine="552"/>
        <w:spacing w:after="0" w:line="280" w:lineRule="auto"/>
        <w:tabs>
          <w:tab w:leader="none" w:pos="1002"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Notifications and Other Indemnification Procedures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Promptly after receipt by an indemnified party under this Section 8 of notice of the commencement of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89" w:name="page190"/>
    <w:bookmarkEnd w:id="189"/>
    <w:p>
      <w:pPr>
        <w:ind w:firstLine="552"/>
        <w:spacing w:after="0" w:line="284" w:lineRule="auto"/>
        <w:tabs>
          <w:tab w:leader="none" w:pos="1019"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Settlements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indemnifying party under this Section 8 shall not be liable for any settlement of any proceeding effected without its written consent, but if settled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43" w:lineRule="exact"/>
        <w:rPr>
          <w:sz w:val="20"/>
          <w:szCs w:val="20"/>
          <w:color w:val="auto"/>
        </w:rPr>
      </w:pPr>
    </w:p>
    <w:p>
      <w:pPr>
        <w:ind w:firstLine="1117"/>
        <w:spacing w:after="0" w:line="282" w:lineRule="auto"/>
        <w:rPr>
          <w:sz w:val="20"/>
          <w:szCs w:val="20"/>
          <w:color w:val="auto"/>
        </w:rPr>
      </w:pPr>
      <w:r>
        <w:rPr>
          <w:rFonts w:ascii="Arial" w:cs="Arial" w:eastAsia="Arial" w:hAnsi="Arial"/>
          <w:sz w:val="14"/>
          <w:szCs w:val="14"/>
          <w:b w:val="1"/>
          <w:bCs w:val="1"/>
          <w:color w:val="auto"/>
        </w:rPr>
        <w:t>Section 9. Contribution</w:t>
      </w:r>
      <w:r>
        <w:rPr>
          <w:rFonts w:ascii="Arial" w:cs="Arial" w:eastAsia="Arial" w:hAnsi="Arial"/>
          <w:sz w:val="14"/>
          <w:szCs w:val="14"/>
          <w:color w:val="auto"/>
        </w:rPr>
        <w:t>. If the indemnification provided for in Section 8 is for any reason held to be unavailable to or otherwise insufficient to hold harmless</w:t>
      </w:r>
      <w:r>
        <w:rPr>
          <w:rFonts w:ascii="Arial" w:cs="Arial" w:eastAsia="Arial" w:hAnsi="Arial"/>
          <w:sz w:val="14"/>
          <w:szCs w:val="14"/>
          <w:b w:val="1"/>
          <w:bCs w:val="1"/>
          <w:color w:val="auto"/>
        </w:rPr>
        <w:t xml:space="preserve"> </w:t>
      </w:r>
      <w:r>
        <w:rPr>
          <w:rFonts w:ascii="Arial" w:cs="Arial" w:eastAsia="Arial" w:hAnsi="Arial"/>
          <w:sz w:val="14"/>
          <w:szCs w:val="14"/>
          <w:color w:val="auto"/>
        </w:rPr>
        <w:t>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net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309" w:right="359" w:bottom="1440" w:gutter="0" w:footer="0" w:header="0"/>
        </w:sectPr>
      </w:pPr>
    </w:p>
    <w:bookmarkStart w:id="190" w:name="page191"/>
    <w:bookmarkEnd w:id="190"/>
    <w:p>
      <w:pPr>
        <w:ind w:right="320" w:firstLine="559"/>
        <w:spacing w:after="0" w:line="294" w:lineRule="auto"/>
        <w:rPr>
          <w:sz w:val="20"/>
          <w:szCs w:val="20"/>
          <w:color w:val="auto"/>
        </w:rPr>
      </w:pPr>
      <w:r>
        <w:rPr>
          <w:rFonts w:ascii="Arial" w:cs="Arial" w:eastAsia="Arial" w:hAnsi="Arial"/>
          <w:sz w:val="14"/>
          <w:szCs w:val="14"/>
          <w:color w:val="auto"/>
        </w:rPr>
        <w:t xml:space="preserve">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additional notice shall be required with respect to any action for which notice has been given under Section 8(c) for purposes of indemnification.</w:t>
      </w:r>
    </w:p>
    <w:p>
      <w:pPr>
        <w:spacing w:after="0" w:line="142" w:lineRule="exact"/>
        <w:rPr>
          <w:sz w:val="20"/>
          <w:szCs w:val="20"/>
          <w:color w:val="auto"/>
        </w:rPr>
      </w:pPr>
    </w:p>
    <w:p>
      <w:pPr>
        <w:ind w:right="220" w:firstLine="559"/>
        <w:spacing w:after="0" w:line="250"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70" w:lineRule="exact"/>
        <w:rPr>
          <w:sz w:val="20"/>
          <w:szCs w:val="20"/>
          <w:color w:val="auto"/>
        </w:rPr>
      </w:pPr>
    </w:p>
    <w:p>
      <w:pPr>
        <w:ind w:right="20" w:firstLine="559"/>
        <w:spacing w:after="0" w:line="284" w:lineRule="auto"/>
        <w:rPr>
          <w:sz w:val="20"/>
          <w:szCs w:val="20"/>
          <w:color w:val="auto"/>
        </w:rPr>
      </w:pPr>
      <w:r>
        <w:rPr>
          <w:rFonts w:ascii="Arial" w:cs="Arial" w:eastAsia="Arial" w:hAnsi="Arial"/>
          <w:sz w:val="14"/>
          <w:szCs w:val="14"/>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Arial" w:cs="Arial" w:eastAsia="Arial" w:hAnsi="Arial"/>
          <w:sz w:val="14"/>
          <w:szCs w:val="14"/>
          <w:u w:val="single" w:color="auto"/>
          <w:color w:val="auto"/>
        </w:rPr>
        <w:t>Schedule A</w:t>
      </w:r>
      <w:r>
        <w:rPr>
          <w:rFonts w:ascii="Arial" w:cs="Arial" w:eastAsia="Arial" w:hAnsi="Arial"/>
          <w:sz w:val="14"/>
          <w:szCs w:val="14"/>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45" w:lineRule="exact"/>
        <w:rPr>
          <w:sz w:val="20"/>
          <w:szCs w:val="20"/>
          <w:color w:val="auto"/>
        </w:rPr>
      </w:pPr>
    </w:p>
    <w:p>
      <w:pPr>
        <w:ind w:firstLine="1117"/>
        <w:spacing w:after="0" w:line="282" w:lineRule="auto"/>
        <w:rPr>
          <w:sz w:val="20"/>
          <w:szCs w:val="20"/>
          <w:color w:val="auto"/>
        </w:rPr>
      </w:pPr>
      <w:r>
        <w:rPr>
          <w:rFonts w:ascii="Arial" w:cs="Arial" w:eastAsia="Arial" w:hAnsi="Arial"/>
          <w:sz w:val="14"/>
          <w:szCs w:val="14"/>
          <w:b w:val="1"/>
          <w:bCs w:val="1"/>
          <w:color w:val="auto"/>
        </w:rPr>
        <w:t>Section 10. Default of One or More of the Several Underwriters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If, on the First Closing Date or any Option Closing Date any one or more of the several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Underwriters shall fail or refuse to purchase Offered Securities that it has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bears to the aggregate number of Firm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91" w:name="page192"/>
    <w:bookmarkEnd w:id="191"/>
    <w:p>
      <w:pPr>
        <w:ind w:left="7" w:right="40" w:firstLine="559"/>
        <w:spacing w:after="0" w:line="338" w:lineRule="auto"/>
        <w:rPr>
          <w:sz w:val="20"/>
          <w:szCs w:val="20"/>
          <w:color w:val="auto"/>
        </w:rPr>
      </w:pPr>
      <w:r>
        <w:rPr>
          <w:rFonts w:ascii="Arial" w:cs="Arial" w:eastAsia="Arial" w:hAnsi="Arial"/>
          <w:sz w:val="14"/>
          <w:szCs w:val="14"/>
          <w:color w:val="auto"/>
        </w:rPr>
        <w:t>As used in this Agreement, the term “</w:t>
      </w:r>
      <w:r>
        <w:rPr>
          <w:rFonts w:ascii="Arial" w:cs="Arial" w:eastAsia="Arial" w:hAnsi="Arial"/>
          <w:sz w:val="14"/>
          <w:szCs w:val="14"/>
          <w:b w:val="1"/>
          <w:bCs w:val="1"/>
          <w:color w:val="auto"/>
        </w:rPr>
        <w:t>Underwriter</w:t>
      </w:r>
      <w:r>
        <w:rPr>
          <w:rFonts w:ascii="Arial" w:cs="Arial" w:eastAsia="Arial" w:hAnsi="Arial"/>
          <w:sz w:val="14"/>
          <w:szCs w:val="14"/>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105" w:lineRule="exact"/>
        <w:rPr>
          <w:sz w:val="20"/>
          <w:szCs w:val="20"/>
          <w:color w:val="auto"/>
        </w:rPr>
      </w:pPr>
    </w:p>
    <w:p>
      <w:pPr>
        <w:ind w:left="7" w:firstLine="1117"/>
        <w:spacing w:after="0" w:line="283" w:lineRule="auto"/>
        <w:rPr>
          <w:sz w:val="20"/>
          <w:szCs w:val="20"/>
          <w:color w:val="auto"/>
        </w:rPr>
      </w:pPr>
      <w:r>
        <w:rPr>
          <w:rFonts w:ascii="Arial" w:cs="Arial" w:eastAsia="Arial" w:hAnsi="Arial"/>
          <w:sz w:val="14"/>
          <w:szCs w:val="14"/>
          <w:b w:val="1"/>
          <w:bCs w:val="1"/>
          <w:color w:val="auto"/>
        </w:rPr>
        <w:t>Section 11. Termination of this Agreement</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Prior to the purchase of the Firm Securities by the Underwriters on the First Closing Date, this Agreement may be</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terminated by the Representatives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either U.S. federal or New York state authorities;</w:t>
      </w:r>
    </w:p>
    <w:p>
      <w:pPr>
        <w:spacing w:after="0" w:line="1" w:lineRule="exact"/>
        <w:rPr>
          <w:sz w:val="20"/>
          <w:szCs w:val="20"/>
          <w:color w:val="auto"/>
        </w:rPr>
      </w:pPr>
    </w:p>
    <w:p>
      <w:pPr>
        <w:ind w:left="7" w:right="80" w:hanging="7"/>
        <w:spacing w:after="0" w:line="282" w:lineRule="auto"/>
        <w:tabs>
          <w:tab w:leader="none" w:pos="278"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proceed with the offering or delivery of the Offered Securities in the manner and on the terms described in the Time of Sale Prospectus or the Prospectus or to enforce contracts for the sale of securities; (iv) in the judgment of the Representatives there shall have been any Material Adverse Effect;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Representatives and the Underwriters pursuant to Section 4 or Section 6 hereof or (b) any Underwriter to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provisions of Section 8 and Section 9 shall at all times be effective and shall survive such termination.</w:t>
      </w:r>
    </w:p>
    <w:p>
      <w:pPr>
        <w:spacing w:after="0" w:line="143" w:lineRule="exact"/>
        <w:rPr>
          <w:sz w:val="20"/>
          <w:szCs w:val="20"/>
          <w:color w:val="auto"/>
        </w:rPr>
      </w:pPr>
    </w:p>
    <w:p>
      <w:pPr>
        <w:ind w:left="7" w:firstLine="1117"/>
        <w:spacing w:after="0" w:line="284" w:lineRule="auto"/>
        <w:rPr>
          <w:sz w:val="20"/>
          <w:szCs w:val="20"/>
          <w:color w:val="auto"/>
        </w:rPr>
      </w:pPr>
      <w:r>
        <w:rPr>
          <w:rFonts w:ascii="Arial" w:cs="Arial" w:eastAsia="Arial" w:hAnsi="Arial"/>
          <w:sz w:val="14"/>
          <w:szCs w:val="14"/>
          <w:b w:val="1"/>
          <w:bCs w:val="1"/>
          <w:color w:val="auto"/>
        </w:rPr>
        <w:t xml:space="preserve">Section 12. No Advisory or Fiduciary Relationship. </w:t>
      </w:r>
      <w:r>
        <w:rPr>
          <w:rFonts w:ascii="Arial" w:cs="Arial" w:eastAsia="Arial" w:hAnsi="Arial"/>
          <w:sz w:val="14"/>
          <w:szCs w:val="14"/>
          <w:color w:val="auto"/>
        </w:rPr>
        <w:t>The Company acknowledges and agrees that (a) the purchase and sale of the Offered Securities pursuant</w:t>
      </w:r>
      <w:r>
        <w:rPr>
          <w:rFonts w:ascii="Arial" w:cs="Arial" w:eastAsia="Arial" w:hAnsi="Arial"/>
          <w:sz w:val="14"/>
          <w:szCs w:val="14"/>
          <w:b w:val="1"/>
          <w:bCs w:val="1"/>
          <w:color w:val="auto"/>
        </w:rPr>
        <w:t xml:space="preserve"> </w:t>
      </w:r>
      <w:r>
        <w:rPr>
          <w:rFonts w:ascii="Arial" w:cs="Arial" w:eastAsia="Arial" w:hAnsi="Arial"/>
          <w:sz w:val="14"/>
          <w:szCs w:val="14"/>
          <w:color w:val="auto"/>
        </w:rPr>
        <w:t>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1370" cy="146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309" w:right="339" w:bottom="1440" w:gutter="0" w:footer="0" w:header="0"/>
        </w:sectPr>
      </w:pPr>
    </w:p>
    <w:bookmarkStart w:id="192" w:name="page193"/>
    <w:bookmarkEnd w:id="192"/>
    <w:p>
      <w:pPr>
        <w:ind w:firstLine="1117"/>
        <w:spacing w:after="0" w:line="297" w:lineRule="auto"/>
        <w:rPr>
          <w:sz w:val="20"/>
          <w:szCs w:val="20"/>
          <w:color w:val="auto"/>
        </w:rPr>
      </w:pPr>
      <w:r>
        <w:rPr>
          <w:rFonts w:ascii="Arial" w:cs="Arial" w:eastAsia="Arial" w:hAnsi="Arial"/>
          <w:sz w:val="14"/>
          <w:szCs w:val="14"/>
          <w:b w:val="1"/>
          <w:bCs w:val="1"/>
          <w:color w:val="auto"/>
        </w:rPr>
        <w:t>Section 13. Representations and Indemnities to Survive Delivery</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respective indemnities, agreements, representations, warranties and other statements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34"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Section 14. Notices</w:t>
      </w:r>
      <w:r>
        <w:rPr>
          <w:rFonts w:ascii="Arial" w:cs="Arial" w:eastAsia="Arial" w:hAnsi="Arial"/>
          <w:sz w:val="14"/>
          <w:szCs w:val="14"/>
          <w:color w:val="auto"/>
        </w:rPr>
        <w:t>. All communications hereunder shall be in writing and shall be mailed, hand delivered or telecopied and confirmed to the parties hereto as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ectPr>
          <w:pgSz w:w="11900" w:h="16838" w:orient="portrait"/>
          <w:cols w:equalWidth="0" w:num="1">
            <w:col w:w="11200"/>
          </w:cols>
          <w:pgMar w:left="320" w:top="309" w:right="37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If to the Representatives: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Jefferies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520 Madison Avenue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10022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Facsimile: (646) 619-4437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Attention: General Counsel</w:t>
      </w:r>
    </w:p>
    <w:p>
      <w:pPr>
        <w:spacing w:after="0" w:line="200" w:lineRule="exact"/>
        <w:rPr>
          <w:sz w:val="20"/>
          <w:szCs w:val="20"/>
          <w:color w:val="auto"/>
        </w:rPr>
      </w:pPr>
    </w:p>
    <w:p>
      <w:pPr>
        <w:sectPr>
          <w:pgSz w:w="11900" w:h="16838" w:orient="portrait"/>
          <w:cols w:equalWidth="0" w:num="2">
            <w:col w:w="3000" w:space="720"/>
            <w:col w:w="7480"/>
          </w:cols>
          <w:pgMar w:left="320" w:top="309" w:right="379" w:bottom="1440" w:gutter="0" w:footer="0" w:header="0"/>
          <w:type w:val="continuous"/>
        </w:sectPr>
      </w:pPr>
    </w:p>
    <w:p>
      <w:pPr>
        <w:spacing w:after="0" w:line="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Goldman Sachs &amp; Co. LLC</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200 West Street</w:t>
      </w:r>
    </w:p>
    <w:p>
      <w:pPr>
        <w:spacing w:after="0" w:line="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New York, New York 10282</w:t>
      </w:r>
    </w:p>
    <w:p>
      <w:pPr>
        <w:spacing w:after="0" w:line="2"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Attention: Registration Department</w:t>
      </w:r>
    </w:p>
    <w:p>
      <w:pPr>
        <w:sectPr>
          <w:pgSz w:w="11900" w:h="16838" w:orient="portrait"/>
          <w:cols w:equalWidth="0" w:num="1">
            <w:col w:w="11200"/>
          </w:cols>
          <w:pgMar w:left="320" w:top="309" w:right="37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Skadden, Arps, Slate, Meagher &amp; Flom LLP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300 South Grand Avenue, Suite 3400</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 90071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Facsimile: (213) 687-5600</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Attention: Gregg A. Noel and Michael J. Mies</w:t>
      </w:r>
    </w:p>
    <w:p>
      <w:pPr>
        <w:spacing w:after="0" w:line="200" w:lineRule="exact"/>
        <w:rPr>
          <w:sz w:val="20"/>
          <w:szCs w:val="20"/>
          <w:color w:val="auto"/>
        </w:rPr>
      </w:pPr>
    </w:p>
    <w:p>
      <w:pPr>
        <w:sectPr>
          <w:pgSz w:w="11900" w:h="16838" w:orient="portrait"/>
          <w:cols w:equalWidth="0" w:num="2">
            <w:col w:w="3000" w:space="720"/>
            <w:col w:w="7480"/>
          </w:cols>
          <w:pgMar w:left="320" w:top="309" w:right="37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ARYA Sciences Acquisition Corp III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51 Astor Place, 10</w:t>
      </w:r>
      <w:r>
        <w:rPr>
          <w:rFonts w:ascii="Arial" w:cs="Arial" w:eastAsia="Arial" w:hAnsi="Arial"/>
          <w:sz w:val="12"/>
          <w:szCs w:val="12"/>
          <w:color w:val="auto"/>
        </w:rPr>
        <w:t>th</w:t>
      </w:r>
      <w:r>
        <w:rPr>
          <w:rFonts w:ascii="Arial" w:cs="Arial" w:eastAsia="Arial" w:hAnsi="Arial"/>
          <w:sz w:val="16"/>
          <w:szCs w:val="16"/>
          <w:color w:val="auto"/>
        </w:rPr>
        <w:t xml:space="preserve"> Floor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Facsimile: (646) 205-5301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Attention: Adam Stone</w:t>
      </w:r>
    </w:p>
    <w:p>
      <w:pPr>
        <w:spacing w:after="0" w:line="178" w:lineRule="exact"/>
        <w:rPr>
          <w:sz w:val="20"/>
          <w:szCs w:val="20"/>
          <w:color w:val="auto"/>
        </w:rPr>
      </w:pPr>
    </w:p>
    <w:p>
      <w:pPr>
        <w:sectPr>
          <w:pgSz w:w="11900" w:h="16838" w:orient="portrait"/>
          <w:cols w:equalWidth="0" w:num="2">
            <w:col w:w="3000" w:space="720"/>
            <w:col w:w="7480"/>
          </w:cols>
          <w:pgMar w:left="320" w:top="309" w:right="379" w:bottom="1440" w:gutter="0" w:footer="0" w:header="0"/>
          <w:type w:val="continuous"/>
        </w:sectPr>
      </w:pPr>
    </w:p>
    <w:p>
      <w:pPr>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Kirkland &amp; Ellis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601 Lexington Avenue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Facsimile: (212) 446-4900</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Attention: Christian O. Nagler and Ross M. Leff</w:t>
      </w:r>
    </w:p>
    <w:p>
      <w:pPr>
        <w:spacing w:after="0" w:line="200" w:lineRule="exact"/>
        <w:rPr>
          <w:sz w:val="20"/>
          <w:szCs w:val="20"/>
          <w:color w:val="auto"/>
        </w:rPr>
      </w:pPr>
    </w:p>
    <w:p>
      <w:pPr>
        <w:sectPr>
          <w:pgSz w:w="11900" w:h="16838" w:orient="portrait"/>
          <w:cols w:equalWidth="0" w:num="2">
            <w:col w:w="3000" w:space="720"/>
            <w:col w:w="7480"/>
          </w:cols>
          <w:pgMar w:left="320" w:top="309" w:right="37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Any party hereto may change the address for receipt of communications by giving written notice to the others.</w:t>
      </w:r>
    </w:p>
    <w:p>
      <w:pPr>
        <w:spacing w:after="0" w:line="182" w:lineRule="exact"/>
        <w:rPr>
          <w:sz w:val="20"/>
          <w:szCs w:val="20"/>
          <w:color w:val="auto"/>
        </w:rPr>
      </w:pPr>
    </w:p>
    <w:p>
      <w:pPr>
        <w:ind w:right="120" w:firstLine="1117"/>
        <w:spacing w:after="0" w:line="297" w:lineRule="auto"/>
        <w:rPr>
          <w:sz w:val="20"/>
          <w:szCs w:val="20"/>
          <w:color w:val="auto"/>
        </w:rPr>
      </w:pPr>
      <w:r>
        <w:rPr>
          <w:rFonts w:ascii="Arial" w:cs="Arial" w:eastAsia="Arial" w:hAnsi="Arial"/>
          <w:sz w:val="14"/>
          <w:szCs w:val="14"/>
          <w:b w:val="1"/>
          <w:bCs w:val="1"/>
          <w:color w:val="auto"/>
        </w:rPr>
        <w:t>Section 15. Successors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will inure to the benefit of and be binding upon the parties hereto, including any substitute Underwriters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Arial" w:cs="Arial" w:eastAsia="Arial" w:hAnsi="Arial"/>
          <w:sz w:val="14"/>
          <w:szCs w:val="14"/>
          <w:b w:val="1"/>
          <w:bCs w:val="1"/>
          <w:color w:val="auto"/>
        </w:rPr>
        <w:t>successors</w:t>
      </w:r>
      <w:r>
        <w:rPr>
          <w:rFonts w:ascii="Arial" w:cs="Arial" w:eastAsia="Arial" w:hAnsi="Arial"/>
          <w:sz w:val="14"/>
          <w:szCs w:val="14"/>
          <w:color w:val="auto"/>
        </w:rPr>
        <w:t>” shall not include any purchaser of the Offered Securities as such from any of the Underwriters merely by reason of such purchase.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309" w:right="379" w:bottom="1440" w:gutter="0" w:footer="0" w:header="0"/>
          <w:type w:val="continuous"/>
        </w:sectPr>
      </w:pPr>
    </w:p>
    <w:bookmarkStart w:id="193" w:name="page194"/>
    <w:bookmarkEnd w:id="193"/>
    <w:p>
      <w:pPr>
        <w:ind w:left="7" w:right="120" w:firstLine="1117"/>
        <w:spacing w:after="0" w:line="308" w:lineRule="auto"/>
        <w:rPr>
          <w:sz w:val="20"/>
          <w:szCs w:val="20"/>
          <w:color w:val="auto"/>
        </w:rPr>
      </w:pPr>
      <w:r>
        <w:rPr>
          <w:rFonts w:ascii="Arial" w:cs="Arial" w:eastAsia="Arial" w:hAnsi="Arial"/>
          <w:sz w:val="14"/>
          <w:szCs w:val="14"/>
          <w:b w:val="1"/>
          <w:bCs w:val="1"/>
          <w:color w:val="auto"/>
        </w:rPr>
        <w:t>Section 16. Partial Unenforceability</w:t>
      </w:r>
      <w:r>
        <w:rPr>
          <w:rFonts w:ascii="Arial" w:cs="Arial" w:eastAsia="Arial" w:hAnsi="Arial"/>
          <w:sz w:val="14"/>
          <w:szCs w:val="14"/>
          <w:color w:val="auto"/>
        </w:rPr>
        <w:t>. The invalidity or unenforceability of any section, paragraph or provision of this Agreement shall not affect the validity</w:t>
      </w:r>
      <w:r>
        <w:rPr>
          <w:rFonts w:ascii="Arial" w:cs="Arial" w:eastAsia="Arial" w:hAnsi="Arial"/>
          <w:sz w:val="14"/>
          <w:szCs w:val="14"/>
          <w:b w:val="1"/>
          <w:bCs w:val="1"/>
          <w:color w:val="auto"/>
        </w:rPr>
        <w:t xml:space="preserve"> </w:t>
      </w:r>
      <w:r>
        <w:rPr>
          <w:rFonts w:ascii="Arial" w:cs="Arial" w:eastAsia="Arial" w:hAnsi="Arial"/>
          <w:sz w:val="14"/>
          <w:szCs w:val="14"/>
          <w:color w:val="auto"/>
        </w:rPr>
        <w:t>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25" w:lineRule="exact"/>
        <w:rPr>
          <w:sz w:val="20"/>
          <w:szCs w:val="20"/>
          <w:color w:val="auto"/>
        </w:rPr>
      </w:pPr>
    </w:p>
    <w:p>
      <w:pPr>
        <w:ind w:left="1127"/>
        <w:spacing w:after="0"/>
        <w:tabs>
          <w:tab w:leader="none" w:pos="2047" w:val="left"/>
        </w:tabs>
        <w:rPr>
          <w:sz w:val="20"/>
          <w:szCs w:val="20"/>
          <w:color w:val="auto"/>
        </w:rPr>
      </w:pPr>
      <w:r>
        <w:rPr>
          <w:rFonts w:ascii="Arial" w:cs="Arial" w:eastAsia="Arial" w:hAnsi="Arial"/>
          <w:sz w:val="16"/>
          <w:szCs w:val="16"/>
          <w:b w:val="1"/>
          <w:bCs w:val="1"/>
          <w:color w:val="auto"/>
        </w:rPr>
        <w:t>Section 17.</w:t>
      </w:r>
      <w:r>
        <w:rPr>
          <w:sz w:val="20"/>
          <w:szCs w:val="20"/>
          <w:color w:val="auto"/>
        </w:rPr>
        <w:tab/>
      </w:r>
      <w:r>
        <w:rPr>
          <w:rFonts w:ascii="Arial" w:cs="Arial" w:eastAsia="Arial" w:hAnsi="Arial"/>
          <w:sz w:val="13"/>
          <w:szCs w:val="13"/>
          <w:b w:val="1"/>
          <w:bCs w:val="1"/>
          <w:color w:val="auto"/>
        </w:rPr>
        <w:t>Recognition of the U.S. Special Resolution Regimes</w:t>
      </w:r>
    </w:p>
    <w:p>
      <w:pPr>
        <w:spacing w:after="0" w:line="194" w:lineRule="exact"/>
        <w:rPr>
          <w:sz w:val="20"/>
          <w:szCs w:val="20"/>
          <w:color w:val="auto"/>
        </w:rPr>
      </w:pPr>
    </w:p>
    <w:p>
      <w:pPr>
        <w:ind w:left="7" w:right="80" w:firstLine="559"/>
        <w:spacing w:after="0" w:line="248" w:lineRule="auto"/>
        <w:rPr>
          <w:sz w:val="20"/>
          <w:szCs w:val="20"/>
          <w:color w:val="auto"/>
        </w:rPr>
      </w:pPr>
      <w:r>
        <w:rPr>
          <w:rFonts w:ascii="Arial" w:cs="Arial" w:eastAsia="Arial" w:hAnsi="Arial"/>
          <w:sz w:val="16"/>
          <w:szCs w:val="16"/>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70" w:lineRule="exact"/>
        <w:rPr>
          <w:sz w:val="20"/>
          <w:szCs w:val="20"/>
          <w:color w:val="auto"/>
        </w:rPr>
      </w:pPr>
    </w:p>
    <w:p>
      <w:pPr>
        <w:jc w:val="both"/>
        <w:ind w:left="7" w:right="300" w:firstLine="559"/>
        <w:spacing w:after="0" w:line="248" w:lineRule="auto"/>
        <w:rPr>
          <w:sz w:val="20"/>
          <w:szCs w:val="20"/>
          <w:color w:val="auto"/>
        </w:rPr>
      </w:pPr>
      <w:r>
        <w:rPr>
          <w:rFonts w:ascii="Arial" w:cs="Arial" w:eastAsia="Arial" w:hAnsi="Arial"/>
          <w:sz w:val="16"/>
          <w:szCs w:val="16"/>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0" w:lineRule="exact"/>
        <w:rPr>
          <w:sz w:val="20"/>
          <w:szCs w:val="20"/>
          <w:color w:val="auto"/>
        </w:rPr>
      </w:pPr>
    </w:p>
    <w:p>
      <w:pPr>
        <w:ind w:left="7" w:firstLine="559"/>
        <w:spacing w:after="0" w:line="281" w:lineRule="auto"/>
        <w:rPr>
          <w:sz w:val="20"/>
          <w:szCs w:val="20"/>
          <w:color w:val="auto"/>
        </w:rPr>
      </w:pPr>
      <w:r>
        <w:rPr>
          <w:rFonts w:ascii="Arial" w:cs="Arial" w:eastAsia="Arial" w:hAnsi="Arial"/>
          <w:sz w:val="14"/>
          <w:szCs w:val="14"/>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w:t>
      </w:r>
    </w:p>
    <w:p>
      <w:pPr>
        <w:spacing w:after="0" w:line="1" w:lineRule="exact"/>
        <w:rPr>
          <w:sz w:val="20"/>
          <w:szCs w:val="20"/>
          <w:color w:val="auto"/>
        </w:rPr>
      </w:pPr>
    </w:p>
    <w:p>
      <w:pPr>
        <w:ind w:left="7" w:right="340" w:hanging="7"/>
        <w:spacing w:after="0" w:line="245" w:lineRule="auto"/>
        <w:tabs>
          <w:tab w:leader="none" w:pos="261" w:val="left"/>
        </w:tabs>
        <w:numPr>
          <w:ilvl w:val="0"/>
          <w:numId w:val="81"/>
        </w:numPr>
        <w:rPr>
          <w:rFonts w:ascii="Arial" w:cs="Arial" w:eastAsia="Arial" w:hAnsi="Arial"/>
          <w:sz w:val="16"/>
          <w:szCs w:val="16"/>
          <w:color w:val="auto"/>
        </w:rPr>
      </w:pPr>
      <w:r>
        <w:rPr>
          <w:rFonts w:ascii="Arial" w:cs="Arial" w:eastAsia="Arial" w:hAnsi="Arial"/>
          <w:sz w:val="16"/>
          <w:szCs w:val="16"/>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7" w:lineRule="exact"/>
        <w:rPr>
          <w:sz w:val="20"/>
          <w:szCs w:val="20"/>
          <w:color w:val="auto"/>
        </w:rPr>
      </w:pPr>
    </w:p>
    <w:p>
      <w:pPr>
        <w:ind w:left="7" w:firstLine="1117"/>
        <w:spacing w:after="0" w:line="285" w:lineRule="auto"/>
        <w:rPr>
          <w:sz w:val="20"/>
          <w:szCs w:val="20"/>
          <w:color w:val="auto"/>
        </w:rPr>
      </w:pPr>
      <w:r>
        <w:rPr>
          <w:rFonts w:ascii="Arial" w:cs="Arial" w:eastAsia="Arial" w:hAnsi="Arial"/>
          <w:sz w:val="14"/>
          <w:szCs w:val="14"/>
          <w:b w:val="1"/>
          <w:bCs w:val="1"/>
          <w:color w:val="auto"/>
        </w:rPr>
        <w:t>Section 18. Governing Law Provisions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shall be governed by and construed in accordance with the internal laws of the State of New York</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4"/>
          <w:szCs w:val="14"/>
          <w:b w:val="1"/>
          <w:bCs w:val="1"/>
          <w:color w:val="auto"/>
        </w:rPr>
        <w:t>Specified Courts</w:t>
      </w:r>
      <w:r>
        <w:rPr>
          <w:rFonts w:ascii="Arial" w:cs="Arial" w:eastAsia="Arial" w:hAnsi="Arial"/>
          <w:sz w:val="14"/>
          <w:szCs w:val="14"/>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51370" cy="146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309" w:right="359" w:bottom="1440" w:gutter="0" w:footer="0" w:header="0"/>
        </w:sectPr>
      </w:pPr>
    </w:p>
    <w:bookmarkStart w:id="194" w:name="page195"/>
    <w:bookmarkEnd w:id="194"/>
    <w:p>
      <w:pPr>
        <w:ind w:firstLine="1117"/>
        <w:spacing w:after="0" w:line="292" w:lineRule="auto"/>
        <w:rPr>
          <w:sz w:val="20"/>
          <w:szCs w:val="20"/>
          <w:color w:val="auto"/>
        </w:rPr>
      </w:pPr>
      <w:r>
        <w:rPr>
          <w:rFonts w:ascii="Arial" w:cs="Arial" w:eastAsia="Arial" w:hAnsi="Arial"/>
          <w:sz w:val="14"/>
          <w:szCs w:val="14"/>
          <w:b w:val="1"/>
          <w:bCs w:val="1"/>
          <w:color w:val="auto"/>
        </w:rPr>
        <w:t xml:space="preserve">Section 19. General Provisions. </w:t>
      </w:r>
      <w:r>
        <w:rPr>
          <w:rFonts w:ascii="Arial" w:cs="Arial" w:eastAsia="Arial" w:hAnsi="Arial"/>
          <w:sz w:val="14"/>
          <w:szCs w:val="14"/>
          <w:color w:val="auto"/>
        </w:rPr>
        <w:t>This Agreement constitutes the entire agreement of the parties to this Agreement and supersedes all prior written or oral and</w:t>
      </w:r>
      <w:r>
        <w:rPr>
          <w:rFonts w:ascii="Arial" w:cs="Arial" w:eastAsia="Arial" w:hAnsi="Arial"/>
          <w:sz w:val="14"/>
          <w:szCs w:val="14"/>
          <w:b w:val="1"/>
          <w:bCs w:val="1"/>
          <w:color w:val="auto"/>
        </w:rPr>
        <w:t xml:space="preserve"> </w:t>
      </w:r>
      <w:r>
        <w:rPr>
          <w:rFonts w:ascii="Arial" w:cs="Arial" w:eastAsia="Arial" w:hAnsi="Arial"/>
          <w:sz w:val="14"/>
          <w:szCs w:val="14"/>
          <w:color w:val="auto"/>
        </w:rPr>
        <w:t>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44" w:lineRule="exact"/>
        <w:rPr>
          <w:sz w:val="20"/>
          <w:szCs w:val="20"/>
          <w:color w:val="auto"/>
        </w:rPr>
      </w:pPr>
    </w:p>
    <w:p>
      <w:pPr>
        <w:ind w:right="60" w:firstLine="559"/>
        <w:spacing w:after="0" w:line="290" w:lineRule="auto"/>
        <w:rPr>
          <w:sz w:val="20"/>
          <w:szCs w:val="20"/>
          <w:color w:val="auto"/>
        </w:rPr>
      </w:pPr>
      <w:r>
        <w:rPr>
          <w:rFonts w:ascii="Arial" w:cs="Arial" w:eastAsia="Arial" w:hAnsi="Arial"/>
          <w:sz w:val="14"/>
          <w:szCs w:val="14"/>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309" w:right="379" w:bottom="1440" w:gutter="0" w:footer="0" w:header="0"/>
        </w:sectPr>
      </w:pPr>
    </w:p>
    <w:bookmarkStart w:id="195" w:name="page196"/>
    <w:bookmarkEnd w:id="195"/>
    <w:p>
      <w:pPr>
        <w:ind w:firstLine="559"/>
        <w:spacing w:after="0" w:line="258" w:lineRule="auto"/>
        <w:rPr>
          <w:sz w:val="20"/>
          <w:szCs w:val="20"/>
          <w:color w:val="auto"/>
        </w:rPr>
      </w:pPr>
      <w:r>
        <w:rPr>
          <w:rFonts w:ascii="Arial" w:cs="Arial" w:eastAsia="Arial" w:hAnsi="Arial"/>
          <w:sz w:val="16"/>
          <w:szCs w:val="16"/>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Very truly yours,</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8255</wp:posOffset>
            </wp:positionV>
            <wp:extent cx="335407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3354070" cy="762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foregoing Underwriting Agreement is hereby confirmed and accepted by the Representatives in New York, New York as of the date first above written.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JEFFERIES LLC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GOLDMAN SACHS &amp; CO. LLC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Acting individually and as Representatives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 the several Underwriters named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JEFFERIES LLC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692975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929755" cy="762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GOLDMAN SACHS &amp; CO. LLC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692975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929755" cy="762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Title: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51370" cy="146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6"/>
          <w:szCs w:val="16"/>
          <w:b w:val="1"/>
          <w:bCs w:val="1"/>
          <w:color w:val="auto"/>
        </w:rPr>
        <w:t>Schedule 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2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20" w:type="dxa"/>
            <w:vAlign w:val="bottom"/>
            <w:vMerge w:val="restart"/>
          </w:tcPr>
          <w:p>
            <w:pPr>
              <w:spacing w:after="0"/>
              <w:rPr>
                <w:sz w:val="20"/>
                <w:szCs w:val="20"/>
                <w:color w:val="auto"/>
              </w:rPr>
            </w:pPr>
            <w:r>
              <w:rPr>
                <w:rFonts w:ascii="Arial" w:cs="Arial" w:eastAsia="Arial" w:hAnsi="Arial"/>
                <w:sz w:val="12"/>
                <w:szCs w:val="12"/>
                <w:b w:val="1"/>
                <w:bCs w:val="1"/>
                <w:color w:val="auto"/>
              </w:rPr>
              <w:t>Underwriters</w:t>
            </w:r>
          </w:p>
        </w:tc>
        <w:tc>
          <w:tcPr>
            <w:tcW w:w="2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Firm Securities</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20" w:type="dxa"/>
            <w:vAlign w:val="bottom"/>
            <w:vMerge w:val="continue"/>
          </w:tcPr>
          <w:p>
            <w:pPr>
              <w:spacing w:after="0"/>
              <w:rPr>
                <w:sz w:val="11"/>
                <w:szCs w:val="11"/>
                <w:color w:val="auto"/>
              </w:rPr>
            </w:pPr>
          </w:p>
        </w:tc>
        <w:tc>
          <w:tcPr>
            <w:tcW w:w="2140" w:type="dxa"/>
            <w:vAlign w:val="bottom"/>
          </w:tcPr>
          <w:p>
            <w:pPr>
              <w:jc w:val="center"/>
              <w:spacing w:after="0"/>
              <w:rPr>
                <w:sz w:val="20"/>
                <w:szCs w:val="20"/>
                <w:color w:val="auto"/>
              </w:rPr>
            </w:pPr>
            <w:r>
              <w:rPr>
                <w:rFonts w:ascii="Arial" w:cs="Arial" w:eastAsia="Arial" w:hAnsi="Arial"/>
                <w:sz w:val="12"/>
                <w:szCs w:val="12"/>
                <w:b w:val="1"/>
                <w:bCs w:val="1"/>
                <w:color w:val="auto"/>
                <w:w w:val="89"/>
              </w:rPr>
              <w:t>to be Purchased</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color w:val="auto"/>
              </w:rPr>
              <w:t>Jefferies LLC</w:t>
            </w:r>
          </w:p>
        </w:tc>
        <w:tc>
          <w:tcPr>
            <w:tcW w:w="2140" w:type="dxa"/>
            <w:vAlign w:val="bottom"/>
          </w:tcPr>
          <w:p>
            <w:pPr>
              <w:jc w:val="center"/>
              <w:spacing w:after="0"/>
              <w:rPr>
                <w:sz w:val="20"/>
                <w:szCs w:val="20"/>
                <w:color w:val="auto"/>
              </w:rPr>
            </w:pPr>
            <w:r>
              <w:rPr>
                <w:rFonts w:ascii="Arial" w:cs="Arial" w:eastAsia="Arial" w:hAnsi="Arial"/>
                <w:sz w:val="16"/>
                <w:szCs w:val="16"/>
                <w:color w:val="auto"/>
              </w:rPr>
              <w:t>[ ]</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Goldman Sachs &amp; Co. LLC</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420" w:type="dxa"/>
            <w:vAlign w:val="bottom"/>
          </w:tcPr>
          <w:p>
            <w:pPr>
              <w:ind w:left="36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12,500,000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6"/>
          <w:szCs w:val="16"/>
          <w:b w:val="1"/>
          <w:bCs w:val="1"/>
          <w:color w:val="auto"/>
        </w:rPr>
        <w:t>Schedule B</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u w:val="single" w:color="auto"/>
          <w:color w:val="auto"/>
        </w:rPr>
        <w:t>Time of Delivery Information</w:t>
      </w:r>
    </w:p>
    <w:p>
      <w:pPr>
        <w:spacing w:after="0" w:line="194" w:lineRule="exact"/>
        <w:rPr>
          <w:sz w:val="20"/>
          <w:szCs w:val="20"/>
          <w:color w:val="auto"/>
        </w:rPr>
      </w:pPr>
    </w:p>
    <w:p>
      <w:pPr>
        <w:ind w:left="147" w:hanging="147"/>
        <w:spacing w:after="0"/>
        <w:tabs>
          <w:tab w:leader="none" w:pos="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Public offering price per Class A ordinary share: $10.00</w:t>
      </w:r>
    </w:p>
    <w:p>
      <w:pPr>
        <w:spacing w:after="0" w:line="188" w:lineRule="exact"/>
        <w:rPr>
          <w:rFonts w:ascii="Arial" w:cs="Arial" w:eastAsia="Arial" w:hAnsi="Arial"/>
          <w:sz w:val="16"/>
          <w:szCs w:val="16"/>
          <w:color w:val="auto"/>
        </w:rPr>
      </w:pPr>
    </w:p>
    <w:p>
      <w:pPr>
        <w:ind w:left="147" w:hanging="147"/>
        <w:spacing w:after="0"/>
        <w:tabs>
          <w:tab w:leader="none" w:pos="147" w:val="left"/>
        </w:tabs>
        <w:numPr>
          <w:ilvl w:val="0"/>
          <w:numId w:val="82"/>
        </w:numPr>
        <w:rPr>
          <w:rFonts w:ascii="Arial" w:cs="Arial" w:eastAsia="Arial" w:hAnsi="Arial"/>
          <w:sz w:val="14"/>
          <w:szCs w:val="14"/>
          <w:color w:val="auto"/>
        </w:rPr>
      </w:pPr>
      <w:r>
        <w:rPr>
          <w:rFonts w:ascii="Arial" w:cs="Arial" w:eastAsia="Arial" w:hAnsi="Arial"/>
          <w:sz w:val="14"/>
          <w:szCs w:val="14"/>
          <w:color w:val="auto"/>
        </w:rPr>
        <w:t>Number of Class A ordinary shares offered: 12,500,000 (plus an additional 1,875,000 Class A ordinary shares subject to the underwriters'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51370" cy="146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6"/>
          <w:szCs w:val="16"/>
          <w:b w:val="1"/>
          <w:bCs w:val="1"/>
          <w:color w:val="auto"/>
        </w:rPr>
        <w:t>Schedule 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Permitted Section 5(d) Communications</w:t>
      </w:r>
    </w:p>
    <w:p>
      <w:pPr>
        <w:spacing w:after="0" w:line="194"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7151370" cy="146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b w:val="1"/>
          <w:bCs w:val="1"/>
          <w:color w:val="auto"/>
        </w:rPr>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ARYA Sciences Acquisition Corp III</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88"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ARYA Sciences Acquisition Corp III (the “Company”) announced today that Jefferies LLC and Goldman Sachs &amp; Co. LLC, the joint book-running managers and Representatives of the underwriters in the Company’s recent public sale of 12,500,000 Class A ordinary shares, is [waiving] [releasing] a lock-up restriction with respect to the Company’s Class A ordinary shares held by [ARYA Sciences Holdings III, a Cayman Islands exempted limited company, the sponsor] [certain officers or directors] [an officer or director] of the Company. The [waiver] [release] will take effect on [Date], and the securities may be sold or otherwise disposed of on or after such date.</w:t>
      </w:r>
    </w:p>
    <w:p>
      <w:pPr>
        <w:spacing w:after="0" w:line="136" w:lineRule="exact"/>
        <w:rPr>
          <w:sz w:val="20"/>
          <w:szCs w:val="20"/>
          <w:color w:val="auto"/>
        </w:rPr>
      </w:pPr>
    </w:p>
    <w:p>
      <w:pPr>
        <w:ind w:right="260"/>
        <w:spacing w:after="0" w:line="338"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51370" cy="146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3.1</w:t>
      </w:r>
    </w:p>
    <w:p>
      <w:pPr>
        <w:spacing w:after="0" w:line="380"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Dated 27 March 2020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Companies Law (Revised)</w:t>
      </w:r>
    </w:p>
    <w:p>
      <w:pPr>
        <w:spacing w:after="0" w:line="188"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484505</wp:posOffset>
            </wp:positionV>
            <wp:extent cx="286639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28663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MEMORANDUM OF ASSOCIATION</w:t>
      </w:r>
    </w:p>
    <w:p>
      <w:pPr>
        <w:spacing w:after="0" w:line="1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OF</w:t>
      </w:r>
    </w:p>
    <w:p>
      <w:pPr>
        <w:spacing w:after="0" w:line="2"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134620</wp:posOffset>
            </wp:positionV>
            <wp:extent cx="286639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86639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5837555</wp:posOffset>
            </wp:positionV>
            <wp:extent cx="7151370" cy="146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1370" cy="1460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1634490</wp:posOffset>
            </wp:positionV>
            <wp:extent cx="7151370" cy="28441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1370" cy="2844165"/>
                    </a:xfrm>
                    <a:prstGeom prst="rect">
                      <a:avLst/>
                    </a:prstGeom>
                    <a:noFill/>
                  </pic:spPr>
                </pic:pic>
              </a:graphicData>
            </a:graphic>
          </wp:anchor>
        </w:drawing>
      </w:r>
    </w:p>
    <w:p>
      <w:pPr>
        <w:sectPr>
          <w:pgSz w:w="11900" w:h="16838" w:orient="portrait"/>
          <w:cols w:equalWidth="0" w:num="1">
            <w:col w:w="10140"/>
          </w:cols>
          <w:pgMar w:left="1440" w:top="263" w:right="319" w:bottom="1440" w:gutter="0" w:footer="0" w:header="0"/>
        </w:sectPr>
      </w:pPr>
    </w:p>
    <w:bookmarkStart w:id="201" w:name="page202"/>
    <w:bookmarkEnd w:id="201"/>
    <w:p>
      <w:pPr>
        <w:jc w:val="center"/>
        <w:ind w:right="-6"/>
        <w:spacing w:after="0"/>
        <w:rPr>
          <w:sz w:val="20"/>
          <w:szCs w:val="20"/>
          <w:color w:val="auto"/>
        </w:rPr>
      </w:pPr>
      <w:r>
        <w:rPr>
          <w:rFonts w:ascii="Arial" w:cs="Arial" w:eastAsia="Arial" w:hAnsi="Arial"/>
          <w:sz w:val="16"/>
          <w:szCs w:val="16"/>
          <w:b w:val="1"/>
          <w:bCs w:val="1"/>
          <w:color w:val="auto"/>
        </w:rPr>
        <w:t>Companies Law (Revised)</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Company Limited by Shares</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Memorandum of Association</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of</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p>
      <w:pPr>
        <w:ind w:left="567" w:hanging="567"/>
        <w:spacing w:after="0"/>
        <w:tabs>
          <w:tab w:leader="none" w:pos="56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name of the Company is ARYA Sciences Acquisition Corp III.</w:t>
      </w:r>
    </w:p>
    <w:p>
      <w:pPr>
        <w:spacing w:after="0" w:line="188" w:lineRule="exact"/>
        <w:rPr>
          <w:sz w:val="20"/>
          <w:szCs w:val="20"/>
          <w:color w:val="auto"/>
        </w:rPr>
      </w:pPr>
    </w:p>
    <w:p>
      <w:pPr>
        <w:ind w:left="567" w:hanging="567"/>
        <w:spacing w:after="0" w:line="258" w:lineRule="auto"/>
        <w:tabs>
          <w:tab w:leader="none" w:pos="56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163" w:lineRule="exact"/>
        <w:rPr>
          <w:sz w:val="20"/>
          <w:szCs w:val="20"/>
          <w:color w:val="auto"/>
        </w:rPr>
      </w:pPr>
    </w:p>
    <w:p>
      <w:pPr>
        <w:ind w:left="567" w:right="20" w:hanging="567"/>
        <w:spacing w:after="0" w:line="258" w:lineRule="auto"/>
        <w:tabs>
          <w:tab w:leader="none" w:pos="56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Company's objects are unrestricted. As provided by section 7(4) of the Companies Law (Revised), the Company has full power and authority to carry out any object not prohibited by any law of the Cayman Islands.</w:t>
      </w:r>
    </w:p>
    <w:p>
      <w:pPr>
        <w:spacing w:after="0" w:line="163" w:lineRule="exact"/>
        <w:rPr>
          <w:sz w:val="20"/>
          <w:szCs w:val="20"/>
          <w:color w:val="auto"/>
        </w:rPr>
      </w:pPr>
    </w:p>
    <w:p>
      <w:pPr>
        <w:ind w:left="567" w:hanging="567"/>
        <w:spacing w:after="0" w:line="258" w:lineRule="auto"/>
        <w:tabs>
          <w:tab w:leader="none" w:pos="567"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63" w:lineRule="exact"/>
        <w:rPr>
          <w:sz w:val="20"/>
          <w:szCs w:val="20"/>
          <w:color w:val="auto"/>
        </w:rPr>
      </w:pPr>
    </w:p>
    <w:p>
      <w:pPr>
        <w:ind w:left="567" w:hanging="567"/>
        <w:spacing w:after="0"/>
        <w:tabs>
          <w:tab w:leader="none" w:pos="567"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188" w:lineRule="exact"/>
        <w:rPr>
          <w:rFonts w:ascii="Arial" w:cs="Arial" w:eastAsia="Arial" w:hAnsi="Arial"/>
          <w:sz w:val="16"/>
          <w:szCs w:val="16"/>
          <w:color w:val="auto"/>
        </w:rPr>
      </w:pPr>
    </w:p>
    <w:p>
      <w:pPr>
        <w:ind w:left="1127" w:right="20" w:hanging="568"/>
        <w:spacing w:after="0" w:line="258" w:lineRule="auto"/>
        <w:tabs>
          <w:tab w:leader="none" w:pos="1127"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insurance business from within the Cayman Islands or the business of an insurance manager, agent, sub-agent or broker without being licensed in that behalf under the Insurance Law (Revised);or</w:t>
      </w:r>
    </w:p>
    <w:p>
      <w:pPr>
        <w:spacing w:after="0" w:line="162" w:lineRule="exact"/>
        <w:rPr>
          <w:rFonts w:ascii="Arial" w:cs="Arial" w:eastAsia="Arial" w:hAnsi="Arial"/>
          <w:sz w:val="16"/>
          <w:szCs w:val="16"/>
          <w:color w:val="auto"/>
        </w:rPr>
      </w:pPr>
    </w:p>
    <w:p>
      <w:pPr>
        <w:ind w:left="1127" w:hanging="568"/>
        <w:spacing w:after="0"/>
        <w:tabs>
          <w:tab w:leader="none" w:pos="1127"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business of company management without being licensed in that behalf under the Companies Management Law (Revised).</w:t>
      </w:r>
    </w:p>
    <w:p>
      <w:pPr>
        <w:spacing w:after="0" w:line="188" w:lineRule="exact"/>
        <w:rPr>
          <w:sz w:val="20"/>
          <w:szCs w:val="20"/>
          <w:color w:val="auto"/>
        </w:rPr>
      </w:pPr>
    </w:p>
    <w:p>
      <w:pPr>
        <w:jc w:val="both"/>
        <w:ind w:left="567" w:right="20" w:hanging="567"/>
        <w:spacing w:after="0" w:line="250" w:lineRule="auto"/>
        <w:tabs>
          <w:tab w:leader="none" w:pos="56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95" w:right="319" w:bottom="1440" w:gutter="0" w:footer="0" w:header="0"/>
        </w:sectPr>
      </w:pPr>
    </w:p>
    <w:bookmarkStart w:id="202" w:name="page203"/>
    <w:bookmarkEnd w:id="202"/>
    <w:p>
      <w:pPr>
        <w:ind w:left="567" w:hanging="567"/>
        <w:spacing w:after="0"/>
        <w:tabs>
          <w:tab w:leader="none" w:pos="567"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Company is a company limited by shares and accordingly the liability of each member is limited to the amount (if any) unpaid on that member's shares.</w:t>
      </w:r>
    </w:p>
    <w:p>
      <w:pPr>
        <w:spacing w:after="0" w:line="211" w:lineRule="exact"/>
        <w:rPr>
          <w:sz w:val="20"/>
          <w:szCs w:val="20"/>
          <w:color w:val="auto"/>
        </w:rPr>
      </w:pPr>
    </w:p>
    <w:p>
      <w:pPr>
        <w:jc w:val="both"/>
        <w:ind w:left="567" w:hanging="567"/>
        <w:spacing w:after="0" w:line="303" w:lineRule="auto"/>
        <w:tabs>
          <w:tab w:leader="none" w:pos="567"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spacing w:after="0" w:line="134" w:lineRule="exact"/>
        <w:rPr>
          <w:rFonts w:ascii="Arial" w:cs="Arial" w:eastAsia="Arial" w:hAnsi="Arial"/>
          <w:sz w:val="14"/>
          <w:szCs w:val="14"/>
          <w:color w:val="auto"/>
        </w:rPr>
      </w:pPr>
    </w:p>
    <w:p>
      <w:pPr>
        <w:ind w:left="1127" w:hanging="568"/>
        <w:spacing w:after="0"/>
        <w:tabs>
          <w:tab w:leader="none" w:pos="112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to redeem or repurchase any of its shares;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to increase or reduce its capital;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to issue any part of its capital (whether original, redeemed, increased or reduced):</w:t>
      </w:r>
    </w:p>
    <w:p>
      <w:pPr>
        <w:spacing w:after="0" w:line="188" w:lineRule="exact"/>
        <w:rPr>
          <w:rFonts w:ascii="Arial" w:cs="Arial" w:eastAsia="Arial" w:hAnsi="Arial"/>
          <w:sz w:val="16"/>
          <w:szCs w:val="16"/>
          <w:color w:val="auto"/>
        </w:rPr>
      </w:pPr>
    </w:p>
    <w:p>
      <w:pPr>
        <w:ind w:left="1667" w:hanging="550"/>
        <w:spacing w:after="0"/>
        <w:tabs>
          <w:tab w:leader="none" w:pos="1667" w:val="left"/>
        </w:tabs>
        <w:numPr>
          <w:ilvl w:val="2"/>
          <w:numId w:val="90"/>
        </w:numPr>
        <w:rPr>
          <w:rFonts w:ascii="Arial" w:cs="Arial" w:eastAsia="Arial" w:hAnsi="Arial"/>
          <w:sz w:val="16"/>
          <w:szCs w:val="16"/>
          <w:color w:val="auto"/>
        </w:rPr>
      </w:pPr>
      <w:r>
        <w:rPr>
          <w:rFonts w:ascii="Arial" w:cs="Arial" w:eastAsia="Arial" w:hAnsi="Arial"/>
          <w:sz w:val="16"/>
          <w:szCs w:val="16"/>
          <w:color w:val="auto"/>
        </w:rPr>
        <w:t>with or without any preferential, deferred, qualified or special rights, privileges or conditions; or</w:t>
      </w:r>
    </w:p>
    <w:p>
      <w:pPr>
        <w:spacing w:after="0" w:line="188" w:lineRule="exact"/>
        <w:rPr>
          <w:rFonts w:ascii="Arial" w:cs="Arial" w:eastAsia="Arial" w:hAnsi="Arial"/>
          <w:sz w:val="16"/>
          <w:szCs w:val="16"/>
          <w:color w:val="auto"/>
        </w:rPr>
      </w:pPr>
    </w:p>
    <w:p>
      <w:pPr>
        <w:ind w:left="1667" w:hanging="550"/>
        <w:spacing w:after="0"/>
        <w:tabs>
          <w:tab w:leader="none" w:pos="1667" w:val="left"/>
        </w:tabs>
        <w:numPr>
          <w:ilvl w:val="2"/>
          <w:numId w:val="90"/>
        </w:numPr>
        <w:rPr>
          <w:rFonts w:ascii="Arial" w:cs="Arial" w:eastAsia="Arial" w:hAnsi="Arial"/>
          <w:sz w:val="16"/>
          <w:szCs w:val="16"/>
          <w:color w:val="auto"/>
        </w:rPr>
      </w:pPr>
      <w:r>
        <w:rPr>
          <w:rFonts w:ascii="Arial" w:cs="Arial" w:eastAsia="Arial" w:hAnsi="Arial"/>
          <w:sz w:val="16"/>
          <w:szCs w:val="16"/>
          <w:color w:val="auto"/>
        </w:rPr>
        <w:t>subject to any limitations or restrictions</w:t>
      </w:r>
    </w:p>
    <w:p>
      <w:pPr>
        <w:spacing w:after="0" w:line="188" w:lineRule="exact"/>
        <w:rPr>
          <w:sz w:val="20"/>
          <w:szCs w:val="20"/>
          <w:color w:val="auto"/>
        </w:rPr>
      </w:pPr>
    </w:p>
    <w:p>
      <w:pPr>
        <w:ind w:left="1127" w:right="240"/>
        <w:spacing w:after="0" w:line="258" w:lineRule="auto"/>
        <w:rPr>
          <w:sz w:val="20"/>
          <w:szCs w:val="20"/>
          <w:color w:val="auto"/>
        </w:rPr>
      </w:pPr>
      <w:r>
        <w:rPr>
          <w:rFonts w:ascii="Arial" w:cs="Arial" w:eastAsia="Arial" w:hAnsi="Arial"/>
          <w:sz w:val="16"/>
          <w:szCs w:val="16"/>
          <w:color w:val="auto"/>
        </w:rPr>
        <w:t>and unless the condition of issue expressly declares otherwise, every issue of shares (whether declared to be ordinary, preference or otherwise) is subject to this power; or</w:t>
      </w:r>
    </w:p>
    <w:p>
      <w:pPr>
        <w:spacing w:after="0" w:line="163" w:lineRule="exact"/>
        <w:rPr>
          <w:sz w:val="20"/>
          <w:szCs w:val="20"/>
          <w:color w:val="auto"/>
        </w:rPr>
      </w:pPr>
    </w:p>
    <w:p>
      <w:pPr>
        <w:ind w:left="1127" w:hanging="568"/>
        <w:spacing w:after="0"/>
        <w:tabs>
          <w:tab w:leader="none" w:pos="112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alter any of those rights, privileges, conditions, limitations or restrictions.</w:t>
      </w:r>
    </w:p>
    <w:p>
      <w:pPr>
        <w:spacing w:after="0" w:line="188" w:lineRule="exact"/>
        <w:rPr>
          <w:sz w:val="20"/>
          <w:szCs w:val="20"/>
          <w:color w:val="auto"/>
        </w:rPr>
      </w:pPr>
    </w:p>
    <w:p>
      <w:pPr>
        <w:ind w:left="567" w:right="800" w:hanging="567"/>
        <w:spacing w:after="0" w:line="258" w:lineRule="auto"/>
        <w:tabs>
          <w:tab w:leader="none" w:pos="56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has power to register by way of continuation as a body corporate limited by shares under the laws of any jurisdiction outside the Cayman Islands and to be deregistered in the Cayman Islands.</w:t>
      </w: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687" w:right="339" w:bottom="1440" w:gutter="0" w:footer="0" w:header="0"/>
        </w:sectPr>
      </w:pPr>
    </w:p>
    <w:bookmarkStart w:id="203" w:name="page204"/>
    <w:bookmarkEnd w:id="203"/>
    <w:p>
      <w:pPr>
        <w:ind w:right="20"/>
        <w:spacing w:after="0" w:line="258" w:lineRule="auto"/>
        <w:rPr>
          <w:sz w:val="20"/>
          <w:szCs w:val="20"/>
          <w:color w:val="auto"/>
        </w:rPr>
      </w:pPr>
      <w:r>
        <w:rPr>
          <w:rFonts w:ascii="Arial" w:cs="Arial" w:eastAsia="Arial" w:hAnsi="Arial"/>
          <w:sz w:val="16"/>
          <w:szCs w:val="16"/>
          <w:color w:val="auto"/>
        </w:rPr>
        <w:t>We, the subscriber to this memorandum of association, wish to be formed into a company pursuant to this memorandum; and I agree to take the number of shares in the capital of the Company shown opposite my name in the table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Dated the 27 day of March, 2020.</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4860" w:type="dxa"/>
            <w:vAlign w:val="bottom"/>
            <w:tcBorders>
              <w:top w:val="single" w:sz="8" w:color="auto"/>
              <w:left w:val="single" w:sz="8" w:color="auto"/>
              <w:right w:val="single" w:sz="8" w:color="auto"/>
            </w:tcBorders>
            <w:shd w:val="clear" w:color="auto" w:fill="E6E6E6"/>
          </w:tcPr>
          <w:p>
            <w:pPr>
              <w:ind w:left="80"/>
              <w:spacing w:after="0" w:line="181" w:lineRule="exact"/>
              <w:rPr>
                <w:sz w:val="20"/>
                <w:szCs w:val="20"/>
                <w:color w:val="auto"/>
              </w:rPr>
            </w:pPr>
            <w:r>
              <w:rPr>
                <w:rFonts w:ascii="Arial" w:cs="Arial" w:eastAsia="Arial" w:hAnsi="Arial"/>
                <w:sz w:val="16"/>
                <w:szCs w:val="16"/>
                <w:b w:val="1"/>
                <w:bCs w:val="1"/>
                <w:color w:val="auto"/>
              </w:rPr>
              <w:t>Name and address of Subscriber</w:t>
            </w:r>
          </w:p>
        </w:tc>
        <w:tc>
          <w:tcPr>
            <w:tcW w:w="60" w:type="dxa"/>
            <w:vAlign w:val="bottom"/>
            <w:tcBorders>
              <w:top w:val="single" w:sz="8" w:color="auto"/>
            </w:tcBorders>
            <w:shd w:val="clear" w:color="auto" w:fill="E6E6E6"/>
          </w:tcPr>
          <w:p>
            <w:pPr>
              <w:spacing w:after="0"/>
              <w:rPr>
                <w:sz w:val="15"/>
                <w:szCs w:val="15"/>
                <w:color w:val="auto"/>
              </w:rPr>
            </w:pPr>
          </w:p>
        </w:tc>
        <w:tc>
          <w:tcPr>
            <w:tcW w:w="1860" w:type="dxa"/>
            <w:vAlign w:val="bottom"/>
            <w:tcBorders>
              <w:top w:val="single" w:sz="8" w:color="auto"/>
              <w:right w:val="single" w:sz="8" w:color="auto"/>
            </w:tcBorders>
            <w:shd w:val="clear" w:color="auto" w:fill="E6E6E6"/>
          </w:tcPr>
          <w:p>
            <w:pPr>
              <w:spacing w:after="0" w:line="181" w:lineRule="exact"/>
              <w:rPr>
                <w:sz w:val="20"/>
                <w:szCs w:val="20"/>
                <w:color w:val="auto"/>
              </w:rPr>
            </w:pPr>
            <w:r>
              <w:rPr>
                <w:rFonts w:ascii="Arial" w:cs="Arial" w:eastAsia="Arial" w:hAnsi="Arial"/>
                <w:sz w:val="16"/>
                <w:szCs w:val="16"/>
                <w:b w:val="1"/>
                <w:bCs w:val="1"/>
                <w:color w:val="auto"/>
              </w:rPr>
              <w:t>Number of shares</w:t>
            </w:r>
          </w:p>
        </w:tc>
        <w:tc>
          <w:tcPr>
            <w:tcW w:w="4480" w:type="dxa"/>
            <w:vAlign w:val="bottom"/>
            <w:tcBorders>
              <w:top w:val="single" w:sz="8" w:color="auto"/>
              <w:right w:val="single" w:sz="8" w:color="auto"/>
            </w:tcBorders>
            <w:gridSpan w:val="4"/>
            <w:shd w:val="clear" w:color="auto" w:fill="E6E6E6"/>
          </w:tcPr>
          <w:p>
            <w:pPr>
              <w:ind w:left="60"/>
              <w:spacing w:after="0" w:line="181" w:lineRule="exact"/>
              <w:rPr>
                <w:sz w:val="20"/>
                <w:szCs w:val="20"/>
                <w:color w:val="auto"/>
              </w:rPr>
            </w:pPr>
            <w:r>
              <w:rPr>
                <w:rFonts w:ascii="Arial" w:cs="Arial" w:eastAsia="Arial" w:hAnsi="Arial"/>
                <w:sz w:val="16"/>
                <w:szCs w:val="16"/>
                <w:b w:val="1"/>
                <w:bCs w:val="1"/>
                <w:color w:val="auto"/>
              </w:rPr>
              <w:t>Signature</w:t>
            </w:r>
          </w:p>
        </w:tc>
      </w:tr>
      <w:tr>
        <w:trPr>
          <w:trHeight w:val="202"/>
        </w:trPr>
        <w:tc>
          <w:tcPr>
            <w:tcW w:w="4860" w:type="dxa"/>
            <w:vAlign w:val="bottom"/>
            <w:tcBorders>
              <w:left w:val="single" w:sz="8" w:color="auto"/>
              <w:right w:val="single" w:sz="8" w:color="auto"/>
            </w:tcBorders>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60" w:type="dxa"/>
            <w:vAlign w:val="bottom"/>
            <w:tcBorders>
              <w:right w:val="single" w:sz="8" w:color="auto"/>
            </w:tcBorders>
            <w:shd w:val="clear" w:color="auto" w:fill="E6E6E6"/>
          </w:tcPr>
          <w:p>
            <w:pPr>
              <w:spacing w:after="0"/>
              <w:rPr>
                <w:sz w:val="20"/>
                <w:szCs w:val="20"/>
                <w:color w:val="auto"/>
              </w:rPr>
            </w:pPr>
            <w:r>
              <w:rPr>
                <w:rFonts w:ascii="Arial" w:cs="Arial" w:eastAsia="Arial" w:hAnsi="Arial"/>
                <w:sz w:val="16"/>
                <w:szCs w:val="16"/>
                <w:b w:val="1"/>
                <w:bCs w:val="1"/>
                <w:color w:val="auto"/>
              </w:rPr>
              <w:t>taken</w:t>
            </w:r>
          </w:p>
        </w:tc>
        <w:tc>
          <w:tcPr>
            <w:tcW w:w="20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380" w:type="dxa"/>
            <w:vAlign w:val="bottom"/>
            <w:shd w:val="clear" w:color="auto" w:fill="E6E6E6"/>
          </w:tcPr>
          <w:p>
            <w:pPr>
              <w:spacing w:after="0"/>
              <w:rPr>
                <w:sz w:val="17"/>
                <w:szCs w:val="17"/>
                <w:color w:val="auto"/>
              </w:rPr>
            </w:pPr>
          </w:p>
        </w:tc>
        <w:tc>
          <w:tcPr>
            <w:tcW w:w="1760" w:type="dxa"/>
            <w:vAlign w:val="bottom"/>
            <w:tcBorders>
              <w:right w:val="single" w:sz="8" w:color="auto"/>
            </w:tcBorders>
            <w:shd w:val="clear" w:color="auto" w:fill="E6E6E6"/>
          </w:tcPr>
          <w:p>
            <w:pPr>
              <w:spacing w:after="0"/>
              <w:rPr>
                <w:sz w:val="17"/>
                <w:szCs w:val="17"/>
                <w:color w:val="auto"/>
              </w:rPr>
            </w:pPr>
          </w:p>
        </w:tc>
      </w:tr>
      <w:tr>
        <w:trPr>
          <w:trHeight w:val="152"/>
        </w:trPr>
        <w:tc>
          <w:tcPr>
            <w:tcW w:w="4860" w:type="dxa"/>
            <w:vAlign w:val="bottom"/>
            <w:tcBorders>
              <w:left w:val="single" w:sz="8" w:color="auto"/>
              <w:bottom w:val="single" w:sz="8" w:color="auto"/>
              <w:right w:val="single" w:sz="8" w:color="auto"/>
            </w:tcBorders>
            <w:shd w:val="clear" w:color="auto" w:fill="E6E6E6"/>
          </w:tcPr>
          <w:p>
            <w:pPr>
              <w:spacing w:after="0"/>
              <w:rPr>
                <w:sz w:val="13"/>
                <w:szCs w:val="13"/>
                <w:color w:val="auto"/>
              </w:rPr>
            </w:pPr>
          </w:p>
        </w:tc>
        <w:tc>
          <w:tcPr>
            <w:tcW w:w="60" w:type="dxa"/>
            <w:vAlign w:val="bottom"/>
            <w:tcBorders>
              <w:bottom w:val="single" w:sz="8" w:color="auto"/>
            </w:tcBorders>
            <w:shd w:val="clear" w:color="auto" w:fill="E6E6E6"/>
          </w:tcPr>
          <w:p>
            <w:pPr>
              <w:spacing w:after="0"/>
              <w:rPr>
                <w:sz w:val="13"/>
                <w:szCs w:val="13"/>
                <w:color w:val="auto"/>
              </w:rPr>
            </w:pPr>
          </w:p>
        </w:tc>
        <w:tc>
          <w:tcPr>
            <w:tcW w:w="1860" w:type="dxa"/>
            <w:vAlign w:val="bottom"/>
            <w:tcBorders>
              <w:bottom w:val="single" w:sz="8" w:color="auto"/>
              <w:right w:val="single" w:sz="8" w:color="auto"/>
            </w:tcBorders>
            <w:shd w:val="clear" w:color="auto" w:fill="E6E6E6"/>
          </w:tcPr>
          <w:p>
            <w:pPr>
              <w:spacing w:after="0"/>
              <w:rPr>
                <w:sz w:val="13"/>
                <w:szCs w:val="13"/>
                <w:color w:val="auto"/>
              </w:rPr>
            </w:pPr>
          </w:p>
        </w:tc>
        <w:tc>
          <w:tcPr>
            <w:tcW w:w="200" w:type="dxa"/>
            <w:vAlign w:val="bottom"/>
            <w:tcBorders>
              <w:bottom w:val="single" w:sz="8" w:color="auto"/>
            </w:tcBorders>
            <w:shd w:val="clear" w:color="auto" w:fill="E6E6E6"/>
          </w:tcPr>
          <w:p>
            <w:pPr>
              <w:spacing w:after="0"/>
              <w:rPr>
                <w:sz w:val="13"/>
                <w:szCs w:val="13"/>
                <w:color w:val="auto"/>
              </w:rPr>
            </w:pPr>
          </w:p>
        </w:tc>
        <w:tc>
          <w:tcPr>
            <w:tcW w:w="140" w:type="dxa"/>
            <w:vAlign w:val="bottom"/>
            <w:tcBorders>
              <w:bottom w:val="single" w:sz="8" w:color="auto"/>
            </w:tcBorders>
            <w:shd w:val="clear" w:color="auto" w:fill="E6E6E6"/>
          </w:tcPr>
          <w:p>
            <w:pPr>
              <w:spacing w:after="0"/>
              <w:rPr>
                <w:sz w:val="13"/>
                <w:szCs w:val="13"/>
                <w:color w:val="auto"/>
              </w:rPr>
            </w:pPr>
          </w:p>
        </w:tc>
        <w:tc>
          <w:tcPr>
            <w:tcW w:w="2380" w:type="dxa"/>
            <w:vAlign w:val="bottom"/>
            <w:tcBorders>
              <w:bottom w:val="single" w:sz="8" w:color="auto"/>
            </w:tcBorders>
            <w:shd w:val="clear" w:color="auto" w:fill="E6E6E6"/>
          </w:tcPr>
          <w:p>
            <w:pPr>
              <w:spacing w:after="0"/>
              <w:rPr>
                <w:sz w:val="13"/>
                <w:szCs w:val="13"/>
                <w:color w:val="auto"/>
              </w:rPr>
            </w:pPr>
          </w:p>
        </w:tc>
        <w:tc>
          <w:tcPr>
            <w:tcW w:w="1760" w:type="dxa"/>
            <w:vAlign w:val="bottom"/>
            <w:tcBorders>
              <w:bottom w:val="single" w:sz="8" w:color="auto"/>
              <w:right w:val="single" w:sz="8" w:color="auto"/>
            </w:tcBorders>
            <w:shd w:val="clear" w:color="auto" w:fill="E6E6E6"/>
          </w:tcPr>
          <w:p>
            <w:pPr>
              <w:spacing w:after="0"/>
              <w:rPr>
                <w:sz w:val="13"/>
                <w:szCs w:val="13"/>
                <w:color w:val="auto"/>
              </w:rPr>
            </w:pPr>
          </w:p>
        </w:tc>
      </w:tr>
      <w:tr>
        <w:trPr>
          <w:trHeight w:val="167"/>
        </w:trPr>
        <w:tc>
          <w:tcPr>
            <w:tcW w:w="4860" w:type="dxa"/>
            <w:vAlign w:val="bottom"/>
            <w:tcBorders>
              <w:left w:val="single" w:sz="8" w:color="auto"/>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Ogier Global Subscriber (Cayman)</w:t>
            </w:r>
          </w:p>
        </w:tc>
        <w:tc>
          <w:tcPr>
            <w:tcW w:w="60" w:type="dxa"/>
            <w:vAlign w:val="bottom"/>
          </w:tcPr>
          <w:p>
            <w:pPr>
              <w:spacing w:after="0"/>
              <w:rPr>
                <w:sz w:val="14"/>
                <w:szCs w:val="14"/>
                <w:color w:val="auto"/>
              </w:rPr>
            </w:pPr>
          </w:p>
        </w:tc>
        <w:tc>
          <w:tcPr>
            <w:tcW w:w="186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1 Class B Ordinary 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62"/>
        </w:trPr>
        <w:tc>
          <w:tcPr>
            <w:tcW w:w="486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Limited</w:t>
            </w:r>
          </w:p>
        </w:tc>
        <w:tc>
          <w:tcPr>
            <w:tcW w:w="60" w:type="dxa"/>
            <w:vAlign w:val="bottom"/>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4480" w:type="dxa"/>
            <w:vAlign w:val="bottom"/>
            <w:tcBorders>
              <w:right w:val="single" w:sz="8" w:color="auto"/>
            </w:tcBorders>
            <w:gridSpan w:val="4"/>
          </w:tcPr>
          <w:p>
            <w:pPr>
              <w:ind w:left="60"/>
              <w:spacing w:after="0" w:line="162" w:lineRule="exact"/>
              <w:rPr>
                <w:sz w:val="20"/>
                <w:szCs w:val="20"/>
                <w:color w:val="auto"/>
              </w:rPr>
            </w:pPr>
            <w:r>
              <w:rPr>
                <w:rFonts w:ascii="Arial" w:cs="Arial" w:eastAsia="Arial" w:hAnsi="Arial"/>
                <w:sz w:val="16"/>
                <w:szCs w:val="16"/>
                <w:color w:val="auto"/>
              </w:rPr>
              <w:t>per: /s/ Brad Conolly</w:t>
            </w:r>
          </w:p>
        </w:tc>
      </w:tr>
      <w:tr>
        <w:trPr>
          <w:trHeight w:val="20"/>
        </w:trPr>
        <w:tc>
          <w:tcPr>
            <w:tcW w:w="48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r>
      <w:tr>
        <w:trPr>
          <w:trHeight w:val="190"/>
        </w:trPr>
        <w:tc>
          <w:tcPr>
            <w:tcW w:w="4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89 Nexus Way</w:t>
            </w:r>
          </w:p>
        </w:tc>
        <w:tc>
          <w:tcPr>
            <w:tcW w:w="60" w:type="dxa"/>
            <w:vAlign w:val="bottom"/>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4"/>
          </w:tcPr>
          <w:p>
            <w:pPr>
              <w:ind w:left="60"/>
              <w:spacing w:after="0"/>
              <w:rPr>
                <w:sz w:val="20"/>
                <w:szCs w:val="20"/>
                <w:color w:val="auto"/>
              </w:rPr>
            </w:pPr>
            <w:r>
              <w:rPr>
                <w:rFonts w:ascii="Arial" w:cs="Arial" w:eastAsia="Arial" w:hAnsi="Arial"/>
                <w:sz w:val="16"/>
                <w:szCs w:val="16"/>
                <w:color w:val="auto"/>
              </w:rPr>
              <w:t>Name: Brad Conolly</w:t>
            </w:r>
          </w:p>
        </w:tc>
      </w:tr>
      <w:tr>
        <w:trPr>
          <w:trHeight w:val="186"/>
        </w:trPr>
        <w:tc>
          <w:tcPr>
            <w:tcW w:w="4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Camana Bay</w:t>
            </w:r>
          </w:p>
        </w:tc>
        <w:tc>
          <w:tcPr>
            <w:tcW w:w="60" w:type="dxa"/>
            <w:vAlign w:val="bottom"/>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4"/>
          </w:tcPr>
          <w:p>
            <w:pPr>
              <w:ind w:left="60"/>
              <w:spacing w:after="0"/>
              <w:rPr>
                <w:sz w:val="20"/>
                <w:szCs w:val="20"/>
                <w:color w:val="auto"/>
              </w:rPr>
            </w:pPr>
            <w:r>
              <w:rPr>
                <w:rFonts w:ascii="Arial" w:cs="Arial" w:eastAsia="Arial" w:hAnsi="Arial"/>
                <w:sz w:val="16"/>
                <w:szCs w:val="16"/>
                <w:color w:val="auto"/>
              </w:rPr>
              <w:t>Authorised Signatory</w:t>
            </w:r>
          </w:p>
        </w:tc>
      </w:tr>
      <w:tr>
        <w:trPr>
          <w:trHeight w:val="186"/>
        </w:trPr>
        <w:tc>
          <w:tcPr>
            <w:tcW w:w="4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Grand Cayman, KY1-9009</w:t>
            </w:r>
          </w:p>
        </w:tc>
        <w:tc>
          <w:tcPr>
            <w:tcW w:w="60" w:type="dxa"/>
            <w:vAlign w:val="bottom"/>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96"/>
        </w:trPr>
        <w:tc>
          <w:tcPr>
            <w:tcW w:w="4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Cayman Islands</w:t>
            </w:r>
          </w:p>
        </w:tc>
        <w:tc>
          <w:tcPr>
            <w:tcW w:w="6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233"/>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r>
      <w:tr>
        <w:trPr>
          <w:trHeight w:val="194"/>
        </w:trPr>
        <w:tc>
          <w:tcPr>
            <w:tcW w:w="4860" w:type="dxa"/>
            <w:vAlign w:val="bottom"/>
            <w:tcBorders>
              <w:left w:val="single" w:sz="8" w:color="auto"/>
              <w:right w:val="single" w:sz="8" w:color="auto"/>
            </w:tcBorders>
            <w:shd w:val="clear" w:color="auto" w:fill="E6E6E6"/>
          </w:tcPr>
          <w:p>
            <w:pPr>
              <w:ind w:left="80"/>
              <w:spacing w:after="0"/>
              <w:rPr>
                <w:sz w:val="20"/>
                <w:szCs w:val="20"/>
                <w:color w:val="auto"/>
              </w:rPr>
            </w:pPr>
            <w:r>
              <w:rPr>
                <w:rFonts w:ascii="Arial" w:cs="Arial" w:eastAsia="Arial" w:hAnsi="Arial"/>
                <w:sz w:val="16"/>
                <w:szCs w:val="16"/>
                <w:b w:val="1"/>
                <w:bCs w:val="1"/>
                <w:color w:val="auto"/>
              </w:rPr>
              <w:t>Witness to above signature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321"/>
        </w:trPr>
        <w:tc>
          <w:tcPr>
            <w:tcW w:w="4860" w:type="dxa"/>
            <w:vAlign w:val="bottom"/>
            <w:tcBorders>
              <w:left w:val="single" w:sz="8" w:color="auto"/>
              <w:bottom w:val="single" w:sz="8" w:color="E6E6E6"/>
              <w:right w:val="single" w:sz="8" w:color="auto"/>
            </w:tcBorders>
            <w:shd w:val="clear" w:color="auto" w:fill="E6E6E6"/>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Vashti Ramgeet</w:t>
            </w: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201"/>
        </w:trPr>
        <w:tc>
          <w:tcPr>
            <w:tcW w:w="4860" w:type="dxa"/>
            <w:vAlign w:val="bottom"/>
            <w:tcBorders>
              <w:left w:val="single" w:sz="8" w:color="auto"/>
              <w:right w:val="single" w:sz="8" w:color="auto"/>
            </w:tcBorders>
            <w:shd w:val="clear" w:color="auto" w:fill="E6E6E6"/>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Name:Vashti Ramgeet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362"/>
        </w:trPr>
        <w:tc>
          <w:tcPr>
            <w:tcW w:w="4860" w:type="dxa"/>
            <w:vAlign w:val="bottom"/>
            <w:tcBorders>
              <w:left w:val="single" w:sz="8" w:color="auto"/>
              <w:right w:val="single" w:sz="8" w:color="auto"/>
            </w:tcBorders>
            <w:shd w:val="clear" w:color="auto" w:fill="E6E6E6"/>
          </w:tcPr>
          <w:p>
            <w:pPr>
              <w:spacing w:after="0"/>
              <w:rPr>
                <w:sz w:val="24"/>
                <w:szCs w:val="24"/>
                <w:color w:val="auto"/>
              </w:rPr>
            </w:pPr>
          </w:p>
        </w:tc>
        <w:tc>
          <w:tcPr>
            <w:tcW w:w="60" w:type="dxa"/>
            <w:vAlign w:val="bottom"/>
          </w:tcPr>
          <w:p>
            <w:pPr>
              <w:spacing w:after="0"/>
              <w:rPr>
                <w:sz w:val="24"/>
                <w:szCs w:val="24"/>
                <w:color w:val="auto"/>
              </w:rPr>
            </w:pPr>
          </w:p>
        </w:tc>
        <w:tc>
          <w:tcPr>
            <w:tcW w:w="634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Ogier Global Subscriber (Cayman)</w:t>
            </w:r>
          </w:p>
        </w:tc>
      </w:tr>
      <w:tr>
        <w:trPr>
          <w:trHeight w:val="186"/>
        </w:trPr>
        <w:tc>
          <w:tcPr>
            <w:tcW w:w="4860" w:type="dxa"/>
            <w:vAlign w:val="bottom"/>
            <w:tcBorders>
              <w:left w:val="single" w:sz="8" w:color="auto"/>
              <w:right w:val="single" w:sz="8" w:color="auto"/>
            </w:tcBorders>
            <w:shd w:val="clear" w:color="auto" w:fill="E6E6E6"/>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Limited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86"/>
        </w:trPr>
        <w:tc>
          <w:tcPr>
            <w:tcW w:w="4860" w:type="dxa"/>
            <w:vAlign w:val="bottom"/>
            <w:tcBorders>
              <w:left w:val="single" w:sz="8" w:color="auto"/>
              <w:right w:val="single" w:sz="8" w:color="auto"/>
            </w:tcBorders>
            <w:shd w:val="clear" w:color="auto" w:fill="E6E6E6"/>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89 Nexus Way</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86"/>
        </w:trPr>
        <w:tc>
          <w:tcPr>
            <w:tcW w:w="4860" w:type="dxa"/>
            <w:vAlign w:val="bottom"/>
            <w:tcBorders>
              <w:left w:val="single" w:sz="8" w:color="auto"/>
              <w:right w:val="single" w:sz="8" w:color="auto"/>
            </w:tcBorders>
            <w:shd w:val="clear" w:color="auto" w:fill="E6E6E6"/>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Camana Bay</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86"/>
        </w:trPr>
        <w:tc>
          <w:tcPr>
            <w:tcW w:w="4860" w:type="dxa"/>
            <w:vAlign w:val="bottom"/>
            <w:tcBorders>
              <w:left w:val="single" w:sz="8" w:color="auto"/>
              <w:right w:val="single" w:sz="8" w:color="auto"/>
            </w:tcBorders>
            <w:shd w:val="clear" w:color="auto" w:fill="E6E6E6"/>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w w:val="96"/>
              </w:rPr>
              <w:t>Grand Cayman, KY1-9009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196"/>
        </w:trPr>
        <w:tc>
          <w:tcPr>
            <w:tcW w:w="4860" w:type="dxa"/>
            <w:vAlign w:val="bottom"/>
            <w:tcBorders>
              <w:left w:val="single" w:sz="8" w:color="auto"/>
              <w:right w:val="single" w:sz="8" w:color="auto"/>
            </w:tcBorders>
            <w:shd w:val="clear" w:color="auto" w:fill="E6E6E6"/>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Cayman Islands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r>
      <w:tr>
        <w:trPr>
          <w:trHeight w:val="372"/>
        </w:trPr>
        <w:tc>
          <w:tcPr>
            <w:tcW w:w="4860" w:type="dxa"/>
            <w:vAlign w:val="bottom"/>
            <w:tcBorders>
              <w:left w:val="single" w:sz="8" w:color="auto"/>
              <w:right w:val="single" w:sz="8" w:color="auto"/>
            </w:tcBorders>
            <w:shd w:val="clear" w:color="auto" w:fill="E6E6E6"/>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6"/>
                <w:szCs w:val="16"/>
                <w:color w:val="auto"/>
                <w:w w:val="98"/>
              </w:rPr>
              <w:t>Occupation: Administrator</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187"/>
        </w:trPr>
        <w:tc>
          <w:tcPr>
            <w:tcW w:w="4860" w:type="dxa"/>
            <w:vAlign w:val="bottom"/>
            <w:tcBorders>
              <w:left w:val="single" w:sz="8" w:color="auto"/>
              <w:bottom w:val="single" w:sz="8" w:color="auto"/>
              <w:right w:val="single" w:sz="8" w:color="auto"/>
            </w:tcBorders>
            <w:shd w:val="clear" w:color="auto" w:fill="E6E6E6"/>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6"/>
          <w:szCs w:val="16"/>
          <w:color w:val="auto"/>
        </w:rPr>
        <w:t>Dated 27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Companies Law Revised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366395</wp:posOffset>
            </wp:positionV>
            <wp:extent cx="286639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28663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ARTICLES OF ASSOCIATION OF</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134620</wp:posOffset>
            </wp:positionV>
            <wp:extent cx="286639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86639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836295</wp:posOffset>
            </wp:positionV>
            <wp:extent cx="7151370" cy="146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8260" w:type="dxa"/>
            <w:vAlign w:val="bottom"/>
          </w:tcPr>
          <w:p>
            <w:pPr>
              <w:ind w:left="4880"/>
              <w:spacing w:after="0"/>
              <w:rPr>
                <w:sz w:val="20"/>
                <w:szCs w:val="20"/>
                <w:color w:val="auto"/>
              </w:rPr>
            </w:pPr>
            <w:r>
              <w:rPr>
                <w:rFonts w:ascii="Arial" w:cs="Arial" w:eastAsia="Arial" w:hAnsi="Arial"/>
                <w:sz w:val="16"/>
                <w:szCs w:val="16"/>
                <w:b w:val="1"/>
                <w:bCs w:val="1"/>
                <w:color w:val="auto"/>
              </w:rPr>
              <w:t>CONTENTS</w:t>
            </w:r>
          </w:p>
        </w:tc>
        <w:tc>
          <w:tcPr>
            <w:tcW w:w="2680" w:type="dxa"/>
            <w:vAlign w:val="bottom"/>
          </w:tcPr>
          <w:p>
            <w:pPr>
              <w:spacing w:after="0"/>
              <w:rPr>
                <w:sz w:val="17"/>
                <w:szCs w:val="17"/>
                <w:color w:val="auto"/>
              </w:rPr>
            </w:pPr>
          </w:p>
        </w:tc>
      </w:tr>
      <w:tr>
        <w:trPr>
          <w:trHeight w:val="362"/>
        </w:trPr>
        <w:tc>
          <w:tcPr>
            <w:tcW w:w="320" w:type="dxa"/>
            <w:vAlign w:val="bottom"/>
          </w:tcPr>
          <w:p>
            <w:pPr>
              <w:spacing w:after="0"/>
              <w:rPr>
                <w:sz w:val="20"/>
                <w:szCs w:val="20"/>
                <w:color w:val="auto"/>
              </w:rPr>
            </w:pPr>
            <w:r>
              <w:rPr>
                <w:rFonts w:ascii="Arial" w:cs="Arial" w:eastAsia="Arial" w:hAnsi="Arial"/>
                <w:sz w:val="16"/>
                <w:szCs w:val="16"/>
                <w:b w:val="1"/>
                <w:bCs w:val="1"/>
                <w:color w:val="auto"/>
              </w:rPr>
              <w:t>1</w:t>
            </w:r>
          </w:p>
        </w:tc>
        <w:tc>
          <w:tcPr>
            <w:tcW w:w="8260" w:type="dxa"/>
            <w:vAlign w:val="bottom"/>
          </w:tcPr>
          <w:p>
            <w:pPr>
              <w:ind w:left="240"/>
              <w:spacing w:after="0"/>
              <w:rPr>
                <w:sz w:val="20"/>
                <w:szCs w:val="20"/>
                <w:color w:val="auto"/>
              </w:rPr>
            </w:pPr>
            <w:r>
              <w:rPr>
                <w:rFonts w:ascii="Arial" w:cs="Arial" w:eastAsia="Arial" w:hAnsi="Arial"/>
                <w:sz w:val="16"/>
                <w:szCs w:val="16"/>
                <w:b w:val="1"/>
                <w:bCs w:val="1"/>
                <w:color w:val="auto"/>
              </w:rPr>
              <w:t>Definitions, interpretation and exclusion of Table A</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Definitions</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Interpretation</w:t>
            </w:r>
          </w:p>
        </w:tc>
        <w:tc>
          <w:tcPr>
            <w:tcW w:w="2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rPr>
              <w:t>Exclusion of Table A Articles</w:t>
            </w:r>
          </w:p>
        </w:tc>
        <w:tc>
          <w:tcPr>
            <w:tcW w:w="2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62"/>
        </w:trPr>
        <w:tc>
          <w:tcPr>
            <w:tcW w:w="320" w:type="dxa"/>
            <w:vAlign w:val="bottom"/>
          </w:tcPr>
          <w:p>
            <w:pPr>
              <w:spacing w:after="0"/>
              <w:rPr>
                <w:sz w:val="20"/>
                <w:szCs w:val="20"/>
                <w:color w:val="auto"/>
              </w:rPr>
            </w:pPr>
            <w:r>
              <w:rPr>
                <w:rFonts w:ascii="Arial" w:cs="Arial" w:eastAsia="Arial" w:hAnsi="Arial"/>
                <w:sz w:val="16"/>
                <w:szCs w:val="16"/>
                <w:b w:val="1"/>
                <w:bCs w:val="1"/>
                <w:color w:val="auto"/>
              </w:rPr>
              <w:t>2</w:t>
            </w:r>
          </w:p>
        </w:tc>
        <w:tc>
          <w:tcPr>
            <w:tcW w:w="8260" w:type="dxa"/>
            <w:vAlign w:val="bottom"/>
          </w:tcPr>
          <w:p>
            <w:pPr>
              <w:ind w:left="240"/>
              <w:spacing w:after="0"/>
              <w:rPr>
                <w:sz w:val="20"/>
                <w:szCs w:val="20"/>
                <w:color w:val="auto"/>
              </w:rPr>
            </w:pPr>
            <w:r>
              <w:rPr>
                <w:rFonts w:ascii="Arial" w:cs="Arial" w:eastAsia="Arial" w:hAnsi="Arial"/>
                <w:sz w:val="16"/>
                <w:szCs w:val="16"/>
                <w:b w:val="1"/>
                <w:bCs w:val="1"/>
                <w:color w:val="auto"/>
              </w:rPr>
              <w:t>Shares</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issue Shares and options, with or without special rights</w:t>
            </w:r>
          </w:p>
        </w:tc>
        <w:tc>
          <w:tcPr>
            <w:tcW w:w="2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issue fractions of a Share</w:t>
            </w:r>
          </w:p>
        </w:tc>
        <w:tc>
          <w:tcPr>
            <w:tcW w:w="2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pay commissions and brokerage fees</w:t>
            </w:r>
          </w:p>
        </w:tc>
        <w:tc>
          <w:tcPr>
            <w:tcW w:w="2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Trusts not recognised</w:t>
            </w:r>
          </w:p>
        </w:tc>
        <w:tc>
          <w:tcPr>
            <w:tcW w:w="2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vary class rights</w:t>
            </w:r>
          </w:p>
        </w:tc>
        <w:tc>
          <w:tcPr>
            <w:tcW w:w="2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Effect of new Share issue on existing class rights</w:t>
            </w:r>
          </w:p>
        </w:tc>
        <w:tc>
          <w:tcPr>
            <w:tcW w:w="2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Capital contributions without issue of further Shares</w:t>
            </w:r>
          </w:p>
        </w:tc>
        <w:tc>
          <w:tcPr>
            <w:tcW w:w="2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No bearer Shares or warrants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Treasury Shares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rPr>
              <w:t>Rights attaching to Treasury Shares and related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2"/>
        </w:trPr>
        <w:tc>
          <w:tcPr>
            <w:tcW w:w="320" w:type="dxa"/>
            <w:vAlign w:val="bottom"/>
          </w:tcPr>
          <w:p>
            <w:pPr>
              <w:spacing w:after="0"/>
              <w:rPr>
                <w:sz w:val="20"/>
                <w:szCs w:val="20"/>
                <w:color w:val="auto"/>
              </w:rPr>
            </w:pPr>
            <w:r>
              <w:rPr>
                <w:rFonts w:ascii="Arial" w:cs="Arial" w:eastAsia="Arial" w:hAnsi="Arial"/>
                <w:sz w:val="16"/>
                <w:szCs w:val="16"/>
                <w:b w:val="1"/>
                <w:bCs w:val="1"/>
                <w:color w:val="auto"/>
              </w:rPr>
              <w:t>3</w:t>
            </w:r>
          </w:p>
        </w:tc>
        <w:tc>
          <w:tcPr>
            <w:tcW w:w="8260" w:type="dxa"/>
            <w:vAlign w:val="bottom"/>
          </w:tcPr>
          <w:p>
            <w:pPr>
              <w:ind w:left="240"/>
              <w:spacing w:after="0"/>
              <w:rPr>
                <w:sz w:val="20"/>
                <w:szCs w:val="20"/>
                <w:color w:val="auto"/>
              </w:rPr>
            </w:pPr>
            <w:r>
              <w:rPr>
                <w:rFonts w:ascii="Arial" w:cs="Arial" w:eastAsia="Arial" w:hAnsi="Arial"/>
                <w:sz w:val="16"/>
                <w:szCs w:val="16"/>
                <w:b w:val="1"/>
                <w:bCs w:val="1"/>
                <w:color w:val="auto"/>
              </w:rPr>
              <w:t>Share certificates</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Issue of share certificates</w:t>
            </w:r>
          </w:p>
        </w:tc>
        <w:tc>
          <w:tcPr>
            <w:tcW w:w="2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rPr>
              <w:t>Renewal of lost or damaged share certificates</w:t>
            </w:r>
          </w:p>
        </w:tc>
        <w:tc>
          <w:tcPr>
            <w:tcW w:w="2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62"/>
        </w:trPr>
        <w:tc>
          <w:tcPr>
            <w:tcW w:w="320" w:type="dxa"/>
            <w:vAlign w:val="bottom"/>
          </w:tcPr>
          <w:p>
            <w:pPr>
              <w:spacing w:after="0"/>
              <w:rPr>
                <w:sz w:val="20"/>
                <w:szCs w:val="20"/>
                <w:color w:val="auto"/>
              </w:rPr>
            </w:pPr>
            <w:r>
              <w:rPr>
                <w:rFonts w:ascii="Arial" w:cs="Arial" w:eastAsia="Arial" w:hAnsi="Arial"/>
                <w:sz w:val="16"/>
                <w:szCs w:val="16"/>
                <w:b w:val="1"/>
                <w:bCs w:val="1"/>
                <w:color w:val="auto"/>
              </w:rPr>
              <w:t>4</w:t>
            </w:r>
          </w:p>
        </w:tc>
        <w:tc>
          <w:tcPr>
            <w:tcW w:w="8260" w:type="dxa"/>
            <w:vAlign w:val="bottom"/>
          </w:tcPr>
          <w:p>
            <w:pPr>
              <w:ind w:left="240"/>
              <w:spacing w:after="0"/>
              <w:rPr>
                <w:sz w:val="20"/>
                <w:szCs w:val="20"/>
                <w:color w:val="auto"/>
              </w:rPr>
            </w:pPr>
            <w:r>
              <w:rPr>
                <w:rFonts w:ascii="Arial" w:cs="Arial" w:eastAsia="Arial" w:hAnsi="Arial"/>
                <w:sz w:val="16"/>
                <w:szCs w:val="16"/>
                <w:b w:val="1"/>
                <w:bCs w:val="1"/>
                <w:color w:val="auto"/>
              </w:rPr>
              <w:t>Lien on Shares</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Nature and scope of lien</w:t>
            </w:r>
          </w:p>
        </w:tc>
        <w:tc>
          <w:tcPr>
            <w:tcW w:w="2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Company may sell Shares to satisfy lien</w:t>
            </w:r>
          </w:p>
        </w:tc>
        <w:tc>
          <w:tcPr>
            <w:tcW w:w="2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Authority to execute instrument of transfer</w:t>
            </w:r>
          </w:p>
        </w:tc>
        <w:tc>
          <w:tcPr>
            <w:tcW w:w="2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Consequences of sale of Shares to satisfy lien</w:t>
            </w:r>
          </w:p>
        </w:tc>
        <w:tc>
          <w:tcPr>
            <w:tcW w:w="2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rPr>
              <w:t>Application of proceeds of sale</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62"/>
        </w:trPr>
        <w:tc>
          <w:tcPr>
            <w:tcW w:w="320" w:type="dxa"/>
            <w:vAlign w:val="bottom"/>
          </w:tcPr>
          <w:p>
            <w:pPr>
              <w:spacing w:after="0"/>
              <w:rPr>
                <w:sz w:val="20"/>
                <w:szCs w:val="20"/>
                <w:color w:val="auto"/>
              </w:rPr>
            </w:pPr>
            <w:r>
              <w:rPr>
                <w:rFonts w:ascii="Arial" w:cs="Arial" w:eastAsia="Arial" w:hAnsi="Arial"/>
                <w:sz w:val="16"/>
                <w:szCs w:val="16"/>
                <w:b w:val="1"/>
                <w:bCs w:val="1"/>
                <w:color w:val="auto"/>
              </w:rPr>
              <w:t>5</w:t>
            </w:r>
          </w:p>
        </w:tc>
        <w:tc>
          <w:tcPr>
            <w:tcW w:w="8260" w:type="dxa"/>
            <w:vAlign w:val="bottom"/>
          </w:tcPr>
          <w:p>
            <w:pPr>
              <w:ind w:left="240"/>
              <w:spacing w:after="0"/>
              <w:rPr>
                <w:sz w:val="20"/>
                <w:szCs w:val="20"/>
                <w:color w:val="auto"/>
              </w:rPr>
            </w:pPr>
            <w:r>
              <w:rPr>
                <w:rFonts w:ascii="Arial" w:cs="Arial" w:eastAsia="Arial" w:hAnsi="Arial"/>
                <w:sz w:val="16"/>
                <w:szCs w:val="16"/>
                <w:b w:val="1"/>
                <w:bCs w:val="1"/>
                <w:color w:val="auto"/>
              </w:rPr>
              <w:t>Calls on Shares and forfeiture</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make calls and effect of calls</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Time when call made</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Liability of joint holders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Interest on unpaid calls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Deemed calls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accept early payment</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make different arrangements at time of issue of Shares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Notice of default</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Forfeiture or surrender of Shares</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Disposal of forfeited or surrendered Share and power to cancel forfeiture or surrender</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Effect of forfeiture or surrender on former Member</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Evidence of forfeiture or surrender</w:t>
            </w:r>
          </w:p>
        </w:tc>
        <w:tc>
          <w:tcPr>
            <w:tcW w:w="2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rPr>
              <w:t>Sale of forfeited or surrendered Shares</w:t>
            </w:r>
          </w:p>
        </w:tc>
        <w:tc>
          <w:tcPr>
            <w:tcW w:w="2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62"/>
        </w:trPr>
        <w:tc>
          <w:tcPr>
            <w:tcW w:w="320" w:type="dxa"/>
            <w:vAlign w:val="bottom"/>
          </w:tcPr>
          <w:p>
            <w:pPr>
              <w:spacing w:after="0"/>
              <w:rPr>
                <w:sz w:val="20"/>
                <w:szCs w:val="20"/>
                <w:color w:val="auto"/>
              </w:rPr>
            </w:pPr>
            <w:r>
              <w:rPr>
                <w:rFonts w:ascii="Arial" w:cs="Arial" w:eastAsia="Arial" w:hAnsi="Arial"/>
                <w:sz w:val="16"/>
                <w:szCs w:val="16"/>
                <w:b w:val="1"/>
                <w:bCs w:val="1"/>
                <w:color w:val="auto"/>
              </w:rPr>
              <w:t>6</w:t>
            </w:r>
          </w:p>
        </w:tc>
        <w:tc>
          <w:tcPr>
            <w:tcW w:w="8260" w:type="dxa"/>
            <w:vAlign w:val="bottom"/>
          </w:tcPr>
          <w:p>
            <w:pPr>
              <w:ind w:left="240"/>
              <w:spacing w:after="0"/>
              <w:rPr>
                <w:sz w:val="20"/>
                <w:szCs w:val="20"/>
                <w:color w:val="auto"/>
              </w:rPr>
            </w:pPr>
            <w:r>
              <w:rPr>
                <w:rFonts w:ascii="Arial" w:cs="Arial" w:eastAsia="Arial" w:hAnsi="Arial"/>
                <w:sz w:val="16"/>
                <w:szCs w:val="16"/>
                <w:b w:val="1"/>
                <w:bCs w:val="1"/>
                <w:color w:val="auto"/>
              </w:rPr>
              <w:t>Transfer of Shares</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Form of transfer</w:t>
            </w:r>
          </w:p>
        </w:tc>
        <w:tc>
          <w:tcPr>
            <w:tcW w:w="2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Power to refuse registration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rPr>
              <w:t>Notice of refusal to register</w:t>
            </w:r>
          </w:p>
        </w:tc>
        <w:tc>
          <w:tcPr>
            <w:tcW w:w="2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527"/>
        </w:trPr>
        <w:tc>
          <w:tcPr>
            <w:tcW w:w="32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9" w:right="31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Power to suspend registration</w:t>
            </w:r>
          </w:p>
        </w:tc>
        <w:tc>
          <w:tcPr>
            <w:tcW w:w="3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Fee, if any, payable for registration</w:t>
            </w:r>
          </w:p>
        </w:tc>
        <w:tc>
          <w:tcPr>
            <w:tcW w:w="3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Company may retain instrument of transfer</w:t>
            </w:r>
          </w:p>
        </w:tc>
        <w:tc>
          <w:tcPr>
            <w:tcW w:w="3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7</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Transmission of Shares</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Persons entitled on death of a Member</w:t>
            </w:r>
          </w:p>
        </w:tc>
        <w:tc>
          <w:tcPr>
            <w:tcW w:w="3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Registration of transfer of a Share following death or bankruptcy</w:t>
            </w:r>
          </w:p>
        </w:tc>
        <w:tc>
          <w:tcPr>
            <w:tcW w:w="3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Indemnity</w:t>
            </w:r>
          </w:p>
        </w:tc>
        <w:tc>
          <w:tcPr>
            <w:tcW w:w="3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Rights of person entitled to a Share following death or bankruptcy</w:t>
            </w:r>
          </w:p>
        </w:tc>
        <w:tc>
          <w:tcPr>
            <w:tcW w:w="3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8</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Alteration of capital</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Increasing, consolidating, converting, dividing and cancelling share capital</w:t>
            </w:r>
          </w:p>
        </w:tc>
        <w:tc>
          <w:tcPr>
            <w:tcW w:w="3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Dealing with fractions resulting from consolidation of Shares</w:t>
            </w:r>
          </w:p>
        </w:tc>
        <w:tc>
          <w:tcPr>
            <w:tcW w:w="3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Reducing share capital</w:t>
            </w:r>
          </w:p>
        </w:tc>
        <w:tc>
          <w:tcPr>
            <w:tcW w:w="3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9</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Redemption and purchase of own Shares</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Power to issue redeemable Shares and to purchase own Shares</w:t>
            </w:r>
          </w:p>
        </w:tc>
        <w:tc>
          <w:tcPr>
            <w:tcW w:w="3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Power to pay for redemption or purchase in cash or in specie</w:t>
            </w:r>
          </w:p>
        </w:tc>
        <w:tc>
          <w:tcPr>
            <w:tcW w:w="33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Effect of redemption or purchase of a Share</w:t>
            </w:r>
          </w:p>
        </w:tc>
        <w:tc>
          <w:tcPr>
            <w:tcW w:w="33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72"/>
        </w:trPr>
        <w:tc>
          <w:tcPr>
            <w:tcW w:w="540" w:type="dxa"/>
            <w:vAlign w:val="bottom"/>
          </w:tcPr>
          <w:p>
            <w:pPr>
              <w:spacing w:after="0"/>
              <w:rPr>
                <w:sz w:val="20"/>
                <w:szCs w:val="20"/>
                <w:color w:val="auto"/>
              </w:rPr>
            </w:pPr>
            <w:r>
              <w:rPr>
                <w:rFonts w:ascii="Arial" w:cs="Arial" w:eastAsia="Arial" w:hAnsi="Arial"/>
                <w:sz w:val="16"/>
                <w:szCs w:val="16"/>
                <w:b w:val="1"/>
                <w:bCs w:val="1"/>
                <w:color w:val="auto"/>
              </w:rPr>
              <w:t>10</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Repurchase of Subscriber Share</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11</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Meetings of Members</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Power to call meetings</w:t>
            </w:r>
          </w:p>
        </w:tc>
        <w:tc>
          <w:tcPr>
            <w:tcW w:w="33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Content of notice</w:t>
            </w:r>
          </w:p>
        </w:tc>
        <w:tc>
          <w:tcPr>
            <w:tcW w:w="33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Period of notice</w:t>
            </w:r>
          </w:p>
        </w:tc>
        <w:tc>
          <w:tcPr>
            <w:tcW w:w="3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Persons entitled to receive notice</w:t>
            </w:r>
          </w:p>
        </w:tc>
        <w:tc>
          <w:tcPr>
            <w:tcW w:w="3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Publication of notice on a website</w:t>
            </w:r>
          </w:p>
        </w:tc>
        <w:tc>
          <w:tcPr>
            <w:tcW w:w="3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Time a website notice is deemed to be given</w:t>
            </w:r>
          </w:p>
        </w:tc>
        <w:tc>
          <w:tcPr>
            <w:tcW w:w="3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Required duration of publication on a website</w:t>
            </w:r>
          </w:p>
        </w:tc>
        <w:tc>
          <w:tcPr>
            <w:tcW w:w="33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Accidental omission to give notice or non-receipt of notice</w:t>
            </w:r>
          </w:p>
        </w:tc>
        <w:tc>
          <w:tcPr>
            <w:tcW w:w="33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12</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Proceedings at meetings of Members</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186"/>
        </w:trPr>
        <w:tc>
          <w:tcPr>
            <w:tcW w:w="540" w:type="dxa"/>
            <w:vAlign w:val="bottom"/>
          </w:tcPr>
          <w:p>
            <w:pPr>
              <w:spacing w:after="0"/>
              <w:rPr>
                <w:sz w:val="20"/>
                <w:szCs w:val="20"/>
                <w:color w:val="auto"/>
              </w:rPr>
            </w:pPr>
            <w:r>
              <w:rPr>
                <w:rFonts w:ascii="Arial" w:cs="Arial" w:eastAsia="Arial" w:hAnsi="Arial"/>
                <w:sz w:val="16"/>
                <w:szCs w:val="16"/>
                <w:color w:val="auto"/>
                <w:w w:val="89"/>
              </w:rPr>
              <w:t>Quorum</w:t>
            </w:r>
          </w:p>
        </w:tc>
        <w:tc>
          <w:tcPr>
            <w:tcW w:w="7340" w:type="dxa"/>
            <w:vAlign w:val="bottom"/>
          </w:tcPr>
          <w:p>
            <w:pPr>
              <w:spacing w:after="0"/>
              <w:rPr>
                <w:sz w:val="16"/>
                <w:szCs w:val="16"/>
                <w:color w:val="auto"/>
              </w:rPr>
            </w:pPr>
          </w:p>
        </w:tc>
        <w:tc>
          <w:tcPr>
            <w:tcW w:w="33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Lack of quorum</w:t>
            </w:r>
          </w:p>
        </w:tc>
        <w:tc>
          <w:tcPr>
            <w:tcW w:w="33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Use of technology</w:t>
            </w:r>
          </w:p>
        </w:tc>
        <w:tc>
          <w:tcPr>
            <w:tcW w:w="3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Chairman</w:t>
            </w:r>
          </w:p>
        </w:tc>
        <w:tc>
          <w:tcPr>
            <w:tcW w:w="3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Right of a director to attend and speak</w:t>
            </w:r>
          </w:p>
        </w:tc>
        <w:tc>
          <w:tcPr>
            <w:tcW w:w="3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Adjournment</w:t>
            </w:r>
          </w:p>
        </w:tc>
        <w:tc>
          <w:tcPr>
            <w:tcW w:w="3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Method of voting</w:t>
            </w:r>
          </w:p>
        </w:tc>
        <w:tc>
          <w:tcPr>
            <w:tcW w:w="3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Outcome of vote by show of hands</w:t>
            </w:r>
          </w:p>
        </w:tc>
        <w:tc>
          <w:tcPr>
            <w:tcW w:w="3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Withdrawal of demand for a poll</w:t>
            </w:r>
          </w:p>
        </w:tc>
        <w:tc>
          <w:tcPr>
            <w:tcW w:w="3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Taking of a poll</w:t>
            </w:r>
          </w:p>
        </w:tc>
        <w:tc>
          <w:tcPr>
            <w:tcW w:w="3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Chairman’s casting vote</w:t>
            </w:r>
          </w:p>
        </w:tc>
        <w:tc>
          <w:tcPr>
            <w:tcW w:w="3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Amendments to resolutions</w:t>
            </w:r>
          </w:p>
        </w:tc>
        <w:tc>
          <w:tcPr>
            <w:tcW w:w="3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6"/>
        </w:trPr>
        <w:tc>
          <w:tcPr>
            <w:tcW w:w="7880" w:type="dxa"/>
            <w:vAlign w:val="bottom"/>
            <w:gridSpan w:val="2"/>
          </w:tcPr>
          <w:p>
            <w:pPr>
              <w:spacing w:after="0"/>
              <w:rPr>
                <w:sz w:val="20"/>
                <w:szCs w:val="20"/>
                <w:color w:val="auto"/>
              </w:rPr>
            </w:pPr>
            <w:r>
              <w:rPr>
                <w:rFonts w:ascii="Arial" w:cs="Arial" w:eastAsia="Arial" w:hAnsi="Arial"/>
                <w:sz w:val="16"/>
                <w:szCs w:val="16"/>
                <w:color w:val="auto"/>
              </w:rPr>
              <w:t>Written resolutions</w:t>
            </w:r>
          </w:p>
        </w:tc>
        <w:tc>
          <w:tcPr>
            <w:tcW w:w="33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Sole-member company</w:t>
            </w:r>
          </w:p>
        </w:tc>
        <w:tc>
          <w:tcPr>
            <w:tcW w:w="3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13</w:t>
            </w:r>
          </w:p>
        </w:tc>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Voting rights of Members</w:t>
            </w:r>
          </w:p>
        </w:tc>
        <w:tc>
          <w:tcPr>
            <w:tcW w:w="338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196"/>
        </w:trPr>
        <w:tc>
          <w:tcPr>
            <w:tcW w:w="7880" w:type="dxa"/>
            <w:vAlign w:val="bottom"/>
            <w:gridSpan w:val="2"/>
          </w:tcPr>
          <w:p>
            <w:pPr>
              <w:spacing w:after="0"/>
              <w:rPr>
                <w:sz w:val="20"/>
                <w:szCs w:val="20"/>
                <w:color w:val="auto"/>
              </w:rPr>
            </w:pPr>
            <w:r>
              <w:rPr>
                <w:rFonts w:ascii="Arial" w:cs="Arial" w:eastAsia="Arial" w:hAnsi="Arial"/>
                <w:sz w:val="16"/>
                <w:szCs w:val="16"/>
                <w:color w:val="auto"/>
              </w:rPr>
              <w:t>Right to vote</w:t>
            </w:r>
          </w:p>
        </w:tc>
        <w:tc>
          <w:tcPr>
            <w:tcW w:w="3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527"/>
        </w:trPr>
        <w:tc>
          <w:tcPr>
            <w:tcW w:w="5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1" w:right="31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Rights of joint holders</w:t>
            </w:r>
          </w:p>
        </w:tc>
        <w:tc>
          <w:tcPr>
            <w:tcW w:w="3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Representation of corporate Members</w:t>
            </w:r>
          </w:p>
        </w:tc>
        <w:tc>
          <w:tcPr>
            <w:tcW w:w="3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Member with mental disorder</w:t>
            </w:r>
          </w:p>
        </w:tc>
        <w:tc>
          <w:tcPr>
            <w:tcW w:w="3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Objections to admissibility of votes</w:t>
            </w:r>
          </w:p>
        </w:tc>
        <w:tc>
          <w:tcPr>
            <w:tcW w:w="3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Form of proxy</w:t>
            </w:r>
          </w:p>
        </w:tc>
        <w:tc>
          <w:tcPr>
            <w:tcW w:w="3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How and when proxy is to be delivered</w:t>
            </w:r>
          </w:p>
        </w:tc>
        <w:tc>
          <w:tcPr>
            <w:tcW w:w="3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7700" w:type="dxa"/>
            <w:vAlign w:val="bottom"/>
            <w:gridSpan w:val="2"/>
          </w:tcPr>
          <w:p>
            <w:pPr>
              <w:spacing w:after="0"/>
              <w:rPr>
                <w:sz w:val="20"/>
                <w:szCs w:val="20"/>
                <w:color w:val="auto"/>
              </w:rPr>
            </w:pPr>
            <w:r>
              <w:rPr>
                <w:rFonts w:ascii="Arial" w:cs="Arial" w:eastAsia="Arial" w:hAnsi="Arial"/>
                <w:sz w:val="16"/>
                <w:szCs w:val="16"/>
                <w:color w:val="auto"/>
              </w:rPr>
              <w:t>Voting by proxy</w:t>
            </w:r>
          </w:p>
        </w:tc>
        <w:tc>
          <w:tcPr>
            <w:tcW w:w="3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72"/>
        </w:trPr>
        <w:tc>
          <w:tcPr>
            <w:tcW w:w="540" w:type="dxa"/>
            <w:vAlign w:val="bottom"/>
          </w:tcPr>
          <w:p>
            <w:pPr>
              <w:spacing w:after="0"/>
              <w:rPr>
                <w:sz w:val="20"/>
                <w:szCs w:val="20"/>
                <w:color w:val="auto"/>
              </w:rPr>
            </w:pPr>
            <w:r>
              <w:rPr>
                <w:rFonts w:ascii="Arial" w:cs="Arial" w:eastAsia="Arial" w:hAnsi="Arial"/>
                <w:sz w:val="16"/>
                <w:szCs w:val="16"/>
                <w:b w:val="1"/>
                <w:bCs w:val="1"/>
                <w:color w:val="auto"/>
              </w:rPr>
              <w:t>14</w:t>
            </w: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Number of directors</w:t>
            </w:r>
          </w:p>
        </w:tc>
        <w:tc>
          <w:tcPr>
            <w:tcW w:w="356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15</w:t>
            </w: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Appointment, disqualification and removal of directors</w:t>
            </w:r>
          </w:p>
        </w:tc>
        <w:tc>
          <w:tcPr>
            <w:tcW w:w="356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First directors</w:t>
            </w:r>
          </w:p>
        </w:tc>
        <w:tc>
          <w:tcPr>
            <w:tcW w:w="3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No age limit</w:t>
            </w:r>
          </w:p>
        </w:tc>
        <w:tc>
          <w:tcPr>
            <w:tcW w:w="3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Corporate directors</w:t>
            </w:r>
          </w:p>
        </w:tc>
        <w:tc>
          <w:tcPr>
            <w:tcW w:w="3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No shareholding qualification</w:t>
            </w:r>
          </w:p>
        </w:tc>
        <w:tc>
          <w:tcPr>
            <w:tcW w:w="3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Appointment of directors</w:t>
            </w:r>
          </w:p>
        </w:tc>
        <w:tc>
          <w:tcPr>
            <w:tcW w:w="35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Removal of directors</w:t>
            </w:r>
          </w:p>
        </w:tc>
        <w:tc>
          <w:tcPr>
            <w:tcW w:w="35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Resignation of directors</w:t>
            </w:r>
          </w:p>
        </w:tc>
        <w:tc>
          <w:tcPr>
            <w:tcW w:w="35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6"/>
        </w:trPr>
        <w:tc>
          <w:tcPr>
            <w:tcW w:w="7700" w:type="dxa"/>
            <w:vAlign w:val="bottom"/>
            <w:gridSpan w:val="2"/>
          </w:tcPr>
          <w:p>
            <w:pPr>
              <w:spacing w:after="0"/>
              <w:rPr>
                <w:sz w:val="20"/>
                <w:szCs w:val="20"/>
                <w:color w:val="auto"/>
              </w:rPr>
            </w:pPr>
            <w:r>
              <w:rPr>
                <w:rFonts w:ascii="Arial" w:cs="Arial" w:eastAsia="Arial" w:hAnsi="Arial"/>
                <w:sz w:val="16"/>
                <w:szCs w:val="16"/>
                <w:color w:val="auto"/>
              </w:rPr>
              <w:t>Termination of the office of director</w:t>
            </w:r>
          </w:p>
        </w:tc>
        <w:tc>
          <w:tcPr>
            <w:tcW w:w="35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16</w:t>
            </w: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Alternate directors</w:t>
            </w:r>
          </w:p>
        </w:tc>
        <w:tc>
          <w:tcPr>
            <w:tcW w:w="356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Appointment and removal</w:t>
            </w:r>
          </w:p>
        </w:tc>
        <w:tc>
          <w:tcPr>
            <w:tcW w:w="35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6"/>
        </w:trPr>
        <w:tc>
          <w:tcPr>
            <w:tcW w:w="540" w:type="dxa"/>
            <w:vAlign w:val="bottom"/>
          </w:tcPr>
          <w:p>
            <w:pPr>
              <w:spacing w:after="0"/>
              <w:rPr>
                <w:sz w:val="20"/>
                <w:szCs w:val="20"/>
                <w:color w:val="auto"/>
              </w:rPr>
            </w:pPr>
            <w:r>
              <w:rPr>
                <w:rFonts w:ascii="Arial" w:cs="Arial" w:eastAsia="Arial" w:hAnsi="Arial"/>
                <w:sz w:val="16"/>
                <w:szCs w:val="16"/>
                <w:color w:val="auto"/>
                <w:w w:val="97"/>
              </w:rPr>
              <w:t>Notices</w:t>
            </w:r>
          </w:p>
        </w:tc>
        <w:tc>
          <w:tcPr>
            <w:tcW w:w="7160" w:type="dxa"/>
            <w:vAlign w:val="bottom"/>
          </w:tcPr>
          <w:p>
            <w:pPr>
              <w:spacing w:after="0"/>
              <w:rPr>
                <w:sz w:val="16"/>
                <w:szCs w:val="16"/>
                <w:color w:val="auto"/>
              </w:rPr>
            </w:pPr>
          </w:p>
        </w:tc>
        <w:tc>
          <w:tcPr>
            <w:tcW w:w="3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Rights of alternate director</w:t>
            </w:r>
          </w:p>
        </w:tc>
        <w:tc>
          <w:tcPr>
            <w:tcW w:w="3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Appointment ceases when the appointor ceases to be a director</w:t>
            </w:r>
          </w:p>
        </w:tc>
        <w:tc>
          <w:tcPr>
            <w:tcW w:w="3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Status of alternate director</w:t>
            </w:r>
          </w:p>
        </w:tc>
        <w:tc>
          <w:tcPr>
            <w:tcW w:w="3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7700" w:type="dxa"/>
            <w:vAlign w:val="bottom"/>
            <w:gridSpan w:val="2"/>
          </w:tcPr>
          <w:p>
            <w:pPr>
              <w:spacing w:after="0"/>
              <w:rPr>
                <w:sz w:val="20"/>
                <w:szCs w:val="20"/>
                <w:color w:val="auto"/>
              </w:rPr>
            </w:pPr>
            <w:r>
              <w:rPr>
                <w:rFonts w:ascii="Arial" w:cs="Arial" w:eastAsia="Arial" w:hAnsi="Arial"/>
                <w:sz w:val="16"/>
                <w:szCs w:val="16"/>
                <w:color w:val="auto"/>
              </w:rPr>
              <w:t>Status of the director making the appointment</w:t>
            </w:r>
          </w:p>
        </w:tc>
        <w:tc>
          <w:tcPr>
            <w:tcW w:w="3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17</w:t>
            </w: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Powers of directors</w:t>
            </w:r>
          </w:p>
        </w:tc>
        <w:tc>
          <w:tcPr>
            <w:tcW w:w="356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Powers of directors</w:t>
            </w:r>
          </w:p>
        </w:tc>
        <w:tc>
          <w:tcPr>
            <w:tcW w:w="3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Appointments to office</w:t>
            </w:r>
          </w:p>
        </w:tc>
        <w:tc>
          <w:tcPr>
            <w:tcW w:w="3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Remuneration</w:t>
            </w:r>
          </w:p>
        </w:tc>
        <w:tc>
          <w:tcPr>
            <w:tcW w:w="35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6"/>
        </w:trPr>
        <w:tc>
          <w:tcPr>
            <w:tcW w:w="7700" w:type="dxa"/>
            <w:vAlign w:val="bottom"/>
            <w:gridSpan w:val="2"/>
          </w:tcPr>
          <w:p>
            <w:pPr>
              <w:spacing w:after="0"/>
              <w:rPr>
                <w:sz w:val="20"/>
                <w:szCs w:val="20"/>
                <w:color w:val="auto"/>
              </w:rPr>
            </w:pPr>
            <w:r>
              <w:rPr>
                <w:rFonts w:ascii="Arial" w:cs="Arial" w:eastAsia="Arial" w:hAnsi="Arial"/>
                <w:sz w:val="16"/>
                <w:szCs w:val="16"/>
                <w:color w:val="auto"/>
              </w:rPr>
              <w:t>Disclosure of information</w:t>
            </w:r>
          </w:p>
        </w:tc>
        <w:tc>
          <w:tcPr>
            <w:tcW w:w="3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18</w:t>
            </w: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Delegation of powers</w:t>
            </w:r>
          </w:p>
        </w:tc>
        <w:tc>
          <w:tcPr>
            <w:tcW w:w="356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Power to delegate any of the directors’ powers to a committee</w:t>
            </w:r>
          </w:p>
        </w:tc>
        <w:tc>
          <w:tcPr>
            <w:tcW w:w="3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Power to appoint an agent of the Company</w:t>
            </w:r>
          </w:p>
        </w:tc>
        <w:tc>
          <w:tcPr>
            <w:tcW w:w="3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Power to appoint an attorney or authorised signatory of the Company</w:t>
            </w:r>
          </w:p>
        </w:tc>
        <w:tc>
          <w:tcPr>
            <w:tcW w:w="3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6"/>
        </w:trPr>
        <w:tc>
          <w:tcPr>
            <w:tcW w:w="7700" w:type="dxa"/>
            <w:vAlign w:val="bottom"/>
            <w:gridSpan w:val="2"/>
          </w:tcPr>
          <w:p>
            <w:pPr>
              <w:spacing w:after="0"/>
              <w:rPr>
                <w:sz w:val="20"/>
                <w:szCs w:val="20"/>
                <w:color w:val="auto"/>
              </w:rPr>
            </w:pPr>
            <w:r>
              <w:rPr>
                <w:rFonts w:ascii="Arial" w:cs="Arial" w:eastAsia="Arial" w:hAnsi="Arial"/>
                <w:sz w:val="16"/>
                <w:szCs w:val="16"/>
                <w:color w:val="auto"/>
              </w:rPr>
              <w:t>Power to appoint a proxy</w:t>
            </w:r>
          </w:p>
        </w:tc>
        <w:tc>
          <w:tcPr>
            <w:tcW w:w="3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62"/>
        </w:trPr>
        <w:tc>
          <w:tcPr>
            <w:tcW w:w="540" w:type="dxa"/>
            <w:vAlign w:val="bottom"/>
          </w:tcPr>
          <w:p>
            <w:pPr>
              <w:spacing w:after="0"/>
              <w:rPr>
                <w:sz w:val="20"/>
                <w:szCs w:val="20"/>
                <w:color w:val="auto"/>
              </w:rPr>
            </w:pPr>
            <w:r>
              <w:rPr>
                <w:rFonts w:ascii="Arial" w:cs="Arial" w:eastAsia="Arial" w:hAnsi="Arial"/>
                <w:sz w:val="16"/>
                <w:szCs w:val="16"/>
                <w:b w:val="1"/>
                <w:bCs w:val="1"/>
                <w:color w:val="auto"/>
              </w:rPr>
              <w:t>19</w:t>
            </w: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Meetings of directors</w:t>
            </w:r>
          </w:p>
        </w:tc>
        <w:tc>
          <w:tcPr>
            <w:tcW w:w="356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Regulation of directors’ meetings</w:t>
            </w:r>
          </w:p>
        </w:tc>
        <w:tc>
          <w:tcPr>
            <w:tcW w:w="3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Calling meetings</w:t>
            </w:r>
          </w:p>
        </w:tc>
        <w:tc>
          <w:tcPr>
            <w:tcW w:w="3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Notice of meetings</w:t>
            </w:r>
          </w:p>
        </w:tc>
        <w:tc>
          <w:tcPr>
            <w:tcW w:w="3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Period of notice</w:t>
            </w:r>
          </w:p>
        </w:tc>
        <w:tc>
          <w:tcPr>
            <w:tcW w:w="35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Use of technology</w:t>
            </w:r>
          </w:p>
        </w:tc>
        <w:tc>
          <w:tcPr>
            <w:tcW w:w="35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6"/>
        </w:trPr>
        <w:tc>
          <w:tcPr>
            <w:tcW w:w="7700" w:type="dxa"/>
            <w:vAlign w:val="bottom"/>
            <w:gridSpan w:val="2"/>
          </w:tcPr>
          <w:p>
            <w:pPr>
              <w:spacing w:after="0"/>
              <w:rPr>
                <w:sz w:val="20"/>
                <w:szCs w:val="20"/>
                <w:color w:val="auto"/>
              </w:rPr>
            </w:pPr>
            <w:r>
              <w:rPr>
                <w:rFonts w:ascii="Arial" w:cs="Arial" w:eastAsia="Arial" w:hAnsi="Arial"/>
                <w:sz w:val="16"/>
                <w:szCs w:val="16"/>
                <w:color w:val="auto"/>
              </w:rPr>
              <w:t>Place of meetings</w:t>
            </w:r>
          </w:p>
        </w:tc>
        <w:tc>
          <w:tcPr>
            <w:tcW w:w="35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6"/>
        </w:trPr>
        <w:tc>
          <w:tcPr>
            <w:tcW w:w="540" w:type="dxa"/>
            <w:vAlign w:val="bottom"/>
          </w:tcPr>
          <w:p>
            <w:pPr>
              <w:spacing w:after="0"/>
              <w:rPr>
                <w:sz w:val="20"/>
                <w:szCs w:val="20"/>
                <w:color w:val="auto"/>
              </w:rPr>
            </w:pPr>
            <w:r>
              <w:rPr>
                <w:rFonts w:ascii="Arial" w:cs="Arial" w:eastAsia="Arial" w:hAnsi="Arial"/>
                <w:sz w:val="16"/>
                <w:szCs w:val="16"/>
                <w:color w:val="auto"/>
                <w:w w:val="89"/>
              </w:rPr>
              <w:t>Quorum</w:t>
            </w:r>
          </w:p>
        </w:tc>
        <w:tc>
          <w:tcPr>
            <w:tcW w:w="7160" w:type="dxa"/>
            <w:vAlign w:val="bottom"/>
          </w:tcPr>
          <w:p>
            <w:pPr>
              <w:spacing w:after="0"/>
              <w:rPr>
                <w:sz w:val="16"/>
                <w:szCs w:val="16"/>
                <w:color w:val="auto"/>
              </w:rPr>
            </w:pPr>
          </w:p>
        </w:tc>
        <w:tc>
          <w:tcPr>
            <w:tcW w:w="35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Voting</w:t>
            </w:r>
          </w:p>
        </w:tc>
        <w:tc>
          <w:tcPr>
            <w:tcW w:w="7160" w:type="dxa"/>
            <w:vAlign w:val="bottom"/>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527"/>
        </w:trPr>
        <w:tc>
          <w:tcPr>
            <w:tcW w:w="5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1" w:right="31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6"/>
                <w:szCs w:val="16"/>
                <w:color w:val="auto"/>
                <w:w w:val="96"/>
              </w:rPr>
              <w:t>Validity</w:t>
            </w:r>
          </w:p>
        </w:tc>
        <w:tc>
          <w:tcPr>
            <w:tcW w:w="7740" w:type="dxa"/>
            <w:vAlign w:val="bottom"/>
          </w:tcPr>
          <w:p>
            <w:pPr>
              <w:spacing w:after="0"/>
              <w:rPr>
                <w:sz w:val="16"/>
                <w:szCs w:val="16"/>
                <w:color w:val="auto"/>
              </w:rPr>
            </w:pPr>
          </w:p>
        </w:tc>
        <w:tc>
          <w:tcPr>
            <w:tcW w:w="30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Recording of Dissent</w:t>
            </w:r>
          </w:p>
        </w:tc>
        <w:tc>
          <w:tcPr>
            <w:tcW w:w="30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Written resolutions</w:t>
            </w:r>
          </w:p>
        </w:tc>
        <w:tc>
          <w:tcPr>
            <w:tcW w:w="3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Sole director’s minute</w:t>
            </w:r>
          </w:p>
        </w:tc>
        <w:tc>
          <w:tcPr>
            <w:tcW w:w="3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20</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Permissible directors’ interests and disclosure</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Permissible interests subject to disclosure</w:t>
            </w:r>
          </w:p>
        </w:tc>
        <w:tc>
          <w:tcPr>
            <w:tcW w:w="3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Notification of interests</w:t>
            </w:r>
          </w:p>
        </w:tc>
        <w:tc>
          <w:tcPr>
            <w:tcW w:w="30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Voting where a director is interested in a matter</w:t>
            </w:r>
          </w:p>
        </w:tc>
        <w:tc>
          <w:tcPr>
            <w:tcW w:w="30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72"/>
        </w:trPr>
        <w:tc>
          <w:tcPr>
            <w:tcW w:w="520" w:type="dxa"/>
            <w:vAlign w:val="bottom"/>
          </w:tcPr>
          <w:p>
            <w:pPr>
              <w:spacing w:after="0"/>
              <w:rPr>
                <w:sz w:val="20"/>
                <w:szCs w:val="20"/>
                <w:color w:val="auto"/>
              </w:rPr>
            </w:pPr>
            <w:r>
              <w:rPr>
                <w:rFonts w:ascii="Arial" w:cs="Arial" w:eastAsia="Arial" w:hAnsi="Arial"/>
                <w:sz w:val="16"/>
                <w:szCs w:val="16"/>
                <w:b w:val="1"/>
                <w:bCs w:val="1"/>
                <w:color w:val="auto"/>
              </w:rPr>
              <w:t>21</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Minutes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22</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Accounts and audit</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Accounting and other records</w:t>
            </w:r>
          </w:p>
        </w:tc>
        <w:tc>
          <w:tcPr>
            <w:tcW w:w="30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No automatic right of inspection</w:t>
            </w:r>
          </w:p>
        </w:tc>
        <w:tc>
          <w:tcPr>
            <w:tcW w:w="30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Sending of accounts and reports</w:t>
            </w:r>
          </w:p>
        </w:tc>
        <w:tc>
          <w:tcPr>
            <w:tcW w:w="30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Time of receipt if documents are published on a website</w:t>
            </w:r>
          </w:p>
        </w:tc>
        <w:tc>
          <w:tcPr>
            <w:tcW w:w="30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Validity despite accidental error in publication on website</w:t>
            </w:r>
          </w:p>
        </w:tc>
        <w:tc>
          <w:tcPr>
            <w:tcW w:w="30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When accounts are to be audited</w:t>
            </w:r>
          </w:p>
        </w:tc>
        <w:tc>
          <w:tcPr>
            <w:tcW w:w="30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72"/>
        </w:trPr>
        <w:tc>
          <w:tcPr>
            <w:tcW w:w="520" w:type="dxa"/>
            <w:vAlign w:val="bottom"/>
          </w:tcPr>
          <w:p>
            <w:pPr>
              <w:spacing w:after="0"/>
              <w:rPr>
                <w:sz w:val="20"/>
                <w:szCs w:val="20"/>
                <w:color w:val="auto"/>
              </w:rPr>
            </w:pPr>
            <w:r>
              <w:rPr>
                <w:rFonts w:ascii="Arial" w:cs="Arial" w:eastAsia="Arial" w:hAnsi="Arial"/>
                <w:sz w:val="16"/>
                <w:szCs w:val="16"/>
                <w:b w:val="1"/>
                <w:bCs w:val="1"/>
                <w:color w:val="auto"/>
              </w:rPr>
              <w:t>23</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Financial year</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372"/>
        </w:trPr>
        <w:tc>
          <w:tcPr>
            <w:tcW w:w="520" w:type="dxa"/>
            <w:vAlign w:val="bottom"/>
          </w:tcPr>
          <w:p>
            <w:pPr>
              <w:spacing w:after="0"/>
              <w:rPr>
                <w:sz w:val="20"/>
                <w:szCs w:val="20"/>
                <w:color w:val="auto"/>
              </w:rPr>
            </w:pPr>
            <w:r>
              <w:rPr>
                <w:rFonts w:ascii="Arial" w:cs="Arial" w:eastAsia="Arial" w:hAnsi="Arial"/>
                <w:sz w:val="16"/>
                <w:szCs w:val="16"/>
                <w:b w:val="1"/>
                <w:bCs w:val="1"/>
                <w:color w:val="auto"/>
              </w:rPr>
              <w:t>24</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Record dates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25</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Dividends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Declaration of dividends by Members</w:t>
            </w:r>
          </w:p>
        </w:tc>
        <w:tc>
          <w:tcPr>
            <w:tcW w:w="30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Payment of interim dividends and declaration of final dividends by directors</w:t>
            </w:r>
          </w:p>
        </w:tc>
        <w:tc>
          <w:tcPr>
            <w:tcW w:w="30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Apportionment of dividends</w:t>
            </w:r>
          </w:p>
        </w:tc>
        <w:tc>
          <w:tcPr>
            <w:tcW w:w="30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Right of set off</w:t>
            </w:r>
          </w:p>
        </w:tc>
        <w:tc>
          <w:tcPr>
            <w:tcW w:w="30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Power to pay other than in cash</w:t>
            </w:r>
          </w:p>
        </w:tc>
        <w:tc>
          <w:tcPr>
            <w:tcW w:w="30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How payments may be made</w:t>
            </w:r>
          </w:p>
        </w:tc>
        <w:tc>
          <w:tcPr>
            <w:tcW w:w="30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Dividends or other moneys not to bear interest in absence of special rights</w:t>
            </w:r>
          </w:p>
        </w:tc>
        <w:tc>
          <w:tcPr>
            <w:tcW w:w="30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Dividends unable to be paid or unclaimed</w:t>
            </w:r>
          </w:p>
        </w:tc>
        <w:tc>
          <w:tcPr>
            <w:tcW w:w="30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26</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Capitalisation of profits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Capitalisation of profits or of any share premium account or capital redemption reserve</w:t>
            </w:r>
          </w:p>
        </w:tc>
        <w:tc>
          <w:tcPr>
            <w:tcW w:w="30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Applying an amount for the benefit of members</w:t>
            </w:r>
          </w:p>
        </w:tc>
        <w:tc>
          <w:tcPr>
            <w:tcW w:w="3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27</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Share premium account</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Directors to maintain share premium account</w:t>
            </w:r>
          </w:p>
        </w:tc>
        <w:tc>
          <w:tcPr>
            <w:tcW w:w="3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Debits to share premium account</w:t>
            </w:r>
          </w:p>
        </w:tc>
        <w:tc>
          <w:tcPr>
            <w:tcW w:w="3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28</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Seal</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Company seal</w:t>
            </w:r>
          </w:p>
        </w:tc>
        <w:tc>
          <w:tcPr>
            <w:tcW w:w="3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Duplicate seal</w:t>
            </w:r>
          </w:p>
        </w:tc>
        <w:tc>
          <w:tcPr>
            <w:tcW w:w="3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When and how seal is to be used</w:t>
            </w:r>
          </w:p>
        </w:tc>
        <w:tc>
          <w:tcPr>
            <w:tcW w:w="3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If no seal is adopted or used</w:t>
            </w:r>
          </w:p>
        </w:tc>
        <w:tc>
          <w:tcPr>
            <w:tcW w:w="3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6"/>
        </w:trPr>
        <w:tc>
          <w:tcPr>
            <w:tcW w:w="8260" w:type="dxa"/>
            <w:vAlign w:val="bottom"/>
            <w:gridSpan w:val="2"/>
          </w:tcPr>
          <w:p>
            <w:pPr>
              <w:spacing w:after="0"/>
              <w:rPr>
                <w:sz w:val="20"/>
                <w:szCs w:val="20"/>
                <w:color w:val="auto"/>
              </w:rPr>
            </w:pPr>
            <w:r>
              <w:rPr>
                <w:rFonts w:ascii="Arial" w:cs="Arial" w:eastAsia="Arial" w:hAnsi="Arial"/>
                <w:sz w:val="16"/>
                <w:szCs w:val="16"/>
                <w:color w:val="auto"/>
              </w:rPr>
              <w:t>Power to allow non-manual signatures and facsimile printing of seal</w:t>
            </w:r>
          </w:p>
        </w:tc>
        <w:tc>
          <w:tcPr>
            <w:tcW w:w="3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Validity of execution</w:t>
            </w:r>
          </w:p>
        </w:tc>
        <w:tc>
          <w:tcPr>
            <w:tcW w:w="3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29</w:t>
            </w:r>
          </w:p>
        </w:tc>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Indemnity</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196"/>
        </w:trPr>
        <w:tc>
          <w:tcPr>
            <w:tcW w:w="8260" w:type="dxa"/>
            <w:vAlign w:val="bottom"/>
            <w:gridSpan w:val="2"/>
          </w:tcPr>
          <w:p>
            <w:pPr>
              <w:spacing w:after="0"/>
              <w:rPr>
                <w:sz w:val="20"/>
                <w:szCs w:val="20"/>
                <w:color w:val="auto"/>
              </w:rPr>
            </w:pPr>
            <w:r>
              <w:rPr>
                <w:rFonts w:ascii="Arial" w:cs="Arial" w:eastAsia="Arial" w:hAnsi="Arial"/>
                <w:sz w:val="16"/>
                <w:szCs w:val="16"/>
                <w:color w:val="auto"/>
              </w:rPr>
              <w:t>Indemnity</w:t>
            </w:r>
          </w:p>
        </w:tc>
        <w:tc>
          <w:tcPr>
            <w:tcW w:w="3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527"/>
        </w:trPr>
        <w:tc>
          <w:tcPr>
            <w:tcW w:w="5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1" w:right="31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6"/>
                <w:szCs w:val="16"/>
                <w:color w:val="auto"/>
                <w:w w:val="85"/>
              </w:rPr>
              <w:t>Release</w:t>
            </w:r>
          </w:p>
        </w:tc>
        <w:tc>
          <w:tcPr>
            <w:tcW w:w="810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6"/>
        </w:trPr>
        <w:tc>
          <w:tcPr>
            <w:tcW w:w="8620" w:type="dxa"/>
            <w:vAlign w:val="bottom"/>
            <w:gridSpan w:val="2"/>
          </w:tcPr>
          <w:p>
            <w:pPr>
              <w:spacing w:after="0"/>
              <w:rPr>
                <w:sz w:val="20"/>
                <w:szCs w:val="20"/>
                <w:color w:val="auto"/>
              </w:rPr>
            </w:pPr>
            <w:r>
              <w:rPr>
                <w:rFonts w:ascii="Arial" w:cs="Arial" w:eastAsia="Arial" w:hAnsi="Arial"/>
                <w:sz w:val="16"/>
                <w:szCs w:val="16"/>
                <w:color w:val="auto"/>
              </w:rPr>
              <w:t>Insurance</w:t>
            </w:r>
          </w:p>
        </w:tc>
        <w:tc>
          <w:tcPr>
            <w:tcW w:w="2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30</w:t>
            </w:r>
          </w:p>
        </w:tc>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Notices</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Form of notices</w:t>
            </w:r>
          </w:p>
        </w:tc>
        <w:tc>
          <w:tcPr>
            <w:tcW w:w="26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Electronic communications</w:t>
            </w:r>
          </w:p>
        </w:tc>
        <w:tc>
          <w:tcPr>
            <w:tcW w:w="26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Persons authorised to give notices</w:t>
            </w:r>
          </w:p>
        </w:tc>
        <w:tc>
          <w:tcPr>
            <w:tcW w:w="26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Delivery of written notices</w:t>
            </w:r>
          </w:p>
        </w:tc>
        <w:tc>
          <w:tcPr>
            <w:tcW w:w="2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Joint holders</w:t>
            </w:r>
          </w:p>
        </w:tc>
        <w:tc>
          <w:tcPr>
            <w:tcW w:w="2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Signatures</w:t>
            </w:r>
          </w:p>
        </w:tc>
        <w:tc>
          <w:tcPr>
            <w:tcW w:w="2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Evidence of transmission</w:t>
            </w:r>
          </w:p>
        </w:tc>
        <w:tc>
          <w:tcPr>
            <w:tcW w:w="2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Giving notice to a deceased or bankrupt Member</w:t>
            </w:r>
          </w:p>
        </w:tc>
        <w:tc>
          <w:tcPr>
            <w:tcW w:w="2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Date of giving notices</w:t>
            </w:r>
          </w:p>
        </w:tc>
        <w:tc>
          <w:tcPr>
            <w:tcW w:w="26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96"/>
        </w:trPr>
        <w:tc>
          <w:tcPr>
            <w:tcW w:w="8620" w:type="dxa"/>
            <w:vAlign w:val="bottom"/>
            <w:gridSpan w:val="2"/>
          </w:tcPr>
          <w:p>
            <w:pPr>
              <w:spacing w:after="0"/>
              <w:rPr>
                <w:sz w:val="20"/>
                <w:szCs w:val="20"/>
                <w:color w:val="auto"/>
              </w:rPr>
            </w:pPr>
            <w:r>
              <w:rPr>
                <w:rFonts w:ascii="Arial" w:cs="Arial" w:eastAsia="Arial" w:hAnsi="Arial"/>
                <w:sz w:val="16"/>
                <w:szCs w:val="16"/>
                <w:color w:val="auto"/>
              </w:rPr>
              <w:t>Saving provision</w:t>
            </w:r>
          </w:p>
        </w:tc>
        <w:tc>
          <w:tcPr>
            <w:tcW w:w="26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31</w:t>
            </w:r>
          </w:p>
        </w:tc>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Authentication of Electronic Records</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Application of Articles</w:t>
            </w:r>
          </w:p>
        </w:tc>
        <w:tc>
          <w:tcPr>
            <w:tcW w:w="26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Authentication of documents sent by Members by Electronic means</w:t>
            </w:r>
          </w:p>
        </w:tc>
        <w:tc>
          <w:tcPr>
            <w:tcW w:w="26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Authentication of document sent by the Secretary or Officers of the Company by Electronic means</w:t>
            </w:r>
          </w:p>
        </w:tc>
        <w:tc>
          <w:tcPr>
            <w:tcW w:w="26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Manner of signing</w:t>
            </w:r>
          </w:p>
        </w:tc>
        <w:tc>
          <w:tcPr>
            <w:tcW w:w="26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96"/>
        </w:trPr>
        <w:tc>
          <w:tcPr>
            <w:tcW w:w="8620" w:type="dxa"/>
            <w:vAlign w:val="bottom"/>
            <w:gridSpan w:val="2"/>
          </w:tcPr>
          <w:p>
            <w:pPr>
              <w:spacing w:after="0"/>
              <w:rPr>
                <w:sz w:val="20"/>
                <w:szCs w:val="20"/>
                <w:color w:val="auto"/>
              </w:rPr>
            </w:pPr>
            <w:r>
              <w:rPr>
                <w:rFonts w:ascii="Arial" w:cs="Arial" w:eastAsia="Arial" w:hAnsi="Arial"/>
                <w:sz w:val="16"/>
                <w:szCs w:val="16"/>
                <w:color w:val="auto"/>
              </w:rPr>
              <w:t>Saving provision</w:t>
            </w:r>
          </w:p>
        </w:tc>
        <w:tc>
          <w:tcPr>
            <w:tcW w:w="26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72"/>
        </w:trPr>
        <w:tc>
          <w:tcPr>
            <w:tcW w:w="520" w:type="dxa"/>
            <w:vAlign w:val="bottom"/>
          </w:tcPr>
          <w:p>
            <w:pPr>
              <w:spacing w:after="0"/>
              <w:rPr>
                <w:sz w:val="20"/>
                <w:szCs w:val="20"/>
                <w:color w:val="auto"/>
              </w:rPr>
            </w:pPr>
            <w:r>
              <w:rPr>
                <w:rFonts w:ascii="Arial" w:cs="Arial" w:eastAsia="Arial" w:hAnsi="Arial"/>
                <w:sz w:val="16"/>
                <w:szCs w:val="16"/>
                <w:b w:val="1"/>
                <w:bCs w:val="1"/>
                <w:color w:val="auto"/>
              </w:rPr>
              <w:t>32</w:t>
            </w:r>
          </w:p>
        </w:tc>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Transfer by way of continuation</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33</w:t>
            </w:r>
          </w:p>
        </w:tc>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Winding up</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Distribution of assets in specie</w:t>
            </w:r>
          </w:p>
        </w:tc>
        <w:tc>
          <w:tcPr>
            <w:tcW w:w="26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No obligation to accept liability</w:t>
            </w:r>
          </w:p>
        </w:tc>
        <w:tc>
          <w:tcPr>
            <w:tcW w:w="2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6"/>
        </w:trPr>
        <w:tc>
          <w:tcPr>
            <w:tcW w:w="8620" w:type="dxa"/>
            <w:vAlign w:val="bottom"/>
            <w:gridSpan w:val="2"/>
          </w:tcPr>
          <w:p>
            <w:pPr>
              <w:spacing w:after="0"/>
              <w:rPr>
                <w:sz w:val="20"/>
                <w:szCs w:val="20"/>
                <w:color w:val="auto"/>
              </w:rPr>
            </w:pPr>
            <w:r>
              <w:rPr>
                <w:rFonts w:ascii="Arial" w:cs="Arial" w:eastAsia="Arial" w:hAnsi="Arial"/>
                <w:sz w:val="16"/>
                <w:szCs w:val="16"/>
                <w:color w:val="auto"/>
              </w:rPr>
              <w:t>The directors are authorised to present a winding up petition</w:t>
            </w:r>
          </w:p>
        </w:tc>
        <w:tc>
          <w:tcPr>
            <w:tcW w:w="2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62"/>
        </w:trPr>
        <w:tc>
          <w:tcPr>
            <w:tcW w:w="520" w:type="dxa"/>
            <w:vAlign w:val="bottom"/>
          </w:tcPr>
          <w:p>
            <w:pPr>
              <w:spacing w:after="0"/>
              <w:rPr>
                <w:sz w:val="20"/>
                <w:szCs w:val="20"/>
                <w:color w:val="auto"/>
              </w:rPr>
            </w:pPr>
            <w:r>
              <w:rPr>
                <w:rFonts w:ascii="Arial" w:cs="Arial" w:eastAsia="Arial" w:hAnsi="Arial"/>
                <w:sz w:val="16"/>
                <w:szCs w:val="16"/>
                <w:b w:val="1"/>
                <w:bCs w:val="1"/>
                <w:color w:val="auto"/>
              </w:rPr>
              <w:t>34</w:t>
            </w:r>
          </w:p>
        </w:tc>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Amendment of Memorandum and Articles</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86"/>
        </w:trPr>
        <w:tc>
          <w:tcPr>
            <w:tcW w:w="8620" w:type="dxa"/>
            <w:vAlign w:val="bottom"/>
            <w:gridSpan w:val="2"/>
          </w:tcPr>
          <w:p>
            <w:pPr>
              <w:spacing w:after="0"/>
              <w:rPr>
                <w:sz w:val="20"/>
                <w:szCs w:val="20"/>
                <w:color w:val="auto"/>
              </w:rPr>
            </w:pPr>
            <w:r>
              <w:rPr>
                <w:rFonts w:ascii="Arial" w:cs="Arial" w:eastAsia="Arial" w:hAnsi="Arial"/>
                <w:sz w:val="16"/>
                <w:szCs w:val="16"/>
                <w:color w:val="auto"/>
              </w:rPr>
              <w:t>Power to change name or amend Memorandum</w:t>
            </w:r>
          </w:p>
        </w:tc>
        <w:tc>
          <w:tcPr>
            <w:tcW w:w="2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6"/>
        </w:trPr>
        <w:tc>
          <w:tcPr>
            <w:tcW w:w="8620" w:type="dxa"/>
            <w:vAlign w:val="bottom"/>
            <w:gridSpan w:val="2"/>
          </w:tcPr>
          <w:p>
            <w:pPr>
              <w:spacing w:after="0"/>
              <w:rPr>
                <w:sz w:val="20"/>
                <w:szCs w:val="20"/>
                <w:color w:val="auto"/>
              </w:rPr>
            </w:pPr>
            <w:r>
              <w:rPr>
                <w:rFonts w:ascii="Arial" w:cs="Arial" w:eastAsia="Arial" w:hAnsi="Arial"/>
                <w:sz w:val="16"/>
                <w:szCs w:val="16"/>
                <w:color w:val="auto"/>
              </w:rPr>
              <w:t>Power to amend these Articles</w:t>
            </w:r>
          </w:p>
        </w:tc>
        <w:tc>
          <w:tcPr>
            <w:tcW w:w="2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527"/>
        </w:trPr>
        <w:tc>
          <w:tcPr>
            <w:tcW w:w="5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1" w:right="319" w:bottom="1440" w:gutter="0" w:footer="0" w:header="0"/>
        </w:sectPr>
      </w:pPr>
    </w:p>
    <w:bookmarkStart w:id="210" w:name="page211"/>
    <w:bookmarkEnd w:id="210"/>
    <w:p>
      <w:pPr>
        <w:jc w:val="center"/>
        <w:ind w:right="-1127"/>
        <w:spacing w:after="0"/>
        <w:rPr>
          <w:sz w:val="20"/>
          <w:szCs w:val="20"/>
          <w:color w:val="auto"/>
        </w:rPr>
      </w:pPr>
      <w:r>
        <w:rPr>
          <w:rFonts w:ascii="Arial" w:cs="Arial" w:eastAsia="Arial" w:hAnsi="Arial"/>
          <w:sz w:val="16"/>
          <w:szCs w:val="16"/>
          <w:b w:val="1"/>
          <w:bCs w:val="1"/>
          <w:color w:val="auto"/>
        </w:rPr>
        <w:t>Companies Law (Revised)</w:t>
      </w:r>
    </w:p>
    <w:p>
      <w:pPr>
        <w:spacing w:after="0" w:line="188" w:lineRule="exact"/>
        <w:rPr>
          <w:sz w:val="20"/>
          <w:szCs w:val="20"/>
          <w:color w:val="auto"/>
        </w:rPr>
      </w:pPr>
    </w:p>
    <w:p>
      <w:pPr>
        <w:jc w:val="center"/>
        <w:ind w:right="-1107"/>
        <w:spacing w:after="0"/>
        <w:rPr>
          <w:sz w:val="20"/>
          <w:szCs w:val="20"/>
          <w:color w:val="auto"/>
        </w:rPr>
      </w:pPr>
      <w:r>
        <w:rPr>
          <w:rFonts w:ascii="Arial" w:cs="Arial" w:eastAsia="Arial" w:hAnsi="Arial"/>
          <w:sz w:val="16"/>
          <w:szCs w:val="16"/>
          <w:b w:val="1"/>
          <w:bCs w:val="1"/>
          <w:color w:val="auto"/>
        </w:rPr>
        <w:t>Company Limited by Shares</w:t>
      </w:r>
    </w:p>
    <w:p>
      <w:pPr>
        <w:spacing w:after="0" w:line="188" w:lineRule="exact"/>
        <w:rPr>
          <w:sz w:val="20"/>
          <w:szCs w:val="20"/>
          <w:color w:val="auto"/>
        </w:rPr>
      </w:pPr>
    </w:p>
    <w:p>
      <w:pPr>
        <w:jc w:val="center"/>
        <w:ind w:right="-1107"/>
        <w:spacing w:after="0"/>
        <w:rPr>
          <w:sz w:val="20"/>
          <w:szCs w:val="20"/>
          <w:color w:val="auto"/>
        </w:rPr>
      </w:pPr>
      <w:r>
        <w:rPr>
          <w:rFonts w:ascii="Arial" w:cs="Arial" w:eastAsia="Arial" w:hAnsi="Arial"/>
          <w:sz w:val="16"/>
          <w:szCs w:val="16"/>
          <w:b w:val="1"/>
          <w:bCs w:val="1"/>
          <w:color w:val="auto"/>
        </w:rPr>
        <w:t>Articles of Association</w:t>
      </w:r>
    </w:p>
    <w:p>
      <w:pPr>
        <w:spacing w:after="0" w:line="188" w:lineRule="exact"/>
        <w:rPr>
          <w:sz w:val="20"/>
          <w:szCs w:val="20"/>
          <w:color w:val="auto"/>
        </w:rPr>
      </w:pPr>
    </w:p>
    <w:p>
      <w:pPr>
        <w:jc w:val="center"/>
        <w:ind w:right="-1127"/>
        <w:spacing w:after="0"/>
        <w:rPr>
          <w:sz w:val="20"/>
          <w:szCs w:val="20"/>
          <w:color w:val="auto"/>
        </w:rPr>
      </w:pPr>
      <w:r>
        <w:rPr>
          <w:rFonts w:ascii="Arial" w:cs="Arial" w:eastAsia="Arial" w:hAnsi="Arial"/>
          <w:sz w:val="16"/>
          <w:szCs w:val="16"/>
          <w:b w:val="1"/>
          <w:bCs w:val="1"/>
          <w:color w:val="auto"/>
        </w:rPr>
        <w:t>of</w:t>
      </w:r>
    </w:p>
    <w:p>
      <w:pPr>
        <w:spacing w:after="0" w:line="188" w:lineRule="exact"/>
        <w:rPr>
          <w:sz w:val="20"/>
          <w:szCs w:val="20"/>
          <w:color w:val="auto"/>
        </w:rPr>
      </w:pPr>
    </w:p>
    <w:p>
      <w:pPr>
        <w:ind w:left="4467"/>
        <w:spacing w:after="0"/>
        <w:rPr>
          <w:sz w:val="20"/>
          <w:szCs w:val="20"/>
          <w:color w:val="auto"/>
        </w:rPr>
      </w:pPr>
      <w:r>
        <w:rPr>
          <w:rFonts w:ascii="Arial" w:cs="Arial" w:eastAsia="Arial" w:hAnsi="Arial"/>
          <w:sz w:val="16"/>
          <w:szCs w:val="16"/>
          <w:b w:val="1"/>
          <w:bCs w:val="1"/>
          <w:color w:val="auto"/>
        </w:rPr>
        <w:t>Arya Sciences Acquisition Corp III</w:t>
      </w:r>
    </w:p>
    <w:p>
      <w:pPr>
        <w:spacing w:after="0" w:line="188" w:lineRule="exact"/>
        <w:rPr>
          <w:sz w:val="20"/>
          <w:szCs w:val="20"/>
          <w:color w:val="auto"/>
        </w:rPr>
      </w:pPr>
    </w:p>
    <w:p>
      <w:pPr>
        <w:ind w:left="7" w:right="6399" w:hanging="7"/>
        <w:spacing w:after="0" w:line="489" w:lineRule="auto"/>
        <w:tabs>
          <w:tab w:leader="none" w:pos="356"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interpretation and exclusion of Table A Definitions</w:t>
      </w:r>
    </w:p>
    <w:p>
      <w:pPr>
        <w:spacing w:after="0" w:line="1"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these Articles, the following definitions apply:</w:t>
      </w:r>
    </w:p>
    <w:p>
      <w:pPr>
        <w:spacing w:after="0" w:line="182"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Articles </w:t>
      </w:r>
      <w:r>
        <w:rPr>
          <w:rFonts w:ascii="Arial" w:cs="Arial" w:eastAsia="Arial" w:hAnsi="Arial"/>
          <w:sz w:val="16"/>
          <w:szCs w:val="16"/>
          <w:color w:val="auto"/>
        </w:rPr>
        <w:t>means, as appropriate:</w:t>
      </w:r>
    </w:p>
    <w:p>
      <w:pPr>
        <w:spacing w:after="0" w:line="194" w:lineRule="exact"/>
        <w:rPr>
          <w:sz w:val="20"/>
          <w:szCs w:val="20"/>
          <w:color w:val="auto"/>
        </w:rPr>
      </w:pPr>
    </w:p>
    <w:p>
      <w:pPr>
        <w:ind w:left="1127" w:hanging="568"/>
        <w:spacing w:after="0"/>
        <w:tabs>
          <w:tab w:leader="none" w:pos="112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these Articles of Association as amended from time to time: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two or more particular Articles of these Articles;</w:t>
      </w:r>
    </w:p>
    <w:p>
      <w:pPr>
        <w:spacing w:after="0" w:line="182" w:lineRule="exact"/>
        <w:rPr>
          <w:sz w:val="20"/>
          <w:szCs w:val="20"/>
          <w:color w:val="auto"/>
        </w:rPr>
      </w:pPr>
    </w:p>
    <w:p>
      <w:pPr>
        <w:ind w:left="567"/>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b w:val="1"/>
          <w:bCs w:val="1"/>
          <w:color w:val="auto"/>
        </w:rPr>
        <w:t>Article</w:t>
      </w:r>
      <w:r>
        <w:rPr>
          <w:rFonts w:ascii="Arial" w:cs="Arial" w:eastAsia="Arial" w:hAnsi="Arial"/>
          <w:sz w:val="16"/>
          <w:szCs w:val="16"/>
          <w:color w:val="auto"/>
        </w:rPr>
        <w:t xml:space="preserve"> refers to a particular Article of these Articles.</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3"/>
          <w:szCs w:val="13"/>
          <w:b w:val="1"/>
          <w:bCs w:val="1"/>
          <w:color w:val="auto"/>
        </w:rPr>
        <w:t xml:space="preserve">Business Day </w:t>
      </w:r>
      <w:r>
        <w:rPr>
          <w:rFonts w:ascii="Arial" w:cs="Arial" w:eastAsia="Arial" w:hAnsi="Arial"/>
          <w:sz w:val="13"/>
          <w:szCs w:val="13"/>
          <w:color w:val="auto"/>
        </w:rPr>
        <w:t>means a day other than a public holiday in the place where the Company’s registered office is located, a Saturday or a Sunday.</w:t>
      </w:r>
    </w:p>
    <w:p>
      <w:pPr>
        <w:spacing w:after="0" w:line="223"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Clear Days</w:t>
      </w:r>
      <w:r>
        <w:rPr>
          <w:rFonts w:ascii="Arial" w:cs="Arial" w:eastAsia="Arial" w:hAnsi="Arial"/>
          <w:sz w:val="16"/>
          <w:szCs w:val="16"/>
          <w:color w:val="auto"/>
        </w:rPr>
        <w:t>, in relation to a period of notice, means that period excluding:</w:t>
      </w:r>
    </w:p>
    <w:p>
      <w:pPr>
        <w:spacing w:after="0" w:line="194" w:lineRule="exact"/>
        <w:rPr>
          <w:sz w:val="20"/>
          <w:szCs w:val="20"/>
          <w:color w:val="auto"/>
        </w:rPr>
      </w:pPr>
    </w:p>
    <w:p>
      <w:pPr>
        <w:ind w:left="1127" w:hanging="568"/>
        <w:spacing w:after="0"/>
        <w:tabs>
          <w:tab w:leader="none" w:pos="112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day when the notice is given or deemed to be given;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day for which it is given or on which it is to take effect.</w:t>
      </w:r>
    </w:p>
    <w:p>
      <w:pPr>
        <w:spacing w:after="0" w:line="182"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the above-named company.</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Default Rate </w:t>
      </w:r>
      <w:r>
        <w:rPr>
          <w:rFonts w:ascii="Arial" w:cs="Arial" w:eastAsia="Arial" w:hAnsi="Arial"/>
          <w:sz w:val="16"/>
          <w:szCs w:val="16"/>
          <w:color w:val="auto"/>
        </w:rPr>
        <w:t>means 10% (ten per cent) per annum.</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Electronic </w:t>
      </w:r>
      <w:r>
        <w:rPr>
          <w:rFonts w:ascii="Arial" w:cs="Arial" w:eastAsia="Arial" w:hAnsi="Arial"/>
          <w:sz w:val="16"/>
          <w:szCs w:val="16"/>
          <w:color w:val="auto"/>
        </w:rPr>
        <w:t>has the meaning given to that term in the Electronic Transactions Law (Revised).</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Electronic Record </w:t>
      </w:r>
      <w:r>
        <w:rPr>
          <w:rFonts w:ascii="Arial" w:cs="Arial" w:eastAsia="Arial" w:hAnsi="Arial"/>
          <w:sz w:val="16"/>
          <w:szCs w:val="16"/>
          <w:color w:val="auto"/>
        </w:rPr>
        <w:t>has the meaning given to that term in the Electronic Transactions Law (Revised).</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Electronic Signature </w:t>
      </w:r>
      <w:r>
        <w:rPr>
          <w:rFonts w:ascii="Arial" w:cs="Arial" w:eastAsia="Arial" w:hAnsi="Arial"/>
          <w:sz w:val="16"/>
          <w:szCs w:val="16"/>
          <w:color w:val="auto"/>
        </w:rPr>
        <w:t>has the meaning given to that term in the Electronic Transactions Law (Revised).</w:t>
      </w:r>
    </w:p>
    <w:p>
      <w:pPr>
        <w:spacing w:after="0" w:line="200" w:lineRule="exact"/>
        <w:rPr>
          <w:sz w:val="20"/>
          <w:szCs w:val="20"/>
          <w:color w:val="auto"/>
        </w:rPr>
      </w:pPr>
    </w:p>
    <w:p>
      <w:pPr>
        <w:spacing w:after="0" w:line="326" w:lineRule="exact"/>
        <w:rPr>
          <w:sz w:val="20"/>
          <w:szCs w:val="20"/>
          <w:color w:val="auto"/>
        </w:rPr>
      </w:pPr>
    </w:p>
    <w:p>
      <w:pPr>
        <w:ind w:left="560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146"/>
          </w:cols>
          <w:pgMar w:left="313" w:top="309" w:right="1440" w:bottom="1440" w:gutter="0" w:footer="0" w:header="0"/>
        </w:sectPr>
      </w:pPr>
    </w:p>
    <w:bookmarkStart w:id="211" w:name="page212"/>
    <w:bookmarkEnd w:id="211"/>
    <w:p>
      <w:pPr>
        <w:ind w:left="560"/>
        <w:spacing w:after="0"/>
        <w:rPr>
          <w:sz w:val="20"/>
          <w:szCs w:val="20"/>
          <w:color w:val="auto"/>
        </w:rPr>
      </w:pPr>
      <w:r>
        <w:rPr>
          <w:rFonts w:ascii="Arial" w:cs="Arial" w:eastAsia="Arial" w:hAnsi="Arial"/>
          <w:sz w:val="16"/>
          <w:szCs w:val="16"/>
          <w:b w:val="1"/>
          <w:bCs w:val="1"/>
          <w:color w:val="auto"/>
        </w:rPr>
        <w:t xml:space="preserve">Fully Paid </w:t>
      </w:r>
      <w:r>
        <w:rPr>
          <w:rFonts w:ascii="Arial" w:cs="Arial" w:eastAsia="Arial" w:hAnsi="Arial"/>
          <w:sz w:val="16"/>
          <w:szCs w:val="16"/>
          <w:color w:val="auto"/>
        </w:rPr>
        <w:t>and</w:t>
      </w:r>
      <w:r>
        <w:rPr>
          <w:rFonts w:ascii="Arial" w:cs="Arial" w:eastAsia="Arial" w:hAnsi="Arial"/>
          <w:sz w:val="16"/>
          <w:szCs w:val="16"/>
          <w:b w:val="1"/>
          <w:bCs w:val="1"/>
          <w:color w:val="auto"/>
        </w:rPr>
        <w:t xml:space="preserve"> Paid Up</w:t>
      </w:r>
      <w:r>
        <w:rPr>
          <w:rFonts w:ascii="Arial" w:cs="Arial" w:eastAsia="Arial" w:hAnsi="Arial"/>
          <w:sz w:val="16"/>
          <w:szCs w:val="16"/>
          <w:color w:val="auto"/>
        </w:rPr>
        <w:t>:</w:t>
      </w:r>
    </w:p>
    <w:p>
      <w:pPr>
        <w:spacing w:after="0" w:line="194" w:lineRule="exact"/>
        <w:rPr>
          <w:sz w:val="20"/>
          <w:szCs w:val="20"/>
          <w:color w:val="auto"/>
        </w:rPr>
      </w:pPr>
    </w:p>
    <w:p>
      <w:pPr>
        <w:ind w:left="1120" w:right="180" w:hanging="568"/>
        <w:spacing w:after="0" w:line="258" w:lineRule="auto"/>
        <w:tabs>
          <w:tab w:leader="none" w:pos="11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relation to a Share with par value, means that the par value for that Share and any premium payable in respect of the issue of that Share, has been fully paid or credited as paid in money or money’s worth;</w:t>
      </w:r>
    </w:p>
    <w:p>
      <w:pPr>
        <w:spacing w:after="0" w:line="162" w:lineRule="exact"/>
        <w:rPr>
          <w:rFonts w:ascii="Arial" w:cs="Arial" w:eastAsia="Arial" w:hAnsi="Arial"/>
          <w:sz w:val="16"/>
          <w:szCs w:val="16"/>
          <w:color w:val="auto"/>
        </w:rPr>
      </w:pPr>
    </w:p>
    <w:p>
      <w:pPr>
        <w:ind w:left="1120" w:hanging="568"/>
        <w:spacing w:after="0"/>
        <w:tabs>
          <w:tab w:leader="none" w:pos="11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relation to a Share without par value, means that the agreed issue price for that Share has been fully paid or credited as paid in money or money’s worth.</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Islands </w:t>
      </w:r>
      <w:r>
        <w:rPr>
          <w:rFonts w:ascii="Arial" w:cs="Arial" w:eastAsia="Arial" w:hAnsi="Arial"/>
          <w:sz w:val="16"/>
          <w:szCs w:val="16"/>
          <w:color w:val="auto"/>
        </w:rPr>
        <w:t>means the British Overseas Territory of the Cayman Islands.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Law </w:t>
      </w:r>
      <w:r>
        <w:rPr>
          <w:rFonts w:ascii="Arial" w:cs="Arial" w:eastAsia="Arial" w:hAnsi="Arial"/>
          <w:sz w:val="16"/>
          <w:szCs w:val="16"/>
          <w:color w:val="auto"/>
        </w:rPr>
        <w:t>means the Companies Law (Revised).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Member </w:t>
      </w:r>
      <w:r>
        <w:rPr>
          <w:rFonts w:ascii="Arial" w:cs="Arial" w:eastAsia="Arial" w:hAnsi="Arial"/>
          <w:sz w:val="16"/>
          <w:szCs w:val="16"/>
          <w:color w:val="auto"/>
        </w:rPr>
        <w:t>means any person or persons entered on the register of members from time to time as the holder of a Share.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Memorandum </w:t>
      </w:r>
      <w:r>
        <w:rPr>
          <w:rFonts w:ascii="Arial" w:cs="Arial" w:eastAsia="Arial" w:hAnsi="Arial"/>
          <w:sz w:val="16"/>
          <w:szCs w:val="16"/>
          <w:color w:val="auto"/>
        </w:rPr>
        <w:t>means the Memorandum of Association of the Company as amended from time to time.</w:t>
      </w:r>
    </w:p>
    <w:p>
      <w:pPr>
        <w:spacing w:after="0" w:line="188" w:lineRule="exact"/>
        <w:rPr>
          <w:sz w:val="20"/>
          <w:szCs w:val="20"/>
          <w:color w:val="auto"/>
        </w:rPr>
      </w:pPr>
    </w:p>
    <w:p>
      <w:pPr>
        <w:ind w:left="560" w:right="20"/>
        <w:spacing w:after="0" w:line="266" w:lineRule="auto"/>
        <w:rPr>
          <w:sz w:val="20"/>
          <w:szCs w:val="20"/>
          <w:color w:val="auto"/>
        </w:rPr>
      </w:pPr>
      <w:r>
        <w:rPr>
          <w:rFonts w:ascii="Arial" w:cs="Arial" w:eastAsia="Arial" w:hAnsi="Arial"/>
          <w:sz w:val="16"/>
          <w:szCs w:val="16"/>
          <w:b w:val="1"/>
          <w:bCs w:val="1"/>
          <w:color w:val="auto"/>
        </w:rPr>
        <w:t xml:space="preserve">Officer </w:t>
      </w:r>
      <w:r>
        <w:rPr>
          <w:rFonts w:ascii="Arial" w:cs="Arial" w:eastAsia="Arial" w:hAnsi="Arial"/>
          <w:sz w:val="16"/>
          <w:szCs w:val="16"/>
          <w:color w:val="auto"/>
        </w:rPr>
        <w:t>means a person appointed to hold an office in the Company; and the expression includes a director, alternate director or liquidator, but does not include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w:t>
      </w:r>
    </w:p>
    <w:p>
      <w:pPr>
        <w:spacing w:after="0" w:line="151" w:lineRule="exact"/>
        <w:rPr>
          <w:sz w:val="20"/>
          <w:szCs w:val="20"/>
          <w:color w:val="auto"/>
        </w:rPr>
      </w:pPr>
    </w:p>
    <w:p>
      <w:pPr>
        <w:ind w:left="560"/>
        <w:spacing w:after="0" w:line="266" w:lineRule="auto"/>
        <w:rPr>
          <w:sz w:val="20"/>
          <w:szCs w:val="20"/>
          <w:color w:val="auto"/>
        </w:rPr>
      </w:pPr>
      <w:r>
        <w:rPr>
          <w:rFonts w:ascii="Arial" w:cs="Arial" w:eastAsia="Arial" w:hAnsi="Arial"/>
          <w:sz w:val="16"/>
          <w:szCs w:val="16"/>
          <w:b w:val="1"/>
          <w:bCs w:val="1"/>
          <w:color w:val="auto"/>
        </w:rPr>
        <w:t xml:space="preserve">Ordinary Resolution </w:t>
      </w:r>
      <w:r>
        <w:rPr>
          <w:rFonts w:ascii="Arial" w:cs="Arial" w:eastAsia="Arial" w:hAnsi="Arial"/>
          <w:sz w:val="16"/>
          <w:szCs w:val="16"/>
          <w:color w:val="auto"/>
        </w:rPr>
        <w:t>means a resolution of a duly constituted general meeting of the Company passed by a simple majority of the votes cast by, or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entitled to vote. The expression also includes a unanimous written resolution.</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Secretary </w:t>
      </w:r>
      <w:r>
        <w:rPr>
          <w:rFonts w:ascii="Arial" w:cs="Arial" w:eastAsia="Arial" w:hAnsi="Arial"/>
          <w:sz w:val="16"/>
          <w:szCs w:val="16"/>
          <w:color w:val="auto"/>
        </w:rPr>
        <w:t>means a person appointed to perform the duties of the secretary of the Company, including a joint, assistant or deputy secretary.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share in the share capital of the Company; and the expression:</w:t>
      </w:r>
    </w:p>
    <w:p>
      <w:pPr>
        <w:spacing w:after="0" w:line="194" w:lineRule="exact"/>
        <w:rPr>
          <w:sz w:val="20"/>
          <w:szCs w:val="20"/>
          <w:color w:val="auto"/>
        </w:rPr>
      </w:pPr>
    </w:p>
    <w:p>
      <w:pPr>
        <w:ind w:left="1120" w:hanging="568"/>
        <w:spacing w:after="0"/>
        <w:tabs>
          <w:tab w:leader="none" w:pos="11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includes stock (except where a distinction between shares and stock is expressed or implied);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where the context permits, also includes a fraction of a share.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Special Resolution </w:t>
      </w:r>
      <w:r>
        <w:rPr>
          <w:rFonts w:ascii="Arial" w:cs="Arial" w:eastAsia="Arial" w:hAnsi="Arial"/>
          <w:sz w:val="16"/>
          <w:szCs w:val="16"/>
          <w:color w:val="auto"/>
        </w:rPr>
        <w:t>has the meaning given to that term in the Law; and the expression includes a unanimous written resolution.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Treasury Shares </w:t>
      </w:r>
      <w:r>
        <w:rPr>
          <w:rFonts w:ascii="Arial" w:cs="Arial" w:eastAsia="Arial" w:hAnsi="Arial"/>
          <w:sz w:val="16"/>
          <w:szCs w:val="16"/>
          <w:color w:val="auto"/>
        </w:rPr>
        <w:t>means Shares of the Company held in treasury pursuant to the Law and Article 2.12.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Interpretation</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the interpretation of these Articles, the following provisions apply unless the context otherwise requires:</w:t>
      </w:r>
    </w:p>
    <w:p>
      <w:pPr>
        <w:spacing w:after="0" w:line="188" w:lineRule="exact"/>
        <w:rPr>
          <w:sz w:val="20"/>
          <w:szCs w:val="20"/>
          <w:color w:val="auto"/>
        </w:rPr>
      </w:pPr>
    </w:p>
    <w:p>
      <w:pPr>
        <w:ind w:left="1120" w:hanging="568"/>
        <w:spacing w:after="0"/>
        <w:tabs>
          <w:tab w:leader="none" w:pos="11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reference in these Articles to a statute is a reference to a statute of the Islands as known by its short title, and includes:</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any subordinate legislation or regulations issued under that statute.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19" w:right="319" w:bottom="1440" w:gutter="0" w:footer="0" w:header="0"/>
        </w:sectPr>
      </w:pPr>
    </w:p>
    <w:bookmarkStart w:id="212" w:name="page213"/>
    <w:bookmarkEnd w:id="212"/>
    <w:p>
      <w:pPr>
        <w:ind w:left="1127" w:right="20"/>
        <w:spacing w:after="0" w:line="258" w:lineRule="auto"/>
        <w:rPr>
          <w:sz w:val="20"/>
          <w:szCs w:val="20"/>
          <w:color w:val="auto"/>
        </w:rPr>
      </w:pPr>
      <w:r>
        <w:rPr>
          <w:rFonts w:ascii="Arial" w:cs="Arial" w:eastAsia="Arial" w:hAnsi="Arial"/>
          <w:sz w:val="16"/>
          <w:szCs w:val="16"/>
          <w:color w:val="auto"/>
        </w:rPr>
        <w:t>Without limitation to the preceding sentence, a reference to a revised Law of the Cayman Islands is taken to be a reference to the revision of that Law in force from time to time as amended from time to time.</w:t>
      </w:r>
    </w:p>
    <w:p>
      <w:pPr>
        <w:spacing w:after="0" w:line="163" w:lineRule="exact"/>
        <w:rPr>
          <w:sz w:val="20"/>
          <w:szCs w:val="20"/>
          <w:color w:val="auto"/>
        </w:rPr>
      </w:pPr>
    </w:p>
    <w:p>
      <w:pPr>
        <w:ind w:left="1127" w:hanging="568"/>
        <w:spacing w:after="0"/>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Headings are inserted for convenience only and do not affect the interpretation of these Articles, unless there is ambiguity.</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If a day on which any act, matter or thing is to be done under these Articles is not a Business Day, the act, matter or thing must be done on the next Business Day.</w:t>
      </w:r>
    </w:p>
    <w:p>
      <w:pPr>
        <w:spacing w:after="0" w:line="211" w:lineRule="exact"/>
        <w:rPr>
          <w:rFonts w:ascii="Arial" w:cs="Arial" w:eastAsia="Arial" w:hAnsi="Arial"/>
          <w:sz w:val="14"/>
          <w:szCs w:val="14"/>
          <w:color w:val="auto"/>
        </w:rPr>
      </w:pPr>
    </w:p>
    <w:p>
      <w:pPr>
        <w:ind w:left="1127" w:right="20" w:hanging="568"/>
        <w:spacing w:after="0" w:line="258" w:lineRule="auto"/>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word which denotes the singular also denotes the plural, a word which denotes the plural also denotes the singular, and a reference to any gender also denotes the other genders.</w:t>
      </w:r>
    </w:p>
    <w:p>
      <w:pPr>
        <w:spacing w:after="0" w:line="156" w:lineRule="exact"/>
        <w:rPr>
          <w:rFonts w:ascii="Arial" w:cs="Arial" w:eastAsia="Arial" w:hAnsi="Arial"/>
          <w:sz w:val="16"/>
          <w:szCs w:val="16"/>
          <w:color w:val="auto"/>
        </w:rPr>
      </w:pPr>
    </w:p>
    <w:p>
      <w:pPr>
        <w:ind w:left="1127" w:hanging="568"/>
        <w:spacing w:after="0"/>
        <w:tabs>
          <w:tab w:leader="none" w:pos="11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 xml:space="preserve">A reference to a </w:t>
      </w:r>
      <w:r>
        <w:rPr>
          <w:rFonts w:ascii="Arial" w:cs="Arial" w:eastAsia="Arial" w:hAnsi="Arial"/>
          <w:sz w:val="14"/>
          <w:szCs w:val="14"/>
          <w:b w:val="1"/>
          <w:bCs w:val="1"/>
          <w:color w:val="auto"/>
        </w:rPr>
        <w:t>person</w:t>
      </w:r>
      <w:r>
        <w:rPr>
          <w:rFonts w:ascii="Arial" w:cs="Arial" w:eastAsia="Arial" w:hAnsi="Arial"/>
          <w:sz w:val="14"/>
          <w:szCs w:val="14"/>
          <w:color w:val="auto"/>
        </w:rPr>
        <w:t xml:space="preserve"> includes, as appropriate, a company, trust, partnership, joint venture, association, body corporate or government agency.</w:t>
      </w:r>
    </w:p>
    <w:p>
      <w:pPr>
        <w:spacing w:after="0" w:line="217" w:lineRule="exact"/>
        <w:rPr>
          <w:rFonts w:ascii="Arial" w:cs="Arial" w:eastAsia="Arial" w:hAnsi="Arial"/>
          <w:sz w:val="14"/>
          <w:szCs w:val="14"/>
          <w:color w:val="auto"/>
        </w:rPr>
      </w:pPr>
    </w:p>
    <w:p>
      <w:pPr>
        <w:ind w:left="1127" w:hanging="568"/>
        <w:spacing w:after="0"/>
        <w:tabs>
          <w:tab w:leader="none" w:pos="11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Where a word or phrase is given a defined meaning another part of speech or grammatical form in respect to that word or phrase has a corresponding meaning.</w:t>
      </w:r>
    </w:p>
    <w:p>
      <w:pPr>
        <w:spacing w:after="0" w:line="211" w:lineRule="exact"/>
        <w:rPr>
          <w:rFonts w:ascii="Arial" w:cs="Arial" w:eastAsia="Arial" w:hAnsi="Arial"/>
          <w:sz w:val="14"/>
          <w:szCs w:val="14"/>
          <w:color w:val="auto"/>
        </w:rPr>
      </w:pPr>
    </w:p>
    <w:p>
      <w:pPr>
        <w:ind w:left="1127" w:hanging="568"/>
        <w:spacing w:after="0"/>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references to time are to be calculated by reference to time in the place where the Company’s registered office is located.</w:t>
      </w:r>
    </w:p>
    <w:p>
      <w:pPr>
        <w:spacing w:after="0" w:line="182" w:lineRule="exact"/>
        <w:rPr>
          <w:rFonts w:ascii="Arial" w:cs="Arial" w:eastAsia="Arial" w:hAnsi="Arial"/>
          <w:sz w:val="16"/>
          <w:szCs w:val="16"/>
          <w:color w:val="auto"/>
        </w:rPr>
      </w:pPr>
    </w:p>
    <w:p>
      <w:pPr>
        <w:ind w:left="1127" w:hanging="568"/>
        <w:spacing w:after="0" w:line="266" w:lineRule="auto"/>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words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and </w:t>
      </w:r>
      <w:r>
        <w:rPr>
          <w:rFonts w:ascii="Arial" w:cs="Arial" w:eastAsia="Arial" w:hAnsi="Arial"/>
          <w:sz w:val="16"/>
          <w:szCs w:val="16"/>
          <w:b w:val="1"/>
          <w:bCs w:val="1"/>
          <w:color w:val="auto"/>
        </w:rPr>
        <w:t>in writing</w:t>
      </w:r>
      <w:r>
        <w:rPr>
          <w:rFonts w:ascii="Arial" w:cs="Arial" w:eastAsia="Arial" w:hAnsi="Arial"/>
          <w:sz w:val="16"/>
          <w:szCs w:val="16"/>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0" w:lineRule="exact"/>
        <w:rPr>
          <w:rFonts w:ascii="Arial" w:cs="Arial" w:eastAsia="Arial" w:hAnsi="Arial"/>
          <w:sz w:val="16"/>
          <w:szCs w:val="16"/>
          <w:color w:val="auto"/>
        </w:rPr>
      </w:pPr>
    </w:p>
    <w:p>
      <w:pPr>
        <w:ind w:left="1127" w:hanging="568"/>
        <w:spacing w:after="0"/>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words </w:t>
      </w:r>
      <w:r>
        <w:rPr>
          <w:rFonts w:ascii="Arial" w:cs="Arial" w:eastAsia="Arial" w:hAnsi="Arial"/>
          <w:sz w:val="16"/>
          <w:szCs w:val="16"/>
          <w:b w:val="1"/>
          <w:bCs w:val="1"/>
          <w:color w:val="auto"/>
        </w:rPr>
        <w:t>including</w:t>
      </w:r>
      <w:r>
        <w:rPr>
          <w:rFonts w:ascii="Arial" w:cs="Arial" w:eastAsia="Arial" w:hAnsi="Arial"/>
          <w:sz w:val="16"/>
          <w:szCs w:val="16"/>
          <w:color w:val="auto"/>
        </w:rPr>
        <w:t xml:space="preserve">, </w:t>
      </w:r>
      <w:r>
        <w:rPr>
          <w:rFonts w:ascii="Arial" w:cs="Arial" w:eastAsia="Arial" w:hAnsi="Arial"/>
          <w:sz w:val="16"/>
          <w:szCs w:val="16"/>
          <w:b w:val="1"/>
          <w:bCs w:val="1"/>
          <w:color w:val="auto"/>
        </w:rPr>
        <w:t>include</w:t>
      </w:r>
      <w:r>
        <w:rPr>
          <w:rFonts w:ascii="Arial" w:cs="Arial" w:eastAsia="Arial" w:hAnsi="Arial"/>
          <w:sz w:val="16"/>
          <w:szCs w:val="16"/>
          <w:color w:val="auto"/>
        </w:rPr>
        <w:t xml:space="preserve"> and </w:t>
      </w:r>
      <w:r>
        <w:rPr>
          <w:rFonts w:ascii="Arial" w:cs="Arial" w:eastAsia="Arial" w:hAnsi="Arial"/>
          <w:sz w:val="16"/>
          <w:szCs w:val="16"/>
          <w:b w:val="1"/>
          <w:bCs w:val="1"/>
          <w:color w:val="auto"/>
        </w:rPr>
        <w:t>in particular</w:t>
      </w:r>
      <w:r>
        <w:rPr>
          <w:rFonts w:ascii="Arial" w:cs="Arial" w:eastAsia="Arial" w:hAnsi="Arial"/>
          <w:sz w:val="16"/>
          <w:szCs w:val="16"/>
          <w:color w:val="auto"/>
        </w:rPr>
        <w:t xml:space="preserve"> or any similar expression are to be construed without limitation.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Exclusion of Table A Articles</w:t>
      </w:r>
    </w:p>
    <w:p>
      <w:pPr>
        <w:spacing w:after="0" w:line="194" w:lineRule="exact"/>
        <w:rPr>
          <w:sz w:val="20"/>
          <w:szCs w:val="20"/>
          <w:color w:val="auto"/>
        </w:rPr>
      </w:pPr>
    </w:p>
    <w:p>
      <w:pPr>
        <w:ind w:left="547" w:hanging="546"/>
        <w:spacing w:after="0" w:line="258" w:lineRule="auto"/>
        <w:tabs>
          <w:tab w:leader="none" w:pos="527"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regulations contained in Table A in the First Schedule of the Law and any other regulations contained in any statute or subordinate legislation are expressly excluded and do not apply to the Company.</w:t>
      </w:r>
    </w:p>
    <w:p>
      <w:pPr>
        <w:spacing w:after="0" w:line="157" w:lineRule="exact"/>
        <w:rPr>
          <w:sz w:val="20"/>
          <w:szCs w:val="20"/>
          <w:color w:val="auto"/>
        </w:rPr>
      </w:pPr>
    </w:p>
    <w:p>
      <w:pPr>
        <w:ind w:left="547" w:hanging="547"/>
        <w:spacing w:after="0"/>
        <w:tabs>
          <w:tab w:leader="none" w:pos="547"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issue Shares and options, with or without special rights</w:t>
      </w:r>
    </w:p>
    <w:p>
      <w:pPr>
        <w:spacing w:after="0" w:line="194" w:lineRule="exact"/>
        <w:rPr>
          <w:sz w:val="20"/>
          <w:szCs w:val="20"/>
          <w:color w:val="auto"/>
        </w:rPr>
      </w:pPr>
    </w:p>
    <w:p>
      <w:pPr>
        <w:jc w:val="both"/>
        <w:ind w:left="547" w:hanging="546"/>
        <w:spacing w:after="0" w:line="303" w:lineRule="auto"/>
        <w:tabs>
          <w:tab w:leader="none" w:pos="527"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Subject to the provisions of the Law and the Articles about the redemption and purchase of the Company’s own Shares, the directors have general and unconditional authority to allot (with or without confirming rights of renunciation), grant options over or otherwise deal with any unissued Shares of the Company to such persons, at such times and on such terms and conditions as they may decide. No Share may be issued at a discount except in accordance with the provisions of the Law.</w:t>
      </w: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13" w:name="page214"/>
    <w:bookmarkEnd w:id="213"/>
    <w:p>
      <w:pPr>
        <w:spacing w:after="0"/>
        <w:tabs>
          <w:tab w:leader="none" w:pos="5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Without limitation to the preceding Article, the directors may so deal with the unissued Shares of the Company:</w:t>
      </w:r>
    </w:p>
    <w:p>
      <w:pPr>
        <w:spacing w:after="0" w:line="188" w:lineRule="exact"/>
        <w:rPr>
          <w:sz w:val="20"/>
          <w:szCs w:val="20"/>
          <w:color w:val="auto"/>
        </w:rPr>
      </w:pPr>
    </w:p>
    <w:p>
      <w:pPr>
        <w:ind w:left="1120" w:hanging="568"/>
        <w:spacing w:after="0"/>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either at a premium or at par;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with or without preferred, deferred or other special rights or restrictions whether in regard to dividend, voting, return of capital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issue fractions of a Share</w:t>
      </w:r>
    </w:p>
    <w:p>
      <w:pPr>
        <w:spacing w:after="0" w:line="194" w:lineRule="exact"/>
        <w:rPr>
          <w:sz w:val="20"/>
          <w:szCs w:val="20"/>
          <w:color w:val="auto"/>
        </w:rPr>
      </w:pPr>
    </w:p>
    <w:p>
      <w:pPr>
        <w:ind w:left="540" w:hanging="546"/>
        <w:spacing w:after="0" w:line="329" w:lineRule="auto"/>
        <w:tabs>
          <w:tab w:leader="none" w:pos="5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pay commissions and brokerage fees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3"/>
          <w:szCs w:val="13"/>
          <w:color w:val="auto"/>
        </w:rPr>
        <w:t>The Company may pay a commission to any person in consideration of that person:</w:t>
      </w:r>
    </w:p>
    <w:p>
      <w:pPr>
        <w:spacing w:after="0" w:line="188" w:lineRule="exact"/>
        <w:rPr>
          <w:sz w:val="20"/>
          <w:szCs w:val="20"/>
          <w:color w:val="auto"/>
        </w:rPr>
      </w:pPr>
    </w:p>
    <w:p>
      <w:pPr>
        <w:ind w:left="1120" w:hanging="568"/>
        <w:spacing w:after="0"/>
        <w:tabs>
          <w:tab w:leader="none" w:pos="11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subscribing or agreeing to subscribe, whether absolutely or conditionally;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procuring or agreeing to procure subscriptions, whether absolute or conditional</w:t>
      </w:r>
    </w:p>
    <w:p>
      <w:pPr>
        <w:spacing w:after="0" w:line="188" w:lineRule="exact"/>
        <w:rPr>
          <w:sz w:val="20"/>
          <w:szCs w:val="20"/>
          <w:color w:val="auto"/>
        </w:rPr>
      </w:pPr>
    </w:p>
    <w:p>
      <w:pPr>
        <w:ind w:left="1120"/>
        <w:spacing w:after="0" w:line="258" w:lineRule="auto"/>
        <w:rPr>
          <w:sz w:val="20"/>
          <w:szCs w:val="20"/>
          <w:color w:val="auto"/>
        </w:rPr>
      </w:pPr>
      <w:r>
        <w:rPr>
          <w:rFonts w:ascii="Arial" w:cs="Arial" w:eastAsia="Arial" w:hAnsi="Arial"/>
          <w:sz w:val="16"/>
          <w:szCs w:val="16"/>
          <w:color w:val="auto"/>
        </w:rPr>
        <w:t>for any Shares in the Company. That commission may be satisfied by the payment of cash or the allotment of Fully Paid or partly-paid Shares or partly in one way and partly in another.</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The Company may employ a broker in the issue of its capital and pay him any proper commission or brokerage.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Trusts not recognised</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Except as required by law:</w:t>
      </w:r>
    </w:p>
    <w:p>
      <w:pPr>
        <w:spacing w:after="0" w:line="188" w:lineRule="exact"/>
        <w:rPr>
          <w:sz w:val="20"/>
          <w:szCs w:val="20"/>
          <w:color w:val="auto"/>
        </w:rPr>
      </w:pPr>
    </w:p>
    <w:p>
      <w:pPr>
        <w:ind w:left="1120" w:hanging="568"/>
        <w:spacing w:after="0"/>
        <w:tabs>
          <w:tab w:leader="none" w:pos="11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person shall be recognised by the Company as holding any Share on any trust;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person other than the Member shall be recognised by the Company as having any right in a Share.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214" w:name="page215"/>
    <w:bookmarkEnd w:id="214"/>
    <w:p>
      <w:pPr>
        <w:spacing w:after="0"/>
        <w:rPr>
          <w:sz w:val="20"/>
          <w:szCs w:val="20"/>
          <w:color w:val="auto"/>
        </w:rPr>
      </w:pPr>
      <w:r>
        <w:rPr>
          <w:rFonts w:ascii="Arial" w:cs="Arial" w:eastAsia="Arial" w:hAnsi="Arial"/>
          <w:sz w:val="16"/>
          <w:szCs w:val="16"/>
          <w:b w:val="1"/>
          <w:bCs w:val="1"/>
          <w:color w:val="auto"/>
        </w:rPr>
        <w:t>Power to vary class rights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If the share capital is divided into different classes of Shares then, unless the terms on which a class of Shares was issued state otherwise, the rights attaching to a class of</w:t>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Shares may only be varied if one of the following applies:</w:t>
      </w:r>
    </w:p>
    <w:p>
      <w:pPr>
        <w:spacing w:after="0" w:line="178" w:lineRule="exact"/>
        <w:rPr>
          <w:sz w:val="20"/>
          <w:szCs w:val="20"/>
          <w:color w:val="auto"/>
        </w:rPr>
      </w:pPr>
    </w:p>
    <w:p>
      <w:pPr>
        <w:ind w:left="1120" w:hanging="568"/>
        <w:spacing w:after="0"/>
        <w:tabs>
          <w:tab w:leader="none" w:pos="11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Members holding two thirds of the issued Shares of that class consent in writing to the variation;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variation is made with the sanction of a Special Resolution passed at a separate general meeting of the Members holding the issued Shares of that class.</w:t>
      </w:r>
    </w:p>
    <w:p>
      <w:pPr>
        <w:spacing w:after="0" w:line="211" w:lineRule="exact"/>
        <w:rPr>
          <w:sz w:val="20"/>
          <w:szCs w:val="20"/>
          <w:color w:val="auto"/>
        </w:rPr>
      </w:pPr>
    </w:p>
    <w:p>
      <w:pPr>
        <w:ind w:left="540" w:hanging="546"/>
        <w:spacing w:after="0" w:line="258" w:lineRule="auto"/>
        <w:tabs>
          <w:tab w:leader="none" w:pos="52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For the purpose of paragraph (b) of the preceding Article, all the provisions of these Articles relating to general meetings apply, mutatis mutandis, to every such separate meeting except that:</w:t>
      </w:r>
    </w:p>
    <w:p>
      <w:pPr>
        <w:spacing w:after="0" w:line="163" w:lineRule="exact"/>
        <w:rPr>
          <w:sz w:val="20"/>
          <w:szCs w:val="20"/>
          <w:color w:val="auto"/>
        </w:rPr>
      </w:pPr>
    </w:p>
    <w:p>
      <w:pPr>
        <w:ind w:left="1120" w:hanging="568"/>
        <w:spacing w:after="0"/>
        <w:tabs>
          <w:tab w:leader="none" w:pos="11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necessary quorum shall be one or more persons holding, or representing by proxy, not less than one third of the issued Shares of the class; and</w:t>
      </w:r>
    </w:p>
    <w:p>
      <w:pPr>
        <w:spacing w:after="0" w:line="211" w:lineRule="exact"/>
        <w:rPr>
          <w:rFonts w:ascii="Arial" w:cs="Arial" w:eastAsia="Arial" w:hAnsi="Arial"/>
          <w:sz w:val="14"/>
          <w:szCs w:val="14"/>
          <w:color w:val="auto"/>
        </w:rPr>
      </w:pPr>
    </w:p>
    <w:p>
      <w:pPr>
        <w:ind w:left="1120" w:right="20" w:hanging="568"/>
        <w:spacing w:after="0" w:line="258" w:lineRule="auto"/>
        <w:tabs>
          <w:tab w:leader="none" w:pos="11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Member holding issued Shares of the class, present in person or by proxy or, in the case of a corporate Member, by its duly authorised representative, may demand a poll.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new Share issue on existing class rights</w:t>
      </w:r>
    </w:p>
    <w:p>
      <w:pPr>
        <w:spacing w:after="0" w:line="194" w:lineRule="exact"/>
        <w:rPr>
          <w:sz w:val="20"/>
          <w:szCs w:val="20"/>
          <w:color w:val="auto"/>
        </w:rPr>
      </w:pPr>
    </w:p>
    <w:p>
      <w:pPr>
        <w:ind w:left="540" w:right="20" w:hanging="546"/>
        <w:spacing w:after="0" w:line="258" w:lineRule="auto"/>
        <w:tabs>
          <w:tab w:leader="none" w:pos="52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6"/>
          <w:szCs w:val="16"/>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contributions without issue of further Shares</w:t>
      </w:r>
    </w:p>
    <w:p>
      <w:pPr>
        <w:spacing w:after="0" w:line="194" w:lineRule="exact"/>
        <w:rPr>
          <w:sz w:val="20"/>
          <w:szCs w:val="20"/>
          <w:color w:val="auto"/>
        </w:rPr>
      </w:pPr>
    </w:p>
    <w:p>
      <w:pPr>
        <w:ind w:left="540" w:right="20" w:hanging="546"/>
        <w:spacing w:after="0" w:line="258" w:lineRule="auto"/>
        <w:tabs>
          <w:tab w:leader="none" w:pos="52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 Shares in consideration for that contribution. In that event, the contribution shall be dealt with in the following manner:</w:t>
      </w:r>
    </w:p>
    <w:p>
      <w:pPr>
        <w:spacing w:after="0" w:line="163" w:lineRule="exact"/>
        <w:rPr>
          <w:sz w:val="20"/>
          <w:szCs w:val="20"/>
          <w:color w:val="auto"/>
        </w:rPr>
      </w:pPr>
    </w:p>
    <w:p>
      <w:pPr>
        <w:ind w:left="1120" w:hanging="568"/>
        <w:spacing w:after="0"/>
        <w:tabs>
          <w:tab w:leader="none" w:pos="11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It shall be treated as if it were a share premium.</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Unless the Member agrees otherwise:</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188" w:lineRule="exact"/>
        <w:rPr>
          <w:rFonts w:ascii="Arial" w:cs="Arial" w:eastAsia="Arial" w:hAnsi="Arial"/>
          <w:sz w:val="16"/>
          <w:szCs w:val="16"/>
          <w:color w:val="auto"/>
        </w:rPr>
      </w:pPr>
    </w:p>
    <w:p>
      <w:pPr>
        <w:jc w:val="both"/>
        <w:ind w:left="1660" w:hanging="550"/>
        <w:spacing w:after="0" w:line="250" w:lineRule="auto"/>
        <w:tabs>
          <w:tab w:leader="none" w:pos="16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215" w:name="page216"/>
    <w:bookmarkEnd w:id="215"/>
    <w:p>
      <w:pPr>
        <w:ind w:left="1120" w:hanging="568"/>
        <w:spacing w:after="0"/>
        <w:tabs>
          <w:tab w:leader="none" w:pos="11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It shall be subject to the provisions of the Law and these Articles applicable to share premiums.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bearer Shares or warrants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3"/>
          <w:szCs w:val="13"/>
          <w:color w:val="auto"/>
        </w:rPr>
        <w:t>The Company shall not issue Shares or warrants to bearers.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Treasury Shares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3"/>
          <w:szCs w:val="13"/>
          <w:color w:val="auto"/>
        </w:rPr>
        <w:t>Shares that the Company purchases, redeems or acquires by way of surrender in accordance with the Law shall be held as Treasury Shares and not treated as cancelled if:</w:t>
      </w:r>
    </w:p>
    <w:p>
      <w:pPr>
        <w:spacing w:after="0" w:line="188" w:lineRule="exact"/>
        <w:rPr>
          <w:sz w:val="20"/>
          <w:szCs w:val="20"/>
          <w:color w:val="auto"/>
        </w:rPr>
      </w:pPr>
    </w:p>
    <w:p>
      <w:pPr>
        <w:ind w:left="1120" w:hanging="568"/>
        <w:spacing w:after="0"/>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directors so determine prior to the purchase, redemption or surrender of those shares;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relevant provisions of the Memorandum and Articles and the Law are otherwise complied with.</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attaching to Treasury Shares and related matters</w:t>
      </w:r>
    </w:p>
    <w:p>
      <w:pPr>
        <w:spacing w:after="0" w:line="194" w:lineRule="exact"/>
        <w:rPr>
          <w:sz w:val="20"/>
          <w:szCs w:val="20"/>
          <w:color w:val="auto"/>
        </w:rPr>
      </w:pPr>
    </w:p>
    <w:p>
      <w:pPr>
        <w:ind w:left="540" w:hanging="546"/>
        <w:spacing w:after="0" w:line="258" w:lineRule="auto"/>
        <w:tabs>
          <w:tab w:leader="none" w:pos="52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3"/>
          <w:szCs w:val="13"/>
          <w:color w:val="auto"/>
        </w:rPr>
        <w:t>The Company shall be entered in the Register as the holder of the Treasury Shares. However:</w:t>
      </w:r>
    </w:p>
    <w:p>
      <w:pPr>
        <w:spacing w:after="0" w:line="188" w:lineRule="exact"/>
        <w:rPr>
          <w:sz w:val="20"/>
          <w:szCs w:val="20"/>
          <w:color w:val="auto"/>
        </w:rPr>
      </w:pPr>
    </w:p>
    <w:p>
      <w:pPr>
        <w:ind w:left="1120" w:hanging="568"/>
        <w:spacing w:after="0" w:line="258" w:lineRule="auto"/>
        <w:tabs>
          <w:tab w:leader="none" w:pos="11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shall not be treated as a member for any purpose and shall not exercise any right in respect of the Treasury Shares, and any purported exercise of such a right shall be void;</w:t>
      </w:r>
    </w:p>
    <w:p>
      <w:pPr>
        <w:spacing w:after="0" w:line="162" w:lineRule="exact"/>
        <w:rPr>
          <w:rFonts w:ascii="Arial" w:cs="Arial" w:eastAsia="Arial" w:hAnsi="Arial"/>
          <w:sz w:val="16"/>
          <w:szCs w:val="16"/>
          <w:color w:val="auto"/>
        </w:rPr>
      </w:pPr>
    </w:p>
    <w:p>
      <w:pPr>
        <w:ind w:left="1120" w:hanging="568"/>
        <w:spacing w:after="0" w:line="258" w:lineRule="auto"/>
        <w:tabs>
          <w:tab w:leader="none" w:pos="11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63" w:lineRule="exact"/>
        <w:rPr>
          <w:sz w:val="20"/>
          <w:szCs w:val="20"/>
          <w:color w:val="auto"/>
        </w:rPr>
      </w:pPr>
    </w:p>
    <w:p>
      <w:pPr>
        <w:ind w:left="540" w:right="20" w:hanging="546"/>
        <w:spacing w:after="0" w:line="258" w:lineRule="auto"/>
        <w:tabs>
          <w:tab w:leader="none" w:pos="520" w:val="left"/>
        </w:tabs>
        <w:rPr>
          <w:sz w:val="20"/>
          <w:szCs w:val="20"/>
          <w:color w:val="auto"/>
        </w:rPr>
      </w:pPr>
      <w:r>
        <w:rPr>
          <w:rFonts w:ascii="Arial" w:cs="Arial" w:eastAsia="Arial" w:hAnsi="Arial"/>
          <w:sz w:val="16"/>
          <w:szCs w:val="16"/>
          <w:color w:val="auto"/>
        </w:rPr>
        <w:t>2.15</w:t>
      </w:r>
      <w:r>
        <w:rPr>
          <w:sz w:val="20"/>
          <w:szCs w:val="20"/>
          <w:color w:val="auto"/>
        </w:rPr>
        <w:tab/>
      </w:r>
      <w:r>
        <w:rPr>
          <w:rFonts w:ascii="Arial" w:cs="Arial" w:eastAsia="Arial" w:hAnsi="Arial"/>
          <w:sz w:val="16"/>
          <w:szCs w:val="16"/>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3"/>
          <w:szCs w:val="13"/>
          <w:color w:val="auto"/>
        </w:rPr>
        <w:t>Treasury Shares may be disposed of by the Company in accordance with the Law and otherwise on such terms and conditions as the directors determine.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16" w:name="page217"/>
    <w:bookmarkEnd w:id="216"/>
    <w:p>
      <w:pPr>
        <w:ind w:left="7" w:right="9600" w:hanging="7"/>
        <w:spacing w:after="0" w:line="602" w:lineRule="auto"/>
        <w:tabs>
          <w:tab w:leader="none" w:pos="356"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Share certificates Issue of share certificates</w:t>
      </w:r>
    </w:p>
    <w:p>
      <w:pPr>
        <w:spacing w:after="0" w:line="1"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3"/>
          <w:szCs w:val="13"/>
          <w:color w:val="auto"/>
        </w:rPr>
        <w:t>Upon being entered in the register of members as the holder of a Share, a Member shall be entitled:</w:t>
      </w:r>
    </w:p>
    <w:p>
      <w:pPr>
        <w:spacing w:after="0" w:line="188" w:lineRule="exact"/>
        <w:rPr>
          <w:sz w:val="20"/>
          <w:szCs w:val="20"/>
          <w:color w:val="auto"/>
        </w:rPr>
      </w:pPr>
    </w:p>
    <w:p>
      <w:pPr>
        <w:ind w:left="1127" w:hanging="568"/>
        <w:spacing w:after="0" w:line="258" w:lineRule="auto"/>
        <w:tabs>
          <w:tab w:leader="none" w:pos="11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without payment, to one certificate for all the Shares of each class held by that Member (and, upon transferring a part of the Member’s holding of Shares of any class, to a certificate for the balance of that holding); and</w:t>
      </w:r>
    </w:p>
    <w:p>
      <w:pPr>
        <w:spacing w:after="0" w:line="162" w:lineRule="exact"/>
        <w:rPr>
          <w:rFonts w:ascii="Arial" w:cs="Arial" w:eastAsia="Arial" w:hAnsi="Arial"/>
          <w:sz w:val="16"/>
          <w:szCs w:val="16"/>
          <w:color w:val="auto"/>
        </w:rPr>
      </w:pPr>
    </w:p>
    <w:p>
      <w:pPr>
        <w:ind w:left="1127" w:right="20" w:hanging="568"/>
        <w:spacing w:after="0" w:line="258" w:lineRule="auto"/>
        <w:tabs>
          <w:tab w:leader="none" w:pos="11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payment of such reasonable sum as the directors may determine for every certificate after the first, to several certificates each for one or more of that Member’s Shares.</w:t>
      </w:r>
    </w:p>
    <w:p>
      <w:pPr>
        <w:spacing w:after="0" w:line="163" w:lineRule="exact"/>
        <w:rPr>
          <w:sz w:val="20"/>
          <w:szCs w:val="20"/>
          <w:color w:val="auto"/>
        </w:rPr>
      </w:pPr>
    </w:p>
    <w:p>
      <w:pPr>
        <w:ind w:left="547" w:hanging="546"/>
        <w:spacing w:after="0" w:line="258" w:lineRule="auto"/>
        <w:tabs>
          <w:tab w:leader="none" w:pos="527"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163" w:lineRule="exact"/>
        <w:rPr>
          <w:sz w:val="20"/>
          <w:szCs w:val="20"/>
          <w:color w:val="auto"/>
        </w:rPr>
      </w:pPr>
    </w:p>
    <w:p>
      <w:pPr>
        <w:ind w:left="547" w:right="20" w:hanging="546"/>
        <w:spacing w:after="0" w:line="258" w:lineRule="auto"/>
        <w:tabs>
          <w:tab w:leader="none" w:pos="527"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Renewal of lost or damaged share certificates</w:t>
      </w:r>
    </w:p>
    <w:p>
      <w:pPr>
        <w:spacing w:after="0" w:line="194"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color w:val="auto"/>
        </w:rPr>
        <w:t>If a share certificate is defaced, worn-out, lost or destroyed, it may be renewed on such terms (if any) as to:</w:t>
      </w:r>
    </w:p>
    <w:p>
      <w:pPr>
        <w:spacing w:after="0" w:line="188" w:lineRule="exact"/>
        <w:rPr>
          <w:sz w:val="20"/>
          <w:szCs w:val="20"/>
          <w:color w:val="auto"/>
        </w:rPr>
      </w:pPr>
    </w:p>
    <w:p>
      <w:pPr>
        <w:ind w:left="1127" w:hanging="568"/>
        <w:spacing w:after="0"/>
        <w:tabs>
          <w:tab w:leader="none" w:pos="112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evidence;</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indemnity;</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payment of the expenses reasonably incurred by the Company in investigating the evidence;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payment of a reasonable fee, if any, for issuing a replacement share certificate</w:t>
      </w:r>
    </w:p>
    <w:p>
      <w:pPr>
        <w:spacing w:after="0" w:line="188" w:lineRule="exact"/>
        <w:rPr>
          <w:rFonts w:ascii="Arial" w:cs="Arial" w:eastAsia="Arial" w:hAnsi="Arial"/>
          <w:sz w:val="16"/>
          <w:szCs w:val="16"/>
          <w:color w:val="auto"/>
        </w:rPr>
      </w:pPr>
    </w:p>
    <w:p>
      <w:pPr>
        <w:ind w:left="1127"/>
        <w:spacing w:after="0"/>
        <w:rPr>
          <w:rFonts w:ascii="Arial" w:cs="Arial" w:eastAsia="Arial" w:hAnsi="Arial"/>
          <w:sz w:val="16"/>
          <w:szCs w:val="16"/>
          <w:color w:val="auto"/>
        </w:rPr>
      </w:pPr>
      <w:r>
        <w:rPr>
          <w:rFonts w:ascii="Arial" w:cs="Arial" w:eastAsia="Arial" w:hAnsi="Arial"/>
          <w:sz w:val="16"/>
          <w:szCs w:val="16"/>
          <w:color w:val="auto"/>
        </w:rPr>
        <w:t>as the directors may determine, and (in the case of defacement or wearing-out) on delivery to the Company of the old certificate.</w:t>
      </w:r>
    </w:p>
    <w:p>
      <w:pPr>
        <w:spacing w:after="0" w:line="182" w:lineRule="exact"/>
        <w:rPr>
          <w:sz w:val="20"/>
          <w:szCs w:val="20"/>
          <w:color w:val="auto"/>
        </w:rPr>
      </w:pPr>
    </w:p>
    <w:p>
      <w:pPr>
        <w:ind w:left="7" w:right="9660" w:hanging="7"/>
        <w:spacing w:after="0" w:line="602" w:lineRule="auto"/>
        <w:tabs>
          <w:tab w:leader="none" w:pos="356"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Lien on Shares Nature and scope of lien</w:t>
      </w:r>
    </w:p>
    <w:p>
      <w:pPr>
        <w:spacing w:after="0" w:line="1" w:lineRule="exact"/>
        <w:rPr>
          <w:sz w:val="20"/>
          <w:szCs w:val="20"/>
          <w:color w:val="auto"/>
        </w:rPr>
      </w:pPr>
    </w:p>
    <w:p>
      <w:pPr>
        <w:ind w:left="547" w:right="20" w:hanging="546"/>
        <w:spacing w:after="0" w:line="258" w:lineRule="auto"/>
        <w:tabs>
          <w:tab w:leader="none" w:pos="527"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163" w:lineRule="exact"/>
        <w:rPr>
          <w:sz w:val="20"/>
          <w:szCs w:val="20"/>
          <w:color w:val="auto"/>
        </w:rPr>
      </w:pPr>
    </w:p>
    <w:p>
      <w:pPr>
        <w:ind w:left="1127" w:hanging="568"/>
        <w:spacing w:after="0"/>
        <w:tabs>
          <w:tab w:leader="none" w:pos="11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either alone or jointly with any other person, whether or not that other person is a Member; and</w:t>
      </w:r>
    </w:p>
    <w:p>
      <w:pPr>
        <w:spacing w:after="0" w:line="35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95" w:right="319" w:bottom="1440" w:gutter="0" w:footer="0" w:header="0"/>
        </w:sectPr>
      </w:pPr>
    </w:p>
    <w:bookmarkStart w:id="217" w:name="page218"/>
    <w:bookmarkEnd w:id="217"/>
    <w:p>
      <w:pPr>
        <w:ind w:left="1120" w:hanging="568"/>
        <w:spacing w:after="0"/>
        <w:tabs>
          <w:tab w:leader="none" w:pos="11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either alone or jointly with any other person, whether or not that other person is a Member;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whether or not those moneys are presently payable.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At any time the directors may declare any Share to be wholly or partly exempt from the provisions of this Article.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may sell Shares to satisfy lien</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The Company may sell any Shares over which it has a lien if all of the following conditions are met:</w:t>
      </w:r>
    </w:p>
    <w:p>
      <w:pPr>
        <w:spacing w:after="0" w:line="188" w:lineRule="exact"/>
        <w:rPr>
          <w:sz w:val="20"/>
          <w:szCs w:val="20"/>
          <w:color w:val="auto"/>
        </w:rPr>
      </w:pPr>
    </w:p>
    <w:p>
      <w:pPr>
        <w:ind w:left="1120" w:hanging="568"/>
        <w:spacing w:after="0"/>
        <w:tabs>
          <w:tab w:leader="none" w:pos="11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sum in respect of which the lien exists is presently payable;</w:t>
      </w:r>
    </w:p>
    <w:p>
      <w:pPr>
        <w:spacing w:after="0" w:line="188" w:lineRule="exact"/>
        <w:rPr>
          <w:rFonts w:ascii="Arial" w:cs="Arial" w:eastAsia="Arial" w:hAnsi="Arial"/>
          <w:sz w:val="16"/>
          <w:szCs w:val="16"/>
          <w:color w:val="auto"/>
        </w:rPr>
      </w:pPr>
    </w:p>
    <w:p>
      <w:pPr>
        <w:ind w:left="1120" w:right="20" w:hanging="568"/>
        <w:spacing w:after="0" w:line="258" w:lineRule="auto"/>
        <w:tabs>
          <w:tab w:leader="none" w:pos="11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2" w:lineRule="exact"/>
        <w:rPr>
          <w:rFonts w:ascii="Arial" w:cs="Arial" w:eastAsia="Arial" w:hAnsi="Arial"/>
          <w:sz w:val="16"/>
          <w:szCs w:val="16"/>
          <w:color w:val="auto"/>
        </w:rPr>
      </w:pPr>
    </w:p>
    <w:p>
      <w:pPr>
        <w:ind w:left="1120" w:hanging="568"/>
        <w:spacing w:after="0"/>
        <w:tabs>
          <w:tab w:leader="none" w:pos="11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that sum is not paid within 14 Clear Days after that notice is deemed to be given under these Articles.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3"/>
          <w:szCs w:val="13"/>
          <w:color w:val="auto"/>
        </w:rPr>
        <w:t>The Shares may be sold in such manner as the directors determine.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color w:val="auto"/>
        </w:rPr>
        <w:t>To the maximum extent permitted by law, the directors shall incur no personal liability to the Member concerned in respect of the sale.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Authority to execute instrument of transfer</w:t>
      </w:r>
    </w:p>
    <w:p>
      <w:pPr>
        <w:spacing w:after="0" w:line="194" w:lineRule="exact"/>
        <w:rPr>
          <w:sz w:val="20"/>
          <w:szCs w:val="20"/>
          <w:color w:val="auto"/>
        </w:rPr>
      </w:pPr>
    </w:p>
    <w:p>
      <w:pPr>
        <w:ind w:left="540" w:hanging="546"/>
        <w:spacing w:after="0" w:line="329" w:lineRule="auto"/>
        <w:tabs>
          <w:tab w:leader="none" w:pos="5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Consequences of sale of Shares to satisfy lien</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color w:val="auto"/>
        </w:rPr>
        <w:t>On sale pursuant to the preceding Articles:</w:t>
      </w:r>
    </w:p>
    <w:p>
      <w:pPr>
        <w:spacing w:after="0" w:line="188" w:lineRule="exact"/>
        <w:rPr>
          <w:sz w:val="20"/>
          <w:szCs w:val="20"/>
          <w:color w:val="auto"/>
        </w:rPr>
      </w:pPr>
    </w:p>
    <w:p>
      <w:pPr>
        <w:ind w:left="1120" w:hanging="568"/>
        <w:spacing w:after="0"/>
        <w:tabs>
          <w:tab w:leader="none" w:pos="11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name of the Member concerned shall be removed from the register of members as the holder of those Shares;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that person shall deliver to the Company for cancellation the certificate for those Shares.</w:t>
      </w:r>
    </w:p>
    <w:p>
      <w:pPr>
        <w:spacing w:after="0" w:line="188" w:lineRule="exact"/>
        <w:rPr>
          <w:sz w:val="20"/>
          <w:szCs w:val="20"/>
          <w:color w:val="auto"/>
        </w:rPr>
      </w:pPr>
    </w:p>
    <w:p>
      <w:pPr>
        <w:jc w:val="both"/>
        <w:ind w:left="560"/>
        <w:spacing w:after="0" w:line="248" w:lineRule="auto"/>
        <w:rPr>
          <w:sz w:val="20"/>
          <w:szCs w:val="20"/>
          <w:color w:val="auto"/>
        </w:rPr>
      </w:pPr>
      <w:r>
        <w:rPr>
          <w:rFonts w:ascii="Arial" w:cs="Arial" w:eastAsia="Arial" w:hAnsi="Arial"/>
          <w:sz w:val="16"/>
          <w:szCs w:val="16"/>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18" w:name="page219"/>
    <w:bookmarkEnd w:id="218"/>
    <w:p>
      <w:pPr>
        <w:ind w:left="7"/>
        <w:spacing w:after="0"/>
        <w:rPr>
          <w:sz w:val="20"/>
          <w:szCs w:val="20"/>
          <w:color w:val="auto"/>
        </w:rPr>
      </w:pPr>
      <w:r>
        <w:rPr>
          <w:rFonts w:ascii="Arial" w:cs="Arial" w:eastAsia="Arial" w:hAnsi="Arial"/>
          <w:sz w:val="16"/>
          <w:szCs w:val="16"/>
          <w:b w:val="1"/>
          <w:bCs w:val="1"/>
          <w:color w:val="auto"/>
        </w:rPr>
        <w:t>Application of proceeds of sale</w:t>
      </w:r>
    </w:p>
    <w:p>
      <w:pPr>
        <w:spacing w:after="0" w:line="194" w:lineRule="exact"/>
        <w:rPr>
          <w:sz w:val="20"/>
          <w:szCs w:val="20"/>
          <w:color w:val="auto"/>
        </w:rPr>
      </w:pPr>
    </w:p>
    <w:p>
      <w:pPr>
        <w:ind w:left="547" w:right="20" w:hanging="546"/>
        <w:spacing w:after="0" w:line="258" w:lineRule="auto"/>
        <w:tabs>
          <w:tab w:leader="none" w:pos="527"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63" w:lineRule="exact"/>
        <w:rPr>
          <w:sz w:val="20"/>
          <w:szCs w:val="20"/>
          <w:color w:val="auto"/>
        </w:rPr>
      </w:pPr>
    </w:p>
    <w:p>
      <w:pPr>
        <w:ind w:left="1127" w:hanging="568"/>
        <w:spacing w:after="0"/>
        <w:tabs>
          <w:tab w:leader="none" w:pos="112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no certificate for the Shares was issued, at the date of the sale;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 certificate for the Shares was issued, upon surrender to the Company of that certificate for cancellation</w:t>
      </w:r>
    </w:p>
    <w:p>
      <w:pPr>
        <w:spacing w:after="0" w:line="188" w:lineRule="exact"/>
        <w:rPr>
          <w:rFonts w:ascii="Arial" w:cs="Arial" w:eastAsia="Arial" w:hAnsi="Arial"/>
          <w:sz w:val="16"/>
          <w:szCs w:val="16"/>
          <w:color w:val="auto"/>
        </w:rPr>
      </w:pPr>
    </w:p>
    <w:p>
      <w:pPr>
        <w:ind w:left="1127"/>
        <w:spacing w:after="0"/>
        <w:rPr>
          <w:rFonts w:ascii="Arial" w:cs="Arial" w:eastAsia="Arial" w:hAnsi="Arial"/>
          <w:sz w:val="16"/>
          <w:szCs w:val="16"/>
          <w:color w:val="auto"/>
        </w:rPr>
      </w:pPr>
      <w:r>
        <w:rPr>
          <w:rFonts w:ascii="Arial" w:cs="Arial" w:eastAsia="Arial" w:hAnsi="Arial"/>
          <w:sz w:val="16"/>
          <w:szCs w:val="16"/>
          <w:color w:val="auto"/>
        </w:rPr>
        <w:t>but, in either case, subject to the Company retaining a like lien for all sums not presently payable as existed on the Shares before the sale.</w:t>
      </w:r>
    </w:p>
    <w:p>
      <w:pPr>
        <w:spacing w:after="0" w:line="182" w:lineRule="exact"/>
        <w:rPr>
          <w:sz w:val="20"/>
          <w:szCs w:val="20"/>
          <w:color w:val="auto"/>
        </w:rPr>
      </w:pPr>
    </w:p>
    <w:p>
      <w:pPr>
        <w:ind w:left="7" w:right="8760" w:hanging="7"/>
        <w:spacing w:after="0" w:line="602" w:lineRule="auto"/>
        <w:tabs>
          <w:tab w:leader="none" w:pos="356"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Calls on Shares and forfeiture Power to make calls and effect of calls</w:t>
      </w:r>
    </w:p>
    <w:p>
      <w:pPr>
        <w:spacing w:after="0" w:line="1" w:lineRule="exact"/>
        <w:rPr>
          <w:sz w:val="20"/>
          <w:szCs w:val="20"/>
          <w:color w:val="auto"/>
        </w:rPr>
      </w:pPr>
    </w:p>
    <w:p>
      <w:pPr>
        <w:jc w:val="both"/>
        <w:ind w:left="547" w:hanging="546"/>
        <w:spacing w:after="0" w:line="250" w:lineRule="auto"/>
        <w:tabs>
          <w:tab w:leader="none" w:pos="527"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70" w:lineRule="exact"/>
        <w:rPr>
          <w:sz w:val="20"/>
          <w:szCs w:val="20"/>
          <w:color w:val="auto"/>
        </w:rPr>
      </w:pPr>
    </w:p>
    <w:p>
      <w:pPr>
        <w:jc w:val="both"/>
        <w:ind w:left="547" w:hanging="546"/>
        <w:spacing w:after="0" w:line="250" w:lineRule="auto"/>
        <w:tabs>
          <w:tab w:leader="none" w:pos="527"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70" w:lineRule="exact"/>
        <w:rPr>
          <w:sz w:val="20"/>
          <w:szCs w:val="20"/>
          <w:color w:val="auto"/>
        </w:rPr>
      </w:pPr>
    </w:p>
    <w:p>
      <w:pPr>
        <w:jc w:val="both"/>
        <w:ind w:left="547" w:right="20" w:hanging="546"/>
        <w:spacing w:after="0" w:line="258" w:lineRule="auto"/>
        <w:tabs>
          <w:tab w:leader="none" w:pos="527"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Time when call made</w:t>
      </w:r>
    </w:p>
    <w:p>
      <w:pPr>
        <w:spacing w:after="0" w:line="194"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3"/>
          <w:szCs w:val="13"/>
          <w:color w:val="auto"/>
        </w:rPr>
        <w:t>A call shall be deemed to have been made at the time when the resolution of the directors authorising the call was passed.</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95" w:right="319"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b w:val="1"/>
          <w:bCs w:val="1"/>
          <w:color w:val="auto"/>
        </w:rPr>
        <w:t>Liability of joint holders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color w:val="auto"/>
        </w:rPr>
        <w:t>Members registered as the joint holders of a Share shall be jointly and severally liable to pay all calls in respect of the Share.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on unpaid calls</w:t>
      </w:r>
    </w:p>
    <w:p>
      <w:pPr>
        <w:spacing w:after="0" w:line="194"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If a call remains unpaid after it has become due and payable the person from whom it is due and payable shall pay interest on the amount unpaid from the day it became due and payable until it is paid:</w:t>
      </w:r>
    </w:p>
    <w:p>
      <w:pPr>
        <w:spacing w:after="0" w:line="163" w:lineRule="exact"/>
        <w:rPr>
          <w:sz w:val="20"/>
          <w:szCs w:val="20"/>
          <w:color w:val="auto"/>
        </w:rPr>
      </w:pPr>
    </w:p>
    <w:p>
      <w:pPr>
        <w:ind w:left="1120" w:hanging="568"/>
        <w:spacing w:after="0"/>
        <w:tabs>
          <w:tab w:leader="none" w:pos="11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at the rate fixed by the terms of allotment of the Share or in the notice of the call;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no rate is fixed, at the Default Rate.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directors may waive payment of the interest wholly or in part.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Deemed calls</w:t>
      </w:r>
    </w:p>
    <w:p>
      <w:pPr>
        <w:spacing w:after="0" w:line="194"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accept early payment</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4"/>
          <w:szCs w:val="14"/>
          <w:color w:val="auto"/>
        </w:rPr>
        <w:t>The Company may accept from a Member the whole or a part of the amount remaining unpaid on Shares held by him although no part of that amount has been called up.</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make different arrangements at time of issue of Shares</w:t>
      </w:r>
    </w:p>
    <w:p>
      <w:pPr>
        <w:spacing w:after="0" w:line="194"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6"/>
          <w:szCs w:val="16"/>
          <w:color w:val="auto"/>
        </w:rPr>
        <w:t>Subject to the terms of allotment, the directors may make arrangements on the issue of Shares to distinguish between Members in the amounts and times of payment of calls on their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default</w:t>
      </w:r>
    </w:p>
    <w:p>
      <w:pPr>
        <w:spacing w:after="0" w:line="194"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6"/>
          <w:szCs w:val="16"/>
          <w:color w:val="auto"/>
        </w:rPr>
        <w:t>If a call remains unpaid after it has become due and payable the directors may give to the person from whom it is due not less than 14 Clear Days’ notice requiring payment of:</w:t>
      </w:r>
    </w:p>
    <w:p>
      <w:pPr>
        <w:spacing w:after="0" w:line="163" w:lineRule="exact"/>
        <w:rPr>
          <w:sz w:val="20"/>
          <w:szCs w:val="20"/>
          <w:color w:val="auto"/>
        </w:rPr>
      </w:pPr>
    </w:p>
    <w:p>
      <w:pPr>
        <w:ind w:left="1120" w:hanging="568"/>
        <w:spacing w:after="0"/>
        <w:tabs>
          <w:tab w:leader="none" w:pos="11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amount unpaid;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interest which may have accrued;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expenses which have been incurred by the Company due to that person’s default.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220" w:name="page221"/>
    <w:bookmarkEnd w:id="220"/>
    <w:p>
      <w:pPr>
        <w:spacing w:after="0"/>
        <w:tabs>
          <w:tab w:leader="none" w:pos="54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color w:val="auto"/>
        </w:rPr>
        <w:t>The notice shall state the following:</w:t>
      </w:r>
    </w:p>
    <w:p>
      <w:pPr>
        <w:spacing w:after="0" w:line="188" w:lineRule="exact"/>
        <w:rPr>
          <w:sz w:val="20"/>
          <w:szCs w:val="20"/>
          <w:color w:val="auto"/>
        </w:rPr>
      </w:pPr>
    </w:p>
    <w:p>
      <w:pPr>
        <w:ind w:left="1120" w:hanging="568"/>
        <w:spacing w:after="0"/>
        <w:tabs>
          <w:tab w:leader="none" w:pos="11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place where payment is to be made;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warning that if the notice is not complied with the Shares in respect of which the call is made will be liable to be forfeited.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Forfeiture or surrender of Shares</w:t>
      </w:r>
    </w:p>
    <w:p>
      <w:pPr>
        <w:spacing w:after="0" w:line="194" w:lineRule="exact"/>
        <w:rPr>
          <w:sz w:val="20"/>
          <w:szCs w:val="20"/>
          <w:color w:val="auto"/>
        </w:rPr>
      </w:pPr>
    </w:p>
    <w:p>
      <w:pPr>
        <w:jc w:val="both"/>
        <w:ind w:left="560" w:hanging="558"/>
        <w:spacing w:after="0" w:line="248" w:lineRule="auto"/>
        <w:tabs>
          <w:tab w:leader="none" w:pos="540" w:val="left"/>
        </w:tabs>
        <w:rPr>
          <w:sz w:val="20"/>
          <w:szCs w:val="20"/>
          <w:color w:val="auto"/>
        </w:rPr>
      </w:pPr>
      <w:r>
        <w:rPr>
          <w:rFonts w:ascii="Arial" w:cs="Arial" w:eastAsia="Arial" w:hAnsi="Arial"/>
          <w:sz w:val="16"/>
          <w:szCs w:val="16"/>
          <w:color w:val="auto"/>
        </w:rPr>
        <w:t>5.12</w:t>
      </w:r>
      <w:r>
        <w:rPr>
          <w:sz w:val="20"/>
          <w:szCs w:val="20"/>
          <w:color w:val="auto"/>
        </w:rPr>
        <w:tab/>
      </w:r>
      <w:r>
        <w:rPr>
          <w:rFonts w:ascii="Arial" w:cs="Arial" w:eastAsia="Arial" w:hAnsi="Arial"/>
          <w:sz w:val="16"/>
          <w:szCs w:val="16"/>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Disposal of forfeited or surrendered Share and power to cancel forfeiture or surrender</w:t>
      </w:r>
    </w:p>
    <w:p>
      <w:pPr>
        <w:spacing w:after="0" w:line="194" w:lineRule="exact"/>
        <w:rPr>
          <w:sz w:val="20"/>
          <w:szCs w:val="20"/>
          <w:color w:val="auto"/>
        </w:rPr>
      </w:pPr>
    </w:p>
    <w:p>
      <w:pPr>
        <w:jc w:val="both"/>
        <w:ind w:left="560" w:hanging="558"/>
        <w:spacing w:after="0" w:line="248" w:lineRule="auto"/>
        <w:tabs>
          <w:tab w:leader="none" w:pos="540" w:val="left"/>
        </w:tabs>
        <w:rPr>
          <w:sz w:val="20"/>
          <w:szCs w:val="20"/>
          <w:color w:val="auto"/>
        </w:rPr>
      </w:pPr>
      <w:r>
        <w:rPr>
          <w:rFonts w:ascii="Arial" w:cs="Arial" w:eastAsia="Arial" w:hAnsi="Arial"/>
          <w:sz w:val="16"/>
          <w:szCs w:val="16"/>
          <w:color w:val="auto"/>
        </w:rPr>
        <w:t>5.13</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forfeiture or surrender on former Member</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5.14</w:t>
      </w:r>
      <w:r>
        <w:rPr>
          <w:sz w:val="20"/>
          <w:szCs w:val="20"/>
          <w:color w:val="auto"/>
        </w:rPr>
        <w:tab/>
      </w:r>
      <w:r>
        <w:rPr>
          <w:rFonts w:ascii="Arial" w:cs="Arial" w:eastAsia="Arial" w:hAnsi="Arial"/>
          <w:sz w:val="14"/>
          <w:szCs w:val="14"/>
          <w:color w:val="auto"/>
        </w:rPr>
        <w:t>On forfeiture or surrender:</w:t>
      </w:r>
    </w:p>
    <w:p>
      <w:pPr>
        <w:spacing w:after="0" w:line="188" w:lineRule="exact"/>
        <w:rPr>
          <w:sz w:val="20"/>
          <w:szCs w:val="20"/>
          <w:color w:val="auto"/>
        </w:rPr>
      </w:pPr>
    </w:p>
    <w:p>
      <w:pPr>
        <w:ind w:left="1120" w:hanging="568"/>
        <w:spacing w:after="0" w:line="258" w:lineRule="auto"/>
        <w:tabs>
          <w:tab w:leader="none" w:pos="11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name of the Member concerned shall be removed from the register of members as the holder of those Shares and that person shall cease to be a Member in respect of those Shares; and</w:t>
      </w:r>
    </w:p>
    <w:p>
      <w:pPr>
        <w:spacing w:after="0" w:line="162" w:lineRule="exact"/>
        <w:rPr>
          <w:rFonts w:ascii="Arial" w:cs="Arial" w:eastAsia="Arial" w:hAnsi="Arial"/>
          <w:sz w:val="16"/>
          <w:szCs w:val="16"/>
          <w:color w:val="auto"/>
        </w:rPr>
      </w:pPr>
    </w:p>
    <w:p>
      <w:pPr>
        <w:ind w:left="1120" w:hanging="568"/>
        <w:spacing w:after="0"/>
        <w:tabs>
          <w:tab w:leader="none" w:pos="11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that person shall surrender to the Company for cancellation the certificate (if any) for the forfeited or surrendered Shares.</w:t>
      </w:r>
    </w:p>
    <w:p>
      <w:pPr>
        <w:spacing w:after="0" w:line="188"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5.15</w:t>
      </w:r>
      <w:r>
        <w:rPr>
          <w:sz w:val="20"/>
          <w:szCs w:val="20"/>
          <w:color w:val="auto"/>
        </w:rPr>
        <w:tab/>
      </w:r>
      <w:r>
        <w:rPr>
          <w:rFonts w:ascii="Arial" w:cs="Arial" w:eastAsia="Arial" w:hAnsi="Arial"/>
          <w:sz w:val="16"/>
          <w:szCs w:val="16"/>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63" w:lineRule="exact"/>
        <w:rPr>
          <w:sz w:val="20"/>
          <w:szCs w:val="20"/>
          <w:color w:val="auto"/>
        </w:rPr>
      </w:pPr>
    </w:p>
    <w:p>
      <w:pPr>
        <w:ind w:left="1120" w:hanging="568"/>
        <w:spacing w:after="0"/>
        <w:tabs>
          <w:tab w:leader="none" w:pos="11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all expenses;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interest from the date of forfeiture or surrender until payment:</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at the rate of which interest was payable on those moneys before forfeiture; or</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no interest was so payable, at the Default Rate.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21" w:name="page222"/>
    <w:bookmarkEnd w:id="221"/>
    <w:p>
      <w:pPr>
        <w:ind w:left="567"/>
        <w:spacing w:after="0"/>
        <w:rPr>
          <w:sz w:val="20"/>
          <w:szCs w:val="20"/>
          <w:color w:val="auto"/>
        </w:rPr>
      </w:pPr>
      <w:r>
        <w:rPr>
          <w:rFonts w:ascii="Arial" w:cs="Arial" w:eastAsia="Arial" w:hAnsi="Arial"/>
          <w:sz w:val="16"/>
          <w:szCs w:val="16"/>
          <w:color w:val="auto"/>
        </w:rPr>
        <w:t>The directors, however, may waive payment wholly or in part.</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Evidence of forfeiture or surrender</w:t>
      </w:r>
    </w:p>
    <w:p>
      <w:pPr>
        <w:spacing w:after="0" w:line="194"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5.16</w:t>
      </w:r>
      <w:r>
        <w:rPr>
          <w:sz w:val="20"/>
          <w:szCs w:val="20"/>
          <w:color w:val="auto"/>
        </w:rPr>
        <w:tab/>
      </w:r>
      <w:r>
        <w:rPr>
          <w:rFonts w:ascii="Arial" w:cs="Arial" w:eastAsia="Arial" w:hAnsi="Arial"/>
          <w:sz w:val="16"/>
          <w:szCs w:val="16"/>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3" w:lineRule="exact"/>
        <w:rPr>
          <w:sz w:val="20"/>
          <w:szCs w:val="20"/>
          <w:color w:val="auto"/>
        </w:rPr>
      </w:pPr>
    </w:p>
    <w:p>
      <w:pPr>
        <w:ind w:left="1127" w:hanging="568"/>
        <w:spacing w:after="0"/>
        <w:tabs>
          <w:tab w:leader="none" w:pos="112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that the person making the declaration is a director or Secretary of the Company,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that the particular Shares have been forfeited or surrendered on a particular date.</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color w:val="auto"/>
        </w:rPr>
        <w:t>Subject to the execution of an instrument of transfer, if necessary, the declaration shall constitute good title to the Shares.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Sale of forfeited or surrendered Shares</w:t>
      </w:r>
    </w:p>
    <w:p>
      <w:pPr>
        <w:spacing w:after="0" w:line="194" w:lineRule="exact"/>
        <w:rPr>
          <w:sz w:val="20"/>
          <w:szCs w:val="20"/>
          <w:color w:val="auto"/>
        </w:rPr>
      </w:pPr>
    </w:p>
    <w:p>
      <w:pPr>
        <w:ind w:left="567" w:right="20" w:hanging="558"/>
        <w:spacing w:after="0" w:line="329" w:lineRule="auto"/>
        <w:tabs>
          <w:tab w:leader="none" w:pos="547" w:val="left"/>
        </w:tabs>
        <w:rPr>
          <w:sz w:val="20"/>
          <w:szCs w:val="20"/>
          <w:color w:val="auto"/>
        </w:rPr>
      </w:pPr>
      <w:r>
        <w:rPr>
          <w:rFonts w:ascii="Arial" w:cs="Arial" w:eastAsia="Arial" w:hAnsi="Arial"/>
          <w:sz w:val="16"/>
          <w:szCs w:val="16"/>
          <w:color w:val="auto"/>
        </w:rPr>
        <w:t>5.17</w:t>
      </w:r>
      <w:r>
        <w:rPr>
          <w:sz w:val="20"/>
          <w:szCs w:val="20"/>
          <w:color w:val="auto"/>
        </w:rPr>
        <w:tab/>
      </w:r>
      <w:r>
        <w:rPr>
          <w:rFonts w:ascii="Arial" w:cs="Arial" w:eastAsia="Arial" w:hAnsi="Arial"/>
          <w:sz w:val="14"/>
          <w:szCs w:val="14"/>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11" w:lineRule="exact"/>
        <w:rPr>
          <w:sz w:val="20"/>
          <w:szCs w:val="20"/>
          <w:color w:val="auto"/>
        </w:rPr>
      </w:pPr>
    </w:p>
    <w:p>
      <w:pPr>
        <w:ind w:left="7" w:right="9480" w:hanging="7"/>
        <w:spacing w:after="0" w:line="559" w:lineRule="auto"/>
        <w:tabs>
          <w:tab w:leader="none" w:pos="566"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Transfer of Shares Form of transfer</w:t>
      </w:r>
    </w:p>
    <w:p>
      <w:pPr>
        <w:spacing w:after="0" w:line="1"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Subject to the following Articles about the transfer of Shares, a Member may transfer Shares to another person by completing an instrument of transfer, in a common form or in a form approved by the directors, executed:</w:t>
      </w:r>
    </w:p>
    <w:p>
      <w:pPr>
        <w:spacing w:after="0" w:line="163" w:lineRule="exact"/>
        <w:rPr>
          <w:sz w:val="20"/>
          <w:szCs w:val="20"/>
          <w:color w:val="auto"/>
        </w:rPr>
      </w:pPr>
    </w:p>
    <w:p>
      <w:pPr>
        <w:ind w:left="1127" w:hanging="568"/>
        <w:spacing w:after="0"/>
        <w:tabs>
          <w:tab w:leader="none" w:pos="112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the Shares are Fully Paid, by or on behalf of that Member;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the Shares are partly paid, by or on behalf of that Member and the transferee.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refuse registration</w:t>
      </w:r>
    </w:p>
    <w:p>
      <w:pPr>
        <w:spacing w:after="0" w:line="194"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The directors may refuse to register the transfer of a Share to any person. They may do so in their absolute discretion, without giving any reason for their refusal, and irrespective of whether the Share is Fully Paid or the Company has no lien over it.</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Notice of refusal to register</w:t>
      </w:r>
    </w:p>
    <w:p>
      <w:pPr>
        <w:spacing w:after="0" w:line="194"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If the directors refuse to register a transfer of a Share, they must send notice of their refusal to the existing Member within two months after the date on which the transfer was lodged with the Company.</w:t>
      </w: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15" w:right="319" w:bottom="1440" w:gutter="0" w:footer="0" w:header="0"/>
        </w:sectPr>
      </w:pPr>
    </w:p>
    <w:bookmarkStart w:id="222" w:name="page223"/>
    <w:bookmarkEnd w:id="222"/>
    <w:p>
      <w:pPr>
        <w:ind w:left="7"/>
        <w:spacing w:after="0"/>
        <w:rPr>
          <w:sz w:val="20"/>
          <w:szCs w:val="20"/>
          <w:color w:val="auto"/>
        </w:rPr>
      </w:pPr>
      <w:r>
        <w:rPr>
          <w:rFonts w:ascii="Arial" w:cs="Arial" w:eastAsia="Arial" w:hAnsi="Arial"/>
          <w:sz w:val="16"/>
          <w:szCs w:val="16"/>
          <w:b w:val="1"/>
          <w:bCs w:val="1"/>
          <w:color w:val="auto"/>
        </w:rPr>
        <w:t>Power to suspend registration</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3"/>
          <w:szCs w:val="13"/>
          <w:color w:val="auto"/>
        </w:rPr>
        <w:t>The directors may suspend registration of the transfer of Shares at such times and for such periods, not exceeding 30 days in any calendar year, as they determine.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Fee, if any, payable for registration</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color w:val="auto"/>
        </w:rPr>
        <w:t>If the directors so decide, the Company may charge a reasonable fee for the registration of any instrument of transfer or other document relating to the title to a Share.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Company may retain instrument of transfer</w:t>
      </w:r>
    </w:p>
    <w:p>
      <w:pPr>
        <w:spacing w:after="0" w:line="194"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57" w:lineRule="exact"/>
        <w:rPr>
          <w:sz w:val="20"/>
          <w:szCs w:val="20"/>
          <w:color w:val="auto"/>
        </w:rPr>
      </w:pPr>
    </w:p>
    <w:p>
      <w:pPr>
        <w:ind w:left="7" w:right="8700" w:hanging="7"/>
        <w:spacing w:after="0" w:line="602" w:lineRule="auto"/>
        <w:tabs>
          <w:tab w:leader="none" w:pos="566"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Transmission of Shares Persons entitled on death of a Member</w:t>
      </w:r>
    </w:p>
    <w:p>
      <w:pPr>
        <w:spacing w:after="0" w:line="1"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color w:val="auto"/>
        </w:rPr>
        <w:t>If a Member dies, the only persons recognised by the Company as having any title to the deceased Members’ interest are the following:</w:t>
      </w:r>
    </w:p>
    <w:p>
      <w:pPr>
        <w:spacing w:after="0" w:line="188" w:lineRule="exact"/>
        <w:rPr>
          <w:sz w:val="20"/>
          <w:szCs w:val="20"/>
          <w:color w:val="auto"/>
        </w:rPr>
      </w:pPr>
    </w:p>
    <w:p>
      <w:pPr>
        <w:ind w:left="1127" w:hanging="568"/>
        <w:spacing w:after="0"/>
        <w:tabs>
          <w:tab w:leader="none" w:pos="112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the deceased Member was a joint holder, the survivor or survivors;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the deceased Member was a sole holder, that Member’s personal representative or representatives.</w:t>
      </w:r>
    </w:p>
    <w:p>
      <w:pPr>
        <w:spacing w:after="0" w:line="188"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3"/>
          <w:szCs w:val="13"/>
          <w:color w:val="auto"/>
        </w:rPr>
        <w:t>Nothing in these Articles shall release the deceased Member’s estate from any liability in respect of any Share, whether the deceased was a sole holder or a joint holder.</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Registration of transfer of a Share following death or bankruptcy</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A person becoming entitled to a Share in consequence of the death or bankruptcy of a Member may elect to do either of the following:</w:t>
      </w:r>
    </w:p>
    <w:p>
      <w:pPr>
        <w:spacing w:after="0" w:line="188" w:lineRule="exact"/>
        <w:rPr>
          <w:sz w:val="20"/>
          <w:szCs w:val="20"/>
          <w:color w:val="auto"/>
        </w:rPr>
      </w:pPr>
    </w:p>
    <w:p>
      <w:pPr>
        <w:ind w:left="1127" w:hanging="568"/>
        <w:spacing w:after="0"/>
        <w:tabs>
          <w:tab w:leader="none" w:pos="112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become the holder of the Share;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transfer the Share to another person.</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3"/>
          <w:szCs w:val="13"/>
          <w:color w:val="auto"/>
        </w:rPr>
        <w:t>That person must produce such evidence of his entitlement as the directors may properly require.</w:t>
      </w:r>
    </w:p>
    <w:p>
      <w:pPr>
        <w:spacing w:after="0" w:line="188"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6"/>
          <w:szCs w:val="16"/>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223" w:name="page224"/>
    <w:bookmarkEnd w:id="223"/>
    <w:p>
      <w:pPr>
        <w:ind w:left="7"/>
        <w:spacing w:after="0"/>
        <w:tabs>
          <w:tab w:leader="none" w:pos="547"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3"/>
          <w:szCs w:val="13"/>
          <w:color w:val="auto"/>
        </w:rPr>
        <w:t>If the person elects to transfer the Share to another person then:</w:t>
      </w:r>
    </w:p>
    <w:p>
      <w:pPr>
        <w:spacing w:after="0" w:line="188" w:lineRule="exact"/>
        <w:rPr>
          <w:sz w:val="20"/>
          <w:szCs w:val="20"/>
          <w:color w:val="auto"/>
        </w:rPr>
      </w:pPr>
    </w:p>
    <w:p>
      <w:pPr>
        <w:ind w:left="1127" w:hanging="568"/>
        <w:spacing w:after="0"/>
        <w:tabs>
          <w:tab w:leader="none" w:pos="112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Share is Fully Paid, the transferor must execute an instrument of transfer;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Share is partly paid, the transferor and the transferee must execute an instrument of transfer.</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4"/>
          <w:szCs w:val="14"/>
          <w:color w:val="auto"/>
        </w:rPr>
        <w:t>All the Articles relating to the transfer of Shares shall apply to the notice or, as appropriate, the instrument of transfer.</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Indemnity</w:t>
      </w:r>
    </w:p>
    <w:p>
      <w:pPr>
        <w:spacing w:after="0" w:line="194" w:lineRule="exact"/>
        <w:rPr>
          <w:sz w:val="20"/>
          <w:szCs w:val="20"/>
          <w:color w:val="auto"/>
        </w:rPr>
      </w:pPr>
    </w:p>
    <w:p>
      <w:pPr>
        <w:jc w:val="both"/>
        <w:ind w:left="567" w:hanging="558"/>
        <w:spacing w:after="0" w:line="258" w:lineRule="auto"/>
        <w:tabs>
          <w:tab w:leader="none" w:pos="547"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Rights of person entitled to a Share following death or bankruptcy</w:t>
      </w:r>
    </w:p>
    <w:p>
      <w:pPr>
        <w:spacing w:after="0" w:line="194" w:lineRule="exact"/>
        <w:rPr>
          <w:sz w:val="20"/>
          <w:szCs w:val="20"/>
          <w:color w:val="auto"/>
        </w:rPr>
      </w:pPr>
    </w:p>
    <w:p>
      <w:pPr>
        <w:jc w:val="both"/>
        <w:ind w:left="567" w:hanging="558"/>
        <w:spacing w:after="0" w:line="250" w:lineRule="auto"/>
        <w:tabs>
          <w:tab w:leader="none" w:pos="547" w:val="left"/>
        </w:tabs>
        <w:rPr>
          <w:sz w:val="20"/>
          <w:szCs w:val="20"/>
          <w:color w:val="auto"/>
        </w:rPr>
      </w:pPr>
      <w:r>
        <w:rPr>
          <w:rFonts w:ascii="Arial" w:cs="Arial" w:eastAsia="Arial" w:hAnsi="Arial"/>
          <w:sz w:val="16"/>
          <w:szCs w:val="16"/>
          <w:color w:val="auto"/>
        </w:rPr>
        <w:t>7.9</w:t>
      </w:r>
      <w:r>
        <w:rPr>
          <w:sz w:val="20"/>
          <w:szCs w:val="20"/>
          <w:color w:val="auto"/>
        </w:rPr>
        <w:tab/>
      </w:r>
      <w:r>
        <w:rPr>
          <w:rFonts w:ascii="Arial" w:cs="Arial" w:eastAsia="Arial" w:hAnsi="Arial"/>
          <w:sz w:val="16"/>
          <w:szCs w:val="16"/>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 in the Company.</w:t>
      </w:r>
    </w:p>
    <w:p>
      <w:pPr>
        <w:spacing w:after="0" w:line="164" w:lineRule="exact"/>
        <w:rPr>
          <w:sz w:val="20"/>
          <w:szCs w:val="20"/>
          <w:color w:val="auto"/>
        </w:rPr>
      </w:pPr>
    </w:p>
    <w:p>
      <w:pPr>
        <w:ind w:left="567" w:hanging="567"/>
        <w:spacing w:after="0"/>
        <w:tabs>
          <w:tab w:leader="none" w:pos="567"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Alteration of capital</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Increasing, consolidating, converting, dividing and cancelling share capital</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color w:val="auto"/>
        </w:rPr>
        <w:t>To the fullest extent permitted by the Law, the Company may by Ordinary Resolution do any of the following and amend its Memorandum for that purpose:</w:t>
      </w:r>
    </w:p>
    <w:p>
      <w:pPr>
        <w:spacing w:after="0" w:line="188" w:lineRule="exact"/>
        <w:rPr>
          <w:sz w:val="20"/>
          <w:szCs w:val="20"/>
          <w:color w:val="auto"/>
        </w:rPr>
      </w:pPr>
    </w:p>
    <w:p>
      <w:pPr>
        <w:ind w:left="1127" w:hanging="568"/>
        <w:spacing w:after="0" w:line="258" w:lineRule="auto"/>
        <w:tabs>
          <w:tab w:leader="none" w:pos="112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increase its share capital by new Shares of the amount fixed by that Ordinary Resolution and with the attached rights, priorities and privileges set out in that Ordinary Resolution;</w:t>
      </w:r>
    </w:p>
    <w:p>
      <w:pPr>
        <w:spacing w:after="0" w:line="162" w:lineRule="exact"/>
        <w:rPr>
          <w:rFonts w:ascii="Arial" w:cs="Arial" w:eastAsia="Arial" w:hAnsi="Arial"/>
          <w:sz w:val="16"/>
          <w:szCs w:val="16"/>
          <w:color w:val="auto"/>
        </w:rPr>
      </w:pPr>
    </w:p>
    <w:p>
      <w:pPr>
        <w:ind w:left="1127" w:hanging="568"/>
        <w:spacing w:after="0"/>
        <w:tabs>
          <w:tab w:leader="none" w:pos="112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consolidate and divide all or any of its share capital into Shares of larger amount than its existing Shares;</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convert all or any of its Paid Up Shares into stock, and reconvert that stock into Paid Up Shares of any denomination;</w:t>
      </w:r>
    </w:p>
    <w:p>
      <w:pPr>
        <w:spacing w:after="0" w:line="188" w:lineRule="exact"/>
        <w:rPr>
          <w:rFonts w:ascii="Arial" w:cs="Arial" w:eastAsia="Arial" w:hAnsi="Arial"/>
          <w:sz w:val="16"/>
          <w:szCs w:val="16"/>
          <w:color w:val="auto"/>
        </w:rPr>
      </w:pPr>
    </w:p>
    <w:p>
      <w:pPr>
        <w:jc w:val="both"/>
        <w:ind w:left="1127" w:hanging="568"/>
        <w:spacing w:after="0" w:line="250" w:lineRule="auto"/>
        <w:tabs>
          <w:tab w:leader="none" w:pos="112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69" w:lineRule="exact"/>
        <w:rPr>
          <w:rFonts w:ascii="Arial" w:cs="Arial" w:eastAsia="Arial" w:hAnsi="Arial"/>
          <w:sz w:val="16"/>
          <w:szCs w:val="16"/>
          <w:color w:val="auto"/>
        </w:rPr>
      </w:pPr>
    </w:p>
    <w:p>
      <w:pPr>
        <w:jc w:val="both"/>
        <w:ind w:left="1127" w:hanging="568"/>
        <w:spacing w:after="0" w:line="250" w:lineRule="auto"/>
        <w:tabs>
          <w:tab w:leader="none" w:pos="112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24" w:name="page225"/>
    <w:bookmarkEnd w:id="224"/>
    <w:p>
      <w:pPr>
        <w:ind w:left="7"/>
        <w:spacing w:after="0"/>
        <w:rPr>
          <w:sz w:val="20"/>
          <w:szCs w:val="20"/>
          <w:color w:val="auto"/>
        </w:rPr>
      </w:pPr>
      <w:r>
        <w:rPr>
          <w:rFonts w:ascii="Arial" w:cs="Arial" w:eastAsia="Arial" w:hAnsi="Arial"/>
          <w:sz w:val="16"/>
          <w:szCs w:val="16"/>
          <w:b w:val="1"/>
          <w:bCs w:val="1"/>
          <w:color w:val="auto"/>
        </w:rPr>
        <w:t>Dealing with fractions resulting from consolidation of Shares</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3"/>
          <w:szCs w:val="13"/>
          <w:color w:val="auto"/>
        </w:rPr>
        <w:t>Whenever, as a result of a consolidation of Shares, any Members would become entitled to fractions of a Share the directors may on behalf of those Members:</w:t>
      </w:r>
    </w:p>
    <w:p>
      <w:pPr>
        <w:spacing w:after="0" w:line="188" w:lineRule="exact"/>
        <w:rPr>
          <w:sz w:val="20"/>
          <w:szCs w:val="20"/>
          <w:color w:val="auto"/>
        </w:rPr>
      </w:pPr>
    </w:p>
    <w:p>
      <w:pPr>
        <w:ind w:left="1127" w:hanging="568"/>
        <w:spacing w:after="0"/>
        <w:tabs>
          <w:tab w:leader="none" w:pos="1127" w:val="left"/>
        </w:tabs>
        <w:numPr>
          <w:ilvl w:val="0"/>
          <w:numId w:val="134"/>
        </w:numPr>
        <w:rPr>
          <w:rFonts w:ascii="Arial" w:cs="Arial" w:eastAsia="Arial" w:hAnsi="Arial"/>
          <w:sz w:val="14"/>
          <w:szCs w:val="14"/>
          <w:color w:val="auto"/>
        </w:rPr>
      </w:pPr>
      <w:r>
        <w:rPr>
          <w:rFonts w:ascii="Arial" w:cs="Arial" w:eastAsia="Arial" w:hAnsi="Arial"/>
          <w:sz w:val="14"/>
          <w:szCs w:val="14"/>
          <w:color w:val="auto"/>
        </w:rPr>
        <w:t>sell the Shares representing the fractions for the best price reasonably obtainable to any person (including, subject to the provisions of the Law, the Company); and</w:t>
      </w:r>
    </w:p>
    <w:p>
      <w:pPr>
        <w:spacing w:after="0" w:line="211" w:lineRule="exact"/>
        <w:rPr>
          <w:rFonts w:ascii="Arial" w:cs="Arial" w:eastAsia="Arial" w:hAnsi="Arial"/>
          <w:sz w:val="14"/>
          <w:szCs w:val="14"/>
          <w:color w:val="auto"/>
        </w:rPr>
      </w:pPr>
    </w:p>
    <w:p>
      <w:pPr>
        <w:ind w:left="1127" w:hanging="568"/>
        <w:spacing w:after="0"/>
        <w:tabs>
          <w:tab w:leader="none" w:pos="112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distribute the net proceeds in due proportion among those Members.</w:t>
      </w:r>
    </w:p>
    <w:p>
      <w:pPr>
        <w:spacing w:after="0" w:line="188" w:lineRule="exact"/>
        <w:rPr>
          <w:sz w:val="20"/>
          <w:szCs w:val="20"/>
          <w:color w:val="auto"/>
        </w:rPr>
      </w:pPr>
    </w:p>
    <w:p>
      <w:pPr>
        <w:jc w:val="both"/>
        <w:ind w:left="567" w:right="20"/>
        <w:spacing w:after="0" w:line="250" w:lineRule="auto"/>
        <w:rPr>
          <w:sz w:val="20"/>
          <w:szCs w:val="20"/>
          <w:color w:val="auto"/>
        </w:rPr>
      </w:pPr>
      <w:r>
        <w:rPr>
          <w:rFonts w:ascii="Arial" w:cs="Arial" w:eastAsia="Arial" w:hAnsi="Arial"/>
          <w:sz w:val="16"/>
          <w:szCs w:val="16"/>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Reducing share capital</w:t>
      </w:r>
    </w:p>
    <w:p>
      <w:pPr>
        <w:spacing w:after="0" w:line="194"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Subject to the Law and to any rights for the time being conferred on the Members holding a particular class of Shares, the Company may, by Special Resolution, reduce its share capital in any way.</w:t>
      </w:r>
    </w:p>
    <w:p>
      <w:pPr>
        <w:spacing w:after="0" w:line="157" w:lineRule="exact"/>
        <w:rPr>
          <w:sz w:val="20"/>
          <w:szCs w:val="20"/>
          <w:color w:val="auto"/>
        </w:rPr>
      </w:pPr>
    </w:p>
    <w:p>
      <w:pPr>
        <w:ind w:left="567" w:hanging="567"/>
        <w:spacing w:after="0"/>
        <w:tabs>
          <w:tab w:leader="none" w:pos="567"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Redemption and purchase of own 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issue redeemable Shares and to purchase own Shares</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color w:val="auto"/>
        </w:rPr>
        <w:t>Subject to the Law, and to any rights for the time being conferred on the Members holding a particular class of Shares, the Company may by its directors:</w:t>
      </w:r>
    </w:p>
    <w:p>
      <w:pPr>
        <w:spacing w:after="0" w:line="188" w:lineRule="exact"/>
        <w:rPr>
          <w:sz w:val="20"/>
          <w:szCs w:val="20"/>
          <w:color w:val="auto"/>
        </w:rPr>
      </w:pPr>
    </w:p>
    <w:p>
      <w:pPr>
        <w:ind w:left="1127" w:right="20" w:hanging="568"/>
        <w:spacing w:after="0" w:line="258" w:lineRule="auto"/>
        <w:tabs>
          <w:tab w:leader="none" w:pos="112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62" w:lineRule="exact"/>
        <w:rPr>
          <w:rFonts w:ascii="Arial" w:cs="Arial" w:eastAsia="Arial" w:hAnsi="Arial"/>
          <w:sz w:val="16"/>
          <w:szCs w:val="16"/>
          <w:color w:val="auto"/>
        </w:rPr>
      </w:pPr>
    </w:p>
    <w:p>
      <w:pPr>
        <w:jc w:val="both"/>
        <w:ind w:left="1127" w:hanging="568"/>
        <w:spacing w:after="0" w:line="250" w:lineRule="auto"/>
        <w:tabs>
          <w:tab w:leader="none" w:pos="112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69" w:lineRule="exact"/>
        <w:rPr>
          <w:rFonts w:ascii="Arial" w:cs="Arial" w:eastAsia="Arial" w:hAnsi="Arial"/>
          <w:sz w:val="16"/>
          <w:szCs w:val="16"/>
          <w:color w:val="auto"/>
        </w:rPr>
      </w:pPr>
    </w:p>
    <w:p>
      <w:pPr>
        <w:ind w:left="1127" w:right="20" w:hanging="568"/>
        <w:spacing w:after="0" w:line="258" w:lineRule="auto"/>
        <w:tabs>
          <w:tab w:leader="none" w:pos="112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purchase all or any of its own Shares of any class including any redeemable Shares on the terms and in the manner which the directors determine at the time of such purchase.</w:t>
      </w: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95" w:right="319" w:bottom="1440" w:gutter="0" w:footer="0" w:header="0"/>
        </w:sectPr>
      </w:pPr>
    </w:p>
    <w:bookmarkStart w:id="225" w:name="page226"/>
    <w:bookmarkEnd w:id="225"/>
    <w:p>
      <w:pPr>
        <w:ind w:left="567"/>
        <w:spacing w:after="0" w:line="258" w:lineRule="auto"/>
        <w:rPr>
          <w:sz w:val="20"/>
          <w:szCs w:val="20"/>
          <w:color w:val="auto"/>
        </w:rPr>
      </w:pPr>
      <w:r>
        <w:rPr>
          <w:rFonts w:ascii="Arial" w:cs="Arial" w:eastAsia="Arial" w:hAnsi="Arial"/>
          <w:sz w:val="16"/>
          <w:szCs w:val="16"/>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pay for redemption or purchase in cash or in specie</w:t>
      </w:r>
    </w:p>
    <w:p>
      <w:pPr>
        <w:spacing w:after="0" w:line="194" w:lineRule="exact"/>
        <w:rPr>
          <w:sz w:val="20"/>
          <w:szCs w:val="20"/>
          <w:color w:val="auto"/>
        </w:rPr>
      </w:pPr>
    </w:p>
    <w:p>
      <w:pPr>
        <w:jc w:val="both"/>
        <w:ind w:left="567" w:hanging="558"/>
        <w:spacing w:after="0" w:line="250" w:lineRule="auto"/>
        <w:tabs>
          <w:tab w:leader="none" w:pos="547"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9.1, or otherwise by agreement with the Member holding those Shares.</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Effect of redemption or purchase of a Share</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3"/>
          <w:szCs w:val="13"/>
          <w:color w:val="auto"/>
        </w:rPr>
        <w:t>Upon the date of redemption or purchase of a Share:</w:t>
      </w:r>
    </w:p>
    <w:p>
      <w:pPr>
        <w:spacing w:after="0" w:line="188" w:lineRule="exact"/>
        <w:rPr>
          <w:sz w:val="20"/>
          <w:szCs w:val="20"/>
          <w:color w:val="auto"/>
        </w:rPr>
      </w:pPr>
    </w:p>
    <w:p>
      <w:pPr>
        <w:ind w:left="1127" w:hanging="568"/>
        <w:spacing w:after="0"/>
        <w:tabs>
          <w:tab w:leader="none" w:pos="11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Member holding that Share shall cease to be entitled to any rights in respect of the Share other than the right to receive:</w:t>
      </w:r>
    </w:p>
    <w:p>
      <w:pPr>
        <w:spacing w:after="0" w:line="188" w:lineRule="exact"/>
        <w:rPr>
          <w:rFonts w:ascii="Arial" w:cs="Arial" w:eastAsia="Arial" w:hAnsi="Arial"/>
          <w:sz w:val="16"/>
          <w:szCs w:val="16"/>
          <w:color w:val="auto"/>
        </w:rPr>
      </w:pPr>
    </w:p>
    <w:p>
      <w:pPr>
        <w:ind w:left="1667" w:hanging="550"/>
        <w:spacing w:after="0"/>
        <w:tabs>
          <w:tab w:leader="none" w:pos="166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price for the Share; and</w:t>
      </w:r>
    </w:p>
    <w:p>
      <w:pPr>
        <w:spacing w:after="0" w:line="188" w:lineRule="exact"/>
        <w:rPr>
          <w:rFonts w:ascii="Arial" w:cs="Arial" w:eastAsia="Arial" w:hAnsi="Arial"/>
          <w:sz w:val="16"/>
          <w:szCs w:val="16"/>
          <w:color w:val="auto"/>
        </w:rPr>
      </w:pPr>
    </w:p>
    <w:p>
      <w:pPr>
        <w:ind w:left="1667" w:hanging="550"/>
        <w:spacing w:after="0"/>
        <w:tabs>
          <w:tab w:leader="none" w:pos="166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any dividend declared in respect of the Share prior to the date of redemption or purchase;</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Member’s name shall be removed from the register of members with respect to the Share;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Share shall be cancelled or held as a Treasury Shares, as the directors may determine.</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color w:val="auto"/>
        </w:rPr>
        <w:t>For the purpose of this Article, the date of redemption or purchase is the date when the redemption or purchase falls due.</w:t>
      </w:r>
    </w:p>
    <w:p>
      <w:pPr>
        <w:spacing w:after="0" w:line="182" w:lineRule="exact"/>
        <w:rPr>
          <w:sz w:val="20"/>
          <w:szCs w:val="20"/>
          <w:color w:val="auto"/>
        </w:rPr>
      </w:pPr>
    </w:p>
    <w:p>
      <w:pPr>
        <w:ind w:left="567" w:hanging="567"/>
        <w:spacing w:after="0"/>
        <w:tabs>
          <w:tab w:leader="none" w:pos="567"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Repurchase of Subscriber Share</w:t>
      </w:r>
    </w:p>
    <w:p>
      <w:pPr>
        <w:spacing w:after="0" w:line="194" w:lineRule="exact"/>
        <w:rPr>
          <w:rFonts w:ascii="Arial" w:cs="Arial" w:eastAsia="Arial" w:hAnsi="Arial"/>
          <w:sz w:val="16"/>
          <w:szCs w:val="16"/>
          <w:b w:val="1"/>
          <w:bCs w:val="1"/>
          <w:color w:val="auto"/>
        </w:rPr>
      </w:pPr>
    </w:p>
    <w:p>
      <w:pPr>
        <w:jc w:val="both"/>
        <w:ind w:left="567"/>
        <w:spacing w:after="0" w:line="373" w:lineRule="auto"/>
        <w:rPr>
          <w:rFonts w:ascii="Arial" w:cs="Arial" w:eastAsia="Arial" w:hAnsi="Arial"/>
          <w:sz w:val="16"/>
          <w:szCs w:val="16"/>
          <w:b w:val="1"/>
          <w:bCs w:val="1"/>
          <w:color w:val="auto"/>
        </w:rPr>
      </w:pPr>
      <w:r>
        <w:rPr>
          <w:rFonts w:ascii="Arial" w:cs="Arial" w:eastAsia="Arial" w:hAnsi="Arial"/>
          <w:sz w:val="13"/>
          <w:szCs w:val="13"/>
          <w:color w:val="auto"/>
        </w:rPr>
        <w:t>As soon as the directors determine that it is lawful for the Company to do so, the Company shall purchase from the subscriber to the Memorandum the one share agreed to be taken by such subscriber. Such share shall be repurchased for cash at its par value and the Company may make a payment out of capital in respect of such purchase price.</w:t>
      </w:r>
    </w:p>
    <w:p>
      <w:pPr>
        <w:spacing w:after="0" w:line="87" w:lineRule="exact"/>
        <w:rPr>
          <w:rFonts w:ascii="Arial" w:cs="Arial" w:eastAsia="Arial" w:hAnsi="Arial"/>
          <w:sz w:val="16"/>
          <w:szCs w:val="16"/>
          <w:b w:val="1"/>
          <w:bCs w:val="1"/>
          <w:color w:val="auto"/>
        </w:rPr>
      </w:pPr>
    </w:p>
    <w:p>
      <w:pPr>
        <w:ind w:left="567" w:hanging="567"/>
        <w:spacing w:after="0"/>
        <w:tabs>
          <w:tab w:leader="none" w:pos="567"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 Members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call meetings</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3"/>
          <w:szCs w:val="13"/>
          <w:color w:val="auto"/>
        </w:rPr>
        <w:t>The directors may call a general meeting at any time.</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26" w:name="page227"/>
    <w:bookmarkEnd w:id="226"/>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The directors must also call a general meeting if requisitioned in the manner set out in the next two Articles.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4"/>
          <w:szCs w:val="14"/>
          <w:color w:val="auto"/>
        </w:rPr>
        <w:t>The requisition must be in writing and given by one or more Members who together hold at least 10% of the rights to vote at such general meeting.</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4"/>
          <w:szCs w:val="14"/>
          <w:color w:val="auto"/>
        </w:rPr>
        <w:t>The requisition must also:</w:t>
      </w:r>
    </w:p>
    <w:p>
      <w:pPr>
        <w:spacing w:after="0" w:line="188" w:lineRule="exact"/>
        <w:rPr>
          <w:sz w:val="20"/>
          <w:szCs w:val="20"/>
          <w:color w:val="auto"/>
        </w:rPr>
      </w:pPr>
    </w:p>
    <w:p>
      <w:pPr>
        <w:ind w:left="1120" w:hanging="568"/>
        <w:spacing w:after="0"/>
        <w:tabs>
          <w:tab w:leader="none" w:pos="11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specify the purpose of the meeting.</w:t>
      </w:r>
    </w:p>
    <w:p>
      <w:pPr>
        <w:spacing w:after="0" w:line="188" w:lineRule="exact"/>
        <w:rPr>
          <w:rFonts w:ascii="Arial" w:cs="Arial" w:eastAsia="Arial" w:hAnsi="Arial"/>
          <w:sz w:val="16"/>
          <w:szCs w:val="16"/>
          <w:color w:val="auto"/>
        </w:rPr>
      </w:pPr>
    </w:p>
    <w:p>
      <w:pPr>
        <w:ind w:left="1120" w:hanging="568"/>
        <w:spacing w:after="0" w:line="258" w:lineRule="auto"/>
        <w:tabs>
          <w:tab w:leader="none" w:pos="11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62" w:lineRule="exact"/>
        <w:rPr>
          <w:rFonts w:ascii="Arial" w:cs="Arial" w:eastAsia="Arial" w:hAnsi="Arial"/>
          <w:sz w:val="16"/>
          <w:szCs w:val="16"/>
          <w:color w:val="auto"/>
        </w:rPr>
      </w:pPr>
    </w:p>
    <w:p>
      <w:pPr>
        <w:ind w:left="1120" w:hanging="568"/>
        <w:spacing w:after="0"/>
        <w:tabs>
          <w:tab w:leader="none" w:pos="11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be delivered in accordance with the notice provisions.</w:t>
      </w:r>
    </w:p>
    <w:p>
      <w:pPr>
        <w:spacing w:after="0" w:line="188" w:lineRule="exact"/>
        <w:rPr>
          <w:sz w:val="20"/>
          <w:szCs w:val="20"/>
          <w:color w:val="auto"/>
        </w:rPr>
      </w:pPr>
    </w:p>
    <w:p>
      <w:pPr>
        <w:jc w:val="both"/>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163" w:lineRule="exact"/>
        <w:rPr>
          <w:sz w:val="20"/>
          <w:szCs w:val="20"/>
          <w:color w:val="auto"/>
        </w:rPr>
      </w:pPr>
    </w:p>
    <w:p>
      <w:pPr>
        <w:jc w:val="both"/>
        <w:ind w:left="560" w:hanging="558"/>
        <w:spacing w:after="0" w:line="303" w:lineRule="auto"/>
        <w:tabs>
          <w:tab w:leader="none" w:pos="54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4"/>
          <w:szCs w:val="14"/>
          <w:color w:val="auto"/>
        </w:rPr>
        <w:t>Without limitation to the foregoing, if there are insufficient directors to constitute a quorum and the remaining directors are unable to agree on the appointment of additional directors, any one or more Members who together hold at least 10% of the rights to vote at a general meeting may call a general meeting for the purpose of considering the business specified in the notice of meeting which shall include as an item of business the appointment of additional directors.</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3"/>
          <w:szCs w:val="13"/>
          <w:color w:val="auto"/>
        </w:rPr>
        <w:t>If the Members call a meeting under the above provisions, the Company shall reimburse their reasonable expenses.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Content of notice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4"/>
          <w:szCs w:val="14"/>
          <w:color w:val="auto"/>
        </w:rPr>
        <w:t>Notice of a general meeting shall specify each of the following:</w:t>
      </w:r>
    </w:p>
    <w:p>
      <w:pPr>
        <w:spacing w:after="0" w:line="188" w:lineRule="exact"/>
        <w:rPr>
          <w:sz w:val="20"/>
          <w:szCs w:val="20"/>
          <w:color w:val="auto"/>
        </w:rPr>
      </w:pPr>
    </w:p>
    <w:p>
      <w:pPr>
        <w:ind w:left="1120" w:hanging="568"/>
        <w:spacing w:after="0"/>
        <w:tabs>
          <w:tab w:leader="none" w:pos="11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place, the date and the hour of the meeting;</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the meeting is to be held in two or more places, the technology that will be used to facilitate the meeting;</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subject to paragraph (d), the general nature of the business to be transacted;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a resolution is proposed as a Special Resolution, the text of that resolution.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27" w:name="page228"/>
    <w:bookmarkEnd w:id="227"/>
    <w:p>
      <w:pPr>
        <w:spacing w:after="0"/>
        <w:tabs>
          <w:tab w:leader="none" w:pos="540" w:val="left"/>
        </w:tabs>
        <w:rPr>
          <w:sz w:val="20"/>
          <w:szCs w:val="20"/>
          <w:color w:val="auto"/>
        </w:rPr>
      </w:pPr>
      <w:r>
        <w:rPr>
          <w:rFonts w:ascii="Arial" w:cs="Arial" w:eastAsia="Arial" w:hAnsi="Arial"/>
          <w:sz w:val="16"/>
          <w:szCs w:val="16"/>
          <w:color w:val="auto"/>
        </w:rPr>
        <w:t>11.10</w:t>
      </w:r>
      <w:r>
        <w:rPr>
          <w:sz w:val="20"/>
          <w:szCs w:val="20"/>
          <w:color w:val="auto"/>
        </w:rPr>
        <w:tab/>
      </w:r>
      <w:r>
        <w:rPr>
          <w:rFonts w:ascii="Arial" w:cs="Arial" w:eastAsia="Arial" w:hAnsi="Arial"/>
          <w:sz w:val="13"/>
          <w:szCs w:val="13"/>
          <w:color w:val="auto"/>
        </w:rPr>
        <w:t>In each notice there shall appear with reasonable prominence the following statements:</w:t>
      </w:r>
    </w:p>
    <w:p>
      <w:pPr>
        <w:spacing w:after="0" w:line="188" w:lineRule="exact"/>
        <w:rPr>
          <w:sz w:val="20"/>
          <w:szCs w:val="20"/>
          <w:color w:val="auto"/>
        </w:rPr>
      </w:pPr>
    </w:p>
    <w:p>
      <w:pPr>
        <w:ind w:left="1120" w:hanging="568"/>
        <w:spacing w:after="0"/>
        <w:tabs>
          <w:tab w:leader="none" w:pos="11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that a proxyholder need not be a Member.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 of notice</w:t>
      </w:r>
    </w:p>
    <w:p>
      <w:pPr>
        <w:spacing w:after="0" w:line="194"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11.11</w:t>
        <w:tab/>
        <w:t>At least five Clear Days’ notice of a general meeting must be given to Members. But a meeting may be convened on shorter notice with the consent of the Member or Members who, individually or collectively, hold at least 90% of the voting rights of all those who have a right to vote at that meeting.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Persons entitled to receive notice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11.12</w:t>
      </w:r>
      <w:r>
        <w:rPr>
          <w:sz w:val="20"/>
          <w:szCs w:val="20"/>
          <w:color w:val="auto"/>
        </w:rPr>
        <w:tab/>
      </w:r>
      <w:r>
        <w:rPr>
          <w:rFonts w:ascii="Arial" w:cs="Arial" w:eastAsia="Arial" w:hAnsi="Arial"/>
          <w:sz w:val="14"/>
          <w:szCs w:val="14"/>
          <w:color w:val="auto"/>
        </w:rPr>
        <w:t>Subject to the provisions of these Articles and to any restrictions imposed on any Shares, the notice shall be given to the following people:</w:t>
      </w:r>
    </w:p>
    <w:p>
      <w:pPr>
        <w:spacing w:after="0" w:line="188" w:lineRule="exact"/>
        <w:rPr>
          <w:sz w:val="20"/>
          <w:szCs w:val="20"/>
          <w:color w:val="auto"/>
        </w:rPr>
      </w:pPr>
    </w:p>
    <w:p>
      <w:pPr>
        <w:ind w:left="1120" w:hanging="568"/>
        <w:spacing w:after="0"/>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Members;</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persons entitled to a Share in consequence of the death or bankruptcy of a Member;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directors.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Publication of notice on a website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11.13</w:t>
      </w:r>
      <w:r>
        <w:rPr>
          <w:sz w:val="20"/>
          <w:szCs w:val="20"/>
          <w:color w:val="auto"/>
        </w:rPr>
        <w:tab/>
      </w:r>
      <w:r>
        <w:rPr>
          <w:rFonts w:ascii="Arial" w:cs="Arial" w:eastAsia="Arial" w:hAnsi="Arial"/>
          <w:sz w:val="14"/>
          <w:szCs w:val="14"/>
          <w:color w:val="auto"/>
        </w:rPr>
        <w:t>Subject to the Law, a notice of a general meeting may be published on a website providing the recipient is given separate notice of:</w:t>
      </w:r>
    </w:p>
    <w:p>
      <w:pPr>
        <w:spacing w:after="0" w:line="188" w:lineRule="exact"/>
        <w:rPr>
          <w:sz w:val="20"/>
          <w:szCs w:val="20"/>
          <w:color w:val="auto"/>
        </w:rPr>
      </w:pPr>
    </w:p>
    <w:p>
      <w:pPr>
        <w:ind w:left="1120" w:hanging="568"/>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publication of the notice on the website;</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place on the website where the notice may be accessed;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how it may be accessed;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place, date and time of the general meeting.</w:t>
      </w:r>
    </w:p>
    <w:p>
      <w:pPr>
        <w:spacing w:after="0" w:line="188" w:lineRule="exact"/>
        <w:rPr>
          <w:sz w:val="20"/>
          <w:szCs w:val="20"/>
          <w:color w:val="auto"/>
        </w:rPr>
      </w:pPr>
    </w:p>
    <w:p>
      <w:pPr>
        <w:ind w:left="560" w:right="20" w:hanging="558"/>
        <w:spacing w:after="0" w:line="329" w:lineRule="auto"/>
        <w:tabs>
          <w:tab w:leader="none" w:pos="540" w:val="left"/>
        </w:tabs>
        <w:rPr>
          <w:sz w:val="20"/>
          <w:szCs w:val="20"/>
          <w:color w:val="auto"/>
        </w:rPr>
      </w:pPr>
      <w:r>
        <w:rPr>
          <w:rFonts w:ascii="Arial" w:cs="Arial" w:eastAsia="Arial" w:hAnsi="Arial"/>
          <w:sz w:val="16"/>
          <w:szCs w:val="16"/>
          <w:color w:val="auto"/>
        </w:rPr>
        <w:t>11.14</w:t>
      </w:r>
      <w:r>
        <w:rPr>
          <w:sz w:val="20"/>
          <w:szCs w:val="20"/>
          <w:color w:val="auto"/>
        </w:rPr>
        <w:tab/>
      </w:r>
      <w:r>
        <w:rPr>
          <w:rFonts w:ascii="Arial" w:cs="Arial" w:eastAsia="Arial" w:hAnsi="Arial"/>
          <w:sz w:val="14"/>
          <w:szCs w:val="14"/>
          <w:color w:val="auto"/>
        </w:rPr>
        <w:t>If a Member notifies the Company that he is unable for any reason to access the website, the Company must as soon as practicable give notice of the meeting to that Member by any other means permitted by these Articles. But this will not affect when that Member is deemed to have received notice of the meeting.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a website notice is deemed to be given</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11.15</w:t>
      </w:r>
      <w:r>
        <w:rPr>
          <w:sz w:val="20"/>
          <w:szCs w:val="20"/>
          <w:color w:val="auto"/>
        </w:rPr>
        <w:tab/>
      </w:r>
      <w:r>
        <w:rPr>
          <w:rFonts w:ascii="Arial" w:cs="Arial" w:eastAsia="Arial" w:hAnsi="Arial"/>
          <w:sz w:val="14"/>
          <w:szCs w:val="14"/>
          <w:color w:val="auto"/>
        </w:rPr>
        <w:t>A website notice is deemed to be given when the Member is given notice of its publication.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28" w:name="page229"/>
    <w:bookmarkEnd w:id="228"/>
    <w:p>
      <w:pPr>
        <w:ind w:left="7"/>
        <w:spacing w:after="0"/>
        <w:rPr>
          <w:sz w:val="20"/>
          <w:szCs w:val="20"/>
          <w:color w:val="auto"/>
        </w:rPr>
      </w:pPr>
      <w:r>
        <w:rPr>
          <w:rFonts w:ascii="Arial" w:cs="Arial" w:eastAsia="Arial" w:hAnsi="Arial"/>
          <w:sz w:val="16"/>
          <w:szCs w:val="16"/>
          <w:b w:val="1"/>
          <w:bCs w:val="1"/>
          <w:color w:val="auto"/>
        </w:rPr>
        <w:t>Required duration of publication on a website</w:t>
      </w:r>
    </w:p>
    <w:p>
      <w:pPr>
        <w:spacing w:after="0" w:line="194"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11.16</w:t>
        <w:tab/>
        <w:t>Where the notice of meeting is published on a website, it shall continue to be published in the same place on that website from the date of the notification until the conclusion of the meeting to which the notice relates.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Accidental omission to give notice or non-receipt of notice</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11.17</w:t>
      </w:r>
      <w:r>
        <w:rPr>
          <w:sz w:val="20"/>
          <w:szCs w:val="20"/>
          <w:color w:val="auto"/>
        </w:rPr>
        <w:tab/>
      </w:r>
      <w:r>
        <w:rPr>
          <w:rFonts w:ascii="Arial" w:cs="Arial" w:eastAsia="Arial" w:hAnsi="Arial"/>
          <w:sz w:val="14"/>
          <w:szCs w:val="14"/>
          <w:color w:val="auto"/>
        </w:rPr>
        <w:t>Proceedings at a meeting shall not be invalidated by the following:</w:t>
      </w:r>
    </w:p>
    <w:p>
      <w:pPr>
        <w:spacing w:after="0" w:line="188" w:lineRule="exact"/>
        <w:rPr>
          <w:sz w:val="20"/>
          <w:szCs w:val="20"/>
          <w:color w:val="auto"/>
        </w:rPr>
      </w:pPr>
    </w:p>
    <w:p>
      <w:pPr>
        <w:ind w:left="1127" w:hanging="568"/>
        <w:spacing w:after="0"/>
        <w:tabs>
          <w:tab w:leader="none" w:pos="112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 accidental failure to give notice of the meeting to any person entitled to notice;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non-receipt of notice of the meeting by any person entitled to notice.</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11.18</w:t>
      </w:r>
      <w:r>
        <w:rPr>
          <w:sz w:val="20"/>
          <w:szCs w:val="20"/>
          <w:color w:val="auto"/>
        </w:rPr>
        <w:tab/>
      </w:r>
      <w:r>
        <w:rPr>
          <w:rFonts w:ascii="Arial" w:cs="Arial" w:eastAsia="Arial" w:hAnsi="Arial"/>
          <w:sz w:val="14"/>
          <w:szCs w:val="14"/>
          <w:color w:val="auto"/>
        </w:rPr>
        <w:t>In addition, where a notice of meeting is published on a website, proceedings at the meeting shall not be invalidated merely because it is accidentally published:</w:t>
      </w:r>
    </w:p>
    <w:p>
      <w:pPr>
        <w:spacing w:after="0" w:line="188" w:lineRule="exact"/>
        <w:rPr>
          <w:sz w:val="20"/>
          <w:szCs w:val="20"/>
          <w:color w:val="auto"/>
        </w:rPr>
      </w:pPr>
    </w:p>
    <w:p>
      <w:pPr>
        <w:ind w:left="1127" w:hanging="568"/>
        <w:spacing w:after="0"/>
        <w:tabs>
          <w:tab w:leader="none" w:pos="112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a different place on the website;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part only of the period from the date of the notification until the conclusion of the meeting to which the notice relates.</w:t>
      </w:r>
    </w:p>
    <w:p>
      <w:pPr>
        <w:spacing w:after="0" w:line="182" w:lineRule="exact"/>
        <w:rPr>
          <w:sz w:val="20"/>
          <w:szCs w:val="20"/>
          <w:color w:val="auto"/>
        </w:rPr>
      </w:pPr>
    </w:p>
    <w:p>
      <w:pPr>
        <w:ind w:left="7" w:right="8280" w:hanging="7"/>
        <w:spacing w:after="0" w:line="489" w:lineRule="auto"/>
        <w:tabs>
          <w:tab w:leader="none" w:pos="566"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 at meetings of Members Quorum</w:t>
      </w:r>
    </w:p>
    <w:p>
      <w:pPr>
        <w:spacing w:after="0" w:line="1"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Save as provided in the following Article, no business shall be transacted at any meeting unless a quorum is present in person or by proxy. A quorum is as follows:</w:t>
      </w:r>
    </w:p>
    <w:p>
      <w:pPr>
        <w:spacing w:after="0" w:line="188" w:lineRule="exact"/>
        <w:rPr>
          <w:sz w:val="20"/>
          <w:szCs w:val="20"/>
          <w:color w:val="auto"/>
        </w:rPr>
      </w:pPr>
    </w:p>
    <w:p>
      <w:pPr>
        <w:ind w:left="1127" w:hanging="568"/>
        <w:spacing w:after="0"/>
        <w:tabs>
          <w:tab w:leader="none" w:pos="112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Company has only one Member: that Member;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Company has more than one Member: two Members.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Lack of quorum</w:t>
      </w:r>
    </w:p>
    <w:p>
      <w:pPr>
        <w:spacing w:after="0" w:line="194"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If a quorum is not present within 15 minutes of the time appointed for the meeting, or if at any time during the meeting it becomes inquorate, then the following provisions apply:</w:t>
      </w:r>
    </w:p>
    <w:p>
      <w:pPr>
        <w:spacing w:after="0" w:line="163" w:lineRule="exact"/>
        <w:rPr>
          <w:sz w:val="20"/>
          <w:szCs w:val="20"/>
          <w:color w:val="auto"/>
        </w:rPr>
      </w:pPr>
    </w:p>
    <w:p>
      <w:pPr>
        <w:ind w:left="1127" w:hanging="568"/>
        <w:spacing w:after="0"/>
        <w:tabs>
          <w:tab w:leader="none" w:pos="112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 meeting was requisitioned by Members, it shall be cancelled.</w:t>
      </w:r>
    </w:p>
    <w:p>
      <w:pPr>
        <w:spacing w:after="0" w:line="188" w:lineRule="exact"/>
        <w:rPr>
          <w:rFonts w:ascii="Arial" w:cs="Arial" w:eastAsia="Arial" w:hAnsi="Arial"/>
          <w:sz w:val="16"/>
          <w:szCs w:val="16"/>
          <w:color w:val="auto"/>
        </w:rPr>
      </w:pPr>
    </w:p>
    <w:p>
      <w:pPr>
        <w:jc w:val="both"/>
        <w:ind w:left="1127" w:hanging="568"/>
        <w:spacing w:after="0" w:line="250" w:lineRule="auto"/>
        <w:tabs>
          <w:tab w:leader="none" w:pos="112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Members present in person or by proxy shall constitute a quorum.</w:t>
      </w: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229" w:name="page230"/>
    <w:bookmarkEnd w:id="229"/>
    <w:p>
      <w:pPr>
        <w:spacing w:after="0"/>
        <w:rPr>
          <w:sz w:val="20"/>
          <w:szCs w:val="20"/>
          <w:color w:val="auto"/>
        </w:rPr>
      </w:pPr>
      <w:r>
        <w:rPr>
          <w:rFonts w:ascii="Arial" w:cs="Arial" w:eastAsia="Arial" w:hAnsi="Arial"/>
          <w:sz w:val="16"/>
          <w:szCs w:val="16"/>
          <w:b w:val="1"/>
          <w:bCs w:val="1"/>
          <w:color w:val="auto"/>
        </w:rPr>
        <w:t>Use of technology</w:t>
      </w:r>
    </w:p>
    <w:p>
      <w:pPr>
        <w:spacing w:after="0" w:line="194" w:lineRule="exact"/>
        <w:rPr>
          <w:sz w:val="20"/>
          <w:szCs w:val="20"/>
          <w:color w:val="auto"/>
        </w:rPr>
      </w:pPr>
    </w:p>
    <w:p>
      <w:pPr>
        <w:jc w:val="both"/>
        <w:ind w:left="560" w:right="20" w:hanging="558"/>
        <w:spacing w:after="0" w:line="250" w:lineRule="auto"/>
        <w:tabs>
          <w:tab w:leader="none" w:pos="54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w:t>
      </w:r>
    </w:p>
    <w:p>
      <w:pPr>
        <w:spacing w:after="0" w:line="194" w:lineRule="exact"/>
        <w:rPr>
          <w:sz w:val="20"/>
          <w:szCs w:val="20"/>
          <w:color w:val="auto"/>
        </w:rPr>
      </w:pPr>
    </w:p>
    <w:p>
      <w:pPr>
        <w:jc w:val="both"/>
        <w:ind w:left="560" w:right="20" w:hanging="558"/>
        <w:spacing w:after="0" w:line="250" w:lineRule="auto"/>
        <w:tabs>
          <w:tab w:leader="none" w:pos="54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The chairman of a general meeting shall be the chairman of the board or such other director as the directors have nominated to chair board meetings in the absence of the chairman of the board. Absent any such person being present within 15 minutes of the time appointed for the meeting, the directors present shall elect one of their number to chair the meeting.</w:t>
      </w:r>
    </w:p>
    <w:p>
      <w:pPr>
        <w:spacing w:after="0" w:line="170" w:lineRule="exact"/>
        <w:rPr>
          <w:sz w:val="20"/>
          <w:szCs w:val="20"/>
          <w:color w:val="auto"/>
        </w:rPr>
      </w:pPr>
    </w:p>
    <w:p>
      <w:pPr>
        <w:jc w:val="both"/>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 of a director to attend and speak</w:t>
      </w:r>
    </w:p>
    <w:p>
      <w:pPr>
        <w:spacing w:after="0" w:line="194" w:lineRule="exact"/>
        <w:rPr>
          <w:sz w:val="20"/>
          <w:szCs w:val="20"/>
          <w:color w:val="auto"/>
        </w:rPr>
      </w:pPr>
    </w:p>
    <w:p>
      <w:pPr>
        <w:jc w:val="both"/>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Even if a director is not a Member, he shall be entitled to attend and speak at any general meeting and at any separate meeting of Members holding a particular class of Shares in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Adjournment</w:t>
      </w:r>
    </w:p>
    <w:p>
      <w:pPr>
        <w:spacing w:after="0" w:line="194" w:lineRule="exact"/>
        <w:rPr>
          <w:sz w:val="20"/>
          <w:szCs w:val="20"/>
          <w:color w:val="auto"/>
        </w:rPr>
      </w:pPr>
    </w:p>
    <w:p>
      <w:pPr>
        <w:jc w:val="both"/>
        <w:ind w:left="560" w:right="20" w:hanging="558"/>
        <w:spacing w:after="0" w:line="329" w:lineRule="auto"/>
        <w:tabs>
          <w:tab w:leader="none" w:pos="540" w:val="left"/>
        </w:tabs>
        <w:rPr>
          <w:sz w:val="20"/>
          <w:szCs w:val="20"/>
          <w:color w:val="auto"/>
        </w:rPr>
      </w:pPr>
      <w:r>
        <w:rPr>
          <w:rFonts w:ascii="Arial" w:cs="Arial" w:eastAsia="Arial" w:hAnsi="Arial"/>
          <w:sz w:val="16"/>
          <w:szCs w:val="16"/>
          <w:color w:val="auto"/>
        </w:rPr>
        <w:t>12.7</w:t>
      </w:r>
      <w:r>
        <w:rPr>
          <w:sz w:val="20"/>
          <w:szCs w:val="20"/>
          <w:color w:val="auto"/>
        </w:rPr>
        <w:tab/>
      </w:r>
      <w:r>
        <w:rPr>
          <w:rFonts w:ascii="Arial" w:cs="Arial" w:eastAsia="Arial" w:hAnsi="Arial"/>
          <w:sz w:val="14"/>
          <w:szCs w:val="14"/>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17" w:lineRule="exact"/>
        <w:rPr>
          <w:sz w:val="20"/>
          <w:szCs w:val="20"/>
          <w:color w:val="auto"/>
        </w:rPr>
      </w:pPr>
    </w:p>
    <w:p>
      <w:pPr>
        <w:jc w:val="both"/>
        <w:ind w:left="560" w:right="20" w:hanging="558"/>
        <w:spacing w:after="0" w:line="250" w:lineRule="auto"/>
        <w:tabs>
          <w:tab w:leader="none" w:pos="54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6"/>
          <w:szCs w:val="16"/>
          <w:color w:val="auto"/>
        </w:rPr>
        <w:t>Should a meeting be adjourned for more than seven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voting</w:t>
      </w:r>
    </w:p>
    <w:p>
      <w:pPr>
        <w:spacing w:after="0" w:line="194" w:lineRule="exact"/>
        <w:rPr>
          <w:sz w:val="20"/>
          <w:szCs w:val="20"/>
          <w:color w:val="auto"/>
        </w:rPr>
      </w:pPr>
    </w:p>
    <w:p>
      <w:pPr>
        <w:jc w:val="both"/>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12.9</w:t>
      </w:r>
      <w:r>
        <w:rPr>
          <w:sz w:val="20"/>
          <w:szCs w:val="20"/>
          <w:color w:val="auto"/>
        </w:rPr>
        <w:tab/>
      </w:r>
      <w:r>
        <w:rPr>
          <w:rFonts w:ascii="Arial" w:cs="Arial" w:eastAsia="Arial" w:hAnsi="Arial"/>
          <w:sz w:val="16"/>
          <w:szCs w:val="16"/>
          <w:color w:val="auto"/>
        </w:rPr>
        <w:t>A resolution put to the vote of the meeting shall be decided on a show of hands unless before, or on the declaration of the result of the show of hands, a poll is duly demanded. A poll may be demanded:</w:t>
      </w:r>
    </w:p>
    <w:p>
      <w:pPr>
        <w:spacing w:after="0" w:line="163" w:lineRule="exact"/>
        <w:rPr>
          <w:sz w:val="20"/>
          <w:szCs w:val="20"/>
          <w:color w:val="auto"/>
        </w:rPr>
      </w:pPr>
    </w:p>
    <w:p>
      <w:pPr>
        <w:ind w:left="1120" w:hanging="568"/>
        <w:spacing w:after="0"/>
        <w:tabs>
          <w:tab w:leader="none" w:pos="11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by the chairman;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by any Member or Members present who, individually or collectively, hold at least 10% of the voting rights of all those who have a right to vote on the resolution.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b w:val="1"/>
          <w:bCs w:val="1"/>
          <w:color w:val="auto"/>
        </w:rPr>
        <w:t>Outcome of vote by show of hands</w:t>
      </w:r>
    </w:p>
    <w:p>
      <w:pPr>
        <w:spacing w:after="0" w:line="194" w:lineRule="exact"/>
        <w:rPr>
          <w:sz w:val="20"/>
          <w:szCs w:val="20"/>
          <w:color w:val="auto"/>
        </w:rPr>
      </w:pPr>
    </w:p>
    <w:p>
      <w:pPr>
        <w:jc w:val="both"/>
        <w:ind w:left="560" w:hanging="558"/>
        <w:spacing w:after="0" w:line="329" w:lineRule="auto"/>
        <w:tabs>
          <w:tab w:leader="none" w:pos="540" w:val="left"/>
        </w:tabs>
        <w:rPr>
          <w:sz w:val="20"/>
          <w:szCs w:val="20"/>
          <w:color w:val="auto"/>
        </w:rPr>
      </w:pPr>
      <w:r>
        <w:rPr>
          <w:rFonts w:ascii="Arial" w:cs="Arial" w:eastAsia="Arial" w:hAnsi="Arial"/>
          <w:sz w:val="16"/>
          <w:szCs w:val="16"/>
          <w:color w:val="auto"/>
        </w:rPr>
        <w:t>12.10</w:t>
      </w:r>
      <w:r>
        <w:rPr>
          <w:sz w:val="20"/>
          <w:szCs w:val="20"/>
          <w:color w:val="auto"/>
        </w:rPr>
        <w:tab/>
      </w:r>
      <w:r>
        <w:rPr>
          <w:rFonts w:ascii="Arial" w:cs="Arial" w:eastAsia="Arial" w:hAnsi="Arial"/>
          <w:sz w:val="14"/>
          <w:szCs w:val="14"/>
          <w:color w:val="auto"/>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 of demand for a poll</w:t>
      </w:r>
    </w:p>
    <w:p>
      <w:pPr>
        <w:spacing w:after="0" w:line="194" w:lineRule="exact"/>
        <w:rPr>
          <w:sz w:val="20"/>
          <w:szCs w:val="20"/>
          <w:color w:val="auto"/>
        </w:rPr>
      </w:pPr>
    </w:p>
    <w:p>
      <w:pPr>
        <w:jc w:val="both"/>
        <w:ind w:left="560" w:hanging="558"/>
        <w:spacing w:after="0" w:line="250" w:lineRule="auto"/>
        <w:tabs>
          <w:tab w:leader="none" w:pos="540" w:val="left"/>
        </w:tabs>
        <w:rPr>
          <w:sz w:val="20"/>
          <w:szCs w:val="20"/>
          <w:color w:val="auto"/>
        </w:rPr>
      </w:pPr>
      <w:r>
        <w:rPr>
          <w:rFonts w:ascii="Arial" w:cs="Arial" w:eastAsia="Arial" w:hAnsi="Arial"/>
          <w:sz w:val="16"/>
          <w:szCs w:val="16"/>
          <w:color w:val="auto"/>
        </w:rPr>
        <w:t>12.11</w:t>
        <w:tab/>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Taking of a poll</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12.12</w:t>
      </w:r>
      <w:r>
        <w:rPr>
          <w:sz w:val="20"/>
          <w:szCs w:val="20"/>
          <w:color w:val="auto"/>
        </w:rPr>
        <w:tab/>
      </w:r>
      <w:r>
        <w:rPr>
          <w:rFonts w:ascii="Arial" w:cs="Arial" w:eastAsia="Arial" w:hAnsi="Arial"/>
          <w:sz w:val="14"/>
          <w:szCs w:val="14"/>
          <w:color w:val="auto"/>
        </w:rPr>
        <w:t>A poll demanded on the question of adjournment shall be taken immediately.</w:t>
      </w:r>
    </w:p>
    <w:p>
      <w:pPr>
        <w:spacing w:after="0" w:line="188" w:lineRule="exact"/>
        <w:rPr>
          <w:sz w:val="20"/>
          <w:szCs w:val="20"/>
          <w:color w:val="auto"/>
        </w:rPr>
      </w:pPr>
    </w:p>
    <w:p>
      <w:pPr>
        <w:jc w:val="both"/>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12.13</w:t>
        <w:tab/>
        <w:t>A poll demanded on any other question shall be taken either immediately or at an adjourned meeting at such time and place as the chairman directs, not being more than 30 Clear Days after the poll was demanded.</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12.14</w:t>
      </w:r>
      <w:r>
        <w:rPr>
          <w:sz w:val="20"/>
          <w:szCs w:val="20"/>
          <w:color w:val="auto"/>
        </w:rPr>
        <w:tab/>
      </w:r>
      <w:r>
        <w:rPr>
          <w:rFonts w:ascii="Arial" w:cs="Arial" w:eastAsia="Arial" w:hAnsi="Arial"/>
          <w:sz w:val="13"/>
          <w:szCs w:val="13"/>
          <w:color w:val="auto"/>
        </w:rPr>
        <w:t>The demand for a poll shall not prevent the meeting continuing to transact any business other than the question on which the poll was demanded.</w:t>
      </w:r>
    </w:p>
    <w:p>
      <w:pPr>
        <w:spacing w:after="0" w:line="188" w:lineRule="exact"/>
        <w:rPr>
          <w:sz w:val="20"/>
          <w:szCs w:val="20"/>
          <w:color w:val="auto"/>
        </w:rPr>
      </w:pPr>
    </w:p>
    <w:p>
      <w:pPr>
        <w:jc w:val="both"/>
        <w:ind w:left="560" w:hanging="558"/>
        <w:spacing w:after="0" w:line="303" w:lineRule="auto"/>
        <w:tabs>
          <w:tab w:leader="none" w:pos="540" w:val="left"/>
        </w:tabs>
        <w:rPr>
          <w:sz w:val="20"/>
          <w:szCs w:val="20"/>
          <w:color w:val="auto"/>
        </w:rPr>
      </w:pPr>
      <w:r>
        <w:rPr>
          <w:rFonts w:ascii="Arial" w:cs="Arial" w:eastAsia="Arial" w:hAnsi="Arial"/>
          <w:sz w:val="16"/>
          <w:szCs w:val="16"/>
          <w:color w:val="auto"/>
        </w:rPr>
        <w:t>12.15</w:t>
      </w:r>
      <w:r>
        <w:rPr>
          <w:sz w:val="20"/>
          <w:szCs w:val="20"/>
          <w:color w:val="auto"/>
        </w:rPr>
        <w:tab/>
      </w:r>
      <w:r>
        <w:rPr>
          <w:rFonts w:ascii="Arial" w:cs="Arial" w:eastAsia="Arial" w:hAnsi="Arial"/>
          <w:sz w:val="14"/>
          <w:szCs w:val="14"/>
          <w:color w:val="auto"/>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Chairman’s casting vote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12.16</w:t>
      </w:r>
      <w:r>
        <w:rPr>
          <w:sz w:val="20"/>
          <w:szCs w:val="20"/>
          <w:color w:val="auto"/>
        </w:rPr>
        <w:tab/>
      </w:r>
      <w:r>
        <w:rPr>
          <w:rFonts w:ascii="Arial" w:cs="Arial" w:eastAsia="Arial" w:hAnsi="Arial"/>
          <w:sz w:val="13"/>
          <w:szCs w:val="13"/>
          <w:color w:val="auto"/>
        </w:rPr>
        <w:t>If the votes on a resolution, whether on a show of hands or on a poll, are equal the chairman may if he wishes exercise a casting vote.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to resolutions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12.17</w:t>
      </w:r>
      <w:r>
        <w:rPr>
          <w:sz w:val="20"/>
          <w:szCs w:val="20"/>
          <w:color w:val="auto"/>
        </w:rPr>
        <w:tab/>
      </w:r>
      <w:r>
        <w:rPr>
          <w:rFonts w:ascii="Arial" w:cs="Arial" w:eastAsia="Arial" w:hAnsi="Arial"/>
          <w:sz w:val="14"/>
          <w:szCs w:val="14"/>
          <w:color w:val="auto"/>
        </w:rPr>
        <w:t>An Ordinary Resolution to be proposed at a general meeting may be amended by Ordinary Resolution if:</w:t>
      </w:r>
    </w:p>
    <w:p>
      <w:pPr>
        <w:spacing w:after="0" w:line="188" w:lineRule="exact"/>
        <w:rPr>
          <w:sz w:val="20"/>
          <w:szCs w:val="20"/>
          <w:color w:val="auto"/>
        </w:rPr>
      </w:pPr>
    </w:p>
    <w:p>
      <w:pPr>
        <w:ind w:left="1120" w:hanging="568"/>
        <w:spacing w:after="0" w:line="258" w:lineRule="auto"/>
        <w:tabs>
          <w:tab w:leader="none" w:pos="11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231" w:name="page232"/>
    <w:bookmarkEnd w:id="231"/>
    <w:p>
      <w:pPr>
        <w:ind w:left="1120" w:hanging="568"/>
        <w:spacing w:after="0"/>
        <w:tabs>
          <w:tab w:leader="none" w:pos="11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1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12.18   A Special Resolution to be proposed at a general meeting may be amended by Ordinary Resolution, if:</w:t>
      </w:r>
    </w:p>
    <w:p>
      <w:pPr>
        <w:spacing w:after="0" w:line="188" w:lineRule="exact"/>
        <w:rPr>
          <w:sz w:val="20"/>
          <w:szCs w:val="20"/>
          <w:color w:val="auto"/>
        </w:rPr>
      </w:pPr>
    </w:p>
    <w:p>
      <w:pPr>
        <w:ind w:left="1120" w:hanging="568"/>
        <w:spacing w:after="0"/>
        <w:tabs>
          <w:tab w:leader="none" w:pos="11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chairman of the meeting proposes the amendment at the general meeting at which the resolution is to be proposed,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amendment does not go beyond what the chairman considers is necessary to correct a grammatical or other non-substantive error in the resolution.</w:t>
      </w:r>
    </w:p>
    <w:p>
      <w:pPr>
        <w:spacing w:after="0" w:line="211"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12.19</w:t>
        <w:tab/>
        <w:t>If the chairman of the meeting, acting in good faith, wrongly decides that an amendment to a resolution is out of order, the chairman’s error does not invalidate the vote on that resolution.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Written resolutions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12.20</w:t>
      </w:r>
      <w:r>
        <w:rPr>
          <w:sz w:val="20"/>
          <w:szCs w:val="20"/>
          <w:color w:val="auto"/>
        </w:rPr>
        <w:tab/>
      </w:r>
      <w:r>
        <w:rPr>
          <w:rFonts w:ascii="Arial" w:cs="Arial" w:eastAsia="Arial" w:hAnsi="Arial"/>
          <w:sz w:val="14"/>
          <w:szCs w:val="14"/>
          <w:color w:val="auto"/>
        </w:rPr>
        <w:t>Members may pass a resolution in writing without holding a meeting if the following conditions are met:</w:t>
      </w:r>
    </w:p>
    <w:p>
      <w:pPr>
        <w:spacing w:after="0" w:line="188" w:lineRule="exact"/>
        <w:rPr>
          <w:sz w:val="20"/>
          <w:szCs w:val="20"/>
          <w:color w:val="auto"/>
        </w:rPr>
      </w:pPr>
    </w:p>
    <w:p>
      <w:pPr>
        <w:ind w:left="1120" w:hanging="568"/>
        <w:spacing w:after="0"/>
        <w:tabs>
          <w:tab w:leader="none" w:pos="11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all Members entitled to vote are given notice of the resolution as if the same were being proposed at a meeting of Members;</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all Members entitled so to vote :</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sign a document; or</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sign several documents in the like form each signed by one or more of those Members; and</w:t>
      </w:r>
    </w:p>
    <w:p>
      <w:pPr>
        <w:spacing w:after="0" w:line="188" w:lineRule="exact"/>
        <w:rPr>
          <w:rFonts w:ascii="Arial" w:cs="Arial" w:eastAsia="Arial" w:hAnsi="Arial"/>
          <w:sz w:val="16"/>
          <w:szCs w:val="16"/>
          <w:color w:val="auto"/>
        </w:rPr>
      </w:pPr>
    </w:p>
    <w:p>
      <w:pPr>
        <w:ind w:left="1120" w:right="20" w:hanging="568"/>
        <w:spacing w:after="0" w:line="258" w:lineRule="auto"/>
        <w:tabs>
          <w:tab w:leader="none" w:pos="11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signed document or documents is or are delivered to the Company, including, if the Company so nominates, by delivery of an Electronic Record by Electronic means to the address specified for that purpose.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Such written resolution shall be as effective as if it had been passed at a meeting of the Members entitled to vote duly convened and held.</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12.21</w:t>
      </w:r>
      <w:r>
        <w:rPr>
          <w:sz w:val="20"/>
          <w:szCs w:val="20"/>
          <w:color w:val="auto"/>
        </w:rPr>
        <w:tab/>
      </w:r>
      <w:r>
        <w:rPr>
          <w:rFonts w:ascii="Arial" w:cs="Arial" w:eastAsia="Arial" w:hAnsi="Arial"/>
          <w:sz w:val="14"/>
          <w:szCs w:val="14"/>
          <w:color w:val="auto"/>
        </w:rPr>
        <w:t>If a written resolution is described as a Special Resolution or as an Ordinary Resolution, it has effect accordingly.</w:t>
      </w:r>
    </w:p>
    <w:p>
      <w:pPr>
        <w:spacing w:after="0" w:line="188" w:lineRule="exact"/>
        <w:rPr>
          <w:sz w:val="20"/>
          <w:szCs w:val="20"/>
          <w:color w:val="auto"/>
        </w:rPr>
      </w:pPr>
    </w:p>
    <w:p>
      <w:pPr>
        <w:jc w:val="both"/>
        <w:ind w:left="560" w:hanging="558"/>
        <w:spacing w:after="0" w:line="248" w:lineRule="auto"/>
        <w:tabs>
          <w:tab w:leader="none" w:pos="540" w:val="left"/>
        </w:tabs>
        <w:rPr>
          <w:sz w:val="20"/>
          <w:szCs w:val="20"/>
          <w:color w:val="auto"/>
        </w:rPr>
      </w:pPr>
      <w:r>
        <w:rPr>
          <w:rFonts w:ascii="Arial" w:cs="Arial" w:eastAsia="Arial" w:hAnsi="Arial"/>
          <w:sz w:val="16"/>
          <w:szCs w:val="16"/>
          <w:color w:val="auto"/>
        </w:rPr>
        <w:t>12.22</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32" w:name="page233"/>
    <w:bookmarkEnd w:id="232"/>
    <w:p>
      <w:pPr>
        <w:ind w:left="7"/>
        <w:spacing w:after="0"/>
        <w:rPr>
          <w:sz w:val="20"/>
          <w:szCs w:val="20"/>
          <w:color w:val="auto"/>
        </w:rPr>
      </w:pPr>
      <w:r>
        <w:rPr>
          <w:rFonts w:ascii="Arial" w:cs="Arial" w:eastAsia="Arial" w:hAnsi="Arial"/>
          <w:sz w:val="16"/>
          <w:szCs w:val="16"/>
          <w:b w:val="1"/>
          <w:bCs w:val="1"/>
          <w:color w:val="auto"/>
        </w:rPr>
        <w:t>Sole-member company</w:t>
      </w:r>
    </w:p>
    <w:p>
      <w:pPr>
        <w:spacing w:after="0" w:line="194"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12.23</w:t>
        <w:tab/>
        <w:t>If the Company has only one Member, and the Member records in writing his decision on a question, that record shall constitute both the passing of a resolution and the minute of it.</w:t>
      </w:r>
    </w:p>
    <w:p>
      <w:pPr>
        <w:spacing w:after="0" w:line="157" w:lineRule="exact"/>
        <w:rPr>
          <w:sz w:val="20"/>
          <w:szCs w:val="20"/>
          <w:color w:val="auto"/>
        </w:rPr>
      </w:pPr>
    </w:p>
    <w:p>
      <w:pPr>
        <w:ind w:left="7" w:right="9020" w:hanging="7"/>
        <w:spacing w:after="0" w:line="489" w:lineRule="auto"/>
        <w:tabs>
          <w:tab w:leader="none" w:pos="566"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Voting rights of Members Right to vote</w:t>
      </w:r>
    </w:p>
    <w:p>
      <w:pPr>
        <w:spacing w:after="0" w:line="1" w:lineRule="exact"/>
        <w:rPr>
          <w:sz w:val="20"/>
          <w:szCs w:val="20"/>
          <w:color w:val="auto"/>
        </w:rPr>
      </w:pPr>
    </w:p>
    <w:p>
      <w:pPr>
        <w:jc w:val="both"/>
        <w:ind w:left="567" w:hanging="558"/>
        <w:spacing w:after="0" w:line="250" w:lineRule="auto"/>
        <w:tabs>
          <w:tab w:leader="none" w:pos="547"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spacing w:after="0" w:line="170"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4"/>
          <w:szCs w:val="14"/>
          <w:color w:val="auto"/>
        </w:rPr>
        <w:t>Members may vote in person or by proxy.</w:t>
      </w:r>
    </w:p>
    <w:p>
      <w:pPr>
        <w:spacing w:after="0" w:line="188" w:lineRule="exact"/>
        <w:rPr>
          <w:sz w:val="20"/>
          <w:szCs w:val="20"/>
          <w:color w:val="auto"/>
        </w:rPr>
      </w:pPr>
    </w:p>
    <w:p>
      <w:pPr>
        <w:jc w:val="both"/>
        <w:ind w:left="567" w:hanging="558"/>
        <w:spacing w:after="0" w:line="258" w:lineRule="auto"/>
        <w:tabs>
          <w:tab w:leader="none" w:pos="547"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6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3"/>
          <w:szCs w:val="13"/>
          <w:color w:val="auto"/>
        </w:rPr>
        <w:t>On a poll a Member shall have one vote for each Share he holds, unless any Share carries special voting rights.</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4"/>
          <w:szCs w:val="14"/>
          <w:color w:val="auto"/>
        </w:rPr>
        <w:t>A fraction of a Share shall entitle its holder to an equivalent fraction of one vote.</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3"/>
          <w:szCs w:val="13"/>
          <w:color w:val="auto"/>
        </w:rPr>
        <w:t>No Member is bound to vote on his Shares or any of them; nor is he bound to vote each of his Shares in the same way.</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Rights of joint holders</w:t>
      </w:r>
    </w:p>
    <w:p>
      <w:pPr>
        <w:spacing w:after="0" w:line="194" w:lineRule="exact"/>
        <w:rPr>
          <w:sz w:val="20"/>
          <w:szCs w:val="20"/>
          <w:color w:val="auto"/>
        </w:rPr>
      </w:pPr>
    </w:p>
    <w:p>
      <w:pPr>
        <w:jc w:val="both"/>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Representation of corporate Members</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3"/>
          <w:szCs w:val="13"/>
          <w:color w:val="auto"/>
        </w:rPr>
        <w:t>Save where otherwise provided, a corporate Member must act by a duly authorised representative.</w:t>
      </w:r>
    </w:p>
    <w:p>
      <w:pPr>
        <w:spacing w:after="0" w:line="18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13.9</w:t>
      </w:r>
      <w:r>
        <w:rPr>
          <w:sz w:val="20"/>
          <w:szCs w:val="20"/>
          <w:color w:val="auto"/>
        </w:rPr>
        <w:tab/>
      </w:r>
      <w:r>
        <w:rPr>
          <w:rFonts w:ascii="Arial" w:cs="Arial" w:eastAsia="Arial" w:hAnsi="Arial"/>
          <w:sz w:val="14"/>
          <w:szCs w:val="14"/>
          <w:color w:val="auto"/>
        </w:rPr>
        <w:t>A corporate Member wishing to act by a duly authorised representative must identify that person to the Company by notice in writing</w:t>
      </w:r>
      <w:r>
        <w:rPr>
          <w:rFonts w:ascii="Arial" w:cs="Arial" w:eastAsia="Arial" w:hAnsi="Arial"/>
          <w:sz w:val="14"/>
          <w:szCs w:val="14"/>
          <w:b w:val="1"/>
          <w:bCs w:val="1"/>
          <w:color w:val="auto"/>
        </w:rPr>
        <w:t>.</w:t>
      </w:r>
    </w:p>
    <w:p>
      <w:pPr>
        <w:spacing w:after="0" w:line="194" w:lineRule="exact"/>
        <w:rPr>
          <w:sz w:val="20"/>
          <w:szCs w:val="20"/>
          <w:color w:val="auto"/>
        </w:rPr>
      </w:pPr>
    </w:p>
    <w:p>
      <w:pPr>
        <w:jc w:val="both"/>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13.10</w:t>
        <w:tab/>
        <w:t>The authorisation may be for any period of time, and must be delivered to the Company not less than two hours before the commencement of the meeting at which it is first used.</w:t>
      </w: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233" w:name="page234"/>
    <w:bookmarkEnd w:id="233"/>
    <w:p>
      <w:pPr>
        <w:spacing w:after="0"/>
        <w:tabs>
          <w:tab w:leader="none" w:pos="540" w:val="left"/>
        </w:tabs>
        <w:rPr>
          <w:sz w:val="20"/>
          <w:szCs w:val="20"/>
          <w:color w:val="auto"/>
        </w:rPr>
      </w:pPr>
      <w:r>
        <w:rPr>
          <w:rFonts w:ascii="Arial" w:cs="Arial" w:eastAsia="Arial" w:hAnsi="Arial"/>
          <w:sz w:val="16"/>
          <w:szCs w:val="16"/>
          <w:color w:val="auto"/>
        </w:rPr>
        <w:t>13.11</w:t>
      </w:r>
      <w:r>
        <w:rPr>
          <w:sz w:val="20"/>
          <w:szCs w:val="20"/>
          <w:color w:val="auto"/>
        </w:rPr>
        <w:tab/>
      </w:r>
      <w:r>
        <w:rPr>
          <w:rFonts w:ascii="Arial" w:cs="Arial" w:eastAsia="Arial" w:hAnsi="Arial"/>
          <w:sz w:val="14"/>
          <w:szCs w:val="14"/>
          <w:color w:val="auto"/>
        </w:rPr>
        <w:t>The directors of the Company may require the production of any evidence which they consider necessary to determine the validity of the notice.</w:t>
      </w:r>
    </w:p>
    <w:p>
      <w:pPr>
        <w:spacing w:after="0" w:line="188" w:lineRule="exact"/>
        <w:rPr>
          <w:sz w:val="20"/>
          <w:szCs w:val="20"/>
          <w:color w:val="auto"/>
        </w:rPr>
      </w:pPr>
    </w:p>
    <w:p>
      <w:pPr>
        <w:jc w:val="both"/>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13.12</w:t>
        <w:tab/>
        <w:t>Where a duly authorised representative is present at a meeting that Member is deemed to be present in person; and the acts of the duly authorised representative are personal acts of that Member.</w:t>
      </w:r>
    </w:p>
    <w:p>
      <w:pPr>
        <w:spacing w:after="0" w:line="163" w:lineRule="exact"/>
        <w:rPr>
          <w:sz w:val="20"/>
          <w:szCs w:val="20"/>
          <w:color w:val="auto"/>
        </w:rPr>
      </w:pPr>
    </w:p>
    <w:p>
      <w:pPr>
        <w:jc w:val="both"/>
        <w:ind w:left="560" w:right="20" w:hanging="558"/>
        <w:spacing w:after="0" w:line="329" w:lineRule="auto"/>
        <w:tabs>
          <w:tab w:leader="none" w:pos="540" w:val="left"/>
        </w:tabs>
        <w:rPr>
          <w:sz w:val="20"/>
          <w:szCs w:val="20"/>
          <w:color w:val="auto"/>
        </w:rPr>
      </w:pPr>
      <w:r>
        <w:rPr>
          <w:rFonts w:ascii="Arial" w:cs="Arial" w:eastAsia="Arial" w:hAnsi="Arial"/>
          <w:sz w:val="16"/>
          <w:szCs w:val="16"/>
          <w:color w:val="auto"/>
        </w:rPr>
        <w:t>13.13</w:t>
      </w:r>
      <w:r>
        <w:rPr>
          <w:sz w:val="20"/>
          <w:szCs w:val="20"/>
          <w:color w:val="auto"/>
        </w:rPr>
        <w:tab/>
      </w:r>
      <w:r>
        <w:rPr>
          <w:rFonts w:ascii="Arial" w:cs="Arial" w:eastAsia="Arial" w:hAnsi="Arial"/>
          <w:sz w:val="14"/>
          <w:szCs w:val="14"/>
          <w:color w:val="auto"/>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 with mental disorder</w:t>
      </w:r>
    </w:p>
    <w:p>
      <w:pPr>
        <w:spacing w:after="0" w:line="194" w:lineRule="exact"/>
        <w:rPr>
          <w:sz w:val="20"/>
          <w:szCs w:val="20"/>
          <w:color w:val="auto"/>
        </w:rPr>
      </w:pPr>
    </w:p>
    <w:p>
      <w:pPr>
        <w:jc w:val="both"/>
        <w:ind w:left="560" w:hanging="558"/>
        <w:spacing w:after="0" w:line="329" w:lineRule="auto"/>
        <w:tabs>
          <w:tab w:leader="none" w:pos="540" w:val="left"/>
        </w:tabs>
        <w:rPr>
          <w:sz w:val="20"/>
          <w:szCs w:val="20"/>
          <w:color w:val="auto"/>
        </w:rPr>
      </w:pPr>
      <w:r>
        <w:rPr>
          <w:rFonts w:ascii="Arial" w:cs="Arial" w:eastAsia="Arial" w:hAnsi="Arial"/>
          <w:sz w:val="16"/>
          <w:szCs w:val="16"/>
          <w:color w:val="auto"/>
        </w:rPr>
        <w:t>13.14</w:t>
      </w:r>
      <w:r>
        <w:rPr>
          <w:sz w:val="20"/>
          <w:szCs w:val="20"/>
          <w:color w:val="auto"/>
        </w:rPr>
        <w:tab/>
      </w:r>
      <w:r>
        <w:rPr>
          <w:rFonts w:ascii="Arial" w:cs="Arial" w:eastAsia="Arial" w:hAnsi="Arial"/>
          <w:sz w:val="14"/>
          <w:szCs w:val="14"/>
          <w:color w:val="auto"/>
        </w:rPr>
        <w:t>A Member in respect of whom an order has been made by any court having jurisdiction (whether in the Islands or elsewhere) in matters concerning mental disorder may vote, whether on a show of hands or on a poll, by that Member’s receiver, curator bonis or other person authorised in that behalf appointed by that court.</w:t>
      </w:r>
    </w:p>
    <w:p>
      <w:pPr>
        <w:spacing w:after="0" w:line="117" w:lineRule="exact"/>
        <w:rPr>
          <w:sz w:val="20"/>
          <w:szCs w:val="20"/>
          <w:color w:val="auto"/>
        </w:rPr>
      </w:pPr>
    </w:p>
    <w:p>
      <w:pPr>
        <w:jc w:val="both"/>
        <w:ind w:left="560" w:right="20" w:hanging="558"/>
        <w:spacing w:after="0" w:line="250" w:lineRule="auto"/>
        <w:tabs>
          <w:tab w:leader="none" w:pos="540" w:val="left"/>
        </w:tabs>
        <w:rPr>
          <w:sz w:val="20"/>
          <w:szCs w:val="20"/>
          <w:color w:val="auto"/>
        </w:rPr>
      </w:pPr>
      <w:r>
        <w:rPr>
          <w:rFonts w:ascii="Arial" w:cs="Arial" w:eastAsia="Arial" w:hAnsi="Arial"/>
          <w:sz w:val="16"/>
          <w:szCs w:val="16"/>
          <w:color w:val="auto"/>
        </w:rPr>
        <w:t>13.15</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Objections to admissibility of votes</w:t>
      </w:r>
    </w:p>
    <w:p>
      <w:pPr>
        <w:spacing w:after="0" w:line="194" w:lineRule="exact"/>
        <w:rPr>
          <w:sz w:val="20"/>
          <w:szCs w:val="20"/>
          <w:color w:val="auto"/>
        </w:rPr>
      </w:pPr>
    </w:p>
    <w:p>
      <w:pPr>
        <w:jc w:val="both"/>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13.16</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of proxy</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13.17</w:t>
      </w:r>
      <w:r>
        <w:rPr>
          <w:sz w:val="20"/>
          <w:szCs w:val="20"/>
          <w:color w:val="auto"/>
        </w:rPr>
        <w:tab/>
      </w:r>
      <w:r>
        <w:rPr>
          <w:rFonts w:ascii="Arial" w:cs="Arial" w:eastAsia="Arial" w:hAnsi="Arial"/>
          <w:sz w:val="14"/>
          <w:szCs w:val="14"/>
          <w:color w:val="auto"/>
        </w:rPr>
        <w:t>An instrument appointing a proxy shall be in any common form or in any other form approved by the directors.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13.18</w:t>
      </w:r>
      <w:r>
        <w:rPr>
          <w:sz w:val="20"/>
          <w:szCs w:val="20"/>
          <w:color w:val="auto"/>
        </w:rPr>
        <w:tab/>
      </w:r>
      <w:r>
        <w:rPr>
          <w:rFonts w:ascii="Arial" w:cs="Arial" w:eastAsia="Arial" w:hAnsi="Arial"/>
          <w:sz w:val="14"/>
          <w:szCs w:val="14"/>
          <w:color w:val="auto"/>
        </w:rPr>
        <w:t>The instrument must be in writing and signed in one of the following ways:</w:t>
      </w:r>
    </w:p>
    <w:p>
      <w:pPr>
        <w:spacing w:after="0" w:line="188" w:lineRule="exact"/>
        <w:rPr>
          <w:sz w:val="20"/>
          <w:szCs w:val="20"/>
          <w:color w:val="auto"/>
        </w:rPr>
      </w:pPr>
    </w:p>
    <w:p>
      <w:pPr>
        <w:ind w:left="1120" w:hanging="568"/>
        <w:spacing w:after="0"/>
        <w:tabs>
          <w:tab w:leader="none" w:pos="11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by the Member;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by the Member’s authorised attorney;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the Member is a corporation or other body corporate, under seal or signed by an authorised officer, secretary or attorney.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234" w:name="page235"/>
    <w:bookmarkEnd w:id="234"/>
    <w:p>
      <w:pPr>
        <w:ind w:left="560"/>
        <w:spacing w:after="0" w:line="258" w:lineRule="auto"/>
        <w:rPr>
          <w:sz w:val="20"/>
          <w:szCs w:val="20"/>
          <w:color w:val="auto"/>
        </w:rPr>
      </w:pPr>
      <w:r>
        <w:rPr>
          <w:rFonts w:ascii="Arial" w:cs="Arial" w:eastAsia="Arial" w:hAnsi="Arial"/>
          <w:sz w:val="16"/>
          <w:szCs w:val="16"/>
          <w:color w:val="auto"/>
        </w:rPr>
        <w:t>If the directors so resolve, the Company may accept an Electronic Record of that instrument delivered in the manner specified below and otherwise satisfying the Articles about authentication of Electronic Records.</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13.19</w:t>
      </w:r>
      <w:r>
        <w:rPr>
          <w:sz w:val="20"/>
          <w:szCs w:val="20"/>
          <w:color w:val="auto"/>
        </w:rPr>
        <w:tab/>
      </w:r>
      <w:r>
        <w:rPr>
          <w:rFonts w:ascii="Arial" w:cs="Arial" w:eastAsia="Arial" w:hAnsi="Arial"/>
          <w:sz w:val="14"/>
          <w:szCs w:val="14"/>
          <w:color w:val="auto"/>
        </w:rPr>
        <w:t>The directors may require the production of any evidence which they consider necessary to determine the validity of any appointment of a proxy.</w:t>
      </w:r>
    </w:p>
    <w:p>
      <w:pPr>
        <w:spacing w:after="0" w:line="188" w:lineRule="exact"/>
        <w:rPr>
          <w:sz w:val="20"/>
          <w:szCs w:val="20"/>
          <w:color w:val="auto"/>
        </w:rPr>
      </w:pPr>
    </w:p>
    <w:p>
      <w:pPr>
        <w:jc w:val="both"/>
        <w:ind w:left="560" w:right="20" w:hanging="558"/>
        <w:spacing w:after="0" w:line="329" w:lineRule="auto"/>
        <w:tabs>
          <w:tab w:leader="none" w:pos="540" w:val="left"/>
        </w:tabs>
        <w:rPr>
          <w:sz w:val="20"/>
          <w:szCs w:val="20"/>
          <w:color w:val="auto"/>
        </w:rPr>
      </w:pPr>
      <w:r>
        <w:rPr>
          <w:rFonts w:ascii="Arial" w:cs="Arial" w:eastAsia="Arial" w:hAnsi="Arial"/>
          <w:sz w:val="16"/>
          <w:szCs w:val="16"/>
          <w:color w:val="auto"/>
        </w:rPr>
        <w:t>13.20</w:t>
      </w:r>
      <w:r>
        <w:rPr>
          <w:sz w:val="20"/>
          <w:szCs w:val="20"/>
          <w:color w:val="auto"/>
        </w:rPr>
        <w:tab/>
      </w:r>
      <w:r>
        <w:rPr>
          <w:rFonts w:ascii="Arial" w:cs="Arial" w:eastAsia="Arial" w:hAnsi="Arial"/>
          <w:sz w:val="14"/>
          <w:szCs w:val="14"/>
          <w:color w:val="auto"/>
        </w:rPr>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and when proxy is to be delivered</w:t>
      </w:r>
    </w:p>
    <w:p>
      <w:pPr>
        <w:spacing w:after="0" w:line="194" w:lineRule="exact"/>
        <w:rPr>
          <w:sz w:val="20"/>
          <w:szCs w:val="20"/>
          <w:color w:val="auto"/>
        </w:rPr>
      </w:pPr>
    </w:p>
    <w:p>
      <w:pPr>
        <w:jc w:val="both"/>
        <w:ind w:left="560" w:hanging="558"/>
        <w:spacing w:after="0" w:line="303" w:lineRule="auto"/>
        <w:tabs>
          <w:tab w:leader="none" w:pos="540" w:val="left"/>
        </w:tabs>
        <w:rPr>
          <w:sz w:val="20"/>
          <w:szCs w:val="20"/>
          <w:color w:val="auto"/>
        </w:rPr>
      </w:pPr>
      <w:r>
        <w:rPr>
          <w:rFonts w:ascii="Arial" w:cs="Arial" w:eastAsia="Arial" w:hAnsi="Arial"/>
          <w:sz w:val="16"/>
          <w:szCs w:val="16"/>
          <w:color w:val="auto"/>
        </w:rPr>
        <w:t>13.21</w:t>
      </w:r>
      <w:r>
        <w:rPr>
          <w:sz w:val="20"/>
          <w:szCs w:val="20"/>
          <w:color w:val="auto"/>
        </w:rPr>
        <w:tab/>
      </w:r>
      <w:r>
        <w:rPr>
          <w:rFonts w:ascii="Arial" w:cs="Arial" w:eastAsia="Arial" w:hAnsi="Arial"/>
          <w:sz w:val="14"/>
          <w:szCs w:val="14"/>
          <w:color w:val="auto"/>
        </w:rPr>
        <w:t>Subject to the following Articles, the form of appointment of a proxy and any authority under which it is signed (or a copy of the authority certified notarially or in any other way approved by the directors) must be delivered so that it is received by the Company at any time before the time for holding the meeting or adjourned meeting at which the person named in the form of appointment of proxy proposes to vote. They must be delivered in either of the following ways:</w:t>
      </w:r>
    </w:p>
    <w:p>
      <w:pPr>
        <w:spacing w:after="0" w:line="135" w:lineRule="exact"/>
        <w:rPr>
          <w:sz w:val="20"/>
          <w:szCs w:val="20"/>
          <w:color w:val="auto"/>
        </w:rPr>
      </w:pPr>
    </w:p>
    <w:p>
      <w:pPr>
        <w:ind w:left="1120" w:hanging="568"/>
        <w:spacing w:after="0"/>
        <w:tabs>
          <w:tab w:leader="none" w:pos="11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the case of an instrument in writing, it must be left at or sent by post:</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to the registered office of the Company; or</w:t>
      </w:r>
    </w:p>
    <w:p>
      <w:pPr>
        <w:spacing w:after="0" w:line="188" w:lineRule="exact"/>
        <w:rPr>
          <w:rFonts w:ascii="Arial" w:cs="Arial" w:eastAsia="Arial" w:hAnsi="Arial"/>
          <w:sz w:val="16"/>
          <w:szCs w:val="16"/>
          <w:color w:val="auto"/>
        </w:rPr>
      </w:pPr>
    </w:p>
    <w:p>
      <w:pPr>
        <w:ind w:left="1660" w:right="20" w:hanging="550"/>
        <w:spacing w:after="0" w:line="258" w:lineRule="auto"/>
        <w:tabs>
          <w:tab w:leader="none" w:pos="16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to such other place within the Islands specified in the notice convening the meeting or in any form of appointment of proxy sent out by the Company in relation to the meeting.</w:t>
      </w:r>
    </w:p>
    <w:p>
      <w:pPr>
        <w:spacing w:after="0" w:line="162" w:lineRule="exact"/>
        <w:rPr>
          <w:rFonts w:ascii="Arial" w:cs="Arial" w:eastAsia="Arial" w:hAnsi="Arial"/>
          <w:sz w:val="16"/>
          <w:szCs w:val="16"/>
          <w:color w:val="auto"/>
        </w:rPr>
      </w:pPr>
    </w:p>
    <w:p>
      <w:pPr>
        <w:ind w:left="1120" w:hanging="568"/>
        <w:spacing w:after="0" w:line="258" w:lineRule="auto"/>
        <w:tabs>
          <w:tab w:leader="none" w:pos="11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62" w:lineRule="exact"/>
        <w:rPr>
          <w:rFonts w:ascii="Arial" w:cs="Arial" w:eastAsia="Arial" w:hAnsi="Arial"/>
          <w:sz w:val="16"/>
          <w:szCs w:val="16"/>
          <w:color w:val="auto"/>
        </w:rPr>
      </w:pPr>
    </w:p>
    <w:p>
      <w:pPr>
        <w:ind w:left="1660" w:hanging="550"/>
        <w:spacing w:after="0"/>
        <w:tabs>
          <w:tab w:leader="none" w:pos="16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 the notice convening the meeting; or</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 any form of appointment of a proxy sent out by the Company in relation to the meeting; or</w:t>
      </w:r>
    </w:p>
    <w:p>
      <w:pPr>
        <w:spacing w:after="0" w:line="188" w:lineRule="exact"/>
        <w:rPr>
          <w:rFonts w:ascii="Arial" w:cs="Arial" w:eastAsia="Arial" w:hAnsi="Arial"/>
          <w:sz w:val="16"/>
          <w:szCs w:val="16"/>
          <w:color w:val="auto"/>
        </w:rPr>
      </w:pPr>
    </w:p>
    <w:p>
      <w:pPr>
        <w:ind w:left="1660" w:hanging="550"/>
        <w:spacing w:after="0"/>
        <w:tabs>
          <w:tab w:leader="none" w:pos="16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 any invitation to appoint a proxy issued by the Company in relation to the meeting.</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13.22</w:t>
      </w:r>
      <w:r>
        <w:rPr>
          <w:sz w:val="20"/>
          <w:szCs w:val="20"/>
          <w:color w:val="auto"/>
        </w:rPr>
        <w:tab/>
      </w:r>
      <w:r>
        <w:rPr>
          <w:rFonts w:ascii="Arial" w:cs="Arial" w:eastAsia="Arial" w:hAnsi="Arial"/>
          <w:sz w:val="14"/>
          <w:szCs w:val="14"/>
          <w:color w:val="auto"/>
        </w:rPr>
        <w:t>Where a poll is taken:</w:t>
      </w:r>
    </w:p>
    <w:p>
      <w:pPr>
        <w:spacing w:after="0" w:line="188" w:lineRule="exact"/>
        <w:rPr>
          <w:sz w:val="20"/>
          <w:szCs w:val="20"/>
          <w:color w:val="auto"/>
        </w:rPr>
      </w:pPr>
    </w:p>
    <w:p>
      <w:pPr>
        <w:ind w:left="1120" w:hanging="568"/>
        <w:spacing w:after="0" w:line="329" w:lineRule="auto"/>
        <w:tabs>
          <w:tab w:leader="none" w:pos="11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35" w:name="page236"/>
    <w:bookmarkEnd w:id="235"/>
    <w:p>
      <w:pPr>
        <w:ind w:left="1167" w:hanging="550"/>
        <w:spacing w:after="0" w:line="329" w:lineRule="auto"/>
        <w:tabs>
          <w:tab w:leader="none" w:pos="1167"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17"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13.23</w:t>
      </w:r>
      <w:r>
        <w:rPr>
          <w:sz w:val="20"/>
          <w:szCs w:val="20"/>
          <w:color w:val="auto"/>
        </w:rPr>
        <w:tab/>
      </w:r>
      <w:r>
        <w:rPr>
          <w:rFonts w:ascii="Arial" w:cs="Arial" w:eastAsia="Arial" w:hAnsi="Arial"/>
          <w:sz w:val="14"/>
          <w:szCs w:val="14"/>
          <w:color w:val="auto"/>
        </w:rPr>
        <w:t>If the form of appointment of proxy is not delivered on time, it is invalid.</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Voting by proxy</w:t>
      </w:r>
    </w:p>
    <w:p>
      <w:pPr>
        <w:spacing w:after="0" w:line="194" w:lineRule="exact"/>
        <w:rPr>
          <w:sz w:val="20"/>
          <w:szCs w:val="20"/>
          <w:color w:val="auto"/>
        </w:rPr>
      </w:pPr>
    </w:p>
    <w:p>
      <w:pPr>
        <w:jc w:val="both"/>
        <w:ind w:left="567" w:hanging="558"/>
        <w:spacing w:after="0" w:line="250" w:lineRule="auto"/>
        <w:tabs>
          <w:tab w:leader="none" w:pos="547" w:val="left"/>
        </w:tabs>
        <w:rPr>
          <w:sz w:val="20"/>
          <w:szCs w:val="20"/>
          <w:color w:val="auto"/>
        </w:rPr>
      </w:pPr>
      <w:r>
        <w:rPr>
          <w:rFonts w:ascii="Arial" w:cs="Arial" w:eastAsia="Arial" w:hAnsi="Arial"/>
          <w:sz w:val="16"/>
          <w:szCs w:val="16"/>
          <w:color w:val="auto"/>
        </w:rPr>
        <w:t>13.24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6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auto"/>
        </w:rPr>
        <w:t>Number of directors</w:t>
      </w:r>
    </w:p>
    <w:p>
      <w:pPr>
        <w:spacing w:after="0" w:line="194" w:lineRule="exact"/>
        <w:rPr>
          <w:sz w:val="20"/>
          <w:szCs w:val="20"/>
          <w:color w:val="auto"/>
        </w:rPr>
      </w:pPr>
    </w:p>
    <w:p>
      <w:pPr>
        <w:jc w:val="both"/>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Unless otherwise determined by Ordinary Resolution, the minimum number of directors shall be one and the maximum number shall be ten. There shall be no directors, however, until the first director is or the first directors are appointed by the subscriber or subscribers to the Memorandum.</w:t>
      </w:r>
    </w:p>
    <w:p>
      <w:pPr>
        <w:spacing w:after="0" w:line="157" w:lineRule="exact"/>
        <w:rPr>
          <w:sz w:val="20"/>
          <w:szCs w:val="20"/>
          <w:color w:val="auto"/>
        </w:rPr>
      </w:pPr>
    </w:p>
    <w:p>
      <w:pPr>
        <w:ind w:left="7" w:right="7060" w:hanging="7"/>
        <w:spacing w:after="0" w:line="489" w:lineRule="auto"/>
        <w:tabs>
          <w:tab w:leader="none" w:pos="566"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disqualification and removal of directors First directors</w:t>
      </w:r>
    </w:p>
    <w:p>
      <w:pPr>
        <w:spacing w:after="0" w:line="1"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4"/>
          <w:szCs w:val="14"/>
          <w:color w:val="auto"/>
        </w:rPr>
        <w:t>The first directors shall be appointed in writing by the subscriber or subscribers to the Memorandum.</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 age limit</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3"/>
          <w:szCs w:val="13"/>
          <w:color w:val="auto"/>
        </w:rPr>
        <w:t>There is no age limit for directors save that they must be aged at least 18 years.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Corporate directors</w:t>
      </w:r>
    </w:p>
    <w:p>
      <w:pPr>
        <w:spacing w:after="0" w:line="194"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6"/>
          <w:szCs w:val="16"/>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 shareholding qualification</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15.4</w:t>
      </w:r>
      <w:r>
        <w:rPr>
          <w:sz w:val="20"/>
          <w:szCs w:val="20"/>
          <w:color w:val="auto"/>
        </w:rPr>
        <w:tab/>
      </w:r>
      <w:r>
        <w:rPr>
          <w:rFonts w:ascii="Arial" w:cs="Arial" w:eastAsia="Arial" w:hAnsi="Arial"/>
          <w:sz w:val="14"/>
          <w:szCs w:val="14"/>
          <w:color w:val="auto"/>
        </w:rPr>
        <w:t>Unless a shareholding qualification for directors is fixed by Ordinary Resolution, no director shall be required to own Shares as a condition of his appointment.</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36" w:name="page237"/>
    <w:bookmarkEnd w:id="236"/>
    <w:p>
      <w:pPr>
        <w:spacing w:after="0"/>
        <w:rPr>
          <w:sz w:val="20"/>
          <w:szCs w:val="20"/>
          <w:color w:val="auto"/>
        </w:rPr>
      </w:pPr>
      <w:r>
        <w:rPr>
          <w:rFonts w:ascii="Arial" w:cs="Arial" w:eastAsia="Arial" w:hAnsi="Arial"/>
          <w:sz w:val="16"/>
          <w:szCs w:val="16"/>
          <w:b w:val="1"/>
          <w:bCs w:val="1"/>
          <w:color w:val="auto"/>
        </w:rPr>
        <w:t>Appointment of directors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15.5</w:t>
      </w:r>
      <w:r>
        <w:rPr>
          <w:sz w:val="20"/>
          <w:szCs w:val="20"/>
          <w:color w:val="auto"/>
        </w:rPr>
        <w:tab/>
      </w:r>
      <w:r>
        <w:rPr>
          <w:rFonts w:ascii="Arial" w:cs="Arial" w:eastAsia="Arial" w:hAnsi="Arial"/>
          <w:sz w:val="14"/>
          <w:szCs w:val="14"/>
          <w:color w:val="auto"/>
        </w:rPr>
        <w:t>A director may be appointed by Ordinary Resolution or by the directors. Any appointment may be to fill a vacancy or as an additional director.</w:t>
      </w:r>
    </w:p>
    <w:p>
      <w:pPr>
        <w:spacing w:after="0" w:line="188" w:lineRule="exact"/>
        <w:rPr>
          <w:sz w:val="20"/>
          <w:szCs w:val="20"/>
          <w:color w:val="auto"/>
        </w:rPr>
      </w:pPr>
    </w:p>
    <w:p>
      <w:pPr>
        <w:jc w:val="right"/>
        <w:ind w:right="20"/>
        <w:spacing w:after="0" w:line="329" w:lineRule="auto"/>
        <w:rPr>
          <w:sz w:val="20"/>
          <w:szCs w:val="20"/>
          <w:color w:val="auto"/>
        </w:rPr>
      </w:pPr>
      <w:r>
        <w:rPr>
          <w:rFonts w:ascii="Arial" w:cs="Arial" w:eastAsia="Arial" w:hAnsi="Arial"/>
          <w:sz w:val="14"/>
          <w:szCs w:val="14"/>
          <w:color w:val="auto"/>
        </w:rPr>
        <w:t>15.6    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spacing w:after="0" w:line="117" w:lineRule="exact"/>
        <w:rPr>
          <w:sz w:val="20"/>
          <w:szCs w:val="20"/>
          <w:color w:val="auto"/>
        </w:rPr>
      </w:pPr>
    </w:p>
    <w:p>
      <w:pPr>
        <w:ind w:left="1120" w:right="20" w:hanging="568"/>
        <w:spacing w:after="0" w:line="258" w:lineRule="auto"/>
        <w:tabs>
          <w:tab w:leader="none" w:pos="11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where two or more shareholders die in circumstances rendering it uncertain who was the last to die, a younger shareholder is deemed to have survived an older shareholder;</w:t>
      </w:r>
    </w:p>
    <w:p>
      <w:pPr>
        <w:spacing w:after="0" w:line="162" w:lineRule="exact"/>
        <w:rPr>
          <w:rFonts w:ascii="Arial" w:cs="Arial" w:eastAsia="Arial" w:hAnsi="Arial"/>
          <w:sz w:val="16"/>
          <w:szCs w:val="16"/>
          <w:color w:val="auto"/>
        </w:rPr>
      </w:pPr>
    </w:p>
    <w:p>
      <w:pPr>
        <w:ind w:left="1120" w:right="20" w:hanging="568"/>
        <w:spacing w:after="0" w:line="258" w:lineRule="auto"/>
        <w:tabs>
          <w:tab w:leader="none" w:pos="11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the last shareholder died leaving a will which disposes of that shareholder’s shares in the Company (whether by way of specific gift, as part of the residuary estate, or otherwise):</w:t>
      </w:r>
    </w:p>
    <w:p>
      <w:pPr>
        <w:spacing w:after="0" w:line="162" w:lineRule="exact"/>
        <w:rPr>
          <w:rFonts w:ascii="Arial" w:cs="Arial" w:eastAsia="Arial" w:hAnsi="Arial"/>
          <w:sz w:val="16"/>
          <w:szCs w:val="16"/>
          <w:color w:val="auto"/>
        </w:rPr>
      </w:pPr>
    </w:p>
    <w:p>
      <w:pPr>
        <w:ind w:left="1660" w:hanging="550"/>
        <w:spacing w:after="0"/>
        <w:tabs>
          <w:tab w:leader="none" w:pos="166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expression personal representatives of the last shareholder means:</w:t>
      </w:r>
    </w:p>
    <w:p>
      <w:pPr>
        <w:spacing w:after="0" w:line="188" w:lineRule="exact"/>
        <w:rPr>
          <w:rFonts w:ascii="Arial" w:cs="Arial" w:eastAsia="Arial" w:hAnsi="Arial"/>
          <w:sz w:val="16"/>
          <w:szCs w:val="16"/>
          <w:color w:val="auto"/>
        </w:rPr>
      </w:pPr>
    </w:p>
    <w:p>
      <w:pPr>
        <w:ind w:left="2220" w:hanging="552"/>
        <w:spacing w:after="0" w:line="258" w:lineRule="auto"/>
        <w:tabs>
          <w:tab w:leader="none" w:pos="222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until a grant of probate in respect of that will has been obtained from the Grand Court of the Cayman Islands, all of the executors named in that will who are living at the time the power of appointment under this Article is exercised; and</w:t>
      </w:r>
    </w:p>
    <w:p>
      <w:pPr>
        <w:spacing w:after="0" w:line="162" w:lineRule="exact"/>
        <w:rPr>
          <w:rFonts w:ascii="Arial" w:cs="Arial" w:eastAsia="Arial" w:hAnsi="Arial"/>
          <w:sz w:val="16"/>
          <w:szCs w:val="16"/>
          <w:color w:val="auto"/>
        </w:rPr>
      </w:pPr>
    </w:p>
    <w:p>
      <w:pPr>
        <w:ind w:left="2220" w:hanging="552"/>
        <w:spacing w:after="0"/>
        <w:tabs>
          <w:tab w:leader="none" w:pos="222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after such grant of probate has been obtained, only such of those executors who have proved that will;</w:t>
      </w:r>
    </w:p>
    <w:p>
      <w:pPr>
        <w:spacing w:after="0" w:line="188" w:lineRule="exact"/>
        <w:rPr>
          <w:rFonts w:ascii="Arial" w:cs="Arial" w:eastAsia="Arial" w:hAnsi="Arial"/>
          <w:sz w:val="16"/>
          <w:szCs w:val="16"/>
          <w:color w:val="auto"/>
        </w:rPr>
      </w:pPr>
    </w:p>
    <w:p>
      <w:pPr>
        <w:ind w:left="1660" w:right="20" w:hanging="550"/>
        <w:spacing w:after="0" w:line="258" w:lineRule="auto"/>
        <w:tabs>
          <w:tab w:leader="none" w:pos="166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without derogating from section 3(1) of the Succession Law (Revised), the executors named in that will may exercise the power of appointment under this Article without first obtaining a grant of probate.</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15.7</w:t>
      </w:r>
      <w:r>
        <w:rPr>
          <w:sz w:val="20"/>
          <w:szCs w:val="20"/>
          <w:color w:val="auto"/>
        </w:rPr>
        <w:tab/>
      </w:r>
      <w:r>
        <w:rPr>
          <w:rFonts w:ascii="Arial" w:cs="Arial" w:eastAsia="Arial" w:hAnsi="Arial"/>
          <w:sz w:val="14"/>
          <w:szCs w:val="14"/>
          <w:color w:val="auto"/>
        </w:rPr>
        <w:t>A remaining director may appoint a director even though there is not a quorum of directors.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15.8</w:t>
      </w:r>
      <w:r>
        <w:rPr>
          <w:sz w:val="20"/>
          <w:szCs w:val="20"/>
          <w:color w:val="auto"/>
        </w:rPr>
        <w:tab/>
      </w:r>
      <w:r>
        <w:rPr>
          <w:rFonts w:ascii="Arial" w:cs="Arial" w:eastAsia="Arial" w:hAnsi="Arial"/>
          <w:sz w:val="13"/>
          <w:szCs w:val="13"/>
          <w:color w:val="auto"/>
        </w:rPr>
        <w:t>No appointment can cause the number of directors to exceed the maximum; and any such appointment shall be invalid.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Removal of directors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15.9</w:t>
      </w:r>
      <w:r>
        <w:rPr>
          <w:sz w:val="20"/>
          <w:szCs w:val="20"/>
          <w:color w:val="auto"/>
        </w:rPr>
        <w:tab/>
      </w:r>
      <w:r>
        <w:rPr>
          <w:rFonts w:ascii="Arial" w:cs="Arial" w:eastAsia="Arial" w:hAnsi="Arial"/>
          <w:sz w:val="14"/>
          <w:szCs w:val="14"/>
          <w:color w:val="auto"/>
        </w:rPr>
        <w:t>A director may be removed by Ordinary Resolution.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Resignation of directors</w:t>
      </w:r>
    </w:p>
    <w:p>
      <w:pPr>
        <w:spacing w:after="0" w:line="194"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15.10</w:t>
        <w:tab/>
        <w:t>A director may at any time resign office by giving to the Company notice in writing or, if permitted pursuant to the notice provisions, in an Electronic Record delivered in either case in accordance with those provisions.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237" w:name="page238"/>
    <w:bookmarkEnd w:id="237"/>
    <w:p>
      <w:pPr>
        <w:ind w:left="7"/>
        <w:spacing w:after="0"/>
        <w:tabs>
          <w:tab w:leader="none" w:pos="547" w:val="left"/>
        </w:tabs>
        <w:rPr>
          <w:sz w:val="20"/>
          <w:szCs w:val="20"/>
          <w:color w:val="auto"/>
        </w:rPr>
      </w:pPr>
      <w:r>
        <w:rPr>
          <w:rFonts w:ascii="Arial" w:cs="Arial" w:eastAsia="Arial" w:hAnsi="Arial"/>
          <w:sz w:val="16"/>
          <w:szCs w:val="16"/>
          <w:color w:val="auto"/>
        </w:rPr>
        <w:t>15.11</w:t>
      </w:r>
      <w:r>
        <w:rPr>
          <w:sz w:val="20"/>
          <w:szCs w:val="20"/>
          <w:color w:val="auto"/>
        </w:rPr>
        <w:tab/>
      </w:r>
      <w:r>
        <w:rPr>
          <w:rFonts w:ascii="Arial" w:cs="Arial" w:eastAsia="Arial" w:hAnsi="Arial"/>
          <w:sz w:val="13"/>
          <w:szCs w:val="13"/>
          <w:color w:val="auto"/>
        </w:rPr>
        <w:t>Unless the notice specifies a different date, the director shall be deemed to have resigned on the date that the notice is delivered to the Company.</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Termination of the office of director</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15.12</w:t>
      </w:r>
      <w:r>
        <w:rPr>
          <w:sz w:val="20"/>
          <w:szCs w:val="20"/>
          <w:color w:val="auto"/>
        </w:rPr>
        <w:tab/>
      </w:r>
      <w:r>
        <w:rPr>
          <w:rFonts w:ascii="Arial" w:cs="Arial" w:eastAsia="Arial" w:hAnsi="Arial"/>
          <w:sz w:val="14"/>
          <w:szCs w:val="14"/>
          <w:color w:val="auto"/>
        </w:rPr>
        <w:t>A director’s office shall be terminated forthwith if:</w:t>
      </w:r>
    </w:p>
    <w:p>
      <w:pPr>
        <w:spacing w:after="0" w:line="188" w:lineRule="exact"/>
        <w:rPr>
          <w:sz w:val="20"/>
          <w:szCs w:val="20"/>
          <w:color w:val="auto"/>
        </w:rPr>
      </w:pPr>
    </w:p>
    <w:p>
      <w:pPr>
        <w:ind w:left="1127" w:hanging="568"/>
        <w:spacing w:after="0"/>
        <w:tabs>
          <w:tab w:leader="none" w:pos="112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he is prohibited by the law of the Islands from acting as a director;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he is made bankrupt or makes an arrangement or composition with his creditors generally;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61"/>
        </w:numPr>
        <w:rPr>
          <w:rFonts w:ascii="Arial" w:cs="Arial" w:eastAsia="Arial" w:hAnsi="Arial"/>
          <w:sz w:val="14"/>
          <w:szCs w:val="14"/>
          <w:color w:val="auto"/>
        </w:rPr>
      </w:pPr>
      <w:r>
        <w:rPr>
          <w:rFonts w:ascii="Arial" w:cs="Arial" w:eastAsia="Arial" w:hAnsi="Arial"/>
          <w:sz w:val="14"/>
          <w:szCs w:val="14"/>
          <w:color w:val="auto"/>
        </w:rPr>
        <w:t>in the opinion of a registered medical practitioner by whom he is being treated he becomes physically or mentally incapable of acting as a director; or</w:t>
      </w:r>
    </w:p>
    <w:p>
      <w:pPr>
        <w:spacing w:after="0" w:line="211" w:lineRule="exact"/>
        <w:rPr>
          <w:rFonts w:ascii="Arial" w:cs="Arial" w:eastAsia="Arial" w:hAnsi="Arial"/>
          <w:sz w:val="14"/>
          <w:szCs w:val="14"/>
          <w:color w:val="auto"/>
        </w:rPr>
      </w:pPr>
    </w:p>
    <w:p>
      <w:pPr>
        <w:ind w:left="1127" w:hanging="568"/>
        <w:spacing w:after="0"/>
        <w:tabs>
          <w:tab w:leader="none" w:pos="112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he is made subject to any law relating to mental health or incompetence, whether by court order or otherwise; 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without the consent of the other directors, he is absent from meetings of directors for a continuous period of six months.</w:t>
      </w:r>
    </w:p>
    <w:p>
      <w:pPr>
        <w:spacing w:after="0" w:line="182" w:lineRule="exact"/>
        <w:rPr>
          <w:sz w:val="20"/>
          <w:szCs w:val="20"/>
          <w:color w:val="auto"/>
        </w:rPr>
      </w:pPr>
    </w:p>
    <w:p>
      <w:pPr>
        <w:ind w:left="7" w:right="9440" w:hanging="7"/>
        <w:spacing w:after="0" w:line="559" w:lineRule="auto"/>
        <w:tabs>
          <w:tab w:leader="none" w:pos="566"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Alternate directors Appointment and removal</w:t>
      </w:r>
    </w:p>
    <w:p>
      <w:pPr>
        <w:spacing w:after="0" w:line="1" w:lineRule="exact"/>
        <w:rPr>
          <w:sz w:val="20"/>
          <w:szCs w:val="20"/>
          <w:color w:val="auto"/>
        </w:rPr>
      </w:pPr>
    </w:p>
    <w:p>
      <w:pPr>
        <w:ind w:left="567" w:right="20" w:hanging="558"/>
        <w:spacing w:after="0" w:line="329" w:lineRule="auto"/>
        <w:tabs>
          <w:tab w:leader="none" w:pos="547"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4"/>
          <w:szCs w:val="14"/>
          <w:color w:val="auto"/>
        </w:rPr>
        <w:t>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spacing w:after="0" w:line="117" w:lineRule="exact"/>
        <w:rPr>
          <w:sz w:val="20"/>
          <w:szCs w:val="20"/>
          <w:color w:val="auto"/>
        </w:rPr>
      </w:pPr>
    </w:p>
    <w:p>
      <w:pPr>
        <w:ind w:left="1127" w:hanging="568"/>
        <w:spacing w:after="0"/>
        <w:tabs>
          <w:tab w:leader="none" w:pos="112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by notice in writing in accordance with the notice provisions;</w:t>
      </w:r>
    </w:p>
    <w:p>
      <w:pPr>
        <w:spacing w:after="0" w:line="188" w:lineRule="exact"/>
        <w:rPr>
          <w:rFonts w:ascii="Arial" w:cs="Arial" w:eastAsia="Arial" w:hAnsi="Arial"/>
          <w:sz w:val="16"/>
          <w:szCs w:val="16"/>
          <w:color w:val="auto"/>
        </w:rPr>
      </w:pPr>
    </w:p>
    <w:p>
      <w:pPr>
        <w:jc w:val="both"/>
        <w:ind w:left="1127" w:hanging="568"/>
        <w:spacing w:after="0" w:line="303" w:lineRule="auto"/>
        <w:tabs>
          <w:tab w:leader="none" w:pos="1127"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if the other director has an email address, by emailing to that address a scanned copy of the notice as a PDF attachment (the PDF version being deemed to be the notice unless Article 31.7 applies), in which event notice shall be taken to be given on the date of receipt by the recipient in readable form. For the avoidance of doubt, the same email may be sent to the email address of more than one director (and to the email address of the Company pursuant to Article 16.4(c)).</w:t>
      </w:r>
    </w:p>
    <w:p>
      <w:pPr>
        <w:spacing w:after="0" w:line="135" w:lineRule="exact"/>
        <w:rPr>
          <w:sz w:val="20"/>
          <w:szCs w:val="20"/>
          <w:color w:val="auto"/>
        </w:rPr>
      </w:pPr>
    </w:p>
    <w:p>
      <w:pPr>
        <w:jc w:val="both"/>
        <w:ind w:left="567" w:right="20" w:hanging="558"/>
        <w:spacing w:after="0" w:line="250" w:lineRule="auto"/>
        <w:tabs>
          <w:tab w:leader="none" w:pos="547"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6"/>
          <w:szCs w:val="16"/>
          <w:color w:val="auto"/>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16.4.</w:t>
      </w: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38" w:name="page239"/>
    <w:bookmarkEnd w:id="238"/>
    <w:p>
      <w:pPr>
        <w:spacing w:after="0"/>
        <w:tabs>
          <w:tab w:leader="none" w:pos="54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4"/>
          <w:szCs w:val="14"/>
          <w:color w:val="auto"/>
        </w:rPr>
        <w:t>A director may revoke his appointment of an alternate at any time. No revocation shall take effect until the director has given notice of the revocation to the other directors.</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Such notice must be given by either of the methods specified in Article 15.1.</w:t>
      </w:r>
    </w:p>
    <w:p>
      <w:pPr>
        <w:spacing w:after="0" w:line="17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16.4</w:t>
      </w:r>
      <w:r>
        <w:rPr>
          <w:sz w:val="20"/>
          <w:szCs w:val="20"/>
          <w:color w:val="auto"/>
        </w:rPr>
        <w:tab/>
      </w:r>
      <w:r>
        <w:rPr>
          <w:rFonts w:ascii="Arial" w:cs="Arial" w:eastAsia="Arial" w:hAnsi="Arial"/>
          <w:sz w:val="14"/>
          <w:szCs w:val="14"/>
          <w:color w:val="auto"/>
        </w:rPr>
        <w:t>A notice of appointment or removal of an alternate director must also be given to the Company by any of the following methods:</w:t>
      </w:r>
    </w:p>
    <w:p>
      <w:pPr>
        <w:spacing w:after="0" w:line="188" w:lineRule="exact"/>
        <w:rPr>
          <w:sz w:val="20"/>
          <w:szCs w:val="20"/>
          <w:color w:val="auto"/>
        </w:rPr>
      </w:pPr>
    </w:p>
    <w:p>
      <w:pPr>
        <w:ind w:left="1120" w:hanging="568"/>
        <w:spacing w:after="0"/>
        <w:tabs>
          <w:tab w:leader="none" w:pos="11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by notice in writing in accordance with the notice provisions;</w:t>
      </w:r>
    </w:p>
    <w:p>
      <w:pPr>
        <w:spacing w:after="0" w:line="188" w:lineRule="exact"/>
        <w:rPr>
          <w:rFonts w:ascii="Arial" w:cs="Arial" w:eastAsia="Arial" w:hAnsi="Arial"/>
          <w:sz w:val="16"/>
          <w:szCs w:val="16"/>
          <w:color w:val="auto"/>
        </w:rPr>
      </w:pPr>
    </w:p>
    <w:p>
      <w:pPr>
        <w:jc w:val="both"/>
        <w:ind w:left="1120" w:hanging="568"/>
        <w:spacing w:after="0" w:line="303" w:lineRule="auto"/>
        <w:tabs>
          <w:tab w:leader="none" w:pos="11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31.7 applies), in which event notice shall be taken to be given on the date of an error-free transmission report from the sender’s fax machine;</w:t>
      </w:r>
    </w:p>
    <w:p>
      <w:pPr>
        <w:spacing w:after="0" w:line="134" w:lineRule="exact"/>
        <w:rPr>
          <w:rFonts w:ascii="Arial" w:cs="Arial" w:eastAsia="Arial" w:hAnsi="Arial"/>
          <w:sz w:val="14"/>
          <w:szCs w:val="14"/>
          <w:color w:val="auto"/>
        </w:rPr>
      </w:pPr>
    </w:p>
    <w:p>
      <w:pPr>
        <w:jc w:val="both"/>
        <w:ind w:left="1120" w:right="20" w:hanging="568"/>
        <w:spacing w:after="0" w:line="248" w:lineRule="auto"/>
        <w:tabs>
          <w:tab w:leader="none" w:pos="11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31.7 applies), in which event notice shall be taken to be given on the date of receipt by the Company or the Company’s registered office (as appropriate) in readable form; or</w:t>
      </w:r>
    </w:p>
    <w:p>
      <w:pPr>
        <w:spacing w:after="0" w:line="170" w:lineRule="exact"/>
        <w:rPr>
          <w:rFonts w:ascii="Arial" w:cs="Arial" w:eastAsia="Arial" w:hAnsi="Arial"/>
          <w:sz w:val="16"/>
          <w:szCs w:val="16"/>
          <w:color w:val="auto"/>
        </w:rPr>
      </w:pPr>
    </w:p>
    <w:p>
      <w:pPr>
        <w:ind w:left="1120" w:hanging="568"/>
        <w:spacing w:after="0"/>
        <w:tabs>
          <w:tab w:leader="none" w:pos="11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if permitted pursuant to the notice provisions, in some other form of approved Electronic Record delivered in accordance with those provisions in writing.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4"/>
          <w:szCs w:val="14"/>
          <w:color w:val="auto"/>
        </w:rPr>
        <w:t>All notices of meetings of directors shall continue to be given to the appointing director and not to the alternate.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of alternate director</w:t>
      </w:r>
    </w:p>
    <w:p>
      <w:pPr>
        <w:spacing w:after="0" w:line="194"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16.6</w:t>
      </w:r>
      <w:r>
        <w:rPr>
          <w:sz w:val="20"/>
          <w:szCs w:val="20"/>
          <w:color w:val="auto"/>
        </w:rPr>
        <w:tab/>
      </w:r>
      <w:r>
        <w:rPr>
          <w:rFonts w:ascii="Arial" w:cs="Arial" w:eastAsia="Arial" w:hAnsi="Arial"/>
          <w:sz w:val="16"/>
          <w:szCs w:val="16"/>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16.7</w:t>
      </w:r>
      <w:r>
        <w:rPr>
          <w:sz w:val="20"/>
          <w:szCs w:val="20"/>
          <w:color w:val="auto"/>
        </w:rPr>
        <w:tab/>
      </w:r>
      <w:r>
        <w:rPr>
          <w:rFonts w:ascii="Arial" w:cs="Arial" w:eastAsia="Arial" w:hAnsi="Arial"/>
          <w:sz w:val="13"/>
          <w:szCs w:val="13"/>
          <w:color w:val="auto"/>
        </w:rPr>
        <w:t>For the avoidance of doubt:</w:t>
      </w:r>
    </w:p>
    <w:p>
      <w:pPr>
        <w:spacing w:after="0" w:line="188" w:lineRule="exact"/>
        <w:rPr>
          <w:sz w:val="20"/>
          <w:szCs w:val="20"/>
          <w:color w:val="auto"/>
        </w:rPr>
      </w:pPr>
    </w:p>
    <w:p>
      <w:pPr>
        <w:ind w:left="1120" w:hanging="568"/>
        <w:spacing w:after="0" w:line="258" w:lineRule="auto"/>
        <w:tabs>
          <w:tab w:leader="none" w:pos="11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another director has been appointed an alternate director for one or more directors, he shall be entitled to a separate vote in his own right as a director and in right of each other director for whom he has been appointed an alternate; and</w:t>
      </w:r>
    </w:p>
    <w:p>
      <w:pPr>
        <w:spacing w:after="0" w:line="162" w:lineRule="exact"/>
        <w:rPr>
          <w:rFonts w:ascii="Arial" w:cs="Arial" w:eastAsia="Arial" w:hAnsi="Arial"/>
          <w:sz w:val="16"/>
          <w:szCs w:val="16"/>
          <w:color w:val="auto"/>
        </w:rPr>
      </w:pPr>
    </w:p>
    <w:p>
      <w:pPr>
        <w:ind w:left="1120" w:hanging="568"/>
        <w:spacing w:after="0" w:line="258" w:lineRule="auto"/>
        <w:tabs>
          <w:tab w:leader="none" w:pos="11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a person other than a director has been appointed an alternate director for more than one director, he shall be entitled to a separate vote in right of each director for whom he has been appointed an alternate.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39" w:name="page240"/>
    <w:bookmarkEnd w:id="239"/>
    <w:p>
      <w:pPr>
        <w:ind w:left="7"/>
        <w:spacing w:after="0"/>
        <w:tabs>
          <w:tab w:leader="none" w:pos="547" w:val="left"/>
        </w:tabs>
        <w:rPr>
          <w:sz w:val="20"/>
          <w:szCs w:val="20"/>
          <w:color w:val="auto"/>
        </w:rPr>
      </w:pPr>
      <w:r>
        <w:rPr>
          <w:rFonts w:ascii="Arial" w:cs="Arial" w:eastAsia="Arial" w:hAnsi="Arial"/>
          <w:sz w:val="16"/>
          <w:szCs w:val="16"/>
          <w:color w:val="auto"/>
        </w:rPr>
        <w:t>16.8</w:t>
      </w:r>
      <w:r>
        <w:rPr>
          <w:sz w:val="20"/>
          <w:szCs w:val="20"/>
          <w:color w:val="auto"/>
        </w:rPr>
        <w:tab/>
      </w:r>
      <w:r>
        <w:rPr>
          <w:rFonts w:ascii="Arial" w:cs="Arial" w:eastAsia="Arial" w:hAnsi="Arial"/>
          <w:sz w:val="14"/>
          <w:szCs w:val="14"/>
          <w:color w:val="auto"/>
        </w:rPr>
        <w:t>An alternate director, however, is not entitled to receive any remuneration from the Company for services rendered as an alternate director.</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Appointment ceases when the appointor ceases to be a director</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16.9</w:t>
      </w:r>
      <w:r>
        <w:rPr>
          <w:sz w:val="20"/>
          <w:szCs w:val="20"/>
          <w:color w:val="auto"/>
        </w:rPr>
        <w:tab/>
      </w:r>
      <w:r>
        <w:rPr>
          <w:rFonts w:ascii="Arial" w:cs="Arial" w:eastAsia="Arial" w:hAnsi="Arial"/>
          <w:sz w:val="13"/>
          <w:szCs w:val="13"/>
          <w:color w:val="auto"/>
        </w:rPr>
        <w:t>An alternate director shall cease to be an alternate director if the director who appointed him ceases to be a director.</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Status of alternate director</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16.10</w:t>
      </w:r>
      <w:r>
        <w:rPr>
          <w:sz w:val="20"/>
          <w:szCs w:val="20"/>
          <w:color w:val="auto"/>
        </w:rPr>
        <w:tab/>
      </w:r>
      <w:r>
        <w:rPr>
          <w:rFonts w:ascii="Arial" w:cs="Arial" w:eastAsia="Arial" w:hAnsi="Arial"/>
          <w:sz w:val="14"/>
          <w:szCs w:val="14"/>
          <w:color w:val="auto"/>
        </w:rPr>
        <w:t>An alternate director shall carry out all functions of the director who made the appointment.</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16.11</w:t>
      </w:r>
      <w:r>
        <w:rPr>
          <w:sz w:val="20"/>
          <w:szCs w:val="20"/>
          <w:color w:val="auto"/>
        </w:rPr>
        <w:tab/>
      </w:r>
      <w:r>
        <w:rPr>
          <w:rFonts w:ascii="Arial" w:cs="Arial" w:eastAsia="Arial" w:hAnsi="Arial"/>
          <w:sz w:val="13"/>
          <w:szCs w:val="13"/>
          <w:color w:val="auto"/>
        </w:rPr>
        <w:t>Save where otherwise expressed, an alternate director shall be treated as a director under these Articles.</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16.12</w:t>
      </w:r>
      <w:r>
        <w:rPr>
          <w:sz w:val="20"/>
          <w:szCs w:val="20"/>
          <w:color w:val="auto"/>
        </w:rPr>
        <w:tab/>
      </w:r>
      <w:r>
        <w:rPr>
          <w:rFonts w:ascii="Arial" w:cs="Arial" w:eastAsia="Arial" w:hAnsi="Arial"/>
          <w:sz w:val="14"/>
          <w:szCs w:val="14"/>
          <w:color w:val="auto"/>
        </w:rPr>
        <w:t>An alternate director is not the agent of the director appointing him.</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16.13</w:t>
      </w:r>
      <w:r>
        <w:rPr>
          <w:sz w:val="20"/>
          <w:szCs w:val="20"/>
          <w:color w:val="auto"/>
        </w:rPr>
        <w:tab/>
      </w:r>
      <w:r>
        <w:rPr>
          <w:rFonts w:ascii="Arial" w:cs="Arial" w:eastAsia="Arial" w:hAnsi="Arial"/>
          <w:sz w:val="14"/>
          <w:szCs w:val="14"/>
          <w:color w:val="auto"/>
        </w:rPr>
        <w:t>An alternate director is not entitled to any remuneration for acting as alternate director.</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Status of the director making the appointment</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16.14</w:t>
      </w:r>
      <w:r>
        <w:rPr>
          <w:sz w:val="20"/>
          <w:szCs w:val="20"/>
          <w:color w:val="auto"/>
        </w:rPr>
        <w:tab/>
      </w:r>
      <w:r>
        <w:rPr>
          <w:rFonts w:ascii="Arial" w:cs="Arial" w:eastAsia="Arial" w:hAnsi="Arial"/>
          <w:sz w:val="14"/>
          <w:szCs w:val="14"/>
          <w:color w:val="auto"/>
        </w:rPr>
        <w:t>A director who has appointed an alternate is not thereby relieved from the duties which he owes the Company.</w:t>
      </w:r>
    </w:p>
    <w:p>
      <w:pPr>
        <w:spacing w:after="0" w:line="182" w:lineRule="exact"/>
        <w:rPr>
          <w:sz w:val="20"/>
          <w:szCs w:val="20"/>
          <w:color w:val="auto"/>
        </w:rPr>
      </w:pPr>
    </w:p>
    <w:p>
      <w:pPr>
        <w:ind w:left="567" w:hanging="567"/>
        <w:spacing w:after="0"/>
        <w:tabs>
          <w:tab w:leader="none" w:pos="567"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Powers of directors</w:t>
      </w:r>
    </w:p>
    <w:p>
      <w:pPr>
        <w:spacing w:after="0" w:line="188" w:lineRule="exact"/>
        <w:rPr>
          <w:rFonts w:ascii="Arial" w:cs="Arial" w:eastAsia="Arial" w:hAnsi="Arial"/>
          <w:sz w:val="16"/>
          <w:szCs w:val="16"/>
          <w:b w:val="1"/>
          <w:bCs w:val="1"/>
          <w:color w:val="auto"/>
        </w:rPr>
      </w:pPr>
    </w:p>
    <w:p>
      <w:pPr>
        <w:ind w:left="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Powers of directors</w:t>
      </w:r>
    </w:p>
    <w:p>
      <w:pPr>
        <w:spacing w:after="0" w:line="194"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Subject to the provisions of the Law, the Memorandum and these Articles, the business of the Company shall be managed by the directors who may for that purpose exercise all the powers of the Company.</w:t>
      </w:r>
    </w:p>
    <w:p>
      <w:pPr>
        <w:spacing w:after="0" w:line="163"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Appointments to office</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4"/>
          <w:szCs w:val="14"/>
          <w:color w:val="auto"/>
        </w:rPr>
        <w:t>The directors may appoint a director:</w:t>
      </w:r>
    </w:p>
    <w:p>
      <w:pPr>
        <w:spacing w:after="0" w:line="188" w:lineRule="exact"/>
        <w:rPr>
          <w:sz w:val="20"/>
          <w:szCs w:val="20"/>
          <w:color w:val="auto"/>
        </w:rPr>
      </w:pPr>
    </w:p>
    <w:p>
      <w:pPr>
        <w:ind w:left="1127" w:hanging="568"/>
        <w:spacing w:after="0"/>
        <w:tabs>
          <w:tab w:leader="none" w:pos="112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as chairman of the board of directors;</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as managing director;</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any other executive office</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color w:val="auto"/>
        </w:rPr>
        <w:t>for such period and on such terms, including as to remuneration, as they think fit.</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40" w:name="page241"/>
    <w:bookmarkEnd w:id="240"/>
    <w:p>
      <w:pPr>
        <w:spacing w:after="0"/>
        <w:tabs>
          <w:tab w:leader="none" w:pos="540"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4"/>
          <w:szCs w:val="14"/>
          <w:color w:val="auto"/>
        </w:rPr>
        <w:t>The appointee must consent in writing to holding that office.</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3"/>
          <w:szCs w:val="13"/>
          <w:color w:val="auto"/>
        </w:rPr>
        <w:t>Where a chairman is appointed he shall, unless unable to do so, preside at every meeting of directors.</w:t>
      </w:r>
    </w:p>
    <w:p>
      <w:pPr>
        <w:spacing w:after="0" w:line="188"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6"/>
          <w:szCs w:val="16"/>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17.7</w:t>
      </w:r>
      <w:r>
        <w:rPr>
          <w:sz w:val="20"/>
          <w:szCs w:val="20"/>
          <w:color w:val="auto"/>
        </w:rPr>
        <w:tab/>
      </w:r>
      <w:r>
        <w:rPr>
          <w:rFonts w:ascii="Arial" w:cs="Arial" w:eastAsia="Arial" w:hAnsi="Arial"/>
          <w:sz w:val="13"/>
          <w:szCs w:val="13"/>
          <w:color w:val="auto"/>
        </w:rPr>
        <w:t>Subject to the provisions of the Law, the directors may also appoint any person, who need not be a director:</w:t>
      </w:r>
    </w:p>
    <w:p>
      <w:pPr>
        <w:spacing w:after="0" w:line="188" w:lineRule="exact"/>
        <w:rPr>
          <w:sz w:val="20"/>
          <w:szCs w:val="20"/>
          <w:color w:val="auto"/>
        </w:rPr>
      </w:pPr>
    </w:p>
    <w:p>
      <w:pPr>
        <w:ind w:left="1120" w:hanging="568"/>
        <w:spacing w:after="0"/>
        <w:tabs>
          <w:tab w:leader="none" w:pos="11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as Secretary; and</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any office that may be required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such period and on such terms, including as to remuneration, as they think fit. In the case of an Officer, that Officer may be given any title the directors decide.</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17.8</w:t>
      </w:r>
      <w:r>
        <w:rPr>
          <w:sz w:val="20"/>
          <w:szCs w:val="20"/>
          <w:color w:val="auto"/>
        </w:rPr>
        <w:tab/>
      </w:r>
      <w:r>
        <w:rPr>
          <w:rFonts w:ascii="Arial" w:cs="Arial" w:eastAsia="Arial" w:hAnsi="Arial"/>
          <w:sz w:val="14"/>
          <w:szCs w:val="14"/>
          <w:color w:val="auto"/>
        </w:rPr>
        <w:t>The Secretary or Officer must consent in writing to holding that office.</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17.9</w:t>
      </w:r>
      <w:r>
        <w:rPr>
          <w:sz w:val="20"/>
          <w:szCs w:val="20"/>
          <w:color w:val="auto"/>
        </w:rPr>
        <w:tab/>
      </w:r>
      <w:r>
        <w:rPr>
          <w:rFonts w:ascii="Arial" w:cs="Arial" w:eastAsia="Arial" w:hAnsi="Arial"/>
          <w:sz w:val="14"/>
          <w:szCs w:val="14"/>
          <w:color w:val="auto"/>
        </w:rPr>
        <w:t>A director, Secretary or other Officer of the Company may not the hold the office, or perform the services, of auditor.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Remuneration</w:t>
      </w:r>
    </w:p>
    <w:p>
      <w:pPr>
        <w:spacing w:after="0" w:line="194"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17.10</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63"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17.11</w:t>
        <w:tab/>
        <w:t>A director’s remuneration shall be fixed by the Company by Ordinary Resolution. Unless that resolution provides otherwise, the remuneration shall be deemed to accrue from day to day.</w:t>
      </w:r>
    </w:p>
    <w:p>
      <w:pPr>
        <w:spacing w:after="0" w:line="16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17.12</w:t>
        <w:tab/>
        <w:t>Remuneration may take any form and may include arrangements to pay pensions, health insurance, death or sickness benefits, whether to the director or to any other person connected to or related to him.</w:t>
      </w:r>
    </w:p>
    <w:p>
      <w:pPr>
        <w:spacing w:after="0" w:line="16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17.13</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b w:val="1"/>
          <w:bCs w:val="1"/>
          <w:color w:val="auto"/>
        </w:rPr>
        <w:t>Disclosure of information</w:t>
      </w:r>
    </w:p>
    <w:p>
      <w:pPr>
        <w:spacing w:after="0" w:line="194" w:lineRule="exact"/>
        <w:rPr>
          <w:sz w:val="20"/>
          <w:szCs w:val="20"/>
          <w:color w:val="auto"/>
        </w:rPr>
      </w:pPr>
    </w:p>
    <w:p>
      <w:pPr>
        <w:jc w:val="both"/>
        <w:ind w:left="560" w:hanging="558"/>
        <w:spacing w:after="0" w:line="250" w:lineRule="auto"/>
        <w:tabs>
          <w:tab w:leader="none" w:pos="540" w:val="left"/>
        </w:tabs>
        <w:rPr>
          <w:sz w:val="20"/>
          <w:szCs w:val="20"/>
          <w:color w:val="auto"/>
        </w:rPr>
      </w:pPr>
      <w:r>
        <w:rPr>
          <w:rFonts w:ascii="Arial" w:cs="Arial" w:eastAsia="Arial" w:hAnsi="Arial"/>
          <w:sz w:val="16"/>
          <w:szCs w:val="16"/>
          <w:color w:val="auto"/>
        </w:rPr>
        <w:t>17.14</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70" w:lineRule="exact"/>
        <w:rPr>
          <w:sz w:val="20"/>
          <w:szCs w:val="20"/>
          <w:color w:val="auto"/>
        </w:rPr>
      </w:pPr>
    </w:p>
    <w:p>
      <w:pPr>
        <w:ind w:left="1120" w:hanging="568"/>
        <w:spacing w:after="0"/>
        <w:tabs>
          <w:tab w:leader="none" w:pos="11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Company or that person, as the case may be, is lawfully required to do so under the laws of any jurisdiction to which the Company is subject; or</w:t>
      </w:r>
    </w:p>
    <w:p>
      <w:pPr>
        <w:spacing w:after="0" w:line="211" w:lineRule="exact"/>
        <w:rPr>
          <w:rFonts w:ascii="Arial" w:cs="Arial" w:eastAsia="Arial" w:hAnsi="Arial"/>
          <w:sz w:val="14"/>
          <w:szCs w:val="14"/>
          <w:color w:val="auto"/>
        </w:rPr>
      </w:pPr>
    </w:p>
    <w:p>
      <w:pPr>
        <w:ind w:left="1120" w:hanging="568"/>
        <w:spacing w:after="0"/>
        <w:tabs>
          <w:tab w:leader="none" w:pos="11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such disclosure is in compliance with the rules of any stock exchange upon which the Company’s shares are listed;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such disclosure is in accordance with any contract entered into by the Company;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directors are of the opinion such disclosure would assist or facilitate the Company’s operations.</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auto"/>
        </w:rPr>
        <w:t>Delegation of powers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delegate any of the directors’ powers to a committee</w:t>
      </w:r>
    </w:p>
    <w:p>
      <w:pPr>
        <w:spacing w:after="0" w:line="194"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6"/>
          <w:szCs w:val="16"/>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4"/>
          <w:szCs w:val="14"/>
          <w:color w:val="auto"/>
        </w:rPr>
        <w:t>The delegation may be collateral with, or to the exclusion of, the directors’ own powers.</w:t>
      </w:r>
    </w:p>
    <w:p>
      <w:pPr>
        <w:spacing w:after="0" w:line="188"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4"/>
          <w:szCs w:val="14"/>
          <w:color w:val="auto"/>
        </w:rPr>
        <w:t>Unless otherwise permitted by the directors, a committee must follow the procedures prescribed for the taking of decisions by directors.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appoint an agent of the Company</w:t>
      </w:r>
    </w:p>
    <w:p>
      <w:pPr>
        <w:spacing w:after="0" w:line="194"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6"/>
          <w:szCs w:val="16"/>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3" w:lineRule="exact"/>
        <w:rPr>
          <w:sz w:val="20"/>
          <w:szCs w:val="20"/>
          <w:color w:val="auto"/>
        </w:rPr>
      </w:pPr>
    </w:p>
    <w:p>
      <w:pPr>
        <w:ind w:left="1120" w:hanging="568"/>
        <w:spacing w:after="0"/>
        <w:tabs>
          <w:tab w:leader="none" w:pos="11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by causing the Company to enter into a power of attorney or agreement; or</w:t>
      </w:r>
    </w:p>
    <w:p>
      <w:pPr>
        <w:spacing w:after="0" w:line="188" w:lineRule="exact"/>
        <w:rPr>
          <w:rFonts w:ascii="Arial" w:cs="Arial" w:eastAsia="Arial" w:hAnsi="Arial"/>
          <w:sz w:val="16"/>
          <w:szCs w:val="16"/>
          <w:color w:val="auto"/>
        </w:rPr>
      </w:pPr>
    </w:p>
    <w:p>
      <w:pPr>
        <w:ind w:left="1120" w:hanging="568"/>
        <w:spacing w:after="0"/>
        <w:tabs>
          <w:tab w:leader="none" w:pos="11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any other manner they determine.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242" w:name="page243"/>
    <w:bookmarkEnd w:id="242"/>
    <w:p>
      <w:pPr>
        <w:ind w:left="7"/>
        <w:spacing w:after="0"/>
        <w:rPr>
          <w:sz w:val="20"/>
          <w:szCs w:val="20"/>
          <w:color w:val="auto"/>
        </w:rPr>
      </w:pPr>
      <w:r>
        <w:rPr>
          <w:rFonts w:ascii="Arial" w:cs="Arial" w:eastAsia="Arial" w:hAnsi="Arial"/>
          <w:sz w:val="16"/>
          <w:szCs w:val="16"/>
          <w:b w:val="1"/>
          <w:bCs w:val="1"/>
          <w:color w:val="auto"/>
        </w:rPr>
        <w:t>Power to appoint an attorney or authorised signatory of the Company</w:t>
      </w:r>
    </w:p>
    <w:p>
      <w:pPr>
        <w:spacing w:after="0" w:line="194"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color w:val="auto"/>
        </w:rPr>
        <w:t>The directors may appoint any person, whether nominated directly or indirectly by the directors, to be the attorney or the authorised signatory of the Company. The appointment may be:</w:t>
      </w:r>
    </w:p>
    <w:p>
      <w:pPr>
        <w:spacing w:after="0" w:line="163" w:lineRule="exact"/>
        <w:rPr>
          <w:sz w:val="20"/>
          <w:szCs w:val="20"/>
          <w:color w:val="auto"/>
        </w:rPr>
      </w:pPr>
    </w:p>
    <w:p>
      <w:pPr>
        <w:ind w:left="1127" w:hanging="568"/>
        <w:spacing w:after="0"/>
        <w:tabs>
          <w:tab w:leader="none" w:pos="112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any purpose;</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 the powers, authorities and discretions;</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the period; and</w:t>
      </w:r>
    </w:p>
    <w:p>
      <w:pPr>
        <w:spacing w:after="0" w:line="188" w:lineRule="exact"/>
        <w:rPr>
          <w:rFonts w:ascii="Arial" w:cs="Arial" w:eastAsia="Arial" w:hAnsi="Arial"/>
          <w:sz w:val="16"/>
          <w:szCs w:val="16"/>
          <w:color w:val="auto"/>
        </w:rPr>
      </w:pPr>
    </w:p>
    <w:p>
      <w:pPr>
        <w:ind w:left="1127" w:hanging="568"/>
        <w:spacing w:after="0"/>
        <w:tabs>
          <w:tab w:leader="none" w:pos="112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subject to such conditions</w:t>
      </w:r>
    </w:p>
    <w:p>
      <w:pPr>
        <w:spacing w:after="0" w:line="188" w:lineRule="exact"/>
        <w:rPr>
          <w:sz w:val="20"/>
          <w:szCs w:val="20"/>
          <w:color w:val="auto"/>
        </w:rPr>
      </w:pPr>
    </w:p>
    <w:p>
      <w:pPr>
        <w:ind w:left="567" w:right="20"/>
        <w:spacing w:after="0" w:line="258" w:lineRule="auto"/>
        <w:rPr>
          <w:sz w:val="20"/>
          <w:szCs w:val="20"/>
          <w:color w:val="auto"/>
        </w:rPr>
      </w:pPr>
      <w:r>
        <w:rPr>
          <w:rFonts w:ascii="Arial" w:cs="Arial" w:eastAsia="Arial" w:hAnsi="Arial"/>
          <w:sz w:val="16"/>
          <w:szCs w:val="16"/>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3" w:lineRule="exact"/>
        <w:rPr>
          <w:sz w:val="20"/>
          <w:szCs w:val="20"/>
          <w:color w:val="auto"/>
        </w:rPr>
      </w:pPr>
    </w:p>
    <w:p>
      <w:pPr>
        <w:jc w:val="both"/>
        <w:ind w:left="567" w:hanging="558"/>
        <w:spacing w:after="0" w:line="250" w:lineRule="auto"/>
        <w:tabs>
          <w:tab w:leader="none" w:pos="547"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appoint a proxy</w:t>
      </w:r>
    </w:p>
    <w:p>
      <w:pPr>
        <w:spacing w:after="0" w:line="194" w:lineRule="exact"/>
        <w:rPr>
          <w:sz w:val="20"/>
          <w:szCs w:val="20"/>
          <w:color w:val="auto"/>
        </w:rPr>
      </w:pPr>
    </w:p>
    <w:p>
      <w:pPr>
        <w:jc w:val="both"/>
        <w:ind w:left="567" w:hanging="558"/>
        <w:spacing w:after="0" w:line="258" w:lineRule="auto"/>
        <w:tabs>
          <w:tab w:leader="none" w:pos="547" w:val="left"/>
        </w:tabs>
        <w:rPr>
          <w:sz w:val="20"/>
          <w:szCs w:val="20"/>
          <w:color w:val="auto"/>
        </w:rPr>
      </w:pPr>
      <w:r>
        <w:rPr>
          <w:rFonts w:ascii="Arial" w:cs="Arial" w:eastAsia="Arial" w:hAnsi="Arial"/>
          <w:sz w:val="16"/>
          <w:szCs w:val="16"/>
          <w:color w:val="auto"/>
        </w:rPr>
        <w:t>18.8</w:t>
      </w:r>
      <w:r>
        <w:rPr>
          <w:sz w:val="20"/>
          <w:szCs w:val="20"/>
          <w:color w:val="auto"/>
        </w:rPr>
        <w:tab/>
      </w:r>
      <w:r>
        <w:rPr>
          <w:rFonts w:ascii="Arial" w:cs="Arial" w:eastAsia="Arial" w:hAnsi="Arial"/>
          <w:sz w:val="16"/>
          <w:szCs w:val="16"/>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16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4"/>
          <w:szCs w:val="14"/>
          <w:color w:val="auto"/>
        </w:rPr>
        <w:t>Articles 16.1 to 16.4 inclusive (relating to the appointment by directors of alternate directors) apply, mutatis mutandis, to the appointment of proxies by directors.</w:t>
      </w:r>
    </w:p>
    <w:p>
      <w:pPr>
        <w:spacing w:after="0" w:line="18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18.10</w:t>
      </w:r>
      <w:r>
        <w:rPr>
          <w:sz w:val="20"/>
          <w:szCs w:val="20"/>
          <w:color w:val="auto"/>
        </w:rPr>
        <w:tab/>
      </w:r>
      <w:r>
        <w:rPr>
          <w:rFonts w:ascii="Arial" w:cs="Arial" w:eastAsia="Arial" w:hAnsi="Arial"/>
          <w:sz w:val="14"/>
          <w:szCs w:val="14"/>
          <w:color w:val="auto"/>
        </w:rPr>
        <w:t>A proxy is an agent of the director appointing him and is not an officer of the Company.</w:t>
      </w:r>
    </w:p>
    <w:p>
      <w:pPr>
        <w:spacing w:after="0" w:line="182" w:lineRule="exact"/>
        <w:rPr>
          <w:sz w:val="20"/>
          <w:szCs w:val="20"/>
          <w:color w:val="auto"/>
        </w:rPr>
      </w:pPr>
    </w:p>
    <w:p>
      <w:pPr>
        <w:ind w:left="7" w:right="9060" w:hanging="7"/>
        <w:spacing w:after="0" w:line="602" w:lineRule="auto"/>
        <w:tabs>
          <w:tab w:leader="none" w:pos="566"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Meetings of directors Regulation of directors’ meetings</w:t>
      </w:r>
    </w:p>
    <w:p>
      <w:pPr>
        <w:spacing w:after="0" w:line="1"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4"/>
          <w:szCs w:val="14"/>
          <w:color w:val="auto"/>
        </w:rPr>
        <w:t>Subject to the provisions of these Articles, the directors may regulate their proceedings as they think fit.</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Calling meetings</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4"/>
          <w:szCs w:val="14"/>
          <w:color w:val="auto"/>
        </w:rPr>
        <w:t>Any director may call a meeting of directors at any time. The Secretary, if any, must call a meeting of the directors if requested to do so by a director.</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Notice of meetings</w:t>
      </w:r>
    </w:p>
    <w:p>
      <w:pPr>
        <w:spacing w:after="0" w:line="19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4"/>
          <w:szCs w:val="14"/>
          <w:color w:val="auto"/>
        </w:rPr>
        <w:t>Every director shall be given notice of a meeting, although a director may waive retrospectively the requirement to be given notice. Notice may be oral.</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b w:val="1"/>
          <w:bCs w:val="1"/>
          <w:color w:val="auto"/>
        </w:rPr>
        <w:t>Period of notice</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4"/>
          <w:szCs w:val="14"/>
          <w:color w:val="auto"/>
        </w:rPr>
        <w:t>At least five Clear Days’ notice of a meeting of directors must be given to directors. But a meeting may be convened on shorter notice with the consent of all directors.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technology</w:t>
      </w:r>
    </w:p>
    <w:p>
      <w:pPr>
        <w:spacing w:after="0" w:line="194" w:lineRule="exact"/>
        <w:rPr>
          <w:sz w:val="20"/>
          <w:szCs w:val="20"/>
          <w:color w:val="auto"/>
        </w:rPr>
      </w:pPr>
    </w:p>
    <w:p>
      <w:pPr>
        <w:ind w:left="600" w:hanging="616"/>
        <w:spacing w:after="0" w:line="258" w:lineRule="auto"/>
        <w:tabs>
          <w:tab w:leader="none" w:pos="580" w:val="left"/>
        </w:tabs>
        <w:rPr>
          <w:sz w:val="20"/>
          <w:szCs w:val="20"/>
          <w:color w:val="auto"/>
        </w:rPr>
      </w:pPr>
      <w:r>
        <w:rPr>
          <w:rFonts w:ascii="Arial" w:cs="Arial" w:eastAsia="Arial" w:hAnsi="Arial"/>
          <w:sz w:val="16"/>
          <w:szCs w:val="16"/>
          <w:color w:val="auto"/>
        </w:rPr>
        <w:t>19.5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19.6</w:t>
      </w:r>
      <w:r>
        <w:rPr>
          <w:sz w:val="20"/>
          <w:szCs w:val="20"/>
          <w:color w:val="auto"/>
        </w:rPr>
        <w:tab/>
      </w:r>
      <w:r>
        <w:rPr>
          <w:rFonts w:ascii="Arial" w:cs="Arial" w:eastAsia="Arial" w:hAnsi="Arial"/>
          <w:sz w:val="14"/>
          <w:szCs w:val="14"/>
          <w:color w:val="auto"/>
        </w:rPr>
        <w:t>A director participating in this way is deemed to be present in person at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 of meetings</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19.7</w:t>
      </w:r>
      <w:r>
        <w:rPr>
          <w:sz w:val="20"/>
          <w:szCs w:val="20"/>
          <w:color w:val="auto"/>
        </w:rPr>
        <w:tab/>
      </w:r>
      <w:r>
        <w:rPr>
          <w:rFonts w:ascii="Arial" w:cs="Arial" w:eastAsia="Arial" w:hAnsi="Arial"/>
          <w:sz w:val="14"/>
          <w:szCs w:val="14"/>
          <w:color w:val="auto"/>
        </w:rPr>
        <w:t>If all the directors participating in a meeting are not in the same place, they may decide that the meeting is to be treated as taking place wherever any of them is.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19.8</w:t>
      </w:r>
      <w:r>
        <w:rPr>
          <w:sz w:val="20"/>
          <w:szCs w:val="20"/>
          <w:color w:val="auto"/>
        </w:rPr>
        <w:tab/>
      </w:r>
      <w:r>
        <w:rPr>
          <w:rFonts w:ascii="Arial" w:cs="Arial" w:eastAsia="Arial" w:hAnsi="Arial"/>
          <w:sz w:val="13"/>
          <w:szCs w:val="13"/>
          <w:color w:val="auto"/>
        </w:rPr>
        <w:t>The quorum for the transaction of business at a meeting of directors shall be two unless the directors fix some other number or unless the Company has only one director.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19.9</w:t>
      </w:r>
      <w:r>
        <w:rPr>
          <w:sz w:val="20"/>
          <w:szCs w:val="20"/>
          <w:color w:val="auto"/>
        </w:rPr>
        <w:tab/>
      </w:r>
      <w:r>
        <w:rPr>
          <w:rFonts w:ascii="Arial" w:cs="Arial" w:eastAsia="Arial" w:hAnsi="Arial"/>
          <w:sz w:val="13"/>
          <w:szCs w:val="13"/>
          <w:color w:val="auto"/>
        </w:rPr>
        <w:t>A question which arises at a board meeting shall be decided by a majority of votes. If votes are equal the chairman may, if he wishes, exercise a casting vote.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Validity</w:t>
      </w:r>
    </w:p>
    <w:p>
      <w:pPr>
        <w:spacing w:after="0" w:line="194" w:lineRule="exact"/>
        <w:rPr>
          <w:sz w:val="20"/>
          <w:szCs w:val="20"/>
          <w:color w:val="auto"/>
        </w:rPr>
      </w:pPr>
    </w:p>
    <w:p>
      <w:pPr>
        <w:ind w:left="600" w:hanging="616"/>
        <w:spacing w:after="0" w:line="258" w:lineRule="auto"/>
        <w:tabs>
          <w:tab w:leader="none" w:pos="580" w:val="left"/>
        </w:tabs>
        <w:rPr>
          <w:sz w:val="20"/>
          <w:szCs w:val="20"/>
          <w:color w:val="auto"/>
        </w:rPr>
      </w:pPr>
      <w:r>
        <w:rPr>
          <w:rFonts w:ascii="Arial" w:cs="Arial" w:eastAsia="Arial" w:hAnsi="Arial"/>
          <w:sz w:val="16"/>
          <w:szCs w:val="16"/>
          <w:color w:val="auto"/>
        </w:rPr>
        <w:t>19.10</w:t>
      </w:r>
      <w:r>
        <w:rPr>
          <w:sz w:val="20"/>
          <w:szCs w:val="20"/>
          <w:color w:val="auto"/>
        </w:rPr>
        <w:tab/>
      </w:r>
      <w:r>
        <w:rPr>
          <w:rFonts w:ascii="Arial" w:cs="Arial" w:eastAsia="Arial" w:hAnsi="Arial"/>
          <w:sz w:val="16"/>
          <w:szCs w:val="16"/>
          <w:color w:val="auto"/>
        </w:rPr>
        <w:t>Anything done at a meeting of directors is unaffected by the fact that it is later discovered that any person was not properly appointed, or had ceased to be a director, or was otherwise not entitled to vote.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Recording of dissent</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19.11</w:t>
      </w:r>
      <w:r>
        <w:rPr>
          <w:sz w:val="20"/>
          <w:szCs w:val="20"/>
          <w:color w:val="auto"/>
        </w:rPr>
        <w:tab/>
      </w:r>
      <w:r>
        <w:rPr>
          <w:rFonts w:ascii="Arial" w:cs="Arial" w:eastAsia="Arial" w:hAnsi="Arial"/>
          <w:sz w:val="13"/>
          <w:szCs w:val="13"/>
          <w:color w:val="auto"/>
        </w:rPr>
        <w:t>A director present at a meeting of directors shall be presumed to have assented to any action taken at that meeting unless:</w:t>
      </w:r>
    </w:p>
    <w:p>
      <w:pPr>
        <w:spacing w:after="0" w:line="188" w:lineRule="exact"/>
        <w:rPr>
          <w:sz w:val="20"/>
          <w:szCs w:val="20"/>
          <w:color w:val="auto"/>
        </w:rPr>
      </w:pPr>
    </w:p>
    <w:p>
      <w:pPr>
        <w:ind w:left="1220" w:hanging="610"/>
        <w:spacing w:after="0"/>
        <w:tabs>
          <w:tab w:leader="none" w:pos="12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his dissent is entered in the minutes of the meeting; or</w:t>
      </w:r>
    </w:p>
    <w:p>
      <w:pPr>
        <w:spacing w:after="0" w:line="188" w:lineRule="exact"/>
        <w:rPr>
          <w:rFonts w:ascii="Arial" w:cs="Arial" w:eastAsia="Arial" w:hAnsi="Arial"/>
          <w:sz w:val="16"/>
          <w:szCs w:val="16"/>
          <w:color w:val="auto"/>
        </w:rPr>
      </w:pPr>
    </w:p>
    <w:p>
      <w:pPr>
        <w:ind w:left="1220" w:hanging="610"/>
        <w:spacing w:after="0"/>
        <w:tabs>
          <w:tab w:leader="none" w:pos="12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he has filed with the meeting before it is concluded signed dissent from that action; or</w:t>
      </w:r>
    </w:p>
    <w:p>
      <w:pPr>
        <w:spacing w:after="0" w:line="188" w:lineRule="exact"/>
        <w:rPr>
          <w:rFonts w:ascii="Arial" w:cs="Arial" w:eastAsia="Arial" w:hAnsi="Arial"/>
          <w:sz w:val="16"/>
          <w:szCs w:val="16"/>
          <w:color w:val="auto"/>
        </w:rPr>
      </w:pPr>
    </w:p>
    <w:p>
      <w:pPr>
        <w:ind w:left="620" w:right="3160" w:hanging="10"/>
        <w:spacing w:after="0" w:line="501" w:lineRule="auto"/>
        <w:tabs>
          <w:tab w:leader="none" w:pos="123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he has forwarded to the Company as soon as practical following the conclusion of that meeting signed dissent. A director who votes in favour of an action is not entitled to record his dissent to it.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44" w:name="page245"/>
    <w:bookmarkEnd w:id="244"/>
    <w:p>
      <w:pPr>
        <w:ind w:left="7"/>
        <w:spacing w:after="0"/>
        <w:rPr>
          <w:sz w:val="20"/>
          <w:szCs w:val="20"/>
          <w:color w:val="auto"/>
        </w:rPr>
      </w:pPr>
      <w:r>
        <w:rPr>
          <w:rFonts w:ascii="Arial" w:cs="Arial" w:eastAsia="Arial" w:hAnsi="Arial"/>
          <w:sz w:val="16"/>
          <w:szCs w:val="16"/>
          <w:b w:val="1"/>
          <w:bCs w:val="1"/>
          <w:color w:val="auto"/>
        </w:rPr>
        <w:t>Written resolutions</w:t>
      </w:r>
    </w:p>
    <w:p>
      <w:pPr>
        <w:spacing w:after="0" w:line="194"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19.12</w:t>
      </w:r>
      <w:r>
        <w:rPr>
          <w:sz w:val="20"/>
          <w:szCs w:val="20"/>
          <w:color w:val="auto"/>
        </w:rPr>
        <w:tab/>
      </w:r>
      <w:r>
        <w:rPr>
          <w:rFonts w:ascii="Arial" w:cs="Arial" w:eastAsia="Arial" w:hAnsi="Arial"/>
          <w:sz w:val="16"/>
          <w:szCs w:val="16"/>
          <w:color w:val="auto"/>
        </w:rPr>
        <w:t>The directors may pass a resolution in writing without holding a meeting if all directors sign a document or sign several documents in the like form each signed by one or more of those directors.</w:t>
      </w:r>
    </w:p>
    <w:p>
      <w:pPr>
        <w:spacing w:after="0" w:line="163"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19.13</w:t>
      </w:r>
      <w:r>
        <w:rPr>
          <w:sz w:val="20"/>
          <w:szCs w:val="20"/>
          <w:color w:val="auto"/>
        </w:rPr>
        <w:tab/>
      </w:r>
      <w:r>
        <w:rPr>
          <w:rFonts w:ascii="Arial" w:cs="Arial" w:eastAsia="Arial" w:hAnsi="Arial"/>
          <w:sz w:val="16"/>
          <w:szCs w:val="16"/>
          <w:color w:val="auto"/>
        </w:rPr>
        <w:t>Despite the foregoing, a resolution in writing signed by a validly appointed alternate director or by a validly appointed proxy need not also be signed by the appointing director. But if a written resolution is signed personally by the appointing director, it need not also be signed by his alternate or proxy.</w:t>
      </w:r>
    </w:p>
    <w:p>
      <w:pPr>
        <w:spacing w:after="0" w:line="163"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19.14</w:t>
      </w:r>
      <w:r>
        <w:rPr>
          <w:sz w:val="20"/>
          <w:szCs w:val="20"/>
          <w:color w:val="auto"/>
        </w:rPr>
        <w:tab/>
      </w:r>
      <w:r>
        <w:rPr>
          <w:rFonts w:ascii="Arial" w:cs="Arial" w:eastAsia="Arial" w:hAnsi="Arial"/>
          <w:sz w:val="16"/>
          <w:szCs w:val="16"/>
          <w:color w:val="auto"/>
        </w:rPr>
        <w:t>Such written resolution shall be as effective as if it had been passed at a meeting of the directors duly convened and held; and it shall be treated as having been passed on the day and at the time that the last director signs.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Sole director's minute</w:t>
      </w:r>
    </w:p>
    <w:p>
      <w:pPr>
        <w:spacing w:after="0" w:line="194"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19.15</w:t>
      </w:r>
      <w:r>
        <w:rPr>
          <w:sz w:val="20"/>
          <w:szCs w:val="20"/>
          <w:color w:val="auto"/>
        </w:rPr>
        <w:tab/>
      </w:r>
      <w:r>
        <w:rPr>
          <w:rFonts w:ascii="Arial" w:cs="Arial" w:eastAsia="Arial" w:hAnsi="Arial"/>
          <w:sz w:val="13"/>
          <w:szCs w:val="13"/>
          <w:color w:val="auto"/>
        </w:rPr>
        <w:t>Where a sole director signs a minute recording his decision on a question, that record shall constitute the passing of a resolution in those terms.</w:t>
      </w:r>
    </w:p>
    <w:p>
      <w:pPr>
        <w:spacing w:after="0" w:line="182" w:lineRule="exact"/>
        <w:rPr>
          <w:sz w:val="20"/>
          <w:szCs w:val="20"/>
          <w:color w:val="auto"/>
        </w:rPr>
      </w:pPr>
    </w:p>
    <w:p>
      <w:pPr>
        <w:ind w:left="7" w:right="7620" w:hanging="7"/>
        <w:spacing w:after="0" w:line="559" w:lineRule="auto"/>
        <w:tabs>
          <w:tab w:leader="none" w:pos="624" w:val="left"/>
        </w:tabs>
        <w:numPr>
          <w:ilvl w:val="0"/>
          <w:numId w:val="174"/>
        </w:numPr>
        <w:rPr>
          <w:rFonts w:ascii="Arial" w:cs="Arial" w:eastAsia="Arial" w:hAnsi="Arial"/>
          <w:sz w:val="14"/>
          <w:szCs w:val="14"/>
          <w:b w:val="1"/>
          <w:bCs w:val="1"/>
          <w:color w:val="auto"/>
        </w:rPr>
      </w:pPr>
      <w:r>
        <w:rPr>
          <w:rFonts w:ascii="Arial" w:cs="Arial" w:eastAsia="Arial" w:hAnsi="Arial"/>
          <w:sz w:val="14"/>
          <w:szCs w:val="14"/>
          <w:b w:val="1"/>
          <w:bCs w:val="1"/>
          <w:color w:val="auto"/>
        </w:rPr>
        <w:t>Permissible directors' interests and disclosure Permissible interests subject to disclosure</w:t>
      </w:r>
    </w:p>
    <w:p>
      <w:pPr>
        <w:spacing w:after="0" w:line="1"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Save as expressly permitted by these Articles or as set out below, a director may not have a direct or indirect interest or duty which conflicts or may possibly conflict with the interests of the Company.</w:t>
      </w:r>
    </w:p>
    <w:p>
      <w:pPr>
        <w:spacing w:after="0" w:line="163"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20.2</w:t>
      </w:r>
      <w:r>
        <w:rPr>
          <w:sz w:val="20"/>
          <w:szCs w:val="20"/>
          <w:color w:val="auto"/>
        </w:rPr>
        <w:tab/>
      </w:r>
      <w:r>
        <w:rPr>
          <w:rFonts w:ascii="Arial" w:cs="Arial" w:eastAsia="Arial" w:hAnsi="Arial"/>
          <w:sz w:val="16"/>
          <w:szCs w:val="16"/>
          <w:color w:val="auto"/>
        </w:rPr>
        <w:t>If, notwithstanding the prohibition in the preceding Article, a director discloses to his fellow directors the nature and extent of any material interest or duty in accordance with the next Article, he may:</w:t>
      </w:r>
    </w:p>
    <w:p>
      <w:pPr>
        <w:spacing w:after="0" w:line="163" w:lineRule="exact"/>
        <w:rPr>
          <w:sz w:val="20"/>
          <w:szCs w:val="20"/>
          <w:color w:val="auto"/>
        </w:rPr>
      </w:pPr>
    </w:p>
    <w:p>
      <w:pPr>
        <w:ind w:left="1227" w:hanging="610"/>
        <w:spacing w:after="0"/>
        <w:tabs>
          <w:tab w:leader="none" w:pos="1227" w:val="left"/>
        </w:tabs>
        <w:numPr>
          <w:ilvl w:val="0"/>
          <w:numId w:val="175"/>
        </w:numPr>
        <w:rPr>
          <w:rFonts w:ascii="Arial" w:cs="Arial" w:eastAsia="Arial" w:hAnsi="Arial"/>
          <w:sz w:val="14"/>
          <w:szCs w:val="14"/>
          <w:color w:val="auto"/>
        </w:rPr>
      </w:pPr>
      <w:r>
        <w:rPr>
          <w:rFonts w:ascii="Arial" w:cs="Arial" w:eastAsia="Arial" w:hAnsi="Arial"/>
          <w:sz w:val="14"/>
          <w:szCs w:val="14"/>
          <w:color w:val="auto"/>
        </w:rPr>
        <w:t>be a party to, or otherwise interested in, any transaction or arrangement with the Company or in which the Company is or may otherwise be interested;</w:t>
      </w:r>
    </w:p>
    <w:p>
      <w:pPr>
        <w:spacing w:after="0" w:line="211" w:lineRule="exact"/>
        <w:rPr>
          <w:rFonts w:ascii="Arial" w:cs="Arial" w:eastAsia="Arial" w:hAnsi="Arial"/>
          <w:sz w:val="14"/>
          <w:szCs w:val="14"/>
          <w:color w:val="auto"/>
        </w:rPr>
      </w:pPr>
    </w:p>
    <w:p>
      <w:pPr>
        <w:ind w:left="1227" w:hanging="610"/>
        <w:spacing w:after="0" w:line="329" w:lineRule="auto"/>
        <w:tabs>
          <w:tab w:leader="none" w:pos="1227" w:val="left"/>
        </w:tabs>
        <w:numPr>
          <w:ilvl w:val="0"/>
          <w:numId w:val="175"/>
        </w:numPr>
        <w:rPr>
          <w:rFonts w:ascii="Arial" w:cs="Arial" w:eastAsia="Arial" w:hAnsi="Arial"/>
          <w:sz w:val="14"/>
          <w:szCs w:val="14"/>
          <w:color w:val="auto"/>
        </w:rPr>
      </w:pPr>
      <w:r>
        <w:rPr>
          <w:rFonts w:ascii="Arial" w:cs="Arial" w:eastAsia="Arial" w:hAnsi="Arial"/>
          <w:sz w:val="14"/>
          <w:szCs w:val="14"/>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117" w:lineRule="exact"/>
        <w:rPr>
          <w:sz w:val="20"/>
          <w:szCs w:val="20"/>
          <w:color w:val="auto"/>
        </w:rPr>
      </w:pPr>
    </w:p>
    <w:p>
      <w:pPr>
        <w:jc w:val="both"/>
        <w:ind w:left="607" w:right="20" w:hanging="616"/>
        <w:spacing w:after="0" w:line="250" w:lineRule="auto"/>
        <w:tabs>
          <w:tab w:leader="none" w:pos="587" w:val="left"/>
        </w:tabs>
        <w:rPr>
          <w:sz w:val="20"/>
          <w:szCs w:val="20"/>
          <w:color w:val="auto"/>
        </w:rPr>
      </w:pPr>
      <w:r>
        <w:rPr>
          <w:rFonts w:ascii="Arial" w:cs="Arial" w:eastAsia="Arial" w:hAnsi="Arial"/>
          <w:sz w:val="16"/>
          <w:szCs w:val="16"/>
          <w:color w:val="auto"/>
        </w:rPr>
        <w:t>20.3</w:t>
      </w:r>
      <w:r>
        <w:rPr>
          <w:sz w:val="20"/>
          <w:szCs w:val="20"/>
          <w:color w:val="auto"/>
        </w:rPr>
        <w:tab/>
      </w:r>
      <w:r>
        <w:rPr>
          <w:rFonts w:ascii="Arial" w:cs="Arial" w:eastAsia="Arial" w:hAnsi="Arial"/>
          <w:sz w:val="16"/>
          <w:szCs w:val="16"/>
          <w:color w:val="auto"/>
        </w:rPr>
        <w:t>Such disclosure may be made at a meeting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09" w:right="319" w:bottom="1440" w:gutter="0" w:footer="0" w:header="0"/>
        </w:sectPr>
      </w:pPr>
    </w:p>
    <w:bookmarkStart w:id="245" w:name="page246"/>
    <w:bookmarkEnd w:id="245"/>
    <w:p>
      <w:pPr>
        <w:jc w:val="both"/>
        <w:ind w:left="600" w:hanging="616"/>
        <w:spacing w:after="0" w:line="250" w:lineRule="auto"/>
        <w:tabs>
          <w:tab w:leader="none" w:pos="580" w:val="left"/>
        </w:tabs>
        <w:rPr>
          <w:sz w:val="20"/>
          <w:szCs w:val="20"/>
          <w:color w:val="auto"/>
        </w:rPr>
      </w:pPr>
      <w:r>
        <w:rPr>
          <w:rFonts w:ascii="Arial" w:cs="Arial" w:eastAsia="Arial" w:hAnsi="Arial"/>
          <w:sz w:val="16"/>
          <w:szCs w:val="16"/>
          <w:color w:val="auto"/>
        </w:rPr>
        <w:t>20.4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Notification of interests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20.5</w:t>
      </w:r>
      <w:r>
        <w:rPr>
          <w:sz w:val="20"/>
          <w:szCs w:val="20"/>
          <w:color w:val="auto"/>
        </w:rPr>
        <w:tab/>
      </w:r>
      <w:r>
        <w:rPr>
          <w:rFonts w:ascii="Arial" w:cs="Arial" w:eastAsia="Arial" w:hAnsi="Arial"/>
          <w:sz w:val="14"/>
          <w:szCs w:val="14"/>
          <w:color w:val="auto"/>
        </w:rPr>
        <w:t>For the purposes of the preceding Articles:</w:t>
      </w:r>
    </w:p>
    <w:p>
      <w:pPr>
        <w:spacing w:after="0" w:line="188" w:lineRule="exact"/>
        <w:rPr>
          <w:sz w:val="20"/>
          <w:szCs w:val="20"/>
          <w:color w:val="auto"/>
        </w:rPr>
      </w:pPr>
    </w:p>
    <w:p>
      <w:pPr>
        <w:jc w:val="both"/>
        <w:ind w:left="1220" w:hanging="610"/>
        <w:spacing w:after="0" w:line="250" w:lineRule="auto"/>
        <w:tabs>
          <w:tab w:leader="none" w:pos="12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169" w:lineRule="exact"/>
        <w:rPr>
          <w:rFonts w:ascii="Arial" w:cs="Arial" w:eastAsia="Arial" w:hAnsi="Arial"/>
          <w:sz w:val="16"/>
          <w:szCs w:val="16"/>
          <w:color w:val="auto"/>
        </w:rPr>
      </w:pPr>
    </w:p>
    <w:p>
      <w:pPr>
        <w:ind w:left="1220" w:hanging="610"/>
        <w:spacing w:after="0"/>
        <w:tabs>
          <w:tab w:leader="none" w:pos="12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an interest of which a director has no knowledge and of which it is unreasonable to expect him to have knowledge shall not be treated as an interest of his.</w:t>
      </w:r>
    </w:p>
    <w:p>
      <w:pPr>
        <w:spacing w:after="0" w:line="211" w:lineRule="exact"/>
        <w:rPr>
          <w:sz w:val="20"/>
          <w:szCs w:val="20"/>
          <w:color w:val="auto"/>
        </w:rPr>
      </w:pPr>
    </w:p>
    <w:p>
      <w:pPr>
        <w:jc w:val="both"/>
        <w:ind w:left="600" w:hanging="616"/>
        <w:spacing w:after="0" w:line="258" w:lineRule="auto"/>
        <w:tabs>
          <w:tab w:leader="none" w:pos="580" w:val="left"/>
        </w:tabs>
        <w:rPr>
          <w:sz w:val="20"/>
          <w:szCs w:val="20"/>
          <w:color w:val="auto"/>
        </w:rPr>
      </w:pPr>
      <w:r>
        <w:rPr>
          <w:rFonts w:ascii="Arial" w:cs="Arial" w:eastAsia="Arial" w:hAnsi="Arial"/>
          <w:sz w:val="16"/>
          <w:szCs w:val="16"/>
          <w:color w:val="auto"/>
        </w:rPr>
        <w:t>20.6</w:t>
      </w:r>
      <w:r>
        <w:rPr>
          <w:sz w:val="20"/>
          <w:szCs w:val="20"/>
          <w:color w:val="auto"/>
        </w:rPr>
        <w:tab/>
      </w:r>
      <w:r>
        <w:rPr>
          <w:rFonts w:ascii="Arial" w:cs="Arial" w:eastAsia="Arial" w:hAnsi="Arial"/>
          <w:sz w:val="16"/>
          <w:szCs w:val="16"/>
          <w:color w:val="auto"/>
        </w:rPr>
        <w:t>A director shall not be treated as having an interest in a transaction or arrangement if he has no knowledge of that interest and it is unreasonable to expect the director to have that knowledge.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where a director is interested in a matter</w:t>
      </w:r>
    </w:p>
    <w:p>
      <w:pPr>
        <w:spacing w:after="0" w:line="194" w:lineRule="exact"/>
        <w:rPr>
          <w:sz w:val="20"/>
          <w:szCs w:val="20"/>
          <w:color w:val="auto"/>
        </w:rPr>
      </w:pPr>
    </w:p>
    <w:p>
      <w:pPr>
        <w:jc w:val="both"/>
        <w:ind w:left="600" w:right="20" w:hanging="616"/>
        <w:spacing w:after="0" w:line="250" w:lineRule="auto"/>
        <w:tabs>
          <w:tab w:leader="none" w:pos="580" w:val="left"/>
        </w:tabs>
        <w:rPr>
          <w:sz w:val="20"/>
          <w:szCs w:val="20"/>
          <w:color w:val="auto"/>
        </w:rPr>
      </w:pPr>
      <w:r>
        <w:rPr>
          <w:rFonts w:ascii="Arial" w:cs="Arial" w:eastAsia="Arial" w:hAnsi="Arial"/>
          <w:sz w:val="16"/>
          <w:szCs w:val="16"/>
          <w:color w:val="auto"/>
        </w:rPr>
        <w:t>20.7</w:t>
      </w:r>
      <w:r>
        <w:rPr>
          <w:sz w:val="20"/>
          <w:szCs w:val="20"/>
          <w:color w:val="auto"/>
        </w:rPr>
        <w:tab/>
      </w:r>
      <w:r>
        <w:rPr>
          <w:rFonts w:ascii="Arial" w:cs="Arial" w:eastAsia="Arial" w:hAnsi="Arial"/>
          <w:sz w:val="16"/>
          <w:szCs w:val="16"/>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70" w:lineRule="exact"/>
        <w:rPr>
          <w:sz w:val="20"/>
          <w:szCs w:val="20"/>
          <w:color w:val="auto"/>
        </w:rPr>
      </w:pPr>
    </w:p>
    <w:p>
      <w:pPr>
        <w:jc w:val="both"/>
        <w:ind w:left="600" w:hanging="616"/>
        <w:spacing w:after="0" w:line="303" w:lineRule="auto"/>
        <w:tabs>
          <w:tab w:leader="none" w:pos="580" w:val="left"/>
        </w:tabs>
        <w:rPr>
          <w:sz w:val="20"/>
          <w:szCs w:val="20"/>
          <w:color w:val="auto"/>
        </w:rPr>
      </w:pPr>
      <w:r>
        <w:rPr>
          <w:rFonts w:ascii="Arial" w:cs="Arial" w:eastAsia="Arial" w:hAnsi="Arial"/>
          <w:sz w:val="16"/>
          <w:szCs w:val="16"/>
          <w:color w:val="auto"/>
        </w:rPr>
        <w:t>20.8</w:t>
      </w:r>
      <w:r>
        <w:rPr>
          <w:sz w:val="20"/>
          <w:szCs w:val="20"/>
          <w:color w:val="auto"/>
        </w:rPr>
        <w:tab/>
      </w:r>
      <w:r>
        <w:rPr>
          <w:rFonts w:ascii="Arial" w:cs="Arial" w:eastAsia="Arial" w:hAnsi="Arial"/>
          <w:sz w:val="14"/>
          <w:szCs w:val="14"/>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129"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6"/>
          <w:szCs w:val="16"/>
          <w:b w:val="1"/>
          <w:bCs w:val="1"/>
          <w:color w:val="auto"/>
        </w:rPr>
        <w:t>Minutes</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3"/>
          <w:szCs w:val="13"/>
          <w:color w:val="auto"/>
        </w:rPr>
        <w:t>The Company shall cause minutes to be made in books kept for the purpose in accordance with the Law.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46" w:name="page247"/>
    <w:bookmarkEnd w:id="246"/>
    <w:p>
      <w:pPr>
        <w:ind w:left="7" w:right="9300" w:hanging="7"/>
        <w:spacing w:after="0" w:line="602" w:lineRule="auto"/>
        <w:tabs>
          <w:tab w:leader="none" w:pos="624" w:val="left"/>
        </w:tabs>
        <w:numPr>
          <w:ilvl w:val="0"/>
          <w:numId w:val="177"/>
        </w:numPr>
        <w:rPr>
          <w:rFonts w:ascii="Arial" w:cs="Arial" w:eastAsia="Arial" w:hAnsi="Arial"/>
          <w:sz w:val="13"/>
          <w:szCs w:val="13"/>
          <w:b w:val="1"/>
          <w:bCs w:val="1"/>
          <w:color w:val="auto"/>
        </w:rPr>
      </w:pPr>
      <w:r>
        <w:rPr>
          <w:rFonts w:ascii="Arial" w:cs="Arial" w:eastAsia="Arial" w:hAnsi="Arial"/>
          <w:sz w:val="13"/>
          <w:szCs w:val="13"/>
          <w:b w:val="1"/>
          <w:bCs w:val="1"/>
          <w:color w:val="auto"/>
        </w:rPr>
        <w:t>Accounts and audit Accounting and other records</w:t>
      </w:r>
    </w:p>
    <w:p>
      <w:pPr>
        <w:spacing w:after="0" w:line="1"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6"/>
          <w:szCs w:val="16"/>
          <w:color w:val="auto"/>
        </w:rPr>
        <w:t>The directors must ensure that proper accounting and other records are kept, and that accounts and associated reports are distributed in accordance with the requirements of the Law.</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 automatic right of inspection</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Members are only entitled to inspect the Company's records if they are expressly entitled to do so by law, or by resolution made by the directors or passed by Ordinary Resolution.</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Sending of accounts and reports</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The Company's accounts and associated directors' report or auditor's report that are required or permitted to be sent to any person pursuant to any law shall be treated as properly sent to that person if:</w:t>
      </w:r>
    </w:p>
    <w:p>
      <w:pPr>
        <w:spacing w:after="0" w:line="163" w:lineRule="exact"/>
        <w:rPr>
          <w:sz w:val="20"/>
          <w:szCs w:val="20"/>
          <w:color w:val="auto"/>
        </w:rPr>
      </w:pPr>
    </w:p>
    <w:p>
      <w:pPr>
        <w:ind w:left="1227" w:hanging="610"/>
        <w:spacing w:after="0"/>
        <w:tabs>
          <w:tab w:leader="none" w:pos="122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they are sent to that person in accordance with the notice provisions: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they are published on a website providing that person is given separate notice of:</w:t>
      </w:r>
    </w:p>
    <w:p>
      <w:pPr>
        <w:spacing w:after="0" w:line="188" w:lineRule="exact"/>
        <w:rPr>
          <w:rFonts w:ascii="Arial" w:cs="Arial" w:eastAsia="Arial" w:hAnsi="Arial"/>
          <w:sz w:val="16"/>
          <w:szCs w:val="16"/>
          <w:color w:val="auto"/>
        </w:rPr>
      </w:pPr>
    </w:p>
    <w:p>
      <w:pPr>
        <w:ind w:left="1847" w:hanging="614"/>
        <w:spacing w:after="0"/>
        <w:tabs>
          <w:tab w:leader="none" w:pos="184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fact that publication of the documents has been published on the website;</w:t>
      </w:r>
    </w:p>
    <w:p>
      <w:pPr>
        <w:spacing w:after="0" w:line="188" w:lineRule="exact"/>
        <w:rPr>
          <w:rFonts w:ascii="Arial" w:cs="Arial" w:eastAsia="Arial" w:hAnsi="Arial"/>
          <w:sz w:val="16"/>
          <w:szCs w:val="16"/>
          <w:color w:val="auto"/>
        </w:rPr>
      </w:pPr>
    </w:p>
    <w:p>
      <w:pPr>
        <w:ind w:left="1847" w:hanging="614"/>
        <w:spacing w:after="0"/>
        <w:tabs>
          <w:tab w:leader="none" w:pos="184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address of the website; and</w:t>
      </w:r>
    </w:p>
    <w:p>
      <w:pPr>
        <w:spacing w:after="0" w:line="188" w:lineRule="exact"/>
        <w:rPr>
          <w:rFonts w:ascii="Arial" w:cs="Arial" w:eastAsia="Arial" w:hAnsi="Arial"/>
          <w:sz w:val="16"/>
          <w:szCs w:val="16"/>
          <w:color w:val="auto"/>
        </w:rPr>
      </w:pPr>
    </w:p>
    <w:p>
      <w:pPr>
        <w:ind w:left="1847" w:hanging="614"/>
        <w:spacing w:after="0"/>
        <w:tabs>
          <w:tab w:leader="none" w:pos="184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place on the website where the documents may be accessed; and</w:t>
      </w:r>
    </w:p>
    <w:p>
      <w:pPr>
        <w:spacing w:after="0" w:line="188" w:lineRule="exact"/>
        <w:rPr>
          <w:rFonts w:ascii="Arial" w:cs="Arial" w:eastAsia="Arial" w:hAnsi="Arial"/>
          <w:sz w:val="16"/>
          <w:szCs w:val="16"/>
          <w:color w:val="auto"/>
        </w:rPr>
      </w:pPr>
    </w:p>
    <w:p>
      <w:pPr>
        <w:ind w:left="1847" w:hanging="614"/>
        <w:spacing w:after="0"/>
        <w:tabs>
          <w:tab w:leader="none" w:pos="184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how they may be accessed.</w:t>
      </w:r>
    </w:p>
    <w:p>
      <w:pPr>
        <w:spacing w:after="0" w:line="188" w:lineRule="exact"/>
        <w:rPr>
          <w:sz w:val="20"/>
          <w:szCs w:val="20"/>
          <w:color w:val="auto"/>
        </w:rPr>
      </w:pPr>
    </w:p>
    <w:p>
      <w:pPr>
        <w:ind w:left="607" w:right="20" w:hanging="616"/>
        <w:spacing w:after="0" w:line="329" w:lineRule="auto"/>
        <w:tabs>
          <w:tab w:leader="none" w:pos="587" w:val="left"/>
        </w:tabs>
        <w:rPr>
          <w:sz w:val="20"/>
          <w:szCs w:val="20"/>
          <w:color w:val="auto"/>
        </w:rPr>
      </w:pPr>
      <w:r>
        <w:rPr>
          <w:rFonts w:ascii="Arial" w:cs="Arial" w:eastAsia="Arial" w:hAnsi="Arial"/>
          <w:sz w:val="16"/>
          <w:szCs w:val="16"/>
          <w:color w:val="auto"/>
        </w:rPr>
        <w:t>22.4</w:t>
      </w:r>
      <w:r>
        <w:rPr>
          <w:sz w:val="20"/>
          <w:szCs w:val="20"/>
          <w:color w:val="auto"/>
        </w:rPr>
        <w:tab/>
      </w:r>
      <w:r>
        <w:rPr>
          <w:rFonts w:ascii="Arial" w:cs="Arial" w:eastAsia="Arial" w:hAnsi="Arial"/>
          <w:sz w:val="14"/>
          <w:szCs w:val="14"/>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Time of receipt if documents are published on a website</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22.5</w:t>
      </w:r>
      <w:r>
        <w:rPr>
          <w:sz w:val="20"/>
          <w:szCs w:val="20"/>
          <w:color w:val="auto"/>
        </w:rPr>
        <w:tab/>
      </w:r>
      <w:r>
        <w:rPr>
          <w:rFonts w:ascii="Arial" w:cs="Arial" w:eastAsia="Arial" w:hAnsi="Arial"/>
          <w:sz w:val="16"/>
          <w:szCs w:val="16"/>
          <w:color w:val="auto"/>
        </w:rPr>
        <w:t>Documents sent by being published on a website in accordance with the preceding two Articles are only treated as sent at least five Clear Days before the date of the meeting at which they are to be laid if:</w:t>
      </w:r>
    </w:p>
    <w:p>
      <w:pPr>
        <w:spacing w:after="0" w:line="163" w:lineRule="exact"/>
        <w:rPr>
          <w:sz w:val="20"/>
          <w:szCs w:val="20"/>
          <w:color w:val="auto"/>
        </w:rPr>
      </w:pPr>
    </w:p>
    <w:p>
      <w:pPr>
        <w:ind w:left="1227" w:hanging="610"/>
        <w:spacing w:after="0" w:line="258" w:lineRule="auto"/>
        <w:tabs>
          <w:tab w:leader="none" w:pos="122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documents are published on the website throughout a period beginning at least five Clear Days before the date of the meeting and ending with the conclusion of the meeting; and</w:t>
      </w:r>
    </w:p>
    <w:p>
      <w:pPr>
        <w:spacing w:after="0" w:line="162" w:lineRule="exact"/>
        <w:rPr>
          <w:rFonts w:ascii="Arial" w:cs="Arial" w:eastAsia="Arial" w:hAnsi="Arial"/>
          <w:sz w:val="16"/>
          <w:szCs w:val="16"/>
          <w:color w:val="auto"/>
        </w:rPr>
      </w:pPr>
    </w:p>
    <w:p>
      <w:pPr>
        <w:ind w:left="1227" w:hanging="610"/>
        <w:spacing w:after="0"/>
        <w:tabs>
          <w:tab w:leader="none" w:pos="122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person is given at least five Clear Days' notice of the hearing.</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95" w:right="319" w:bottom="1440" w:gutter="0" w:footer="0" w:header="0"/>
        </w:sectPr>
      </w:pPr>
    </w:p>
    <w:bookmarkStart w:id="247" w:name="page248"/>
    <w:bookmarkEnd w:id="247"/>
    <w:p>
      <w:pPr>
        <w:ind w:left="7"/>
        <w:spacing w:after="0"/>
        <w:rPr>
          <w:sz w:val="20"/>
          <w:szCs w:val="20"/>
          <w:color w:val="auto"/>
        </w:rPr>
      </w:pPr>
      <w:r>
        <w:rPr>
          <w:rFonts w:ascii="Arial" w:cs="Arial" w:eastAsia="Arial" w:hAnsi="Arial"/>
          <w:sz w:val="16"/>
          <w:szCs w:val="16"/>
          <w:b w:val="1"/>
          <w:bCs w:val="1"/>
          <w:color w:val="auto"/>
        </w:rPr>
        <w:t>Validity despite accidental error in publication on website</w:t>
      </w:r>
    </w:p>
    <w:p>
      <w:pPr>
        <w:spacing w:after="0" w:line="194"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22.6</w:t>
      </w:r>
      <w:r>
        <w:rPr>
          <w:sz w:val="20"/>
          <w:szCs w:val="20"/>
          <w:color w:val="auto"/>
        </w:rPr>
        <w:tab/>
      </w:r>
      <w:r>
        <w:rPr>
          <w:rFonts w:ascii="Arial" w:cs="Arial" w:eastAsia="Arial" w:hAnsi="Arial"/>
          <w:sz w:val="16"/>
          <w:szCs w:val="16"/>
          <w:color w:val="auto"/>
        </w:rPr>
        <w:t>If, for the purpose of a meeting, documents are sent by being published on a website in accordance with the preceding Articles, the proceedings at that meeting are not invalidated merely because:</w:t>
      </w:r>
    </w:p>
    <w:p>
      <w:pPr>
        <w:spacing w:after="0" w:line="163" w:lineRule="exact"/>
        <w:rPr>
          <w:sz w:val="20"/>
          <w:szCs w:val="20"/>
          <w:color w:val="auto"/>
        </w:rPr>
      </w:pPr>
    </w:p>
    <w:p>
      <w:pPr>
        <w:ind w:left="1227" w:hanging="610"/>
        <w:spacing w:after="0"/>
        <w:tabs>
          <w:tab w:leader="none" w:pos="122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those documents are, by accident, published in a different place on the website to the place notified;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they are published for part only of the period from the date of notification until the conclusion of that meeting.</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When accounts are to be audited</w:t>
      </w:r>
    </w:p>
    <w:p>
      <w:pPr>
        <w:spacing w:after="0" w:line="194" w:lineRule="exact"/>
        <w:rPr>
          <w:sz w:val="20"/>
          <w:szCs w:val="20"/>
          <w:color w:val="auto"/>
        </w:rPr>
      </w:pPr>
    </w:p>
    <w:p>
      <w:pPr>
        <w:jc w:val="both"/>
        <w:ind w:left="607" w:hanging="616"/>
        <w:spacing w:after="0" w:line="250" w:lineRule="auto"/>
        <w:tabs>
          <w:tab w:leader="none" w:pos="587" w:val="left"/>
        </w:tabs>
        <w:rPr>
          <w:sz w:val="20"/>
          <w:szCs w:val="20"/>
          <w:color w:val="auto"/>
        </w:rPr>
      </w:pPr>
      <w:r>
        <w:rPr>
          <w:rFonts w:ascii="Arial" w:cs="Arial" w:eastAsia="Arial" w:hAnsi="Arial"/>
          <w:sz w:val="16"/>
          <w:szCs w:val="16"/>
          <w:color w:val="auto"/>
        </w:rPr>
        <w:t>22.7</w:t>
      </w:r>
      <w:r>
        <w:rPr>
          <w:sz w:val="20"/>
          <w:szCs w:val="20"/>
          <w:color w:val="auto"/>
        </w:rPr>
        <w:tab/>
      </w:r>
      <w:r>
        <w:rPr>
          <w:rFonts w:ascii="Arial" w:cs="Arial" w:eastAsia="Arial" w:hAnsi="Arial"/>
          <w:sz w:val="16"/>
          <w:szCs w:val="16"/>
          <w:color w:val="auto"/>
        </w:rPr>
        <w:t>Unless the directors or the Members, by Ordinary Resolution, so resolve or unless the Law so requires, the Company's accounts will not be audited. If the Members so resolve, the Company's accounts shall be audited in the manner determined by Ordinary Resolution. Alternatively, if the directors so resolve, they shall be audited in the manner they determine.</w:t>
      </w:r>
    </w:p>
    <w:p>
      <w:pPr>
        <w:spacing w:after="0" w:line="164" w:lineRule="exact"/>
        <w:rPr>
          <w:sz w:val="20"/>
          <w:szCs w:val="20"/>
          <w:color w:val="auto"/>
        </w:rPr>
      </w:pPr>
    </w:p>
    <w:p>
      <w:pPr>
        <w:ind w:left="607" w:hanging="607"/>
        <w:spacing w:after="0"/>
        <w:tabs>
          <w:tab w:leader="none" w:pos="607"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year</w:t>
      </w:r>
    </w:p>
    <w:p>
      <w:pPr>
        <w:spacing w:after="0" w:line="194" w:lineRule="exact"/>
        <w:rPr>
          <w:rFonts w:ascii="Arial" w:cs="Arial" w:eastAsia="Arial" w:hAnsi="Arial"/>
          <w:sz w:val="16"/>
          <w:szCs w:val="16"/>
          <w:b w:val="1"/>
          <w:bCs w:val="1"/>
          <w:color w:val="auto"/>
        </w:rPr>
      </w:pPr>
    </w:p>
    <w:p>
      <w:pPr>
        <w:ind w:left="627"/>
        <w:spacing w:after="0"/>
        <w:rPr>
          <w:rFonts w:ascii="Arial" w:cs="Arial" w:eastAsia="Arial" w:hAnsi="Arial"/>
          <w:sz w:val="16"/>
          <w:szCs w:val="16"/>
          <w:b w:val="1"/>
          <w:bCs w:val="1"/>
          <w:color w:val="auto"/>
        </w:rPr>
      </w:pPr>
      <w:r>
        <w:rPr>
          <w:rFonts w:ascii="Arial" w:cs="Arial" w:eastAsia="Arial" w:hAnsi="Arial"/>
          <w:sz w:val="16"/>
          <w:szCs w:val="16"/>
          <w:color w:val="auto"/>
        </w:rPr>
        <w:t>Unless the directors otherwise specify, the financial year of the Company:</w:t>
      </w:r>
    </w:p>
    <w:p>
      <w:pPr>
        <w:spacing w:after="0" w:line="188" w:lineRule="exact"/>
        <w:rPr>
          <w:rFonts w:ascii="Arial" w:cs="Arial" w:eastAsia="Arial" w:hAnsi="Arial"/>
          <w:sz w:val="16"/>
          <w:szCs w:val="16"/>
          <w:b w:val="1"/>
          <w:bCs w:val="1"/>
          <w:color w:val="auto"/>
        </w:rPr>
      </w:pPr>
    </w:p>
    <w:p>
      <w:pPr>
        <w:ind w:left="1227" w:hanging="610"/>
        <w:spacing w:after="0"/>
        <w:tabs>
          <w:tab w:leader="none" w:pos="122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shall end on 31st December in the year of its incorporation and each following year; and</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shall begin when it was incorporated and on 1st January each following year.</w:t>
      </w:r>
    </w:p>
    <w:p>
      <w:pPr>
        <w:spacing w:after="0" w:line="182" w:lineRule="exact"/>
        <w:rPr>
          <w:rFonts w:ascii="Arial" w:cs="Arial" w:eastAsia="Arial" w:hAnsi="Arial"/>
          <w:sz w:val="16"/>
          <w:szCs w:val="16"/>
          <w:color w:val="auto"/>
        </w:rPr>
      </w:pPr>
    </w:p>
    <w:p>
      <w:pPr>
        <w:ind w:left="607" w:hanging="607"/>
        <w:spacing w:after="0"/>
        <w:tabs>
          <w:tab w:leader="none" w:pos="607"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Record dates</w:t>
      </w:r>
    </w:p>
    <w:p>
      <w:pPr>
        <w:spacing w:after="0" w:line="194" w:lineRule="exact"/>
        <w:rPr>
          <w:rFonts w:ascii="Arial" w:cs="Arial" w:eastAsia="Arial" w:hAnsi="Arial"/>
          <w:sz w:val="16"/>
          <w:szCs w:val="16"/>
          <w:b w:val="1"/>
          <w:bCs w:val="1"/>
          <w:color w:val="auto"/>
        </w:rPr>
      </w:pPr>
    </w:p>
    <w:p>
      <w:pPr>
        <w:ind w:left="627" w:right="80"/>
        <w:spacing w:after="0" w:line="329" w:lineRule="auto"/>
        <w:rPr>
          <w:rFonts w:ascii="Arial" w:cs="Arial" w:eastAsia="Arial" w:hAnsi="Arial"/>
          <w:sz w:val="16"/>
          <w:szCs w:val="16"/>
          <w:b w:val="1"/>
          <w:bCs w:val="1"/>
          <w:color w:val="auto"/>
        </w:rPr>
      </w:pPr>
      <w:r>
        <w:rPr>
          <w:rFonts w:ascii="Arial" w:cs="Arial" w:eastAsia="Arial" w:hAnsi="Arial"/>
          <w:sz w:val="14"/>
          <w:szCs w:val="14"/>
          <w:color w:val="auto"/>
        </w:rPr>
        <w:t>Except to the extent of any conflicting rights attached to Shares, the directors may fix any time and date as the record date for declaring or paying a dividend or making or issuing an allotment of Shares. The record date may be before or after the date on which a dividend, allotment or issue is declared, paid or made.</w:t>
      </w:r>
    </w:p>
    <w:p>
      <w:pPr>
        <w:spacing w:after="0" w:line="111" w:lineRule="exact"/>
        <w:rPr>
          <w:rFonts w:ascii="Arial" w:cs="Arial" w:eastAsia="Arial" w:hAnsi="Arial"/>
          <w:sz w:val="16"/>
          <w:szCs w:val="16"/>
          <w:b w:val="1"/>
          <w:bCs w:val="1"/>
          <w:color w:val="auto"/>
        </w:rPr>
      </w:pPr>
    </w:p>
    <w:p>
      <w:pPr>
        <w:ind w:left="607" w:hanging="607"/>
        <w:spacing w:after="0"/>
        <w:tabs>
          <w:tab w:leader="none" w:pos="607"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Declaration of dividends by Members</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6"/>
          <w:szCs w:val="16"/>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95" w:right="319" w:bottom="1440" w:gutter="0" w:footer="0" w:header="0"/>
        </w:sectPr>
      </w:pPr>
    </w:p>
    <w:bookmarkStart w:id="248" w:name="page249"/>
    <w:bookmarkEnd w:id="248"/>
    <w:p>
      <w:pPr>
        <w:spacing w:after="0"/>
        <w:rPr>
          <w:sz w:val="20"/>
          <w:szCs w:val="20"/>
          <w:color w:val="auto"/>
        </w:rPr>
      </w:pPr>
      <w:r>
        <w:rPr>
          <w:rFonts w:ascii="Arial" w:cs="Arial" w:eastAsia="Arial" w:hAnsi="Arial"/>
          <w:sz w:val="16"/>
          <w:szCs w:val="16"/>
          <w:b w:val="1"/>
          <w:bCs w:val="1"/>
          <w:color w:val="auto"/>
        </w:rPr>
        <w:t>Payment of interim dividends and declaration of final dividends by directors</w:t>
      </w:r>
    </w:p>
    <w:p>
      <w:pPr>
        <w:spacing w:after="0" w:line="194" w:lineRule="exact"/>
        <w:rPr>
          <w:sz w:val="20"/>
          <w:szCs w:val="20"/>
          <w:color w:val="auto"/>
        </w:rPr>
      </w:pPr>
    </w:p>
    <w:p>
      <w:pPr>
        <w:ind w:left="600" w:hanging="616"/>
        <w:spacing w:after="0" w:line="258" w:lineRule="auto"/>
        <w:tabs>
          <w:tab w:leader="none" w:pos="580"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6"/>
          <w:szCs w:val="16"/>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25.3</w:t>
      </w:r>
      <w:r>
        <w:rPr>
          <w:sz w:val="20"/>
          <w:szCs w:val="20"/>
          <w:color w:val="auto"/>
        </w:rPr>
        <w:tab/>
      </w:r>
      <w:r>
        <w:rPr>
          <w:rFonts w:ascii="Arial" w:cs="Arial" w:eastAsia="Arial" w:hAnsi="Arial"/>
          <w:sz w:val="14"/>
          <w:szCs w:val="14"/>
          <w:color w:val="auto"/>
        </w:rPr>
        <w:t>Subject to the provisions of the Law, in relation to the distinction between interim dividends and final dividends, the following applies:</w:t>
      </w:r>
    </w:p>
    <w:p>
      <w:pPr>
        <w:spacing w:after="0" w:line="188" w:lineRule="exact"/>
        <w:rPr>
          <w:sz w:val="20"/>
          <w:szCs w:val="20"/>
          <w:color w:val="auto"/>
        </w:rPr>
      </w:pPr>
    </w:p>
    <w:p>
      <w:pPr>
        <w:ind w:left="1220" w:right="20" w:hanging="610"/>
        <w:spacing w:after="0" w:line="258" w:lineRule="auto"/>
        <w:tabs>
          <w:tab w:leader="none" w:pos="12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Upon determination to pay a dividend or dividends described as interim by the directors in the dividend resolution, no debt shall be created by the declaration until such time as payment is made.</w:t>
      </w:r>
    </w:p>
    <w:p>
      <w:pPr>
        <w:spacing w:after="0" w:line="162" w:lineRule="exact"/>
        <w:rPr>
          <w:rFonts w:ascii="Arial" w:cs="Arial" w:eastAsia="Arial" w:hAnsi="Arial"/>
          <w:sz w:val="16"/>
          <w:szCs w:val="16"/>
          <w:color w:val="auto"/>
        </w:rPr>
      </w:pPr>
    </w:p>
    <w:p>
      <w:pPr>
        <w:ind w:left="1220" w:hanging="610"/>
        <w:spacing w:after="0" w:line="258" w:lineRule="auto"/>
        <w:tabs>
          <w:tab w:leader="none" w:pos="12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the resolution fails to specify whether a dividend is final or interim, it shall be assumed to be interim.</w:t>
      </w:r>
    </w:p>
    <w:p>
      <w:pPr>
        <w:spacing w:after="0" w:line="188"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25.4</w:t>
      </w:r>
      <w:r>
        <w:rPr>
          <w:sz w:val="20"/>
          <w:szCs w:val="20"/>
          <w:color w:val="auto"/>
        </w:rPr>
        <w:tab/>
      </w:r>
      <w:r>
        <w:rPr>
          <w:rFonts w:ascii="Arial" w:cs="Arial" w:eastAsia="Arial" w:hAnsi="Arial"/>
          <w:sz w:val="14"/>
          <w:szCs w:val="14"/>
          <w:color w:val="auto"/>
        </w:rPr>
        <w:t>In relation to Shares carrying differing rights to dividends or rights to dividends at a fixed rate, the following applies:</w:t>
      </w:r>
    </w:p>
    <w:p>
      <w:pPr>
        <w:spacing w:after="0" w:line="188" w:lineRule="exact"/>
        <w:rPr>
          <w:sz w:val="20"/>
          <w:szCs w:val="20"/>
          <w:color w:val="auto"/>
        </w:rPr>
      </w:pPr>
    </w:p>
    <w:p>
      <w:pPr>
        <w:jc w:val="both"/>
        <w:ind w:left="1220" w:hanging="610"/>
        <w:spacing w:after="0" w:line="250" w:lineRule="auto"/>
        <w:tabs>
          <w:tab w:leader="none" w:pos="12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69" w:lineRule="exact"/>
        <w:rPr>
          <w:rFonts w:ascii="Arial" w:cs="Arial" w:eastAsia="Arial" w:hAnsi="Arial"/>
          <w:sz w:val="16"/>
          <w:szCs w:val="16"/>
          <w:color w:val="auto"/>
        </w:rPr>
      </w:pPr>
    </w:p>
    <w:p>
      <w:pPr>
        <w:ind w:left="1220" w:hanging="610"/>
        <w:spacing w:after="0" w:line="258" w:lineRule="auto"/>
        <w:tabs>
          <w:tab w:leader="none" w:pos="12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62" w:lineRule="exact"/>
        <w:rPr>
          <w:rFonts w:ascii="Arial" w:cs="Arial" w:eastAsia="Arial" w:hAnsi="Arial"/>
          <w:sz w:val="16"/>
          <w:szCs w:val="16"/>
          <w:color w:val="auto"/>
        </w:rPr>
      </w:pPr>
    </w:p>
    <w:p>
      <w:pPr>
        <w:ind w:left="1220" w:hanging="610"/>
        <w:spacing w:after="0" w:line="258" w:lineRule="auto"/>
        <w:tabs>
          <w:tab w:leader="none" w:pos="12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Apportionment of dividends</w:t>
      </w:r>
    </w:p>
    <w:p>
      <w:pPr>
        <w:spacing w:after="0" w:line="194" w:lineRule="exact"/>
        <w:rPr>
          <w:sz w:val="20"/>
          <w:szCs w:val="20"/>
          <w:color w:val="auto"/>
        </w:rPr>
      </w:pPr>
    </w:p>
    <w:p>
      <w:pPr>
        <w:jc w:val="both"/>
        <w:ind w:left="600" w:right="20" w:hanging="616"/>
        <w:spacing w:after="0" w:line="303" w:lineRule="auto"/>
        <w:tabs>
          <w:tab w:leader="none" w:pos="580" w:val="left"/>
        </w:tabs>
        <w:rPr>
          <w:sz w:val="20"/>
          <w:szCs w:val="20"/>
          <w:color w:val="auto"/>
        </w:rPr>
      </w:pPr>
      <w:r>
        <w:rPr>
          <w:rFonts w:ascii="Arial" w:cs="Arial" w:eastAsia="Arial" w:hAnsi="Arial"/>
          <w:sz w:val="16"/>
          <w:szCs w:val="16"/>
          <w:color w:val="auto"/>
        </w:rPr>
        <w:t>25.5</w:t>
      </w:r>
      <w:r>
        <w:rPr>
          <w:sz w:val="20"/>
          <w:szCs w:val="20"/>
          <w:color w:val="auto"/>
        </w:rPr>
        <w:tab/>
      </w:r>
      <w:r>
        <w:rPr>
          <w:rFonts w:ascii="Arial" w:cs="Arial" w:eastAsia="Arial" w:hAnsi="Arial"/>
          <w:sz w:val="14"/>
          <w:szCs w:val="14"/>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b w:val="1"/>
          <w:bCs w:val="1"/>
          <w:color w:val="auto"/>
        </w:rPr>
        <w:t>Right of set off</w:t>
      </w:r>
    </w:p>
    <w:p>
      <w:pPr>
        <w:spacing w:after="0" w:line="194" w:lineRule="exact"/>
        <w:rPr>
          <w:sz w:val="20"/>
          <w:szCs w:val="20"/>
          <w:color w:val="auto"/>
        </w:rPr>
      </w:pPr>
    </w:p>
    <w:p>
      <w:pPr>
        <w:ind w:left="600" w:hanging="616"/>
        <w:spacing w:after="0" w:line="258" w:lineRule="auto"/>
        <w:tabs>
          <w:tab w:leader="none" w:pos="580" w:val="left"/>
        </w:tabs>
        <w:rPr>
          <w:sz w:val="20"/>
          <w:szCs w:val="20"/>
          <w:color w:val="auto"/>
        </w:rPr>
      </w:pPr>
      <w:r>
        <w:rPr>
          <w:rFonts w:ascii="Arial" w:cs="Arial" w:eastAsia="Arial" w:hAnsi="Arial"/>
          <w:sz w:val="16"/>
          <w:szCs w:val="16"/>
          <w:color w:val="auto"/>
        </w:rPr>
        <w:t>25.6</w:t>
      </w:r>
      <w:r>
        <w:rPr>
          <w:sz w:val="20"/>
          <w:szCs w:val="20"/>
          <w:color w:val="auto"/>
        </w:rPr>
        <w:tab/>
      </w:r>
      <w:r>
        <w:rPr>
          <w:rFonts w:ascii="Arial" w:cs="Arial" w:eastAsia="Arial" w:hAnsi="Arial"/>
          <w:sz w:val="16"/>
          <w:szCs w:val="16"/>
          <w:color w:val="auto"/>
        </w:rPr>
        <w:t>The directors may deduct from a dividend or any other amount payable to a person in respect of a Share any amount due by that person to the Company on a call or otherwise in relation to a Share.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to pay other than in cash</w:t>
      </w:r>
    </w:p>
    <w:p>
      <w:pPr>
        <w:spacing w:after="0" w:line="194" w:lineRule="exact"/>
        <w:rPr>
          <w:sz w:val="20"/>
          <w:szCs w:val="20"/>
          <w:color w:val="auto"/>
        </w:rPr>
      </w:pPr>
    </w:p>
    <w:p>
      <w:pPr>
        <w:ind w:left="600" w:right="20" w:hanging="616"/>
        <w:spacing w:after="0" w:line="329" w:lineRule="auto"/>
        <w:tabs>
          <w:tab w:leader="none" w:pos="580" w:val="left"/>
        </w:tabs>
        <w:rPr>
          <w:sz w:val="20"/>
          <w:szCs w:val="20"/>
          <w:color w:val="auto"/>
        </w:rPr>
      </w:pPr>
      <w:r>
        <w:rPr>
          <w:rFonts w:ascii="Arial" w:cs="Arial" w:eastAsia="Arial" w:hAnsi="Arial"/>
          <w:sz w:val="16"/>
          <w:szCs w:val="16"/>
          <w:color w:val="auto"/>
        </w:rPr>
        <w:t>25.7</w:t>
      </w:r>
      <w:r>
        <w:rPr>
          <w:sz w:val="20"/>
          <w:szCs w:val="20"/>
          <w:color w:val="auto"/>
        </w:rPr>
        <w:tab/>
      </w:r>
      <w:r>
        <w:rPr>
          <w:rFonts w:ascii="Arial" w:cs="Arial" w:eastAsia="Arial" w:hAnsi="Arial"/>
          <w:sz w:val="14"/>
          <w:szCs w:val="14"/>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17" w:lineRule="exact"/>
        <w:rPr>
          <w:sz w:val="20"/>
          <w:szCs w:val="20"/>
          <w:color w:val="auto"/>
        </w:rPr>
      </w:pPr>
    </w:p>
    <w:p>
      <w:pPr>
        <w:ind w:left="1220" w:hanging="610"/>
        <w:spacing w:after="0"/>
        <w:tabs>
          <w:tab w:leader="none" w:pos="12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issue fractional Shares;</w:t>
      </w:r>
    </w:p>
    <w:p>
      <w:pPr>
        <w:spacing w:after="0" w:line="188" w:lineRule="exact"/>
        <w:rPr>
          <w:rFonts w:ascii="Arial" w:cs="Arial" w:eastAsia="Arial" w:hAnsi="Arial"/>
          <w:sz w:val="16"/>
          <w:szCs w:val="16"/>
          <w:color w:val="auto"/>
        </w:rPr>
      </w:pPr>
    </w:p>
    <w:p>
      <w:pPr>
        <w:ind w:left="1220" w:right="220" w:hanging="610"/>
        <w:spacing w:after="0" w:line="258" w:lineRule="auto"/>
        <w:tabs>
          <w:tab w:leader="none" w:pos="12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fix the value of assets for distribution and make cash payments to some Members on the footing of the value so fixed in order to adjust the rights of Members; and</w:t>
      </w:r>
    </w:p>
    <w:p>
      <w:pPr>
        <w:spacing w:after="0" w:line="162" w:lineRule="exact"/>
        <w:rPr>
          <w:rFonts w:ascii="Arial" w:cs="Arial" w:eastAsia="Arial" w:hAnsi="Arial"/>
          <w:sz w:val="16"/>
          <w:szCs w:val="16"/>
          <w:color w:val="auto"/>
        </w:rPr>
      </w:pPr>
    </w:p>
    <w:p>
      <w:pPr>
        <w:ind w:left="1220" w:hanging="610"/>
        <w:spacing w:after="0"/>
        <w:tabs>
          <w:tab w:leader="none" w:pos="12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vest some assets in trustees.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payments may be made</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25.8</w:t>
      </w:r>
      <w:r>
        <w:rPr>
          <w:sz w:val="20"/>
          <w:szCs w:val="20"/>
          <w:color w:val="auto"/>
        </w:rPr>
        <w:tab/>
      </w:r>
      <w:r>
        <w:rPr>
          <w:rFonts w:ascii="Arial" w:cs="Arial" w:eastAsia="Arial" w:hAnsi="Arial"/>
          <w:sz w:val="14"/>
          <w:szCs w:val="14"/>
          <w:color w:val="auto"/>
        </w:rPr>
        <w:t>A dividend or other monies payable on or in respect of a Share may be paid in any of the following ways:</w:t>
      </w:r>
    </w:p>
    <w:p>
      <w:pPr>
        <w:spacing w:after="0" w:line="188" w:lineRule="exact"/>
        <w:rPr>
          <w:sz w:val="20"/>
          <w:szCs w:val="20"/>
          <w:color w:val="auto"/>
        </w:rPr>
      </w:pPr>
    </w:p>
    <w:p>
      <w:pPr>
        <w:ind w:left="1220" w:hanging="610"/>
        <w:spacing w:after="0"/>
        <w:tabs>
          <w:tab w:leader="none" w:pos="122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if the Member holding that Share or other person entitled to that Share nominates a bank account for that purpose - by wire transfer to that bank account; or</w:t>
      </w:r>
    </w:p>
    <w:p>
      <w:pPr>
        <w:spacing w:after="0" w:line="211" w:lineRule="exact"/>
        <w:rPr>
          <w:rFonts w:ascii="Arial" w:cs="Arial" w:eastAsia="Arial" w:hAnsi="Arial"/>
          <w:sz w:val="14"/>
          <w:szCs w:val="14"/>
          <w:color w:val="auto"/>
        </w:rPr>
      </w:pPr>
    </w:p>
    <w:p>
      <w:pPr>
        <w:ind w:left="1220" w:hanging="610"/>
        <w:spacing w:after="0"/>
        <w:tabs>
          <w:tab w:leader="none" w:pos="12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by cheque or warrant sent by post to the registered address of the Member holding that Share or other person entitled to that Share.</w:t>
      </w:r>
    </w:p>
    <w:p>
      <w:pPr>
        <w:spacing w:after="0" w:line="188" w:lineRule="exact"/>
        <w:rPr>
          <w:sz w:val="20"/>
          <w:szCs w:val="20"/>
          <w:color w:val="auto"/>
        </w:rPr>
      </w:pPr>
    </w:p>
    <w:p>
      <w:pPr>
        <w:jc w:val="both"/>
        <w:ind w:left="600" w:hanging="616"/>
        <w:spacing w:after="0" w:line="248" w:lineRule="auto"/>
        <w:tabs>
          <w:tab w:leader="none" w:pos="580" w:val="left"/>
        </w:tabs>
        <w:rPr>
          <w:sz w:val="20"/>
          <w:szCs w:val="20"/>
          <w:color w:val="auto"/>
        </w:rPr>
      </w:pPr>
      <w:r>
        <w:rPr>
          <w:rFonts w:ascii="Arial" w:cs="Arial" w:eastAsia="Arial" w:hAnsi="Arial"/>
          <w:sz w:val="16"/>
          <w:szCs w:val="16"/>
          <w:color w:val="auto"/>
        </w:rPr>
        <w:t>25.9</w:t>
      </w:r>
      <w:r>
        <w:rPr>
          <w:sz w:val="20"/>
          <w:szCs w:val="20"/>
          <w:color w:val="auto"/>
        </w:rPr>
        <w:tab/>
      </w:r>
      <w:r>
        <w:rPr>
          <w:rFonts w:ascii="Arial" w:cs="Arial" w:eastAsia="Arial" w:hAnsi="Arial"/>
          <w:sz w:val="16"/>
          <w:szCs w:val="16"/>
          <w:color w:val="auto"/>
        </w:rPr>
        <w:t>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64" w:lineRule="exact"/>
        <w:rPr>
          <w:sz w:val="20"/>
          <w:szCs w:val="20"/>
          <w:color w:val="auto"/>
        </w:rPr>
      </w:pPr>
    </w:p>
    <w:p>
      <w:pPr>
        <w:jc w:val="both"/>
        <w:ind w:left="600" w:right="20" w:hanging="616"/>
        <w:spacing w:after="0" w:line="266" w:lineRule="auto"/>
        <w:tabs>
          <w:tab w:leader="none" w:pos="580" w:val="left"/>
        </w:tabs>
        <w:rPr>
          <w:sz w:val="20"/>
          <w:szCs w:val="20"/>
          <w:color w:val="auto"/>
        </w:rPr>
      </w:pPr>
      <w:r>
        <w:rPr>
          <w:rFonts w:ascii="Arial" w:cs="Arial" w:eastAsia="Arial" w:hAnsi="Arial"/>
          <w:sz w:val="16"/>
          <w:szCs w:val="16"/>
          <w:color w:val="auto"/>
        </w:rPr>
        <w:t>25.10</w:t>
      </w:r>
      <w:r>
        <w:rPr>
          <w:sz w:val="20"/>
          <w:szCs w:val="20"/>
          <w:color w:val="auto"/>
        </w:rPr>
        <w:tab/>
      </w:r>
      <w:r>
        <w:rPr>
          <w:rFonts w:ascii="Arial" w:cs="Arial" w:eastAsia="Arial" w:hAnsi="Arial"/>
          <w:sz w:val="16"/>
          <w:szCs w:val="16"/>
          <w:color w:val="auto"/>
        </w:rPr>
        <w:t>If two or more persons are registered as the holders of the Share or are jointly entitled to it by reason of the death or bankruptcy of the registered holder (</w:t>
      </w:r>
      <w:r>
        <w:rPr>
          <w:rFonts w:ascii="Arial" w:cs="Arial" w:eastAsia="Arial" w:hAnsi="Arial"/>
          <w:sz w:val="16"/>
          <w:szCs w:val="16"/>
          <w:b w:val="1"/>
          <w:bCs w:val="1"/>
          <w:color w:val="auto"/>
        </w:rPr>
        <w:t>Joint Holders</w:t>
      </w:r>
      <w:r>
        <w:rPr>
          <w:rFonts w:ascii="Arial" w:cs="Arial" w:eastAsia="Arial" w:hAnsi="Arial"/>
          <w:sz w:val="16"/>
          <w:szCs w:val="16"/>
          <w:color w:val="auto"/>
        </w:rPr>
        <w:t>), a dividend (or other amount) payable on or in respect of that Share may be paid as follows:</w:t>
      </w:r>
    </w:p>
    <w:p>
      <w:pPr>
        <w:spacing w:after="0" w:line="157" w:lineRule="exact"/>
        <w:rPr>
          <w:sz w:val="20"/>
          <w:szCs w:val="20"/>
          <w:color w:val="auto"/>
        </w:rPr>
      </w:pPr>
    </w:p>
    <w:p>
      <w:pPr>
        <w:ind w:left="1220" w:right="20" w:hanging="610"/>
        <w:spacing w:after="0" w:line="258" w:lineRule="auto"/>
        <w:tabs>
          <w:tab w:leader="none" w:pos="12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the registered address of the Joint Holder of the Share who is named first on the register of members or to the registered address of the deceased or bankrupt holder, as the case may be; 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250" w:name="page251"/>
    <w:bookmarkEnd w:id="250"/>
    <w:p>
      <w:pPr>
        <w:ind w:right="940" w:firstLine="610"/>
        <w:spacing w:after="0" w:line="481" w:lineRule="auto"/>
        <w:tabs>
          <w:tab w:leader="none" w:pos="123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to the address or bank account of another person nominated by the Joint Holders, whether that nomination is in writing or in an Electronic Record. 25.11 Any Joint Holder of a Share may give a valid receipt for a dividend (or other amount) payable in respect of that Share.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or other moneys not to bear interest in absence of special rights</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25.12</w:t>
      </w:r>
      <w:r>
        <w:rPr>
          <w:sz w:val="20"/>
          <w:szCs w:val="20"/>
          <w:color w:val="auto"/>
        </w:rPr>
        <w:tab/>
      </w:r>
      <w:r>
        <w:rPr>
          <w:rFonts w:ascii="Arial" w:cs="Arial" w:eastAsia="Arial" w:hAnsi="Arial"/>
          <w:sz w:val="13"/>
          <w:szCs w:val="13"/>
          <w:color w:val="auto"/>
        </w:rPr>
        <w:t>Unless provided for by the rights attached to a Share, no dividend or other monies payable by the Company in respect of a Share shall bear interest.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unable to be paid or unclaimed</w:t>
      </w:r>
    </w:p>
    <w:p>
      <w:pPr>
        <w:spacing w:after="0" w:line="194" w:lineRule="exact"/>
        <w:rPr>
          <w:sz w:val="20"/>
          <w:szCs w:val="20"/>
          <w:color w:val="auto"/>
        </w:rPr>
      </w:pPr>
    </w:p>
    <w:p>
      <w:pPr>
        <w:jc w:val="both"/>
        <w:ind w:left="600" w:hanging="616"/>
        <w:spacing w:after="0" w:line="250" w:lineRule="auto"/>
        <w:tabs>
          <w:tab w:leader="none" w:pos="580" w:val="left"/>
        </w:tabs>
        <w:rPr>
          <w:sz w:val="20"/>
          <w:szCs w:val="20"/>
          <w:color w:val="auto"/>
        </w:rPr>
      </w:pPr>
      <w:r>
        <w:rPr>
          <w:rFonts w:ascii="Arial" w:cs="Arial" w:eastAsia="Arial" w:hAnsi="Arial"/>
          <w:sz w:val="16"/>
          <w:szCs w:val="16"/>
          <w:color w:val="auto"/>
        </w:rPr>
        <w:t>25.13</w:t>
      </w:r>
      <w:r>
        <w:rPr>
          <w:sz w:val="20"/>
          <w:szCs w:val="20"/>
          <w:color w:val="auto"/>
        </w:rPr>
        <w:tab/>
      </w:r>
      <w:r>
        <w:rPr>
          <w:rFonts w:ascii="Arial" w:cs="Arial" w:eastAsia="Arial" w:hAnsi="Arial"/>
          <w:sz w:val="16"/>
          <w:szCs w:val="16"/>
          <w:color w:val="auto"/>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25.14</w:t>
      </w:r>
      <w:r>
        <w:rPr>
          <w:sz w:val="20"/>
          <w:szCs w:val="20"/>
          <w:color w:val="auto"/>
        </w:rPr>
        <w:tab/>
      </w:r>
      <w:r>
        <w:rPr>
          <w:rFonts w:ascii="Arial" w:cs="Arial" w:eastAsia="Arial" w:hAnsi="Arial"/>
          <w:sz w:val="14"/>
          <w:szCs w:val="14"/>
          <w:color w:val="auto"/>
        </w:rPr>
        <w:t>A dividend that remains unclaimed for a period of six years after it became due for payment shall be forfeited to, and shall cease to remain owing by, the Company.</w:t>
      </w:r>
    </w:p>
    <w:p>
      <w:pPr>
        <w:spacing w:after="0" w:line="17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auto"/>
        </w:rPr>
        <w:t>Capitalisation of profits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Capitalisation of profits or of any share premium account or capital redemption reserve</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4"/>
          <w:szCs w:val="14"/>
          <w:color w:val="auto"/>
        </w:rPr>
        <w:t>The directors may resolve to capitalise:</w:t>
      </w:r>
    </w:p>
    <w:p>
      <w:pPr>
        <w:spacing w:after="0" w:line="188" w:lineRule="exact"/>
        <w:rPr>
          <w:sz w:val="20"/>
          <w:szCs w:val="20"/>
          <w:color w:val="auto"/>
        </w:rPr>
      </w:pPr>
    </w:p>
    <w:p>
      <w:pPr>
        <w:ind w:left="1220" w:hanging="610"/>
        <w:spacing w:after="0"/>
        <w:tabs>
          <w:tab w:leader="none" w:pos="12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any part of the Company's profits not required for paying any preferential dividend (whether or not those profits are available for distribution); or</w:t>
      </w:r>
    </w:p>
    <w:p>
      <w:pPr>
        <w:spacing w:after="0" w:line="211" w:lineRule="exact"/>
        <w:rPr>
          <w:rFonts w:ascii="Arial" w:cs="Arial" w:eastAsia="Arial" w:hAnsi="Arial"/>
          <w:sz w:val="14"/>
          <w:szCs w:val="14"/>
          <w:color w:val="auto"/>
        </w:rPr>
      </w:pPr>
    </w:p>
    <w:p>
      <w:pPr>
        <w:ind w:left="1220" w:hanging="610"/>
        <w:spacing w:after="0"/>
        <w:tabs>
          <w:tab w:leader="none" w:pos="12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sum standing to the credit of the Company's share premium account or capital redemption reserve, if any.</w:t>
      </w:r>
    </w:p>
    <w:p>
      <w:pPr>
        <w:spacing w:after="0" w:line="188" w:lineRule="exact"/>
        <w:rPr>
          <w:sz w:val="20"/>
          <w:szCs w:val="20"/>
          <w:color w:val="auto"/>
        </w:rPr>
      </w:pPr>
    </w:p>
    <w:p>
      <w:pPr>
        <w:ind w:left="620"/>
        <w:spacing w:after="0" w:line="258" w:lineRule="auto"/>
        <w:rPr>
          <w:sz w:val="20"/>
          <w:szCs w:val="20"/>
          <w:color w:val="auto"/>
        </w:rPr>
      </w:pPr>
      <w:r>
        <w:rPr>
          <w:rFonts w:ascii="Arial" w:cs="Arial" w:eastAsia="Arial" w:hAnsi="Arial"/>
          <w:sz w:val="16"/>
          <w:szCs w:val="16"/>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63" w:lineRule="exact"/>
        <w:rPr>
          <w:sz w:val="20"/>
          <w:szCs w:val="20"/>
          <w:color w:val="auto"/>
        </w:rPr>
      </w:pPr>
    </w:p>
    <w:p>
      <w:pPr>
        <w:ind w:left="1220" w:hanging="610"/>
        <w:spacing w:after="0"/>
        <w:tabs>
          <w:tab w:leader="none" w:pos="12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paying up the amounts unpaid on that Member's Shares;</w:t>
      </w:r>
    </w:p>
    <w:p>
      <w:pPr>
        <w:spacing w:after="0" w:line="188" w:lineRule="exact"/>
        <w:rPr>
          <w:rFonts w:ascii="Arial" w:cs="Arial" w:eastAsia="Arial" w:hAnsi="Arial"/>
          <w:sz w:val="16"/>
          <w:szCs w:val="16"/>
          <w:color w:val="auto"/>
        </w:rPr>
      </w:pPr>
    </w:p>
    <w:p>
      <w:pPr>
        <w:jc w:val="both"/>
        <w:ind w:left="1220" w:right="20" w:hanging="610"/>
        <w:spacing w:after="0" w:line="250" w:lineRule="auto"/>
        <w:tabs>
          <w:tab w:leader="none" w:pos="12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issuing Fully Paid Shares, debentures or other securities of the Company to that Member or as that Member directs. The directors may resolve that any Shares issued to the Member in respect of partly paid Shares (</w:t>
      </w:r>
      <w:r>
        <w:rPr>
          <w:rFonts w:ascii="Arial" w:cs="Arial" w:eastAsia="Arial" w:hAnsi="Arial"/>
          <w:sz w:val="16"/>
          <w:szCs w:val="16"/>
          <w:b w:val="1"/>
          <w:bCs w:val="1"/>
          <w:color w:val="auto"/>
        </w:rPr>
        <w:t>Original Shares</w:t>
      </w:r>
      <w:r>
        <w:rPr>
          <w:rFonts w:ascii="Arial" w:cs="Arial" w:eastAsia="Arial" w:hAnsi="Arial"/>
          <w:sz w:val="16"/>
          <w:szCs w:val="16"/>
          <w:color w:val="auto"/>
        </w:rPr>
        <w:t>) rank for dividend only to the extent that the Original Shares rank for dividend while those Original Shares remain partly paid.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sectPr>
      </w:pPr>
    </w:p>
    <w:bookmarkStart w:id="251" w:name="page252"/>
    <w:bookmarkEnd w:id="251"/>
    <w:p>
      <w:pPr>
        <w:ind w:left="7"/>
        <w:spacing w:after="0"/>
        <w:rPr>
          <w:sz w:val="20"/>
          <w:szCs w:val="20"/>
          <w:color w:val="auto"/>
        </w:rPr>
      </w:pPr>
      <w:r>
        <w:rPr>
          <w:rFonts w:ascii="Arial" w:cs="Arial" w:eastAsia="Arial" w:hAnsi="Arial"/>
          <w:sz w:val="16"/>
          <w:szCs w:val="16"/>
          <w:b w:val="1"/>
          <w:bCs w:val="1"/>
          <w:color w:val="auto"/>
        </w:rPr>
        <w:t>Applying an amount for the benefit of members</w:t>
      </w:r>
    </w:p>
    <w:p>
      <w:pPr>
        <w:spacing w:after="0" w:line="194"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6"/>
          <w:szCs w:val="16"/>
          <w:color w:val="auto"/>
        </w:rPr>
        <w:t>The amount capitalised must be applied to the benefit of Members in the proportions to which the Members would have been entitled to dividends if the amount capitalised had been distributed as a dividend.</w:t>
      </w:r>
    </w:p>
    <w:p>
      <w:pPr>
        <w:spacing w:after="0" w:line="163"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6"/>
          <w:szCs w:val="16"/>
          <w:color w:val="auto"/>
        </w:rPr>
        <w:t>Subject to the Law, if a fraction of a Share, a debenture, or other security is allocated to a Member, the directors may issue a fractional certificate to that Member or pay him the cash equivalent of the fraction.</w:t>
      </w:r>
    </w:p>
    <w:p>
      <w:pPr>
        <w:spacing w:after="0" w:line="157"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6"/>
          <w:szCs w:val="16"/>
          <w:b w:val="1"/>
          <w:bCs w:val="1"/>
          <w:color w:val="auto"/>
        </w:rPr>
        <w:t>Share premium account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Directors to maintain share premium account</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27.1</w:t>
      </w:r>
      <w:r>
        <w:rPr>
          <w:sz w:val="20"/>
          <w:szCs w:val="20"/>
          <w:color w:val="auto"/>
        </w:rPr>
        <w:tab/>
      </w:r>
      <w:r>
        <w:rPr>
          <w:rFonts w:ascii="Arial" w:cs="Arial" w:eastAsia="Arial" w:hAnsi="Arial"/>
          <w:sz w:val="16"/>
          <w:szCs w:val="16"/>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Debits to share premium account</w:t>
      </w:r>
    </w:p>
    <w:p>
      <w:pPr>
        <w:spacing w:after="0" w:line="194"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27.2</w:t>
      </w:r>
      <w:r>
        <w:rPr>
          <w:sz w:val="20"/>
          <w:szCs w:val="20"/>
          <w:color w:val="auto"/>
        </w:rPr>
        <w:tab/>
      </w:r>
      <w:r>
        <w:rPr>
          <w:rFonts w:ascii="Arial" w:cs="Arial" w:eastAsia="Arial" w:hAnsi="Arial"/>
          <w:sz w:val="14"/>
          <w:szCs w:val="14"/>
          <w:color w:val="auto"/>
        </w:rPr>
        <w:t>The following amounts shall be debited to any share premium account:</w:t>
      </w:r>
    </w:p>
    <w:p>
      <w:pPr>
        <w:spacing w:after="0" w:line="188" w:lineRule="exact"/>
        <w:rPr>
          <w:sz w:val="20"/>
          <w:szCs w:val="20"/>
          <w:color w:val="auto"/>
        </w:rPr>
      </w:pPr>
    </w:p>
    <w:p>
      <w:pPr>
        <w:ind w:left="1227" w:hanging="610"/>
        <w:spacing w:after="0"/>
        <w:tabs>
          <w:tab w:leader="none" w:pos="122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on the redemption or purchase of a Share, the difference between the nominal value of that Share and the redemption or purchase price; and</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other amount paid out of a share premium account as permitted by the Law.</w:t>
      </w:r>
    </w:p>
    <w:p>
      <w:pPr>
        <w:spacing w:after="0" w:line="188"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27.3</w:t>
      </w:r>
      <w:r>
        <w:rPr>
          <w:sz w:val="20"/>
          <w:szCs w:val="20"/>
          <w:color w:val="auto"/>
        </w:rPr>
        <w:tab/>
      </w:r>
      <w:r>
        <w:rPr>
          <w:rFonts w:ascii="Arial" w:cs="Arial" w:eastAsia="Arial" w:hAnsi="Arial"/>
          <w:sz w:val="16"/>
          <w:szCs w:val="16"/>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57" w:lineRule="exact"/>
        <w:rPr>
          <w:sz w:val="20"/>
          <w:szCs w:val="20"/>
          <w:color w:val="auto"/>
        </w:rPr>
      </w:pPr>
    </w:p>
    <w:p>
      <w:pPr>
        <w:jc w:val="right"/>
        <w:ind w:left="7" w:right="10340" w:hanging="7"/>
        <w:spacing w:after="0" w:line="602" w:lineRule="auto"/>
        <w:tabs>
          <w:tab w:leader="none" w:pos="624" w:val="left"/>
        </w:tabs>
        <w:numPr>
          <w:ilvl w:val="0"/>
          <w:numId w:val="191"/>
        </w:numPr>
        <w:rPr>
          <w:rFonts w:ascii="Arial" w:cs="Arial" w:eastAsia="Arial" w:hAnsi="Arial"/>
          <w:sz w:val="13"/>
          <w:szCs w:val="13"/>
          <w:b w:val="1"/>
          <w:bCs w:val="1"/>
          <w:color w:val="auto"/>
        </w:rPr>
      </w:pPr>
      <w:r>
        <w:rPr>
          <w:rFonts w:ascii="Arial" w:cs="Arial" w:eastAsia="Arial" w:hAnsi="Arial"/>
          <w:sz w:val="13"/>
          <w:szCs w:val="13"/>
          <w:b w:val="1"/>
          <w:bCs w:val="1"/>
          <w:color w:val="auto"/>
        </w:rPr>
        <w:t>Seal Company seal</w:t>
      </w:r>
    </w:p>
    <w:p>
      <w:pPr>
        <w:spacing w:after="0" w:line="1"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3"/>
          <w:szCs w:val="13"/>
          <w:color w:val="auto"/>
        </w:rPr>
        <w:t>The Company may have a seal if the directors so determine.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Duplicate seal</w:t>
      </w:r>
    </w:p>
    <w:p>
      <w:pPr>
        <w:spacing w:after="0" w:line="194" w:lineRule="exact"/>
        <w:rPr>
          <w:sz w:val="20"/>
          <w:szCs w:val="20"/>
          <w:color w:val="auto"/>
        </w:rPr>
      </w:pPr>
    </w:p>
    <w:p>
      <w:pPr>
        <w:jc w:val="both"/>
        <w:ind w:left="607" w:hanging="616"/>
        <w:spacing w:after="0" w:line="250" w:lineRule="auto"/>
        <w:tabs>
          <w:tab w:leader="none" w:pos="587"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6"/>
          <w:szCs w:val="16"/>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42" w:right="319" w:bottom="1440" w:gutter="0" w:footer="0" w:header="0"/>
        </w:sectPr>
      </w:pPr>
    </w:p>
    <w:bookmarkStart w:id="252" w:name="page253"/>
    <w:bookmarkEnd w:id="252"/>
    <w:p>
      <w:pPr>
        <w:ind w:left="7"/>
        <w:spacing w:after="0"/>
        <w:rPr>
          <w:sz w:val="20"/>
          <w:szCs w:val="20"/>
          <w:color w:val="auto"/>
        </w:rPr>
      </w:pPr>
      <w:r>
        <w:rPr>
          <w:rFonts w:ascii="Arial" w:cs="Arial" w:eastAsia="Arial" w:hAnsi="Arial"/>
          <w:sz w:val="16"/>
          <w:szCs w:val="16"/>
          <w:b w:val="1"/>
          <w:bCs w:val="1"/>
          <w:color w:val="auto"/>
        </w:rPr>
        <w:t>When and how seal is to be used</w:t>
      </w:r>
    </w:p>
    <w:p>
      <w:pPr>
        <w:spacing w:after="0" w:line="194"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6"/>
          <w:szCs w:val="16"/>
          <w:color w:val="auto"/>
        </w:rPr>
        <w:t>A seal may only be used by the authority of the directors. Unless the directors otherwise determine, a document to which a seal is affixed must be signed in one of the following ways:</w:t>
      </w:r>
    </w:p>
    <w:p>
      <w:pPr>
        <w:spacing w:after="0" w:line="163" w:lineRule="exact"/>
        <w:rPr>
          <w:sz w:val="20"/>
          <w:szCs w:val="20"/>
          <w:color w:val="auto"/>
        </w:rPr>
      </w:pPr>
    </w:p>
    <w:p>
      <w:pPr>
        <w:ind w:left="1227" w:hanging="610"/>
        <w:spacing w:after="0"/>
        <w:tabs>
          <w:tab w:leader="none" w:pos="122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by a director (or his alternate) and the Secretary;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by a single director (or his alternate).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If no seal is adopted or used</w:t>
      </w:r>
    </w:p>
    <w:p>
      <w:pPr>
        <w:spacing w:after="0" w:line="194"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28.4</w:t>
      </w:r>
      <w:r>
        <w:rPr>
          <w:sz w:val="20"/>
          <w:szCs w:val="20"/>
          <w:color w:val="auto"/>
        </w:rPr>
        <w:tab/>
      </w:r>
      <w:r>
        <w:rPr>
          <w:rFonts w:ascii="Arial" w:cs="Arial" w:eastAsia="Arial" w:hAnsi="Arial"/>
          <w:sz w:val="14"/>
          <w:szCs w:val="14"/>
          <w:color w:val="auto"/>
        </w:rPr>
        <w:t>If the directors do not adopt a seal, or a seal is not used, a document may be executed in the following manner:</w:t>
      </w:r>
    </w:p>
    <w:p>
      <w:pPr>
        <w:spacing w:after="0" w:line="188" w:lineRule="exact"/>
        <w:rPr>
          <w:sz w:val="20"/>
          <w:szCs w:val="20"/>
          <w:color w:val="auto"/>
        </w:rPr>
      </w:pPr>
    </w:p>
    <w:p>
      <w:pPr>
        <w:ind w:left="1227" w:hanging="610"/>
        <w:spacing w:after="0"/>
        <w:tabs>
          <w:tab w:leader="none" w:pos="122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by a director (or his alternate) and the Secretary;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by a single director (or his alternate);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any other manner permitted by the Law.</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allow non-manual signatures and facsimile printing of seal</w:t>
      </w:r>
    </w:p>
    <w:p>
      <w:pPr>
        <w:spacing w:after="0" w:line="194"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28.5</w:t>
      </w:r>
      <w:r>
        <w:rPr>
          <w:sz w:val="20"/>
          <w:szCs w:val="20"/>
          <w:color w:val="auto"/>
        </w:rPr>
        <w:tab/>
      </w:r>
      <w:r>
        <w:rPr>
          <w:rFonts w:ascii="Arial" w:cs="Arial" w:eastAsia="Arial" w:hAnsi="Arial"/>
          <w:sz w:val="14"/>
          <w:szCs w:val="14"/>
          <w:color w:val="auto"/>
        </w:rPr>
        <w:t>The directors may determine that either or both of the following applies:</w:t>
      </w:r>
    </w:p>
    <w:p>
      <w:pPr>
        <w:spacing w:after="0" w:line="188" w:lineRule="exact"/>
        <w:rPr>
          <w:sz w:val="20"/>
          <w:szCs w:val="20"/>
          <w:color w:val="auto"/>
        </w:rPr>
      </w:pPr>
    </w:p>
    <w:p>
      <w:pPr>
        <w:ind w:left="1227" w:hanging="610"/>
        <w:spacing w:after="0"/>
        <w:tabs>
          <w:tab w:leader="none" w:pos="122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that the seal or a duplicate seal need not be affixed manually but may be affixed by some other method or system of reproduction;</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that a signature required by these Articles need not be manual but may be a mechanical or Electronic Signature.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Validity of execution</w:t>
      </w:r>
    </w:p>
    <w:p>
      <w:pPr>
        <w:spacing w:after="0" w:line="194" w:lineRule="exact"/>
        <w:rPr>
          <w:sz w:val="20"/>
          <w:szCs w:val="20"/>
          <w:color w:val="auto"/>
        </w:rPr>
      </w:pPr>
    </w:p>
    <w:p>
      <w:pPr>
        <w:jc w:val="both"/>
        <w:ind w:left="607" w:right="20" w:hanging="616"/>
        <w:spacing w:after="0" w:line="250" w:lineRule="auto"/>
        <w:tabs>
          <w:tab w:leader="none" w:pos="587" w:val="left"/>
        </w:tabs>
        <w:rPr>
          <w:sz w:val="20"/>
          <w:szCs w:val="20"/>
          <w:color w:val="auto"/>
        </w:rPr>
      </w:pPr>
      <w:r>
        <w:rPr>
          <w:rFonts w:ascii="Arial" w:cs="Arial" w:eastAsia="Arial" w:hAnsi="Arial"/>
          <w:sz w:val="16"/>
          <w:szCs w:val="16"/>
          <w:color w:val="auto"/>
        </w:rPr>
        <w:t>28.6</w:t>
      </w:r>
      <w:r>
        <w:rPr>
          <w:sz w:val="20"/>
          <w:szCs w:val="20"/>
          <w:color w:val="auto"/>
        </w:rPr>
        <w:tab/>
      </w:r>
      <w:r>
        <w:rPr>
          <w:rFonts w:ascii="Arial" w:cs="Arial" w:eastAsia="Arial" w:hAnsi="Arial"/>
          <w:sz w:val="16"/>
          <w:szCs w:val="16"/>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64" w:lineRule="exact"/>
        <w:rPr>
          <w:sz w:val="20"/>
          <w:szCs w:val="20"/>
          <w:color w:val="auto"/>
        </w:rPr>
      </w:pPr>
    </w:p>
    <w:p>
      <w:pPr>
        <w:ind w:left="607" w:hanging="607"/>
        <w:spacing w:after="0"/>
        <w:tabs>
          <w:tab w:leader="none" w:pos="607"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w:t>
      </w:r>
    </w:p>
    <w:p>
      <w:pPr>
        <w:spacing w:after="0" w:line="188" w:lineRule="exact"/>
        <w:rPr>
          <w:rFonts w:ascii="Arial" w:cs="Arial" w:eastAsia="Arial" w:hAnsi="Arial"/>
          <w:sz w:val="16"/>
          <w:szCs w:val="16"/>
          <w:b w:val="1"/>
          <w:bCs w:val="1"/>
          <w:color w:val="auto"/>
        </w:rPr>
      </w:pPr>
    </w:p>
    <w:p>
      <w:pPr>
        <w:ind w:left="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Indemnity</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29.1</w:t>
      </w:r>
      <w:r>
        <w:rPr>
          <w:sz w:val="20"/>
          <w:szCs w:val="20"/>
          <w:color w:val="auto"/>
        </w:rPr>
        <w:tab/>
      </w:r>
      <w:r>
        <w:rPr>
          <w:rFonts w:ascii="Arial" w:cs="Arial" w:eastAsia="Arial" w:hAnsi="Arial"/>
          <w:sz w:val="16"/>
          <w:szCs w:val="16"/>
          <w:color w:val="auto"/>
        </w:rPr>
        <w:t>To the extent permitted by law, the Company shall indemnify each existing or former Secretary, director (including alternate director), and other Officer of the Company (including an investment adviser or an administrator or liquidator) and their personal representatives against:</w:t>
      </w:r>
    </w:p>
    <w:p>
      <w:pPr>
        <w:spacing w:after="0" w:line="161" w:lineRule="exact"/>
        <w:rPr>
          <w:sz w:val="20"/>
          <w:szCs w:val="20"/>
          <w:color w:val="auto"/>
        </w:rPr>
      </w:pPr>
    </w:p>
    <w:p>
      <w:pPr>
        <w:jc w:val="both"/>
        <w:ind w:left="1227" w:hanging="610"/>
        <w:spacing w:after="0" w:line="232" w:lineRule="auto"/>
        <w:tabs>
          <w:tab w:leader="none" w:pos="122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spacing w:after="0" w:line="33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19" w:right="319" w:bottom="1440" w:gutter="0" w:footer="0" w:header="0"/>
        </w:sectPr>
      </w:pPr>
    </w:p>
    <w:bookmarkStart w:id="253" w:name="page254"/>
    <w:bookmarkEnd w:id="253"/>
    <w:p>
      <w:pPr>
        <w:jc w:val="both"/>
        <w:ind w:left="1220" w:right="20" w:hanging="610"/>
        <w:spacing w:after="0" w:line="250" w:lineRule="auto"/>
        <w:tabs>
          <w:tab w:leader="none" w:pos="12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 such existing or former Secretary or Officer, however, shall be indemnified in respect of any matter arising out of his own dishonesty.</w:t>
      </w:r>
    </w:p>
    <w:p>
      <w:pPr>
        <w:spacing w:after="0" w:line="188" w:lineRule="exact"/>
        <w:rPr>
          <w:sz w:val="20"/>
          <w:szCs w:val="20"/>
          <w:color w:val="auto"/>
        </w:rPr>
      </w:pPr>
    </w:p>
    <w:p>
      <w:pPr>
        <w:jc w:val="both"/>
        <w:ind w:left="600" w:hanging="616"/>
        <w:spacing w:after="0" w:line="248" w:lineRule="auto"/>
        <w:tabs>
          <w:tab w:leader="none" w:pos="580" w:val="left"/>
        </w:tabs>
        <w:rPr>
          <w:sz w:val="20"/>
          <w:szCs w:val="20"/>
          <w:color w:val="auto"/>
        </w:rPr>
      </w:pPr>
      <w:r>
        <w:rPr>
          <w:rFonts w:ascii="Arial" w:cs="Arial" w:eastAsia="Arial" w:hAnsi="Arial"/>
          <w:sz w:val="16"/>
          <w:szCs w:val="16"/>
          <w:color w:val="auto"/>
        </w:rPr>
        <w:t>29.2</w:t>
      </w:r>
      <w:r>
        <w:rPr>
          <w:sz w:val="20"/>
          <w:szCs w:val="20"/>
          <w:color w:val="auto"/>
        </w:rPr>
        <w:tab/>
      </w:r>
      <w:r>
        <w:rPr>
          <w:rFonts w:ascii="Arial" w:cs="Arial" w:eastAsia="Arial" w:hAnsi="Arial"/>
          <w:sz w:val="16"/>
          <w:szCs w:val="16"/>
          <w:color w:val="auto"/>
        </w:rPr>
        <w:t>To the extent permitted by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Release</w:t>
      </w:r>
    </w:p>
    <w:p>
      <w:pPr>
        <w:spacing w:after="0" w:line="194" w:lineRule="exact"/>
        <w:rPr>
          <w:sz w:val="20"/>
          <w:szCs w:val="20"/>
          <w:color w:val="auto"/>
        </w:rPr>
      </w:pPr>
    </w:p>
    <w:p>
      <w:pPr>
        <w:jc w:val="both"/>
        <w:ind w:left="600" w:hanging="616"/>
        <w:spacing w:after="0" w:line="303" w:lineRule="auto"/>
        <w:tabs>
          <w:tab w:leader="none" w:pos="580" w:val="left"/>
        </w:tabs>
        <w:rPr>
          <w:sz w:val="20"/>
          <w:szCs w:val="20"/>
          <w:color w:val="auto"/>
        </w:rPr>
      </w:pPr>
      <w:r>
        <w:rPr>
          <w:rFonts w:ascii="Arial" w:cs="Arial" w:eastAsia="Arial" w:hAnsi="Arial"/>
          <w:sz w:val="16"/>
          <w:szCs w:val="16"/>
          <w:color w:val="auto"/>
        </w:rPr>
        <w:t>29.3</w:t>
      </w:r>
      <w:r>
        <w:rPr>
          <w:sz w:val="20"/>
          <w:szCs w:val="20"/>
          <w:color w:val="auto"/>
        </w:rPr>
        <w:tab/>
      </w:r>
      <w:r>
        <w:rPr>
          <w:rFonts w:ascii="Arial" w:cs="Arial" w:eastAsia="Arial" w:hAnsi="Arial"/>
          <w:sz w:val="14"/>
          <w:szCs w:val="14"/>
          <w:color w:val="auto"/>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194" w:lineRule="exact"/>
        <w:rPr>
          <w:sz w:val="20"/>
          <w:szCs w:val="20"/>
          <w:color w:val="auto"/>
        </w:rPr>
      </w:pPr>
    </w:p>
    <w:p>
      <w:pPr>
        <w:jc w:val="both"/>
        <w:ind w:left="600" w:right="20" w:hanging="616"/>
        <w:spacing w:after="0" w:line="258" w:lineRule="auto"/>
        <w:tabs>
          <w:tab w:leader="none" w:pos="580" w:val="left"/>
        </w:tabs>
        <w:rPr>
          <w:sz w:val="20"/>
          <w:szCs w:val="20"/>
          <w:color w:val="auto"/>
        </w:rPr>
      </w:pPr>
      <w:r>
        <w:rPr>
          <w:rFonts w:ascii="Arial" w:cs="Arial" w:eastAsia="Arial" w:hAnsi="Arial"/>
          <w:sz w:val="16"/>
          <w:szCs w:val="16"/>
          <w:color w:val="auto"/>
        </w:rPr>
        <w:t>29.4</w:t>
      </w:r>
      <w:r>
        <w:rPr>
          <w:sz w:val="20"/>
          <w:szCs w:val="20"/>
          <w:color w:val="auto"/>
        </w:rPr>
        <w:tab/>
      </w:r>
      <w:r>
        <w:rPr>
          <w:rFonts w:ascii="Arial" w:cs="Arial" w:eastAsia="Arial" w:hAnsi="Arial"/>
          <w:sz w:val="16"/>
          <w:szCs w:val="16"/>
          <w:color w:val="auto"/>
        </w:rPr>
        <w:t>To the extent permitted by law, the Company may pay, or agree to pay, a premium in respect of a contract insuring each of the following persons against risks determined by the directors, other than liability arising out of that person's own dishonesty:</w:t>
      </w:r>
    </w:p>
    <w:p>
      <w:pPr>
        <w:spacing w:after="0" w:line="163" w:lineRule="exact"/>
        <w:rPr>
          <w:sz w:val="20"/>
          <w:szCs w:val="20"/>
          <w:color w:val="auto"/>
        </w:rPr>
      </w:pPr>
    </w:p>
    <w:p>
      <w:pPr>
        <w:ind w:left="1220" w:hanging="610"/>
        <w:spacing w:after="0"/>
        <w:tabs>
          <w:tab w:leader="none" w:pos="12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 existing or former director (including alternate director), Secretary or Officer or auditor of:</w:t>
      </w:r>
    </w:p>
    <w:p>
      <w:pPr>
        <w:spacing w:after="0" w:line="188" w:lineRule="exact"/>
        <w:rPr>
          <w:rFonts w:ascii="Arial" w:cs="Arial" w:eastAsia="Arial" w:hAnsi="Arial"/>
          <w:sz w:val="16"/>
          <w:szCs w:val="16"/>
          <w:color w:val="auto"/>
        </w:rPr>
      </w:pPr>
    </w:p>
    <w:p>
      <w:pPr>
        <w:ind w:left="1840" w:hanging="614"/>
        <w:spacing w:after="0"/>
        <w:tabs>
          <w:tab w:leader="none" w:pos="18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Company;</w:t>
      </w:r>
    </w:p>
    <w:p>
      <w:pPr>
        <w:spacing w:after="0" w:line="188" w:lineRule="exact"/>
        <w:rPr>
          <w:rFonts w:ascii="Arial" w:cs="Arial" w:eastAsia="Arial" w:hAnsi="Arial"/>
          <w:sz w:val="16"/>
          <w:szCs w:val="16"/>
          <w:color w:val="auto"/>
        </w:rPr>
      </w:pPr>
    </w:p>
    <w:p>
      <w:pPr>
        <w:ind w:left="1840" w:hanging="614"/>
        <w:spacing w:after="0"/>
        <w:tabs>
          <w:tab w:leader="none" w:pos="18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company which is or was a subsidiary of the Company;</w:t>
      </w:r>
    </w:p>
    <w:p>
      <w:pPr>
        <w:spacing w:after="0" w:line="188" w:lineRule="exact"/>
        <w:rPr>
          <w:rFonts w:ascii="Arial" w:cs="Arial" w:eastAsia="Arial" w:hAnsi="Arial"/>
          <w:sz w:val="16"/>
          <w:szCs w:val="16"/>
          <w:color w:val="auto"/>
        </w:rPr>
      </w:pPr>
    </w:p>
    <w:p>
      <w:pPr>
        <w:ind w:left="1840" w:hanging="614"/>
        <w:spacing w:after="0"/>
        <w:tabs>
          <w:tab w:leader="none" w:pos="18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company in which the Company has or had an interest (whether direct or indirect);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254" w:name="page255"/>
    <w:bookmarkEnd w:id="254"/>
    <w:p>
      <w:pPr>
        <w:ind w:left="1227" w:hanging="610"/>
        <w:spacing w:after="0"/>
        <w:tabs>
          <w:tab w:leader="none" w:pos="1227" w:val="left"/>
        </w:tabs>
        <w:numPr>
          <w:ilvl w:val="0"/>
          <w:numId w:val="199"/>
        </w:numPr>
        <w:rPr>
          <w:rFonts w:ascii="Arial" w:cs="Arial" w:eastAsia="Arial" w:hAnsi="Arial"/>
          <w:sz w:val="14"/>
          <w:szCs w:val="14"/>
          <w:color w:val="auto"/>
        </w:rPr>
      </w:pPr>
      <w:r>
        <w:rPr>
          <w:rFonts w:ascii="Arial" w:cs="Arial" w:eastAsia="Arial" w:hAnsi="Arial"/>
          <w:sz w:val="14"/>
          <w:szCs w:val="14"/>
          <w:color w:val="auto"/>
        </w:rPr>
        <w:t>a trustee of an employee or retirement benefits scheme or other trust in which any of the persons referred to in paragraph (a) is or was interested.</w:t>
      </w:r>
    </w:p>
    <w:p>
      <w:pPr>
        <w:spacing w:after="0" w:line="205" w:lineRule="exact"/>
        <w:rPr>
          <w:sz w:val="20"/>
          <w:szCs w:val="20"/>
          <w:color w:val="auto"/>
        </w:rPr>
      </w:pPr>
    </w:p>
    <w:p>
      <w:pPr>
        <w:ind w:left="7" w:right="10160" w:hanging="7"/>
        <w:spacing w:after="0" w:line="602" w:lineRule="auto"/>
        <w:tabs>
          <w:tab w:leader="none" w:pos="624" w:val="left"/>
        </w:tabs>
        <w:numPr>
          <w:ilvl w:val="0"/>
          <w:numId w:val="200"/>
        </w:numPr>
        <w:rPr>
          <w:rFonts w:ascii="Arial" w:cs="Arial" w:eastAsia="Arial" w:hAnsi="Arial"/>
          <w:sz w:val="13"/>
          <w:szCs w:val="13"/>
          <w:b w:val="1"/>
          <w:bCs w:val="1"/>
          <w:color w:val="auto"/>
        </w:rPr>
      </w:pPr>
      <w:r>
        <w:rPr>
          <w:rFonts w:ascii="Arial" w:cs="Arial" w:eastAsia="Arial" w:hAnsi="Arial"/>
          <w:sz w:val="13"/>
          <w:szCs w:val="13"/>
          <w:b w:val="1"/>
          <w:bCs w:val="1"/>
          <w:color w:val="auto"/>
        </w:rPr>
        <w:t>Notices Form of notices</w:t>
      </w:r>
    </w:p>
    <w:p>
      <w:pPr>
        <w:spacing w:after="0" w:line="1"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30.1</w:t>
      </w:r>
      <w:r>
        <w:rPr>
          <w:sz w:val="20"/>
          <w:szCs w:val="20"/>
          <w:color w:val="auto"/>
        </w:rPr>
        <w:tab/>
      </w:r>
      <w:r>
        <w:rPr>
          <w:rFonts w:ascii="Arial" w:cs="Arial" w:eastAsia="Arial" w:hAnsi="Arial"/>
          <w:sz w:val="14"/>
          <w:szCs w:val="14"/>
          <w:color w:val="auto"/>
        </w:rPr>
        <w:t>Save where these Articles provide otherwise, any notice to be given to or by any person pursuant to these Articles shall be:</w:t>
      </w:r>
    </w:p>
    <w:p>
      <w:pPr>
        <w:spacing w:after="0" w:line="188" w:lineRule="exact"/>
        <w:rPr>
          <w:sz w:val="20"/>
          <w:szCs w:val="20"/>
          <w:color w:val="auto"/>
        </w:rPr>
      </w:pPr>
    </w:p>
    <w:p>
      <w:pPr>
        <w:ind w:left="1227" w:hanging="610"/>
        <w:spacing w:after="0"/>
        <w:tabs>
          <w:tab w:leader="none" w:pos="122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writing signed by or on behalf of the giver in the manner set out below for written notices; or</w:t>
      </w:r>
    </w:p>
    <w:p>
      <w:pPr>
        <w:spacing w:after="0" w:line="188" w:lineRule="exact"/>
        <w:rPr>
          <w:rFonts w:ascii="Arial" w:cs="Arial" w:eastAsia="Arial" w:hAnsi="Arial"/>
          <w:sz w:val="16"/>
          <w:szCs w:val="16"/>
          <w:color w:val="auto"/>
        </w:rPr>
      </w:pPr>
    </w:p>
    <w:p>
      <w:pPr>
        <w:ind w:left="1227" w:right="20" w:hanging="610"/>
        <w:spacing w:after="0" w:line="258" w:lineRule="auto"/>
        <w:tabs>
          <w:tab w:leader="none" w:pos="122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subject to the next Article, in an Electronic Record signed by or on behalf of the giver by Electronic Signature and authenticated in accordance with Articles about authentication of Electronic Records; or</w:t>
      </w:r>
    </w:p>
    <w:p>
      <w:pPr>
        <w:spacing w:after="0" w:line="162" w:lineRule="exact"/>
        <w:rPr>
          <w:rFonts w:ascii="Arial" w:cs="Arial" w:eastAsia="Arial" w:hAnsi="Arial"/>
          <w:sz w:val="16"/>
          <w:szCs w:val="16"/>
          <w:color w:val="auto"/>
        </w:rPr>
      </w:pPr>
    </w:p>
    <w:p>
      <w:pPr>
        <w:ind w:left="1227" w:hanging="610"/>
        <w:spacing w:after="0"/>
        <w:tabs>
          <w:tab w:leader="none" w:pos="122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where these Articles expressly permit, by the Company by means of a website.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Electronic communications</w:t>
      </w:r>
    </w:p>
    <w:p>
      <w:pPr>
        <w:spacing w:after="0" w:line="194"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30.2</w:t>
      </w:r>
      <w:r>
        <w:rPr>
          <w:sz w:val="20"/>
          <w:szCs w:val="20"/>
          <w:color w:val="auto"/>
        </w:rPr>
        <w:tab/>
      </w:r>
      <w:r>
        <w:rPr>
          <w:rFonts w:ascii="Arial" w:cs="Arial" w:eastAsia="Arial" w:hAnsi="Arial"/>
          <w:sz w:val="16"/>
          <w:szCs w:val="16"/>
          <w:color w:val="auto"/>
        </w:rPr>
        <w:t>Without limitation to Articles 16.1 to 16.4 inclusive (relating to the appointment and removal by directors of alternate directors) and to Articles 18.8 to 18.10 inclusive (relating to the appointment by directors of proxies), a notice may only be given to the Company in an Electronic Record if:</w:t>
      </w:r>
    </w:p>
    <w:p>
      <w:pPr>
        <w:spacing w:after="0" w:line="163" w:lineRule="exact"/>
        <w:rPr>
          <w:sz w:val="20"/>
          <w:szCs w:val="20"/>
          <w:color w:val="auto"/>
        </w:rPr>
      </w:pPr>
    </w:p>
    <w:p>
      <w:pPr>
        <w:ind w:left="1227" w:hanging="610"/>
        <w:spacing w:after="0"/>
        <w:tabs>
          <w:tab w:leader="none" w:pos="122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directors so resolve;</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resolution states how an Electronic Record may be given and, if applicable, specifies an email address for the Company; and</w:t>
      </w:r>
    </w:p>
    <w:p>
      <w:pPr>
        <w:spacing w:after="0" w:line="188" w:lineRule="exact"/>
        <w:rPr>
          <w:rFonts w:ascii="Arial" w:cs="Arial" w:eastAsia="Arial" w:hAnsi="Arial"/>
          <w:sz w:val="16"/>
          <w:szCs w:val="16"/>
          <w:color w:val="auto"/>
        </w:rPr>
      </w:pPr>
    </w:p>
    <w:p>
      <w:pPr>
        <w:ind w:left="1227" w:hanging="610"/>
        <w:spacing w:after="0" w:line="258" w:lineRule="auto"/>
        <w:tabs>
          <w:tab w:leader="none" w:pos="122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terms of that resolution are notified to the Members for the time being and, if applicable, to those directors who were absent from the meeting at which the resolution was passed.</w:t>
      </w:r>
    </w:p>
    <w:p>
      <w:pPr>
        <w:spacing w:after="0" w:line="163" w:lineRule="exact"/>
        <w:rPr>
          <w:sz w:val="20"/>
          <w:szCs w:val="20"/>
          <w:color w:val="auto"/>
        </w:rPr>
      </w:pPr>
    </w:p>
    <w:p>
      <w:pPr>
        <w:ind w:left="627"/>
        <w:spacing w:after="0"/>
        <w:rPr>
          <w:sz w:val="20"/>
          <w:szCs w:val="20"/>
          <w:color w:val="auto"/>
        </w:rPr>
      </w:pPr>
      <w:r>
        <w:rPr>
          <w:rFonts w:ascii="Arial" w:cs="Arial" w:eastAsia="Arial" w:hAnsi="Arial"/>
          <w:sz w:val="16"/>
          <w:szCs w:val="16"/>
          <w:color w:val="auto"/>
        </w:rPr>
        <w:t>If the resolution is revoked or varied, the revocation or variation shall only become effective when its terms have been similarly notified.</w:t>
      </w:r>
    </w:p>
    <w:p>
      <w:pPr>
        <w:spacing w:after="0" w:line="188"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30.3</w:t>
      </w:r>
      <w:r>
        <w:rPr>
          <w:sz w:val="20"/>
          <w:szCs w:val="20"/>
          <w:color w:val="auto"/>
        </w:rPr>
        <w:tab/>
      </w:r>
      <w:r>
        <w:rPr>
          <w:rFonts w:ascii="Arial" w:cs="Arial" w:eastAsia="Arial" w:hAnsi="Arial"/>
          <w:sz w:val="16"/>
          <w:szCs w:val="16"/>
          <w:color w:val="auto"/>
        </w:rPr>
        <w:t>A notice may not be given by Electronic Record to a person other than the Company unless the recipient has notified the giver of an Electronic address to which notice may be sent.</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Persons authorised to give notices</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30.4</w:t>
      </w:r>
      <w:r>
        <w:rPr>
          <w:sz w:val="20"/>
          <w:szCs w:val="20"/>
          <w:color w:val="auto"/>
        </w:rPr>
        <w:tab/>
      </w:r>
      <w:r>
        <w:rPr>
          <w:rFonts w:ascii="Arial" w:cs="Arial" w:eastAsia="Arial" w:hAnsi="Arial"/>
          <w:sz w:val="16"/>
          <w:szCs w:val="16"/>
          <w:color w:val="auto"/>
        </w:rPr>
        <w:t>A notice by either the Company or a Member pursuant to these Articles may be given on behalf of the Company or a Member by a director or company secretary of the Company or a Member.</w:t>
      </w: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55" w:name="page256"/>
    <w:bookmarkEnd w:id="255"/>
    <w:p>
      <w:pPr>
        <w:spacing w:after="0"/>
        <w:rPr>
          <w:sz w:val="20"/>
          <w:szCs w:val="20"/>
          <w:color w:val="auto"/>
        </w:rPr>
      </w:pPr>
      <w:r>
        <w:rPr>
          <w:rFonts w:ascii="Arial" w:cs="Arial" w:eastAsia="Arial" w:hAnsi="Arial"/>
          <w:sz w:val="16"/>
          <w:szCs w:val="16"/>
          <w:b w:val="1"/>
          <w:bCs w:val="1"/>
          <w:color w:val="auto"/>
        </w:rPr>
        <w:t>Delivery of written notices</w:t>
      </w:r>
    </w:p>
    <w:p>
      <w:pPr>
        <w:spacing w:after="0" w:line="194" w:lineRule="exact"/>
        <w:rPr>
          <w:sz w:val="20"/>
          <w:szCs w:val="20"/>
          <w:color w:val="auto"/>
        </w:rPr>
      </w:pPr>
    </w:p>
    <w:p>
      <w:pPr>
        <w:jc w:val="both"/>
        <w:ind w:left="600" w:hanging="616"/>
        <w:spacing w:after="0" w:line="258" w:lineRule="auto"/>
        <w:tabs>
          <w:tab w:leader="none" w:pos="580" w:val="left"/>
        </w:tabs>
        <w:rPr>
          <w:sz w:val="20"/>
          <w:szCs w:val="20"/>
          <w:color w:val="auto"/>
        </w:rPr>
      </w:pPr>
      <w:r>
        <w:rPr>
          <w:rFonts w:ascii="Arial" w:cs="Arial" w:eastAsia="Arial" w:hAnsi="Arial"/>
          <w:sz w:val="16"/>
          <w:szCs w:val="16"/>
          <w:color w:val="auto"/>
        </w:rPr>
        <w:t>30.5</w:t>
      </w:r>
      <w:r>
        <w:rPr>
          <w:sz w:val="20"/>
          <w:szCs w:val="20"/>
          <w:color w:val="auto"/>
        </w:rPr>
        <w:tab/>
      </w:r>
      <w:r>
        <w:rPr>
          <w:rFonts w:ascii="Arial" w:cs="Arial" w:eastAsia="Arial" w:hAnsi="Arial"/>
          <w:sz w:val="16"/>
          <w:szCs w:val="16"/>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holders</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30.6</w:t>
      </w:r>
      <w:r>
        <w:rPr>
          <w:sz w:val="20"/>
          <w:szCs w:val="20"/>
          <w:color w:val="auto"/>
        </w:rPr>
        <w:tab/>
      </w:r>
      <w:r>
        <w:rPr>
          <w:rFonts w:ascii="Arial" w:cs="Arial" w:eastAsia="Arial" w:hAnsi="Arial"/>
          <w:sz w:val="14"/>
          <w:szCs w:val="14"/>
          <w:color w:val="auto"/>
        </w:rPr>
        <w:t>Where Members are joint holders of a Share, all notices shall be given to the Member whose name first appears in the register of members.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30.7</w:t>
      </w:r>
      <w:r>
        <w:rPr>
          <w:sz w:val="20"/>
          <w:szCs w:val="20"/>
          <w:color w:val="auto"/>
        </w:rPr>
        <w:tab/>
      </w:r>
      <w:r>
        <w:rPr>
          <w:rFonts w:ascii="Arial" w:cs="Arial" w:eastAsia="Arial" w:hAnsi="Arial"/>
          <w:sz w:val="14"/>
          <w:szCs w:val="14"/>
          <w:color w:val="auto"/>
        </w:rPr>
        <w:t>A written notice shall be signed when it is autographed by or on behalf of the giver, or is marked in such a way as to indicate its execution or adoption by the giver.</w:t>
      </w:r>
    </w:p>
    <w:p>
      <w:pPr>
        <w:spacing w:after="0" w:line="188"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30.8</w:t>
      </w:r>
      <w:r>
        <w:rPr>
          <w:sz w:val="20"/>
          <w:szCs w:val="20"/>
          <w:color w:val="auto"/>
        </w:rPr>
        <w:tab/>
      </w:r>
      <w:r>
        <w:rPr>
          <w:rFonts w:ascii="Arial" w:cs="Arial" w:eastAsia="Arial" w:hAnsi="Arial"/>
          <w:sz w:val="14"/>
          <w:szCs w:val="14"/>
          <w:color w:val="auto"/>
        </w:rPr>
        <w:t>An Electronic Record may be signed by an Electronic 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Evidence of transmission</w:t>
      </w:r>
    </w:p>
    <w:p>
      <w:pPr>
        <w:spacing w:after="0" w:line="194" w:lineRule="exact"/>
        <w:rPr>
          <w:sz w:val="20"/>
          <w:szCs w:val="20"/>
          <w:color w:val="auto"/>
        </w:rPr>
      </w:pPr>
    </w:p>
    <w:p>
      <w:pPr>
        <w:jc w:val="both"/>
        <w:ind w:left="600" w:hanging="616"/>
        <w:spacing w:after="0" w:line="258" w:lineRule="auto"/>
        <w:tabs>
          <w:tab w:leader="none" w:pos="580" w:val="left"/>
        </w:tabs>
        <w:rPr>
          <w:sz w:val="20"/>
          <w:szCs w:val="20"/>
          <w:color w:val="auto"/>
        </w:rPr>
      </w:pPr>
      <w:r>
        <w:rPr>
          <w:rFonts w:ascii="Arial" w:cs="Arial" w:eastAsia="Arial" w:hAnsi="Arial"/>
          <w:sz w:val="16"/>
          <w:szCs w:val="16"/>
          <w:color w:val="auto"/>
        </w:rPr>
        <w:t>30.9</w:t>
      </w:r>
      <w:r>
        <w:rPr>
          <w:sz w:val="20"/>
          <w:szCs w:val="20"/>
          <w:color w:val="auto"/>
        </w:rPr>
        <w:tab/>
      </w:r>
      <w:r>
        <w:rPr>
          <w:rFonts w:ascii="Arial" w:cs="Arial" w:eastAsia="Arial" w:hAnsi="Arial"/>
          <w:sz w:val="16"/>
          <w:szCs w:val="16"/>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63" w:lineRule="exact"/>
        <w:rPr>
          <w:sz w:val="20"/>
          <w:szCs w:val="20"/>
          <w:color w:val="auto"/>
        </w:rPr>
      </w:pPr>
    </w:p>
    <w:p>
      <w:pPr>
        <w:jc w:val="both"/>
        <w:ind w:left="600" w:hanging="616"/>
        <w:spacing w:after="0" w:line="258" w:lineRule="auto"/>
        <w:tabs>
          <w:tab w:leader="none" w:pos="580" w:val="left"/>
        </w:tabs>
        <w:rPr>
          <w:sz w:val="20"/>
          <w:szCs w:val="20"/>
          <w:color w:val="auto"/>
        </w:rPr>
      </w:pPr>
      <w:r>
        <w:rPr>
          <w:rFonts w:ascii="Arial" w:cs="Arial" w:eastAsia="Arial" w:hAnsi="Arial"/>
          <w:sz w:val="16"/>
          <w:szCs w:val="16"/>
          <w:color w:val="auto"/>
        </w:rPr>
        <w:t>30.10</w:t>
      </w:r>
      <w:r>
        <w:rPr>
          <w:sz w:val="20"/>
          <w:szCs w:val="20"/>
          <w:color w:val="auto"/>
        </w:rPr>
        <w:tab/>
      </w:r>
      <w:r>
        <w:rPr>
          <w:rFonts w:ascii="Arial" w:cs="Arial" w:eastAsia="Arial" w:hAnsi="Arial"/>
          <w:sz w:val="16"/>
          <w:szCs w:val="16"/>
          <w:color w:val="auto"/>
        </w:rPr>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Giving notice to a deceased or bankrupt Member</w:t>
      </w:r>
    </w:p>
    <w:p>
      <w:pPr>
        <w:spacing w:after="0" w:line="194" w:lineRule="exact"/>
        <w:rPr>
          <w:sz w:val="20"/>
          <w:szCs w:val="20"/>
          <w:color w:val="auto"/>
        </w:rPr>
      </w:pPr>
    </w:p>
    <w:p>
      <w:pPr>
        <w:jc w:val="both"/>
        <w:ind w:left="600" w:right="20" w:hanging="616"/>
        <w:spacing w:after="0" w:line="303" w:lineRule="auto"/>
        <w:tabs>
          <w:tab w:leader="none" w:pos="580" w:val="left"/>
        </w:tabs>
        <w:rPr>
          <w:sz w:val="20"/>
          <w:szCs w:val="20"/>
          <w:color w:val="auto"/>
        </w:rPr>
      </w:pPr>
      <w:r>
        <w:rPr>
          <w:rFonts w:ascii="Arial" w:cs="Arial" w:eastAsia="Arial" w:hAnsi="Arial"/>
          <w:sz w:val="16"/>
          <w:szCs w:val="16"/>
          <w:color w:val="auto"/>
        </w:rPr>
        <w:t>30.11</w:t>
      </w:r>
      <w:r>
        <w:rPr>
          <w:sz w:val="20"/>
          <w:szCs w:val="20"/>
          <w:color w:val="auto"/>
        </w:rPr>
        <w:tab/>
      </w:r>
      <w:r>
        <w:rPr>
          <w:rFonts w:ascii="Arial" w:cs="Arial" w:eastAsia="Arial" w:hAnsi="Arial"/>
          <w:sz w:val="14"/>
          <w:szCs w:val="14"/>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35"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30.12</w:t>
      </w:r>
      <w:r>
        <w:rPr>
          <w:sz w:val="20"/>
          <w:szCs w:val="20"/>
          <w:color w:val="auto"/>
        </w:rPr>
        <w:tab/>
      </w:r>
      <w:r>
        <w:rPr>
          <w:rFonts w:ascii="Arial" w:cs="Arial" w:eastAsia="Arial" w:hAnsi="Arial"/>
          <w:sz w:val="14"/>
          <w:szCs w:val="14"/>
          <w:color w:val="auto"/>
        </w:rPr>
        <w:t>Until such an address has been supplied, a notice may be given in any manner in which it might have been given if the death or bankruptcy had not occurred.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giving notices</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30.13</w:t>
      </w:r>
      <w:r>
        <w:rPr>
          <w:sz w:val="20"/>
          <w:szCs w:val="20"/>
          <w:color w:val="auto"/>
        </w:rPr>
        <w:tab/>
      </w:r>
      <w:r>
        <w:rPr>
          <w:rFonts w:ascii="Arial" w:cs="Arial" w:eastAsia="Arial" w:hAnsi="Arial"/>
          <w:sz w:val="14"/>
          <w:szCs w:val="14"/>
          <w:color w:val="auto"/>
        </w:rPr>
        <w:t>A notice is given on the date identified in the following table.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256" w:name="page257"/>
    <w:bookmarkEnd w:id="256"/>
    <w:tbl>
      <w:tblPr>
        <w:tblLayout w:type="fixed"/>
        <w:tblInd w:w="7" w:type="dxa"/>
        <w:tblCellMar>
          <w:top w:w="0" w:type="dxa"/>
          <w:left w:w="0" w:type="dxa"/>
          <w:bottom w:w="0" w:type="dxa"/>
          <w:right w:w="0" w:type="dxa"/>
        </w:tblCellMar>
      </w:tblPr>
      <w:tr>
        <w:trPr>
          <w:trHeight w:val="279"/>
        </w:trPr>
        <w:tc>
          <w:tcPr>
            <w:tcW w:w="580" w:type="dxa"/>
            <w:vAlign w:val="bottom"/>
            <w:tcBorders>
              <w:right w:val="single" w:sz="8" w:color="auto"/>
            </w:tcBorders>
          </w:tcPr>
          <w:p>
            <w:pPr>
              <w:spacing w:after="0"/>
              <w:rPr>
                <w:sz w:val="24"/>
                <w:szCs w:val="24"/>
                <w:color w:val="auto"/>
              </w:rPr>
            </w:pPr>
          </w:p>
        </w:tc>
        <w:tc>
          <w:tcPr>
            <w:tcW w:w="5060" w:type="dxa"/>
            <w:vAlign w:val="bottom"/>
            <w:tcBorders>
              <w:top w:val="single" w:sz="8" w:color="auto"/>
              <w:right w:val="single" w:sz="8" w:color="auto"/>
            </w:tcBorders>
            <w:shd w:val="clear" w:color="auto" w:fill="E6E6E6"/>
          </w:tcPr>
          <w:p>
            <w:pPr>
              <w:ind w:left="80"/>
              <w:spacing w:after="0"/>
              <w:rPr>
                <w:sz w:val="20"/>
                <w:szCs w:val="20"/>
                <w:color w:val="auto"/>
              </w:rPr>
            </w:pPr>
            <w:r>
              <w:rPr>
                <w:rFonts w:ascii="Arial" w:cs="Arial" w:eastAsia="Arial" w:hAnsi="Arial"/>
                <w:sz w:val="16"/>
                <w:szCs w:val="16"/>
                <w:b w:val="1"/>
                <w:bCs w:val="1"/>
                <w:color w:val="auto"/>
              </w:rPr>
              <w:t>Method for giving notices</w:t>
            </w:r>
          </w:p>
        </w:tc>
        <w:tc>
          <w:tcPr>
            <w:tcW w:w="5060" w:type="dxa"/>
            <w:vAlign w:val="bottom"/>
            <w:tcBorders>
              <w:top w:val="single" w:sz="8" w:color="auto"/>
              <w:right w:val="single" w:sz="8" w:color="auto"/>
            </w:tcBorders>
            <w:shd w:val="clear" w:color="auto" w:fill="E6E6E6"/>
          </w:tcPr>
          <w:p>
            <w:pPr>
              <w:ind w:left="80"/>
              <w:spacing w:after="0"/>
              <w:rPr>
                <w:sz w:val="20"/>
                <w:szCs w:val="20"/>
                <w:color w:val="auto"/>
              </w:rPr>
            </w:pPr>
            <w:r>
              <w:rPr>
                <w:rFonts w:ascii="Arial" w:cs="Arial" w:eastAsia="Arial" w:hAnsi="Arial"/>
                <w:sz w:val="16"/>
                <w:szCs w:val="16"/>
                <w:b w:val="1"/>
                <w:bCs w:val="1"/>
                <w:color w:val="auto"/>
              </w:rPr>
              <w:t>When taken to be given</w:t>
            </w:r>
          </w:p>
        </w:tc>
      </w:tr>
      <w:tr>
        <w:trPr>
          <w:trHeight w:val="82"/>
        </w:trPr>
        <w:tc>
          <w:tcPr>
            <w:tcW w:w="580" w:type="dxa"/>
            <w:vAlign w:val="bottom"/>
            <w:tcBorders>
              <w:right w:val="single" w:sz="8" w:color="auto"/>
            </w:tcBorders>
          </w:tcPr>
          <w:p>
            <w:pPr>
              <w:spacing w:after="0"/>
              <w:rPr>
                <w:sz w:val="7"/>
                <w:szCs w:val="7"/>
                <w:color w:val="auto"/>
              </w:rPr>
            </w:pPr>
          </w:p>
        </w:tc>
        <w:tc>
          <w:tcPr>
            <w:tcW w:w="5060" w:type="dxa"/>
            <w:vAlign w:val="bottom"/>
            <w:tcBorders>
              <w:bottom w:val="single" w:sz="8" w:color="auto"/>
              <w:right w:val="single" w:sz="8" w:color="auto"/>
            </w:tcBorders>
            <w:shd w:val="clear" w:color="auto" w:fill="E6E6E6"/>
          </w:tcPr>
          <w:p>
            <w:pPr>
              <w:spacing w:after="0"/>
              <w:rPr>
                <w:sz w:val="7"/>
                <w:szCs w:val="7"/>
                <w:color w:val="auto"/>
              </w:rPr>
            </w:pPr>
          </w:p>
        </w:tc>
        <w:tc>
          <w:tcPr>
            <w:tcW w:w="5060" w:type="dxa"/>
            <w:vAlign w:val="bottom"/>
            <w:tcBorders>
              <w:bottom w:val="single" w:sz="8" w:color="auto"/>
              <w:right w:val="single" w:sz="8" w:color="auto"/>
            </w:tcBorders>
            <w:shd w:val="clear" w:color="auto" w:fill="E6E6E6"/>
          </w:tcPr>
          <w:p>
            <w:pPr>
              <w:spacing w:after="0"/>
              <w:rPr>
                <w:sz w:val="7"/>
                <w:szCs w:val="7"/>
                <w:color w:val="auto"/>
              </w:rPr>
            </w:pPr>
          </w:p>
        </w:tc>
      </w:tr>
      <w:tr>
        <w:trPr>
          <w:trHeight w:val="265"/>
        </w:trPr>
        <w:tc>
          <w:tcPr>
            <w:tcW w:w="580" w:type="dxa"/>
            <w:vAlign w:val="bottom"/>
            <w:tcBorders>
              <w:right w:val="single" w:sz="8" w:color="auto"/>
            </w:tcBorders>
          </w:tcPr>
          <w:p>
            <w:pPr>
              <w:spacing w:after="0"/>
              <w:rPr>
                <w:sz w:val="23"/>
                <w:szCs w:val="23"/>
                <w:color w:val="auto"/>
              </w:rPr>
            </w:pPr>
          </w:p>
        </w:tc>
        <w:tc>
          <w:tcPr>
            <w:tcW w:w="5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Personally</w:t>
            </w:r>
          </w:p>
        </w:tc>
        <w:tc>
          <w:tcPr>
            <w:tcW w:w="5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At the time and date of delivery</w:t>
            </w:r>
          </w:p>
        </w:tc>
      </w:tr>
      <w:tr>
        <w:trPr>
          <w:trHeight w:val="265"/>
        </w:trPr>
        <w:tc>
          <w:tcPr>
            <w:tcW w:w="580" w:type="dxa"/>
            <w:vAlign w:val="bottom"/>
            <w:tcBorders>
              <w:right w:val="single" w:sz="8" w:color="auto"/>
            </w:tcBorders>
          </w:tcPr>
          <w:p>
            <w:pPr>
              <w:spacing w:after="0"/>
              <w:rPr>
                <w:sz w:val="23"/>
                <w:szCs w:val="23"/>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By leaving address it at the member's registered</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 the time and date it was left</w:t>
            </w:r>
          </w:p>
        </w:tc>
      </w:tr>
      <w:tr>
        <w:trPr>
          <w:trHeight w:val="82"/>
        </w:trPr>
        <w:tc>
          <w:tcPr>
            <w:tcW w:w="580" w:type="dxa"/>
            <w:vAlign w:val="bottom"/>
            <w:tcBorders>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r>
      <w:tr>
        <w:trPr>
          <w:trHeight w:val="249"/>
        </w:trPr>
        <w:tc>
          <w:tcPr>
            <w:tcW w:w="580" w:type="dxa"/>
            <w:vAlign w:val="bottom"/>
            <w:tcBorders>
              <w:right w:val="single" w:sz="8" w:color="auto"/>
            </w:tcBorders>
          </w:tcPr>
          <w:p>
            <w:pPr>
              <w:spacing w:after="0"/>
              <w:rPr>
                <w:sz w:val="21"/>
                <w:szCs w:val="21"/>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89"/>
              </w:rPr>
              <w:t>If the recipient has an address within the Islands, by posting it by prepaid post</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48 hours after it was posted</w:t>
            </w:r>
          </w:p>
        </w:tc>
      </w:tr>
      <w:tr>
        <w:trPr>
          <w:trHeight w:val="196"/>
        </w:trPr>
        <w:tc>
          <w:tcPr>
            <w:tcW w:w="58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the street or postal address of that recipient</w:t>
            </w:r>
          </w:p>
        </w:tc>
        <w:tc>
          <w:tcPr>
            <w:tcW w:w="5060" w:type="dxa"/>
            <w:vAlign w:val="bottom"/>
            <w:tcBorders>
              <w:right w:val="single" w:sz="8" w:color="auto"/>
            </w:tcBorders>
          </w:tcPr>
          <w:p>
            <w:pPr>
              <w:spacing w:after="0"/>
              <w:rPr>
                <w:sz w:val="17"/>
                <w:szCs w:val="17"/>
                <w:color w:val="auto"/>
              </w:rPr>
            </w:pPr>
          </w:p>
        </w:tc>
      </w:tr>
      <w:tr>
        <w:trPr>
          <w:trHeight w:val="82"/>
        </w:trPr>
        <w:tc>
          <w:tcPr>
            <w:tcW w:w="580" w:type="dxa"/>
            <w:vAlign w:val="bottom"/>
            <w:tcBorders>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r>
      <w:tr>
        <w:trPr>
          <w:trHeight w:val="249"/>
        </w:trPr>
        <w:tc>
          <w:tcPr>
            <w:tcW w:w="580" w:type="dxa"/>
            <w:vAlign w:val="bottom"/>
            <w:tcBorders>
              <w:right w:val="single" w:sz="8" w:color="auto"/>
            </w:tcBorders>
          </w:tcPr>
          <w:p>
            <w:pPr>
              <w:spacing w:after="0"/>
              <w:rPr>
                <w:sz w:val="21"/>
                <w:szCs w:val="21"/>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3"/>
              </w:rPr>
              <w:t>If the recipient has an address outside the Islands, by posting it by prepaid</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7 Clear Days after posting</w:t>
            </w:r>
          </w:p>
        </w:tc>
      </w:tr>
      <w:tr>
        <w:trPr>
          <w:trHeight w:val="196"/>
        </w:trPr>
        <w:tc>
          <w:tcPr>
            <w:tcW w:w="58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airmail to the street or postal address of that recipient</w:t>
            </w:r>
          </w:p>
        </w:tc>
        <w:tc>
          <w:tcPr>
            <w:tcW w:w="5060" w:type="dxa"/>
            <w:vAlign w:val="bottom"/>
            <w:tcBorders>
              <w:right w:val="single" w:sz="8" w:color="auto"/>
            </w:tcBorders>
          </w:tcPr>
          <w:p>
            <w:pPr>
              <w:spacing w:after="0"/>
              <w:rPr>
                <w:sz w:val="17"/>
                <w:szCs w:val="17"/>
                <w:color w:val="auto"/>
              </w:rPr>
            </w:pPr>
          </w:p>
        </w:tc>
      </w:tr>
      <w:tr>
        <w:trPr>
          <w:trHeight w:val="82"/>
        </w:trPr>
        <w:tc>
          <w:tcPr>
            <w:tcW w:w="580" w:type="dxa"/>
            <w:vAlign w:val="bottom"/>
            <w:tcBorders>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r>
      <w:tr>
        <w:trPr>
          <w:trHeight w:val="249"/>
        </w:trPr>
        <w:tc>
          <w:tcPr>
            <w:tcW w:w="580" w:type="dxa"/>
            <w:vAlign w:val="bottom"/>
            <w:tcBorders>
              <w:right w:val="single" w:sz="8" w:color="auto"/>
            </w:tcBorders>
          </w:tcPr>
          <w:p>
            <w:pPr>
              <w:spacing w:after="0"/>
              <w:rPr>
                <w:sz w:val="21"/>
                <w:szCs w:val="21"/>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By Electronic Record (other than publication on a website), to recipient's</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Within 24 hours after it was sent</w:t>
            </w:r>
          </w:p>
        </w:tc>
      </w:tr>
      <w:tr>
        <w:trPr>
          <w:trHeight w:val="196"/>
        </w:trPr>
        <w:tc>
          <w:tcPr>
            <w:tcW w:w="58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Electronic address</w:t>
            </w:r>
          </w:p>
        </w:tc>
        <w:tc>
          <w:tcPr>
            <w:tcW w:w="5060" w:type="dxa"/>
            <w:vAlign w:val="bottom"/>
            <w:tcBorders>
              <w:right w:val="single" w:sz="8" w:color="auto"/>
            </w:tcBorders>
          </w:tcPr>
          <w:p>
            <w:pPr>
              <w:spacing w:after="0"/>
              <w:rPr>
                <w:sz w:val="17"/>
                <w:szCs w:val="17"/>
                <w:color w:val="auto"/>
              </w:rPr>
            </w:pPr>
          </w:p>
        </w:tc>
      </w:tr>
      <w:tr>
        <w:trPr>
          <w:trHeight w:val="82"/>
        </w:trPr>
        <w:tc>
          <w:tcPr>
            <w:tcW w:w="580" w:type="dxa"/>
            <w:vAlign w:val="bottom"/>
            <w:tcBorders>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r>
      <w:tr>
        <w:trPr>
          <w:trHeight w:val="249"/>
        </w:trPr>
        <w:tc>
          <w:tcPr>
            <w:tcW w:w="580" w:type="dxa"/>
            <w:vAlign w:val="bottom"/>
            <w:tcBorders>
              <w:right w:val="single" w:sz="8" w:color="auto"/>
            </w:tcBorders>
          </w:tcPr>
          <w:p>
            <w:pPr>
              <w:spacing w:after="0"/>
              <w:rPr>
                <w:sz w:val="21"/>
                <w:szCs w:val="21"/>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By publication on a website</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See the Articles about the time when notice of a meeting of Members or</w:t>
            </w:r>
          </w:p>
        </w:tc>
      </w:tr>
      <w:tr>
        <w:trPr>
          <w:trHeight w:val="196"/>
        </w:trPr>
        <w:tc>
          <w:tcPr>
            <w:tcW w:w="58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spacing w:after="0"/>
              <w:rPr>
                <w:sz w:val="17"/>
                <w:szCs w:val="17"/>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accounts and reports, as the case may be, are published on a website</w:t>
            </w:r>
          </w:p>
        </w:tc>
      </w:tr>
      <w:tr>
        <w:trPr>
          <w:trHeight w:val="82"/>
        </w:trPr>
        <w:tc>
          <w:tcPr>
            <w:tcW w:w="580" w:type="dxa"/>
            <w:vAlign w:val="bottom"/>
            <w:tcBorders>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c>
          <w:tcPr>
            <w:tcW w:w="5060" w:type="dxa"/>
            <w:vAlign w:val="bottom"/>
            <w:tcBorders>
              <w:bottom w:val="single" w:sz="8" w:color="auto"/>
              <w:right w:val="single" w:sz="8" w:color="auto"/>
            </w:tcBorders>
          </w:tcPr>
          <w:p>
            <w:pPr>
              <w:spacing w:after="0"/>
              <w:rPr>
                <w:sz w:val="7"/>
                <w:szCs w:val="7"/>
                <w:color w:val="auto"/>
              </w:rPr>
            </w:pPr>
          </w:p>
        </w:tc>
      </w:tr>
      <w:tr>
        <w:trPr>
          <w:trHeight w:val="363"/>
        </w:trPr>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Saving provision</w:t>
            </w:r>
          </w:p>
        </w:tc>
        <w:tc>
          <w:tcPr>
            <w:tcW w:w="5060" w:type="dxa"/>
            <w:vAlign w:val="bottom"/>
          </w:tcPr>
          <w:p>
            <w:pPr>
              <w:spacing w:after="0"/>
              <w:rPr>
                <w:sz w:val="24"/>
                <w:szCs w:val="24"/>
                <w:color w:val="auto"/>
              </w:rPr>
            </w:pPr>
          </w:p>
        </w:tc>
      </w:tr>
    </w:tbl>
    <w:p>
      <w:pPr>
        <w:spacing w:after="0" w:line="176"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30.14</w:t>
      </w:r>
      <w:r>
        <w:rPr>
          <w:sz w:val="20"/>
          <w:szCs w:val="20"/>
          <w:color w:val="auto"/>
        </w:rPr>
        <w:tab/>
      </w:r>
      <w:r>
        <w:rPr>
          <w:rFonts w:ascii="Arial" w:cs="Arial" w:eastAsia="Arial" w:hAnsi="Arial"/>
          <w:sz w:val="14"/>
          <w:szCs w:val="14"/>
          <w:color w:val="auto"/>
        </w:rPr>
        <w:t>None of the preceding notice provisions shall derogate from the Articles about the delivery of written resolutions of directors and written resolutions of Members.</w:t>
      </w:r>
    </w:p>
    <w:p>
      <w:pPr>
        <w:spacing w:after="0" w:line="182" w:lineRule="exact"/>
        <w:rPr>
          <w:sz w:val="20"/>
          <w:szCs w:val="20"/>
          <w:color w:val="auto"/>
        </w:rPr>
      </w:pPr>
    </w:p>
    <w:p>
      <w:pPr>
        <w:ind w:left="7" w:right="8200" w:hanging="7"/>
        <w:spacing w:after="0" w:line="489" w:lineRule="auto"/>
        <w:tabs>
          <w:tab w:leader="none" w:pos="624"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Authentication of Electronic Records Application of Articles</w:t>
      </w:r>
    </w:p>
    <w:p>
      <w:pPr>
        <w:spacing w:after="0" w:line="1" w:lineRule="exact"/>
        <w:rPr>
          <w:sz w:val="20"/>
          <w:szCs w:val="20"/>
          <w:color w:val="auto"/>
        </w:rPr>
      </w:pPr>
    </w:p>
    <w:p>
      <w:pPr>
        <w:ind w:left="607" w:hanging="616"/>
        <w:spacing w:after="0" w:line="329" w:lineRule="auto"/>
        <w:tabs>
          <w:tab w:leader="none" w:pos="587"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4"/>
          <w:szCs w:val="14"/>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31.2 or Article 31.4 applies.</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Authentication of documents sent by Members by Electronic means</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An Electronic Record of a notice, written resolution or other document sent by Electronic means by or on behalf of one or more Members shall be deemed to be authentic if the following conditions are satisfied:</w:t>
      </w:r>
    </w:p>
    <w:p>
      <w:pPr>
        <w:spacing w:after="0" w:line="157" w:lineRule="exact"/>
        <w:rPr>
          <w:sz w:val="20"/>
          <w:szCs w:val="20"/>
          <w:color w:val="auto"/>
        </w:rPr>
      </w:pPr>
    </w:p>
    <w:p>
      <w:pPr>
        <w:ind w:left="1227" w:right="20" w:hanging="610"/>
        <w:spacing w:after="0" w:line="266" w:lineRule="auto"/>
        <w:tabs>
          <w:tab w:leader="none" w:pos="122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the Member or each Member, as the case may be, signed the original document, and for this purpose </w:t>
      </w:r>
      <w:r>
        <w:rPr>
          <w:rFonts w:ascii="Arial" w:cs="Arial" w:eastAsia="Arial" w:hAnsi="Arial"/>
          <w:sz w:val="16"/>
          <w:szCs w:val="16"/>
          <w:b w:val="1"/>
          <w:bCs w:val="1"/>
          <w:color w:val="auto"/>
        </w:rPr>
        <w:t>Original Document</w:t>
      </w:r>
      <w:r>
        <w:rPr>
          <w:rFonts w:ascii="Arial" w:cs="Arial" w:eastAsia="Arial" w:hAnsi="Arial"/>
          <w:sz w:val="16"/>
          <w:szCs w:val="16"/>
          <w:color w:val="auto"/>
        </w:rPr>
        <w:t xml:space="preserve"> includes several documents in like form signed by one or more of those Members; and</w:t>
      </w:r>
    </w:p>
    <w:p>
      <w:pPr>
        <w:spacing w:after="0" w:line="200" w:lineRule="exact"/>
        <w:rPr>
          <w:sz w:val="20"/>
          <w:szCs w:val="20"/>
          <w:color w:val="auto"/>
        </w:rPr>
      </w:pPr>
    </w:p>
    <w:p>
      <w:pPr>
        <w:spacing w:after="0" w:line="30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678" w:right="319" w:bottom="1440" w:gutter="0" w:footer="0" w:header="0"/>
        </w:sectPr>
      </w:pPr>
    </w:p>
    <w:bookmarkStart w:id="257" w:name="page258"/>
    <w:bookmarkEnd w:id="257"/>
    <w:p>
      <w:pPr>
        <w:ind w:left="1220" w:right="20" w:hanging="610"/>
        <w:spacing w:after="0" w:line="258" w:lineRule="auto"/>
        <w:tabs>
          <w:tab w:leader="none" w:pos="1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Electronic Record of the Original Document was sent by Electronic means by, or at the direction of, that Member to an address specified in accordance with these Articles for the purpose for which it was sent; and</w:t>
      </w:r>
    </w:p>
    <w:p>
      <w:pPr>
        <w:spacing w:after="0" w:line="162" w:lineRule="exact"/>
        <w:rPr>
          <w:rFonts w:ascii="Arial" w:cs="Arial" w:eastAsia="Arial" w:hAnsi="Arial"/>
          <w:sz w:val="16"/>
          <w:szCs w:val="16"/>
          <w:color w:val="auto"/>
        </w:rPr>
      </w:pPr>
    </w:p>
    <w:p>
      <w:pPr>
        <w:ind w:left="1220" w:hanging="610"/>
        <w:spacing w:after="0"/>
        <w:tabs>
          <w:tab w:leader="none" w:pos="1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Article 31.7 does not apply.</w:t>
      </w:r>
    </w:p>
    <w:p>
      <w:pPr>
        <w:spacing w:after="0" w:line="188" w:lineRule="exact"/>
        <w:rPr>
          <w:sz w:val="20"/>
          <w:szCs w:val="20"/>
          <w:color w:val="auto"/>
        </w:rPr>
      </w:pPr>
    </w:p>
    <w:p>
      <w:pPr>
        <w:ind w:left="600" w:right="20" w:hanging="616"/>
        <w:spacing w:after="0" w:line="329" w:lineRule="auto"/>
        <w:tabs>
          <w:tab w:leader="none" w:pos="58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4"/>
          <w:szCs w:val="14"/>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31.7 applies.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Authentication of document sent by the Secretary or Officers of the Company by Electronic means</w:t>
      </w:r>
    </w:p>
    <w:p>
      <w:pPr>
        <w:spacing w:after="0" w:line="194" w:lineRule="exact"/>
        <w:rPr>
          <w:sz w:val="20"/>
          <w:szCs w:val="20"/>
          <w:color w:val="auto"/>
        </w:rPr>
      </w:pPr>
    </w:p>
    <w:p>
      <w:pPr>
        <w:ind w:left="600" w:hanging="616"/>
        <w:spacing w:after="0" w:line="258" w:lineRule="auto"/>
        <w:tabs>
          <w:tab w:leader="none" w:pos="58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 Company shall be deemed to be authentic if the following conditions are satisfied:</w:t>
      </w:r>
    </w:p>
    <w:p>
      <w:pPr>
        <w:spacing w:after="0" w:line="157" w:lineRule="exact"/>
        <w:rPr>
          <w:sz w:val="20"/>
          <w:szCs w:val="20"/>
          <w:color w:val="auto"/>
        </w:rPr>
      </w:pPr>
    </w:p>
    <w:p>
      <w:pPr>
        <w:ind w:left="1220" w:right="20" w:hanging="610"/>
        <w:spacing w:after="0" w:line="266" w:lineRule="auto"/>
        <w:tabs>
          <w:tab w:leader="none" w:pos="12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Secretary or the Officer or each Officer, as the case may be, signed the original document, and for this purpose </w:t>
      </w:r>
      <w:r>
        <w:rPr>
          <w:rFonts w:ascii="Arial" w:cs="Arial" w:eastAsia="Arial" w:hAnsi="Arial"/>
          <w:sz w:val="16"/>
          <w:szCs w:val="16"/>
          <w:b w:val="1"/>
          <w:bCs w:val="1"/>
          <w:color w:val="auto"/>
        </w:rPr>
        <w:t>Original Document</w:t>
      </w:r>
      <w:r>
        <w:rPr>
          <w:rFonts w:ascii="Arial" w:cs="Arial" w:eastAsia="Arial" w:hAnsi="Arial"/>
          <w:sz w:val="16"/>
          <w:szCs w:val="16"/>
          <w:color w:val="auto"/>
        </w:rPr>
        <w:t xml:space="preserve"> includes several documents in like form signed by the Secretary or one or more of those Officers; and</w:t>
      </w:r>
    </w:p>
    <w:p>
      <w:pPr>
        <w:spacing w:after="0" w:line="156" w:lineRule="exact"/>
        <w:rPr>
          <w:rFonts w:ascii="Arial" w:cs="Arial" w:eastAsia="Arial" w:hAnsi="Arial"/>
          <w:sz w:val="16"/>
          <w:szCs w:val="16"/>
          <w:color w:val="auto"/>
        </w:rPr>
      </w:pPr>
    </w:p>
    <w:p>
      <w:pPr>
        <w:ind w:left="1220" w:right="20" w:hanging="610"/>
        <w:spacing w:after="0" w:line="258" w:lineRule="auto"/>
        <w:tabs>
          <w:tab w:leader="none" w:pos="12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2" w:lineRule="exact"/>
        <w:rPr>
          <w:rFonts w:ascii="Arial" w:cs="Arial" w:eastAsia="Arial" w:hAnsi="Arial"/>
          <w:sz w:val="16"/>
          <w:szCs w:val="16"/>
          <w:color w:val="auto"/>
        </w:rPr>
      </w:pPr>
    </w:p>
    <w:p>
      <w:pPr>
        <w:ind w:left="1220" w:hanging="610"/>
        <w:spacing w:after="0"/>
        <w:tabs>
          <w:tab w:leader="none" w:pos="12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Article 31.7 does not apply.</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This Article applies whether the document is sent by or on behalf of the Secretary or Officer in his own right or as a representative of the Company.</w:t>
      </w:r>
    </w:p>
    <w:p>
      <w:pPr>
        <w:spacing w:after="0" w:line="188" w:lineRule="exact"/>
        <w:rPr>
          <w:sz w:val="20"/>
          <w:szCs w:val="20"/>
          <w:color w:val="auto"/>
        </w:rPr>
      </w:pPr>
    </w:p>
    <w:p>
      <w:pPr>
        <w:ind w:left="600" w:right="20" w:hanging="616"/>
        <w:spacing w:after="0" w:line="329" w:lineRule="auto"/>
        <w:tabs>
          <w:tab w:leader="none" w:pos="580" w:val="left"/>
        </w:tabs>
        <w:rPr>
          <w:sz w:val="20"/>
          <w:szCs w:val="20"/>
          <w:color w:val="auto"/>
        </w:rPr>
      </w:pPr>
      <w:r>
        <w:rPr>
          <w:rFonts w:ascii="Arial" w:cs="Arial" w:eastAsia="Arial" w:hAnsi="Arial"/>
          <w:sz w:val="16"/>
          <w:szCs w:val="16"/>
          <w:color w:val="auto"/>
        </w:rPr>
        <w:t>31.5</w:t>
      </w:r>
      <w:r>
        <w:rPr>
          <w:sz w:val="20"/>
          <w:szCs w:val="20"/>
          <w:color w:val="auto"/>
        </w:rPr>
        <w:tab/>
      </w:r>
      <w:r>
        <w:rPr>
          <w:rFonts w:ascii="Arial" w:cs="Arial" w:eastAsia="Arial" w:hAnsi="Arial"/>
          <w:sz w:val="14"/>
          <w:szCs w:val="14"/>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31.7 applies.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Manner of signing</w:t>
      </w:r>
    </w:p>
    <w:p>
      <w:pPr>
        <w:spacing w:after="0" w:line="194" w:lineRule="exact"/>
        <w:rPr>
          <w:sz w:val="20"/>
          <w:szCs w:val="20"/>
          <w:color w:val="auto"/>
        </w:rPr>
      </w:pPr>
    </w:p>
    <w:p>
      <w:pPr>
        <w:ind w:left="600" w:right="20" w:hanging="616"/>
        <w:spacing w:after="0" w:line="258" w:lineRule="auto"/>
        <w:tabs>
          <w:tab w:leader="none" w:pos="580" w:val="left"/>
        </w:tabs>
        <w:rPr>
          <w:sz w:val="20"/>
          <w:szCs w:val="20"/>
          <w:color w:val="auto"/>
        </w:rPr>
      </w:pPr>
      <w:r>
        <w:rPr>
          <w:rFonts w:ascii="Arial" w:cs="Arial" w:eastAsia="Arial" w:hAnsi="Arial"/>
          <w:sz w:val="16"/>
          <w:szCs w:val="16"/>
          <w:color w:val="auto"/>
        </w:rPr>
        <w:t>31.6</w:t>
      </w:r>
      <w:r>
        <w:rPr>
          <w:sz w:val="20"/>
          <w:szCs w:val="20"/>
          <w:color w:val="auto"/>
        </w:rPr>
        <w:tab/>
      </w:r>
      <w:r>
        <w:rPr>
          <w:rFonts w:ascii="Arial" w:cs="Arial" w:eastAsia="Arial" w:hAnsi="Arial"/>
          <w:sz w:val="16"/>
          <w:szCs w:val="16"/>
          <w:color w:val="auto"/>
        </w:rPr>
        <w:t>For the purposes of these Articles about the authentication of Electronic Records, a document will be taken to be signed if it is signed manually or in any other manner permitted by these Articles.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Saving provision</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31.7</w:t>
      </w:r>
      <w:r>
        <w:rPr>
          <w:sz w:val="20"/>
          <w:szCs w:val="20"/>
          <w:color w:val="auto"/>
        </w:rPr>
        <w:tab/>
      </w:r>
      <w:r>
        <w:rPr>
          <w:rFonts w:ascii="Arial" w:cs="Arial" w:eastAsia="Arial" w:hAnsi="Arial"/>
          <w:sz w:val="14"/>
          <w:szCs w:val="14"/>
          <w:color w:val="auto"/>
        </w:rPr>
        <w:t>A notice, written resolution or other document under these Articles will not be deemed to be authentic if the recipient, acting reasonably: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548" w:right="319" w:bottom="1440" w:gutter="0" w:footer="0" w:header="0"/>
        </w:sectPr>
      </w:pPr>
    </w:p>
    <w:bookmarkStart w:id="258" w:name="page259"/>
    <w:bookmarkEnd w:id="258"/>
    <w:p>
      <w:pPr>
        <w:ind w:left="1227" w:hanging="610"/>
        <w:spacing w:after="0"/>
        <w:tabs>
          <w:tab w:leader="none" w:pos="122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believes that the signature of the signatory has been altered after the signatory had signed the original document; or</w:t>
      </w:r>
    </w:p>
    <w:p>
      <w:pPr>
        <w:spacing w:after="0" w:line="188" w:lineRule="exact"/>
        <w:rPr>
          <w:rFonts w:ascii="Arial" w:cs="Arial" w:eastAsia="Arial" w:hAnsi="Arial"/>
          <w:sz w:val="16"/>
          <w:szCs w:val="16"/>
          <w:color w:val="auto"/>
        </w:rPr>
      </w:pPr>
    </w:p>
    <w:p>
      <w:pPr>
        <w:ind w:left="1227" w:right="420" w:hanging="610"/>
        <w:spacing w:after="0" w:line="258" w:lineRule="auto"/>
        <w:tabs>
          <w:tab w:leader="none" w:pos="122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believes that the original document, or the Electronic Record of it, was altered, without the approval of the signatory, after the signatory signed the original document; or</w:t>
      </w:r>
    </w:p>
    <w:p>
      <w:pPr>
        <w:spacing w:after="0" w:line="162" w:lineRule="exact"/>
        <w:rPr>
          <w:rFonts w:ascii="Arial" w:cs="Arial" w:eastAsia="Arial" w:hAnsi="Arial"/>
          <w:sz w:val="16"/>
          <w:szCs w:val="16"/>
          <w:color w:val="auto"/>
        </w:rPr>
      </w:pPr>
    </w:p>
    <w:p>
      <w:pPr>
        <w:ind w:left="1227" w:hanging="610"/>
        <w:spacing w:after="0"/>
        <w:tabs>
          <w:tab w:leader="none" w:pos="122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otherwise doubts the authenticity of the Electronic Record of the document</w:t>
      </w:r>
    </w:p>
    <w:p>
      <w:pPr>
        <w:spacing w:after="0" w:line="188" w:lineRule="exact"/>
        <w:rPr>
          <w:sz w:val="20"/>
          <w:szCs w:val="20"/>
          <w:color w:val="auto"/>
        </w:rPr>
      </w:pPr>
    </w:p>
    <w:p>
      <w:pPr>
        <w:ind w:left="627"/>
        <w:spacing w:after="0" w:line="258" w:lineRule="auto"/>
        <w:rPr>
          <w:sz w:val="20"/>
          <w:szCs w:val="20"/>
          <w:color w:val="auto"/>
        </w:rPr>
      </w:pPr>
      <w:r>
        <w:rPr>
          <w:rFonts w:ascii="Arial" w:cs="Arial" w:eastAsia="Arial" w:hAnsi="Arial"/>
          <w:sz w:val="16"/>
          <w:szCs w:val="16"/>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57"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auto"/>
        </w:rPr>
        <w:t>Transfer by way of continuation</w:t>
      </w:r>
    </w:p>
    <w:p>
      <w:pPr>
        <w:spacing w:after="0" w:line="194"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color w:val="auto"/>
        </w:rPr>
        <w:t>The Company may, by Special Resolution, resolve to be registered by way of continuation in a jurisdiction outside:</w:t>
      </w:r>
    </w:p>
    <w:p>
      <w:pPr>
        <w:spacing w:after="0" w:line="188" w:lineRule="exact"/>
        <w:rPr>
          <w:sz w:val="20"/>
          <w:szCs w:val="20"/>
          <w:color w:val="auto"/>
        </w:rPr>
      </w:pPr>
    </w:p>
    <w:p>
      <w:pPr>
        <w:ind w:left="1227" w:hanging="610"/>
        <w:spacing w:after="0"/>
        <w:tabs>
          <w:tab w:leader="none" w:pos="122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Islands;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such other jurisdiction in which it is, for the time being, incorporated, registered or existing.</w:t>
      </w:r>
    </w:p>
    <w:p>
      <w:pPr>
        <w:spacing w:after="0" w:line="188"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4"/>
          <w:szCs w:val="14"/>
          <w:color w:val="auto"/>
        </w:rPr>
        <w:t>To give effect to any resolution made pursuant to the preceding Article, the directors may cause the following:</w:t>
      </w:r>
    </w:p>
    <w:p>
      <w:pPr>
        <w:spacing w:after="0" w:line="188" w:lineRule="exact"/>
        <w:rPr>
          <w:sz w:val="20"/>
          <w:szCs w:val="20"/>
          <w:color w:val="auto"/>
        </w:rPr>
      </w:pPr>
    </w:p>
    <w:p>
      <w:pPr>
        <w:ind w:left="1227" w:hanging="610"/>
        <w:spacing w:after="0" w:line="258" w:lineRule="auto"/>
        <w:tabs>
          <w:tab w:leader="none" w:pos="122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 application be made to the Registrar of Companies to deregister the Company in the Islands or in the other jurisdiction in which it is for the time being incorporated, registered or existing; and</w:t>
      </w:r>
    </w:p>
    <w:p>
      <w:pPr>
        <w:spacing w:after="0" w:line="162" w:lineRule="exact"/>
        <w:rPr>
          <w:rFonts w:ascii="Arial" w:cs="Arial" w:eastAsia="Arial" w:hAnsi="Arial"/>
          <w:sz w:val="16"/>
          <w:szCs w:val="16"/>
          <w:color w:val="auto"/>
        </w:rPr>
      </w:pPr>
    </w:p>
    <w:p>
      <w:pPr>
        <w:ind w:left="1227" w:hanging="610"/>
        <w:spacing w:after="0"/>
        <w:tabs>
          <w:tab w:leader="none" w:pos="122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all such further steps as they consider appropriate to be taken to effect the transfer by way of continuation of the Company.</w:t>
      </w:r>
    </w:p>
    <w:p>
      <w:pPr>
        <w:spacing w:after="0" w:line="182" w:lineRule="exact"/>
        <w:rPr>
          <w:sz w:val="20"/>
          <w:szCs w:val="20"/>
          <w:color w:val="auto"/>
        </w:rPr>
      </w:pPr>
    </w:p>
    <w:p>
      <w:pPr>
        <w:ind w:left="607" w:hanging="607"/>
        <w:spacing w:after="0"/>
        <w:tabs>
          <w:tab w:leader="none" w:pos="607"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Winding up</w:t>
      </w:r>
    </w:p>
    <w:p>
      <w:pPr>
        <w:spacing w:after="0" w:line="188" w:lineRule="exact"/>
        <w:rPr>
          <w:rFonts w:ascii="Arial" w:cs="Arial" w:eastAsia="Arial" w:hAnsi="Arial"/>
          <w:sz w:val="16"/>
          <w:szCs w:val="16"/>
          <w:b w:val="1"/>
          <w:bCs w:val="1"/>
          <w:color w:val="auto"/>
        </w:rPr>
      </w:pPr>
    </w:p>
    <w:p>
      <w:pPr>
        <w:ind w:left="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Distribution of assets in specie</w:t>
      </w:r>
    </w:p>
    <w:p>
      <w:pPr>
        <w:spacing w:after="0" w:line="194" w:lineRule="exact"/>
        <w:rPr>
          <w:sz w:val="20"/>
          <w:szCs w:val="20"/>
          <w:color w:val="auto"/>
        </w:rPr>
      </w:pPr>
    </w:p>
    <w:p>
      <w:pPr>
        <w:ind w:left="607" w:right="20" w:hanging="616"/>
        <w:spacing w:after="0" w:line="258" w:lineRule="auto"/>
        <w:tabs>
          <w:tab w:leader="none" w:pos="587"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6"/>
          <w:szCs w:val="16"/>
          <w:color w:val="auto"/>
        </w:rPr>
        <w:t>If the Company is wound up, the Members may, subject to these Articles and any other sanction required by the Law, pass a Special Resolution allowing the liquidator to do either or both of the following:</w:t>
      </w:r>
    </w:p>
    <w:p>
      <w:pPr>
        <w:spacing w:after="0" w:line="163" w:lineRule="exact"/>
        <w:rPr>
          <w:sz w:val="20"/>
          <w:szCs w:val="20"/>
          <w:color w:val="auto"/>
        </w:rPr>
      </w:pPr>
    </w:p>
    <w:p>
      <w:pPr>
        <w:ind w:left="1227" w:right="20" w:hanging="610"/>
        <w:spacing w:after="0" w:line="258" w:lineRule="auto"/>
        <w:tabs>
          <w:tab w:leader="none" w:pos="122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162" w:lineRule="exact"/>
        <w:rPr>
          <w:rFonts w:ascii="Arial" w:cs="Arial" w:eastAsia="Arial" w:hAnsi="Arial"/>
          <w:sz w:val="16"/>
          <w:szCs w:val="16"/>
          <w:color w:val="auto"/>
        </w:rPr>
      </w:pPr>
    </w:p>
    <w:p>
      <w:pPr>
        <w:ind w:left="1227" w:hanging="610"/>
        <w:spacing w:after="0"/>
        <w:tabs>
          <w:tab w:leader="none" w:pos="122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to vest the whole or any part of the assets in trustees for the benefit of Members and those liable to contribute to the winding up.</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01" w:right="319" w:bottom="1440" w:gutter="0" w:footer="0" w:header="0"/>
        </w:sectPr>
      </w:pPr>
    </w:p>
    <w:bookmarkStart w:id="259" w:name="page260"/>
    <w:bookmarkEnd w:id="259"/>
    <w:p>
      <w:pPr>
        <w:ind w:left="7"/>
        <w:spacing w:after="0"/>
        <w:rPr>
          <w:sz w:val="20"/>
          <w:szCs w:val="20"/>
          <w:color w:val="auto"/>
        </w:rPr>
      </w:pPr>
      <w:r>
        <w:rPr>
          <w:rFonts w:ascii="Arial" w:cs="Arial" w:eastAsia="Arial" w:hAnsi="Arial"/>
          <w:sz w:val="16"/>
          <w:szCs w:val="16"/>
          <w:b w:val="1"/>
          <w:bCs w:val="1"/>
          <w:color w:val="auto"/>
        </w:rPr>
        <w:t>No obligation to accept liability</w:t>
      </w:r>
    </w:p>
    <w:p>
      <w:pPr>
        <w:spacing w:after="0" w:line="194"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4"/>
          <w:szCs w:val="14"/>
          <w:color w:val="auto"/>
        </w:rPr>
        <w:t>No Member shall be compelled to accept any assets if an obligation attaches to them.</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The directors are authorised to present a winding up petition</w:t>
      </w:r>
    </w:p>
    <w:p>
      <w:pPr>
        <w:spacing w:after="0" w:line="194" w:lineRule="exact"/>
        <w:rPr>
          <w:sz w:val="20"/>
          <w:szCs w:val="20"/>
          <w:color w:val="auto"/>
        </w:rPr>
      </w:pPr>
    </w:p>
    <w:p>
      <w:pPr>
        <w:ind w:left="607" w:hanging="616"/>
        <w:spacing w:after="0" w:line="258" w:lineRule="auto"/>
        <w:tabs>
          <w:tab w:leader="none" w:pos="587" w:val="left"/>
        </w:tabs>
        <w:rPr>
          <w:sz w:val="20"/>
          <w:szCs w:val="20"/>
          <w:color w:val="auto"/>
        </w:rPr>
      </w:pPr>
      <w:r>
        <w:rPr>
          <w:rFonts w:ascii="Arial" w:cs="Arial" w:eastAsia="Arial" w:hAnsi="Arial"/>
          <w:sz w:val="16"/>
          <w:szCs w:val="16"/>
          <w:color w:val="auto"/>
        </w:rPr>
        <w:t>33.3</w:t>
      </w:r>
      <w:r>
        <w:rPr>
          <w:sz w:val="20"/>
          <w:szCs w:val="20"/>
          <w:color w:val="auto"/>
        </w:rPr>
        <w:tab/>
      </w:r>
      <w:r>
        <w:rPr>
          <w:rFonts w:ascii="Arial" w:cs="Arial" w:eastAsia="Arial" w:hAnsi="Arial"/>
          <w:sz w:val="16"/>
          <w:szCs w:val="16"/>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7" w:lineRule="exact"/>
        <w:rPr>
          <w:sz w:val="20"/>
          <w:szCs w:val="20"/>
          <w:color w:val="auto"/>
        </w:rPr>
      </w:pPr>
    </w:p>
    <w:p>
      <w:pPr>
        <w:ind w:left="7" w:right="7800" w:hanging="7"/>
        <w:spacing w:after="0" w:line="559" w:lineRule="auto"/>
        <w:tabs>
          <w:tab w:leader="none" w:pos="624" w:val="left"/>
        </w:tabs>
        <w:numPr>
          <w:ilvl w:val="0"/>
          <w:numId w:val="212"/>
        </w:numPr>
        <w:rPr>
          <w:rFonts w:ascii="Arial" w:cs="Arial" w:eastAsia="Arial" w:hAnsi="Arial"/>
          <w:sz w:val="14"/>
          <w:szCs w:val="14"/>
          <w:b w:val="1"/>
          <w:bCs w:val="1"/>
          <w:color w:val="auto"/>
        </w:rPr>
      </w:pPr>
      <w:r>
        <w:rPr>
          <w:rFonts w:ascii="Arial" w:cs="Arial" w:eastAsia="Arial" w:hAnsi="Arial"/>
          <w:sz w:val="14"/>
          <w:szCs w:val="14"/>
          <w:b w:val="1"/>
          <w:bCs w:val="1"/>
          <w:color w:val="auto"/>
        </w:rPr>
        <w:t>Amendment of Memorandum and Articles Power to change name or amend Memorandum</w:t>
      </w:r>
    </w:p>
    <w:p>
      <w:pPr>
        <w:spacing w:after="0" w:line="1"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34.1</w:t>
      </w:r>
      <w:r>
        <w:rPr>
          <w:sz w:val="20"/>
          <w:szCs w:val="20"/>
          <w:color w:val="auto"/>
        </w:rPr>
        <w:tab/>
      </w:r>
      <w:r>
        <w:rPr>
          <w:rFonts w:ascii="Arial" w:cs="Arial" w:eastAsia="Arial" w:hAnsi="Arial"/>
          <w:sz w:val="14"/>
          <w:szCs w:val="14"/>
          <w:color w:val="auto"/>
        </w:rPr>
        <w:t>Subject to the Law, the Company may, by Special Resolution:</w:t>
      </w:r>
    </w:p>
    <w:p>
      <w:pPr>
        <w:spacing w:after="0" w:line="188" w:lineRule="exact"/>
        <w:rPr>
          <w:sz w:val="20"/>
          <w:szCs w:val="20"/>
          <w:color w:val="auto"/>
        </w:rPr>
      </w:pPr>
    </w:p>
    <w:p>
      <w:pPr>
        <w:ind w:left="1227" w:hanging="610"/>
        <w:spacing w:after="0"/>
        <w:tabs>
          <w:tab w:leader="none" w:pos="122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change its name; or</w:t>
      </w:r>
    </w:p>
    <w:p>
      <w:pPr>
        <w:spacing w:after="0" w:line="188" w:lineRule="exact"/>
        <w:rPr>
          <w:rFonts w:ascii="Arial" w:cs="Arial" w:eastAsia="Arial" w:hAnsi="Arial"/>
          <w:sz w:val="16"/>
          <w:szCs w:val="16"/>
          <w:color w:val="auto"/>
        </w:rPr>
      </w:pPr>
    </w:p>
    <w:p>
      <w:pPr>
        <w:ind w:left="1227" w:hanging="610"/>
        <w:spacing w:after="0"/>
        <w:tabs>
          <w:tab w:leader="none" w:pos="122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change the provisions of its Memorandum with respect to its objects, powers or any other matter specified in the Memorandum.</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Power to amend these Articles</w:t>
      </w:r>
    </w:p>
    <w:p>
      <w:pPr>
        <w:spacing w:after="0" w:line="194" w:lineRule="exact"/>
        <w:rPr>
          <w:sz w:val="20"/>
          <w:szCs w:val="20"/>
          <w:color w:val="auto"/>
        </w:rPr>
      </w:pPr>
    </w:p>
    <w:p>
      <w:pPr>
        <w:ind w:left="7"/>
        <w:spacing w:after="0"/>
        <w:tabs>
          <w:tab w:leader="none" w:pos="587" w:val="left"/>
        </w:tabs>
        <w:rPr>
          <w:sz w:val="20"/>
          <w:szCs w:val="20"/>
          <w:color w:val="auto"/>
        </w:rPr>
      </w:pPr>
      <w:r>
        <w:rPr>
          <w:rFonts w:ascii="Arial" w:cs="Arial" w:eastAsia="Arial" w:hAnsi="Arial"/>
          <w:sz w:val="16"/>
          <w:szCs w:val="16"/>
          <w:color w:val="auto"/>
        </w:rPr>
        <w:t>34.2</w:t>
      </w:r>
      <w:r>
        <w:rPr>
          <w:sz w:val="20"/>
          <w:szCs w:val="20"/>
          <w:color w:val="auto"/>
        </w:rPr>
        <w:tab/>
      </w:r>
      <w:r>
        <w:rPr>
          <w:rFonts w:ascii="Arial" w:cs="Arial" w:eastAsia="Arial" w:hAnsi="Arial"/>
          <w:sz w:val="14"/>
          <w:szCs w:val="14"/>
          <w:color w:val="auto"/>
        </w:rPr>
        <w:t>Subject to the Law and as provided in these Articles, the Company may, by Special Resolution, amend these Articles in whole or in part.</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495" w:right="33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t>Dated the 27th day of March, 2020.</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440" w:type="dxa"/>
            <w:vAlign w:val="bottom"/>
            <w:tcBorders>
              <w:top w:val="single" w:sz="8" w:color="auto"/>
              <w:left w:val="single" w:sz="8" w:color="auto"/>
              <w:bottom w:val="single" w:sz="8" w:color="auto"/>
              <w:right w:val="single" w:sz="8" w:color="auto"/>
            </w:tcBorders>
            <w:shd w:val="clear" w:color="auto" w:fill="E6E6E6"/>
          </w:tcPr>
          <w:p>
            <w:pPr>
              <w:ind w:left="80"/>
              <w:spacing w:after="0"/>
              <w:rPr>
                <w:sz w:val="20"/>
                <w:szCs w:val="20"/>
                <w:color w:val="auto"/>
              </w:rPr>
            </w:pPr>
            <w:r>
              <w:rPr>
                <w:rFonts w:ascii="Arial" w:cs="Arial" w:eastAsia="Arial" w:hAnsi="Arial"/>
                <w:sz w:val="16"/>
                <w:szCs w:val="16"/>
                <w:b w:val="1"/>
                <w:bCs w:val="1"/>
                <w:color w:val="auto"/>
              </w:rPr>
              <w:t>Name and address of Subscriber</w:t>
            </w:r>
          </w:p>
        </w:tc>
        <w:tc>
          <w:tcPr>
            <w:tcW w:w="4560" w:type="dxa"/>
            <w:vAlign w:val="bottom"/>
            <w:tcBorders>
              <w:top w:val="single" w:sz="8" w:color="auto"/>
              <w:bottom w:val="single" w:sz="8" w:color="auto"/>
              <w:right w:val="single" w:sz="8" w:color="auto"/>
            </w:tcBorders>
            <w:gridSpan w:val="3"/>
            <w:shd w:val="clear" w:color="auto" w:fill="E6E6E6"/>
          </w:tcPr>
          <w:p>
            <w:pPr>
              <w:ind w:left="80"/>
              <w:spacing w:after="0"/>
              <w:rPr>
                <w:sz w:val="20"/>
                <w:szCs w:val="20"/>
                <w:color w:val="auto"/>
              </w:rPr>
            </w:pPr>
            <w:r>
              <w:rPr>
                <w:rFonts w:ascii="Arial" w:cs="Arial" w:eastAsia="Arial" w:hAnsi="Arial"/>
                <w:sz w:val="16"/>
                <w:szCs w:val="16"/>
                <w:b w:val="1"/>
                <w:bCs w:val="1"/>
                <w:color w:val="auto"/>
              </w:rPr>
              <w:t>Signature</w:t>
            </w:r>
          </w:p>
        </w:tc>
        <w:tc>
          <w:tcPr>
            <w:tcW w:w="0" w:type="dxa"/>
            <w:vAlign w:val="bottom"/>
          </w:tcPr>
          <w:p>
            <w:pPr>
              <w:spacing w:after="0"/>
              <w:rPr>
                <w:sz w:val="1"/>
                <w:szCs w:val="1"/>
                <w:color w:val="auto"/>
              </w:rPr>
            </w:pPr>
          </w:p>
        </w:tc>
      </w:tr>
      <w:tr>
        <w:trPr>
          <w:trHeight w:val="201"/>
        </w:trPr>
        <w:tc>
          <w:tcPr>
            <w:tcW w:w="4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Ogier Global Subscriber (Cayman)</w:t>
            </w:r>
          </w:p>
        </w:tc>
        <w:tc>
          <w:tcPr>
            <w:tcW w:w="45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per: /s/ Brad Conolly</w:t>
            </w:r>
          </w:p>
        </w:tc>
        <w:tc>
          <w:tcPr>
            <w:tcW w:w="0" w:type="dxa"/>
            <w:vAlign w:val="bottom"/>
          </w:tcPr>
          <w:p>
            <w:pPr>
              <w:spacing w:after="0"/>
              <w:rPr>
                <w:sz w:val="1"/>
                <w:szCs w:val="1"/>
                <w:color w:val="auto"/>
              </w:rPr>
            </w:pPr>
          </w:p>
        </w:tc>
      </w:tr>
      <w:tr>
        <w:trPr>
          <w:trHeight w:val="20"/>
        </w:trPr>
        <w:tc>
          <w:tcPr>
            <w:tcW w:w="4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Limited</w:t>
            </w:r>
          </w:p>
        </w:tc>
        <w:tc>
          <w:tcPr>
            <w:tcW w:w="36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40" w:type="dxa"/>
            <w:vAlign w:val="bottom"/>
            <w:tcBorders>
              <w:left w:val="single" w:sz="8" w:color="auto"/>
              <w:right w:val="single" w:sz="8" w:color="auto"/>
            </w:tcBorders>
            <w:vMerge w:val="continue"/>
          </w:tcPr>
          <w:p>
            <w:pPr>
              <w:spacing w:after="0"/>
              <w:rPr>
                <w:sz w:val="16"/>
                <w:szCs w:val="16"/>
                <w:color w:val="auto"/>
              </w:rPr>
            </w:pPr>
          </w:p>
        </w:tc>
        <w:tc>
          <w:tcPr>
            <w:tcW w:w="45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Name: Brad Conolly</w:t>
            </w:r>
          </w:p>
        </w:tc>
        <w:tc>
          <w:tcPr>
            <w:tcW w:w="0" w:type="dxa"/>
            <w:vAlign w:val="bottom"/>
          </w:tcPr>
          <w:p>
            <w:pPr>
              <w:spacing w:after="0"/>
              <w:rPr>
                <w:sz w:val="1"/>
                <w:szCs w:val="1"/>
                <w:color w:val="auto"/>
              </w:rPr>
            </w:pPr>
          </w:p>
        </w:tc>
      </w:tr>
      <w:tr>
        <w:trPr>
          <w:trHeight w:val="209"/>
        </w:trPr>
        <w:tc>
          <w:tcPr>
            <w:tcW w:w="4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89 Nexus Way</w:t>
            </w:r>
          </w:p>
        </w:tc>
        <w:tc>
          <w:tcPr>
            <w:tcW w:w="45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Authorised Signatory</w:t>
            </w:r>
          </w:p>
        </w:tc>
        <w:tc>
          <w:tcPr>
            <w:tcW w:w="0" w:type="dxa"/>
            <w:vAlign w:val="bottom"/>
          </w:tcPr>
          <w:p>
            <w:pPr>
              <w:spacing w:after="0"/>
              <w:rPr>
                <w:sz w:val="1"/>
                <w:szCs w:val="1"/>
                <w:color w:val="auto"/>
              </w:rPr>
            </w:pPr>
          </w:p>
        </w:tc>
      </w:tr>
      <w:tr>
        <w:trPr>
          <w:trHeight w:val="209"/>
        </w:trPr>
        <w:tc>
          <w:tcPr>
            <w:tcW w:w="4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Camana Bay</w:t>
            </w: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Grand Cayman, KY1-9009</w:t>
            </w: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Cayman Islands</w:t>
            </w:r>
          </w:p>
        </w:tc>
        <w:tc>
          <w:tcPr>
            <w:tcW w:w="36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718175" cy="16103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5718175" cy="1610360"/>
                    </a:xfrm>
                    <a:prstGeom prst="rect">
                      <a:avLst/>
                    </a:prstGeom>
                    <a:noFill/>
                  </pic:spPr>
                </pic:pic>
              </a:graphicData>
            </a:graphic>
          </wp:anchor>
        </w:drawing>
      </w:r>
    </w:p>
    <w:p>
      <w:pPr>
        <w:sectPr>
          <w:pgSz w:w="11900" w:h="16838" w:orient="portrait"/>
          <w:cols w:equalWidth="0" w:num="1">
            <w:col w:w="10139"/>
          </w:cols>
          <w:pgMar w:left="320" w:top="50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Witness to above signature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/s/ Vashti Ramgeet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Name:Vashti Ramgeet</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Ogier Global Subscriber (Cayman)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Limited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89 Nexus Way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Camana Bay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Grand Cayman, KY1-9009</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Cayman Islands</w:t>
      </w:r>
    </w:p>
    <w:p>
      <w:pPr>
        <w:spacing w:after="0" w:line="200" w:lineRule="exact"/>
        <w:rPr>
          <w:sz w:val="20"/>
          <w:szCs w:val="20"/>
          <w:color w:val="auto"/>
        </w:rPr>
      </w:pPr>
    </w:p>
    <w:p>
      <w:pPr>
        <w:sectPr>
          <w:pgSz w:w="11900" w:h="16838" w:orient="portrait"/>
          <w:cols w:equalWidth="0" w:num="2">
            <w:col w:w="3780" w:space="720"/>
            <w:col w:w="5639"/>
          </w:cols>
          <w:pgMar w:left="320" w:top="501" w:right="1440" w:bottom="1440" w:gutter="0" w:footer="0" w:header="0"/>
          <w:type w:val="continuous"/>
        </w:sectPr>
      </w:pPr>
    </w:p>
    <w:p>
      <w:pPr>
        <w:spacing w:after="0" w:line="3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Occupation: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7151370" cy="146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39"/>
          </w:cols>
          <w:pgMar w:left="320" w:top="501" w:right="1440" w:bottom="1440" w:gutter="0" w:footer="0" w:header="0"/>
          <w:type w:val="continuous"/>
        </w:sectPr>
      </w:pPr>
    </w:p>
    <w:bookmarkStart w:id="261" w:name="page262"/>
    <w:bookmarkEnd w:id="261"/>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Dated [ ]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Companies Law (Revised)</w:t>
      </w:r>
    </w:p>
    <w:p>
      <w:pPr>
        <w:spacing w:after="0" w:line="200"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600075</wp:posOffset>
            </wp:positionV>
            <wp:extent cx="107886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AMENDED AND RESTATED</w:t>
      </w:r>
    </w:p>
    <w:p>
      <w:pPr>
        <w:spacing w:after="0" w:line="2"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MEMORANDUM OF ASSOCIATION</w:t>
      </w:r>
    </w:p>
    <w:p>
      <w:pPr>
        <w:jc w:val="center"/>
        <w:ind w:right="1140"/>
        <w:spacing w:after="0" w:line="230" w:lineRule="auto"/>
        <w:rPr>
          <w:sz w:val="20"/>
          <w:szCs w:val="20"/>
          <w:color w:val="auto"/>
        </w:rPr>
      </w:pPr>
      <w:r>
        <w:rPr>
          <w:rFonts w:ascii="Arial" w:cs="Arial" w:eastAsia="Arial" w:hAnsi="Arial"/>
          <w:sz w:val="19"/>
          <w:szCs w:val="19"/>
          <w:b w:val="1"/>
          <w:bCs w:val="1"/>
          <w:color w:val="auto"/>
        </w:rPr>
        <w:t>OF</w:t>
      </w:r>
    </w:p>
    <w:p>
      <w:pPr>
        <w:jc w:val="center"/>
        <w:ind w:right="11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62230</wp:posOffset>
            </wp:positionV>
            <wp:extent cx="107886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spacing w:after="0" w:line="164"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Adopted by special resolution on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5466080</wp:posOffset>
            </wp:positionV>
            <wp:extent cx="7151370" cy="146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51370" cy="1460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833755</wp:posOffset>
            </wp:positionV>
            <wp:extent cx="7151370" cy="3974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1370" cy="3974465"/>
                    </a:xfrm>
                    <a:prstGeom prst="rect">
                      <a:avLst/>
                    </a:prstGeom>
                    <a:noFill/>
                  </pic:spPr>
                </pic:pic>
              </a:graphicData>
            </a:graphic>
          </wp:anchor>
        </w:drawing>
      </w:r>
    </w:p>
    <w:p>
      <w:pPr>
        <w:sectPr>
          <w:pgSz w:w="11900" w:h="16838" w:orient="portrait"/>
          <w:cols w:equalWidth="0" w:num="1">
            <w:col w:w="10140"/>
          </w:cols>
          <w:pgMar w:left="1440" w:top="256" w:right="319" w:bottom="1440" w:gutter="0" w:footer="0" w:header="0"/>
        </w:sectPr>
      </w:pPr>
    </w:p>
    <w:bookmarkStart w:id="262" w:name="page263"/>
    <w:bookmarkEnd w:id="262"/>
    <w:p>
      <w:pPr>
        <w:jc w:val="center"/>
        <w:ind w:right="-6"/>
        <w:spacing w:after="0"/>
        <w:rPr>
          <w:sz w:val="20"/>
          <w:szCs w:val="20"/>
          <w:color w:val="auto"/>
        </w:rPr>
      </w:pPr>
      <w:r>
        <w:rPr>
          <w:rFonts w:ascii="Arial" w:cs="Arial" w:eastAsia="Arial" w:hAnsi="Arial"/>
          <w:sz w:val="19"/>
          <w:szCs w:val="19"/>
          <w:b w:val="1"/>
          <w:bCs w:val="1"/>
          <w:color w:val="auto"/>
        </w:rPr>
        <w:t>Companies Law (Revised)</w:t>
      </w: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Company Limited by Shares</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Amended and Restated</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Memorandum of Association</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of</w:t>
      </w:r>
    </w:p>
    <w:p>
      <w:pPr>
        <w:spacing w:after="0" w:line="11"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ARYA Sciences Acquisition Corp III</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Adopted by special resolution on [ ] 2020</w:t>
      </w:r>
    </w:p>
    <w:p>
      <w:pPr>
        <w:spacing w:after="0" w:line="209" w:lineRule="exact"/>
        <w:rPr>
          <w:sz w:val="20"/>
          <w:szCs w:val="20"/>
          <w:color w:val="auto"/>
        </w:rPr>
      </w:pPr>
    </w:p>
    <w:p>
      <w:pPr>
        <w:ind w:left="547" w:hanging="547"/>
        <w:spacing w:after="0"/>
        <w:tabs>
          <w:tab w:leader="none" w:pos="5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name of the Company is ARYA Sciences Acquisition Corp III.</w:t>
      </w:r>
    </w:p>
    <w:p>
      <w:pPr>
        <w:spacing w:after="0" w:line="212" w:lineRule="exact"/>
        <w:rPr>
          <w:sz w:val="20"/>
          <w:szCs w:val="20"/>
          <w:color w:val="auto"/>
        </w:rPr>
      </w:pPr>
    </w:p>
    <w:p>
      <w:pPr>
        <w:ind w:left="547" w:hanging="547"/>
        <w:spacing w:after="0" w:line="258" w:lineRule="auto"/>
        <w:tabs>
          <w:tab w:leader="none" w:pos="54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186" w:lineRule="exact"/>
        <w:rPr>
          <w:sz w:val="20"/>
          <w:szCs w:val="20"/>
          <w:color w:val="auto"/>
        </w:rPr>
      </w:pPr>
    </w:p>
    <w:p>
      <w:pPr>
        <w:ind w:left="547" w:hanging="547"/>
        <w:spacing w:after="0" w:line="258" w:lineRule="auto"/>
        <w:tabs>
          <w:tab w:leader="none" w:pos="5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Company’s objects are unrestricted. As provided by section 7(4) of the Companies Law (Revised), the Company has full power and authority to carry out any object not prohibited by any law of the Cayman Islands.</w:t>
      </w:r>
    </w:p>
    <w:p>
      <w:pPr>
        <w:spacing w:after="0" w:line="186" w:lineRule="exact"/>
        <w:rPr>
          <w:sz w:val="20"/>
          <w:szCs w:val="20"/>
          <w:color w:val="auto"/>
        </w:rPr>
      </w:pPr>
    </w:p>
    <w:p>
      <w:pPr>
        <w:ind w:left="547" w:hanging="547"/>
        <w:spacing w:after="0" w:line="258" w:lineRule="auto"/>
        <w:tabs>
          <w:tab w:leader="none" w:pos="54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86" w:lineRule="exact"/>
        <w:rPr>
          <w:sz w:val="20"/>
          <w:szCs w:val="20"/>
          <w:color w:val="auto"/>
        </w:rPr>
      </w:pPr>
    </w:p>
    <w:p>
      <w:pPr>
        <w:ind w:left="547" w:hanging="547"/>
        <w:spacing w:after="0"/>
        <w:tabs>
          <w:tab w:leader="none" w:pos="54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pacing w:after="0" w:line="211" w:lineRule="exact"/>
        <w:rPr>
          <w:rFonts w:ascii="Arial" w:cs="Arial" w:eastAsia="Arial" w:hAnsi="Arial"/>
          <w:sz w:val="16"/>
          <w:szCs w:val="16"/>
          <w:color w:val="auto"/>
        </w:rPr>
      </w:pPr>
    </w:p>
    <w:p>
      <w:pPr>
        <w:ind w:left="1087" w:hanging="537"/>
        <w:spacing w:after="0"/>
        <w:tabs>
          <w:tab w:leader="none" w:pos="1087"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211" w:lineRule="exact"/>
        <w:rPr>
          <w:rFonts w:ascii="Arial" w:cs="Arial" w:eastAsia="Arial" w:hAnsi="Arial"/>
          <w:sz w:val="16"/>
          <w:szCs w:val="16"/>
          <w:color w:val="auto"/>
        </w:rPr>
      </w:pPr>
    </w:p>
    <w:p>
      <w:pPr>
        <w:ind w:left="1087" w:right="20" w:hanging="537"/>
        <w:spacing w:after="0" w:line="258" w:lineRule="auto"/>
        <w:tabs>
          <w:tab w:leader="none" w:pos="1087" w:val="left"/>
        </w:tabs>
        <w:numPr>
          <w:ilvl w:val="1"/>
          <w:numId w:val="218"/>
        </w:numPr>
        <w:rPr>
          <w:rFonts w:ascii="Arial" w:cs="Arial" w:eastAsia="Arial" w:hAnsi="Arial"/>
          <w:sz w:val="16"/>
          <w:szCs w:val="16"/>
          <w:color w:val="auto"/>
        </w:rPr>
      </w:pPr>
      <w:r>
        <w:rPr>
          <w:rFonts w:ascii="Arial" w:cs="Arial" w:eastAsia="Arial" w:hAnsi="Arial"/>
          <w:sz w:val="16"/>
          <w:szCs w:val="16"/>
          <w:color w:val="auto"/>
        </w:rPr>
        <w:t>insurance business from within the Cayman Islands or the business of an insurance manager, agent, sub-agent or broker without being licensed in that behalf under the Insurance Law (Revised);or</w:t>
      </w:r>
    </w:p>
    <w:p>
      <w:pPr>
        <w:spacing w:after="0" w:line="186" w:lineRule="exact"/>
        <w:rPr>
          <w:rFonts w:ascii="Arial" w:cs="Arial" w:eastAsia="Arial" w:hAnsi="Arial"/>
          <w:sz w:val="16"/>
          <w:szCs w:val="16"/>
          <w:color w:val="auto"/>
        </w:rPr>
      </w:pPr>
    </w:p>
    <w:p>
      <w:pPr>
        <w:ind w:left="1087" w:hanging="537"/>
        <w:spacing w:after="0"/>
        <w:tabs>
          <w:tab w:leader="none" w:pos="1087"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business of company management without being licensed in that behalf under the Companies Management Law (Revised).</w:t>
      </w:r>
    </w:p>
    <w:p>
      <w:pPr>
        <w:spacing w:after="0" w:line="212" w:lineRule="exact"/>
        <w:rPr>
          <w:sz w:val="20"/>
          <w:szCs w:val="20"/>
          <w:color w:val="auto"/>
        </w:rPr>
      </w:pPr>
    </w:p>
    <w:p>
      <w:pPr>
        <w:jc w:val="both"/>
        <w:ind w:left="547" w:hanging="547"/>
        <w:spacing w:after="0" w:line="250" w:lineRule="auto"/>
        <w:tabs>
          <w:tab w:leader="none" w:pos="54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51370" cy="146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16" w:right="319" w:bottom="1440" w:gutter="0" w:footer="0" w:header="0"/>
        </w:sectPr>
      </w:pPr>
    </w:p>
    <w:bookmarkStart w:id="263" w:name="page264"/>
    <w:bookmarkEnd w:id="263"/>
    <w:p>
      <w:pPr>
        <w:ind w:left="547" w:hanging="547"/>
        <w:spacing w:after="0"/>
        <w:tabs>
          <w:tab w:leader="none" w:pos="547" w:val="left"/>
        </w:tabs>
        <w:numPr>
          <w:ilvl w:val="0"/>
          <w:numId w:val="220"/>
        </w:numPr>
        <w:rPr>
          <w:rFonts w:ascii="Arial" w:cs="Arial" w:eastAsia="Arial" w:hAnsi="Arial"/>
          <w:sz w:val="14"/>
          <w:szCs w:val="14"/>
          <w:color w:val="auto"/>
        </w:rPr>
      </w:pPr>
      <w:r>
        <w:rPr>
          <w:rFonts w:ascii="Arial" w:cs="Arial" w:eastAsia="Arial" w:hAnsi="Arial"/>
          <w:sz w:val="14"/>
          <w:szCs w:val="14"/>
          <w:color w:val="auto"/>
        </w:rPr>
        <w:t>The Company is a company limited by shares and accordingly the liability of each member is limited to the amount (if any) unpaid on that member’s shares.</w:t>
      </w:r>
    </w:p>
    <w:p>
      <w:pPr>
        <w:spacing w:after="0" w:line="235" w:lineRule="exact"/>
        <w:rPr>
          <w:sz w:val="20"/>
          <w:szCs w:val="20"/>
          <w:color w:val="auto"/>
        </w:rPr>
      </w:pPr>
    </w:p>
    <w:p>
      <w:pPr>
        <w:jc w:val="both"/>
        <w:ind w:left="547" w:hanging="547"/>
        <w:spacing w:after="0" w:line="303" w:lineRule="auto"/>
        <w:tabs>
          <w:tab w:leader="none" w:pos="547" w:val="left"/>
        </w:tabs>
        <w:numPr>
          <w:ilvl w:val="0"/>
          <w:numId w:val="221"/>
        </w:numPr>
        <w:rPr>
          <w:rFonts w:ascii="Arial" w:cs="Arial" w:eastAsia="Arial" w:hAnsi="Arial"/>
          <w:sz w:val="14"/>
          <w:szCs w:val="14"/>
          <w:color w:val="auto"/>
        </w:rPr>
      </w:pPr>
      <w:r>
        <w:rPr>
          <w:rFonts w:ascii="Arial" w:cs="Arial" w:eastAsia="Arial" w:hAnsi="Arial"/>
          <w:sz w:val="14"/>
          <w:szCs w:val="14"/>
          <w:color w:val="auto"/>
        </w:rPr>
        <w:t>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spacing w:after="0" w:line="158" w:lineRule="exact"/>
        <w:rPr>
          <w:rFonts w:ascii="Arial" w:cs="Arial" w:eastAsia="Arial" w:hAnsi="Arial"/>
          <w:sz w:val="14"/>
          <w:szCs w:val="14"/>
          <w:color w:val="auto"/>
        </w:rPr>
      </w:pPr>
    </w:p>
    <w:p>
      <w:pPr>
        <w:ind w:left="1087" w:hanging="537"/>
        <w:spacing w:after="0"/>
        <w:tabs>
          <w:tab w:leader="none" w:pos="108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redeem or repurchase any of its shares;</w:t>
      </w:r>
    </w:p>
    <w:p>
      <w:pPr>
        <w:spacing w:after="0" w:line="211" w:lineRule="exact"/>
        <w:rPr>
          <w:rFonts w:ascii="Arial" w:cs="Arial" w:eastAsia="Arial" w:hAnsi="Arial"/>
          <w:sz w:val="16"/>
          <w:szCs w:val="16"/>
          <w:color w:val="auto"/>
        </w:rPr>
      </w:pPr>
    </w:p>
    <w:p>
      <w:pPr>
        <w:ind w:left="1087" w:hanging="537"/>
        <w:spacing w:after="0"/>
        <w:tabs>
          <w:tab w:leader="none" w:pos="108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increase or reduce its capital;</w:t>
      </w:r>
    </w:p>
    <w:p>
      <w:pPr>
        <w:spacing w:after="0" w:line="211" w:lineRule="exact"/>
        <w:rPr>
          <w:rFonts w:ascii="Arial" w:cs="Arial" w:eastAsia="Arial" w:hAnsi="Arial"/>
          <w:sz w:val="16"/>
          <w:szCs w:val="16"/>
          <w:color w:val="auto"/>
        </w:rPr>
      </w:pPr>
    </w:p>
    <w:p>
      <w:pPr>
        <w:ind w:left="1087" w:hanging="537"/>
        <w:spacing w:after="0"/>
        <w:tabs>
          <w:tab w:leader="none" w:pos="108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issue any part of its capital (whether original, redeemed, increased or reduced):</w:t>
      </w:r>
    </w:p>
    <w:p>
      <w:pPr>
        <w:spacing w:after="0" w:line="211" w:lineRule="exact"/>
        <w:rPr>
          <w:rFonts w:ascii="Arial" w:cs="Arial" w:eastAsia="Arial" w:hAnsi="Arial"/>
          <w:sz w:val="16"/>
          <w:szCs w:val="16"/>
          <w:color w:val="auto"/>
        </w:rPr>
      </w:pPr>
    </w:p>
    <w:p>
      <w:pPr>
        <w:ind w:left="1647" w:hanging="547"/>
        <w:spacing w:after="0"/>
        <w:tabs>
          <w:tab w:leader="none" w:pos="1647" w:val="left"/>
        </w:tabs>
        <w:numPr>
          <w:ilvl w:val="2"/>
          <w:numId w:val="221"/>
        </w:numPr>
        <w:rPr>
          <w:rFonts w:ascii="Arial" w:cs="Arial" w:eastAsia="Arial" w:hAnsi="Arial"/>
          <w:sz w:val="16"/>
          <w:szCs w:val="16"/>
          <w:color w:val="auto"/>
        </w:rPr>
      </w:pPr>
      <w:r>
        <w:rPr>
          <w:rFonts w:ascii="Arial" w:cs="Arial" w:eastAsia="Arial" w:hAnsi="Arial"/>
          <w:sz w:val="16"/>
          <w:szCs w:val="16"/>
          <w:color w:val="auto"/>
        </w:rPr>
        <w:t>with or without any preferential, deferred, qualified or special rights, privileges or conditions; or</w:t>
      </w:r>
    </w:p>
    <w:p>
      <w:pPr>
        <w:spacing w:after="0" w:line="211" w:lineRule="exact"/>
        <w:rPr>
          <w:rFonts w:ascii="Arial" w:cs="Arial" w:eastAsia="Arial" w:hAnsi="Arial"/>
          <w:sz w:val="16"/>
          <w:szCs w:val="16"/>
          <w:color w:val="auto"/>
        </w:rPr>
      </w:pPr>
    </w:p>
    <w:p>
      <w:pPr>
        <w:ind w:left="1647" w:hanging="547"/>
        <w:spacing w:after="0"/>
        <w:tabs>
          <w:tab w:leader="none" w:pos="1647" w:val="left"/>
        </w:tabs>
        <w:numPr>
          <w:ilvl w:val="2"/>
          <w:numId w:val="221"/>
        </w:numPr>
        <w:rPr>
          <w:rFonts w:ascii="Arial" w:cs="Arial" w:eastAsia="Arial" w:hAnsi="Arial"/>
          <w:sz w:val="16"/>
          <w:szCs w:val="16"/>
          <w:color w:val="auto"/>
        </w:rPr>
      </w:pPr>
      <w:r>
        <w:rPr>
          <w:rFonts w:ascii="Arial" w:cs="Arial" w:eastAsia="Arial" w:hAnsi="Arial"/>
          <w:sz w:val="16"/>
          <w:szCs w:val="16"/>
          <w:color w:val="auto"/>
        </w:rPr>
        <w:t>subject to any limitations or restrictions</w:t>
      </w:r>
    </w:p>
    <w:p>
      <w:pPr>
        <w:spacing w:after="0" w:line="203" w:lineRule="exact"/>
        <w:rPr>
          <w:sz w:val="20"/>
          <w:szCs w:val="20"/>
          <w:color w:val="auto"/>
        </w:rPr>
      </w:pPr>
    </w:p>
    <w:p>
      <w:pPr>
        <w:ind w:left="1107" w:right="20"/>
        <w:spacing w:after="0" w:line="251" w:lineRule="auto"/>
        <w:rPr>
          <w:sz w:val="20"/>
          <w:szCs w:val="20"/>
          <w:color w:val="auto"/>
        </w:rPr>
      </w:pPr>
      <w:r>
        <w:rPr>
          <w:rFonts w:ascii="Arial" w:cs="Arial" w:eastAsia="Arial" w:hAnsi="Arial"/>
          <w:sz w:val="19"/>
          <w:szCs w:val="19"/>
          <w:color w:val="auto"/>
        </w:rPr>
        <w:t>and unless the condition of issue expressly declares otherwise, every issue of shares (whether declared to be ordinary, preference or otherwise) is subject to this power; and</w:t>
      </w:r>
    </w:p>
    <w:p>
      <w:pPr>
        <w:spacing w:after="0" w:line="180" w:lineRule="exact"/>
        <w:rPr>
          <w:sz w:val="20"/>
          <w:szCs w:val="20"/>
          <w:color w:val="auto"/>
        </w:rPr>
      </w:pPr>
    </w:p>
    <w:p>
      <w:pPr>
        <w:ind w:left="1087" w:hanging="537"/>
        <w:spacing w:after="0"/>
        <w:tabs>
          <w:tab w:leader="none" w:pos="108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alter any of those rights, privileges, conditions, limitations or restrictions.</w:t>
      </w:r>
    </w:p>
    <w:p>
      <w:pPr>
        <w:spacing w:after="0" w:line="212" w:lineRule="exact"/>
        <w:rPr>
          <w:sz w:val="20"/>
          <w:szCs w:val="20"/>
          <w:color w:val="auto"/>
        </w:rPr>
      </w:pPr>
    </w:p>
    <w:p>
      <w:pPr>
        <w:ind w:left="547" w:right="20" w:hanging="547"/>
        <w:spacing w:after="0" w:line="258" w:lineRule="auto"/>
        <w:tabs>
          <w:tab w:leader="none" w:pos="5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51370" cy="146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9"/>
          <w:szCs w:val="19"/>
          <w:b w:val="1"/>
          <w:bCs w:val="1"/>
          <w:color w:val="auto"/>
        </w:rPr>
        <w:t>Companies Law (Revised)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Company Limited by Shares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334010</wp:posOffset>
            </wp:positionV>
            <wp:extent cx="107886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208280</wp:posOffset>
            </wp:positionV>
            <wp:extent cx="107886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Adopted by special resolution on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5466080</wp:posOffset>
            </wp:positionV>
            <wp:extent cx="7151370" cy="146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1370" cy="1460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833755</wp:posOffset>
            </wp:positionV>
            <wp:extent cx="7151370" cy="3974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1370" cy="397446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43"/>
        </w:trPr>
        <w:tc>
          <w:tcPr>
            <w:tcW w:w="3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6400" w:type="dxa"/>
            <w:vAlign w:val="bottom"/>
          </w:tcPr>
          <w:p>
            <w:pPr>
              <w:jc w:val="right"/>
              <w:ind w:right="5042"/>
              <w:spacing w:after="0"/>
              <w:rPr>
                <w:sz w:val="20"/>
                <w:szCs w:val="20"/>
                <w:color w:val="auto"/>
              </w:rPr>
            </w:pPr>
            <w:r>
              <w:rPr>
                <w:rFonts w:ascii="Arial" w:cs="Arial" w:eastAsia="Arial" w:hAnsi="Arial"/>
                <w:sz w:val="19"/>
                <w:szCs w:val="19"/>
                <w:b w:val="1"/>
                <w:bCs w:val="1"/>
                <w:color w:val="auto"/>
              </w:rPr>
              <w:t>CONTENTS</w:t>
            </w:r>
          </w:p>
        </w:tc>
      </w:tr>
      <w:tr>
        <w:trPr>
          <w:trHeight w:val="200"/>
        </w:trPr>
        <w:tc>
          <w:tcPr>
            <w:tcW w:w="3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400" w:type="dxa"/>
            <w:vAlign w:val="bottom"/>
          </w:tcPr>
          <w:p>
            <w:pPr>
              <w:spacing w:after="0"/>
              <w:rPr>
                <w:sz w:val="17"/>
                <w:szCs w:val="17"/>
                <w:color w:val="auto"/>
              </w:rPr>
            </w:pPr>
          </w:p>
        </w:tc>
      </w:tr>
      <w:tr>
        <w:trPr>
          <w:trHeight w:val="213"/>
        </w:trPr>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1</w:t>
            </w: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Definitions, interpretation and exclusion of Table A</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Definitions</w:t>
            </w:r>
          </w:p>
        </w:tc>
        <w:tc>
          <w:tcPr>
            <w:tcW w:w="6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Interpretation</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Exclusion of Table A Articles</w:t>
            </w:r>
          </w:p>
        </w:tc>
        <w:tc>
          <w:tcPr>
            <w:tcW w:w="64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2</w:t>
            </w: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Commencement of Business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r>
      <w:tr>
        <w:trPr>
          <w:trHeight w:val="209"/>
        </w:trPr>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3</w:t>
            </w:r>
          </w:p>
        </w:tc>
        <w:tc>
          <w:tcPr>
            <w:tcW w:w="4520" w:type="dxa"/>
            <w:vAlign w:val="bottom"/>
          </w:tcPr>
          <w:p>
            <w:pPr>
              <w:ind w:left="240"/>
              <w:spacing w:after="0"/>
              <w:rPr>
                <w:sz w:val="20"/>
                <w:szCs w:val="20"/>
                <w:color w:val="auto"/>
              </w:rPr>
            </w:pPr>
            <w:r>
              <w:rPr>
                <w:rFonts w:ascii="Arial" w:cs="Arial" w:eastAsia="Arial" w:hAnsi="Arial"/>
                <w:sz w:val="16"/>
                <w:szCs w:val="16"/>
                <w:b w:val="1"/>
                <w:bCs w:val="1"/>
                <w:color w:val="auto"/>
              </w:rPr>
              <w:t>Shares</w:t>
            </w:r>
          </w:p>
        </w:tc>
        <w:tc>
          <w:tcPr>
            <w:tcW w:w="640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3"/>
              </w:rPr>
              <w:t>Power to issue Shares and options, with or without special rights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Power to issue fractions of a Share</w:t>
            </w:r>
          </w:p>
        </w:tc>
        <w:tc>
          <w:tcPr>
            <w:tcW w:w="64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Power to pay commissions and brokerage fees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Trusts not recognised</w:t>
            </w:r>
          </w:p>
        </w:tc>
        <w:tc>
          <w:tcPr>
            <w:tcW w:w="64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Power to vary class rights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Effect of new Share issue on existing class rights</w:t>
            </w:r>
          </w:p>
        </w:tc>
        <w:tc>
          <w:tcPr>
            <w:tcW w:w="64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Capital contributions without issue of further Shares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No bearer Shares or warrants</w:t>
            </w:r>
          </w:p>
        </w:tc>
        <w:tc>
          <w:tcPr>
            <w:tcW w:w="64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Treasury Shares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Rights attaching to Treasury Shares and related matters</w:t>
            </w:r>
          </w:p>
        </w:tc>
        <w:tc>
          <w:tcPr>
            <w:tcW w:w="64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4</w:t>
            </w: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Register of Members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r>
      <w:tr>
        <w:trPr>
          <w:trHeight w:val="209"/>
        </w:trPr>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5</w:t>
            </w:r>
          </w:p>
        </w:tc>
        <w:tc>
          <w:tcPr>
            <w:tcW w:w="4520" w:type="dxa"/>
            <w:vAlign w:val="bottom"/>
          </w:tcPr>
          <w:p>
            <w:pPr>
              <w:ind w:left="240"/>
              <w:spacing w:after="0"/>
              <w:rPr>
                <w:sz w:val="20"/>
                <w:szCs w:val="20"/>
                <w:color w:val="auto"/>
              </w:rPr>
            </w:pPr>
            <w:r>
              <w:rPr>
                <w:rFonts w:ascii="Arial" w:cs="Arial" w:eastAsia="Arial" w:hAnsi="Arial"/>
                <w:sz w:val="16"/>
                <w:szCs w:val="16"/>
                <w:b w:val="1"/>
                <w:bCs w:val="1"/>
                <w:color w:val="auto"/>
              </w:rPr>
              <w:t>Share certificates</w:t>
            </w:r>
          </w:p>
        </w:tc>
        <w:tc>
          <w:tcPr>
            <w:tcW w:w="640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Issue of share certificates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Renewal of lost or damaged share certificates</w:t>
            </w:r>
          </w:p>
        </w:tc>
        <w:tc>
          <w:tcPr>
            <w:tcW w:w="64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6</w:t>
            </w: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Lien on Shares</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Nature and scope of lien</w:t>
            </w:r>
          </w:p>
        </w:tc>
        <w:tc>
          <w:tcPr>
            <w:tcW w:w="64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Company may sell Shares to satisfy lien</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Authority to execute instrument of transfer</w:t>
            </w:r>
          </w:p>
        </w:tc>
        <w:tc>
          <w:tcPr>
            <w:tcW w:w="6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Consequences of sale of Shares to satisfy lien</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34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6"/>
                <w:szCs w:val="16"/>
                <w:color w:val="auto"/>
              </w:rPr>
              <w:t>Application of proceeds of sale</w:t>
            </w:r>
          </w:p>
        </w:tc>
        <w:tc>
          <w:tcPr>
            <w:tcW w:w="6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78"/>
        </w:trPr>
        <w:tc>
          <w:tcPr>
            <w:tcW w:w="3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6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116" w:right="319" w:bottom="1440" w:gutter="0" w:footer="0" w:header="0"/>
        </w:sectPr>
      </w:pPr>
    </w:p>
    <w:bookmarkStart w:id="266" w:name="page267"/>
    <w:bookmarkEnd w:id="2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7</w:t>
            </w:r>
          </w:p>
        </w:tc>
        <w:tc>
          <w:tcPr>
            <w:tcW w:w="81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Calls on Shares and forfeiture</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Power to make calls and effect of calls</w:t>
            </w:r>
          </w:p>
        </w:tc>
        <w:tc>
          <w:tcPr>
            <w:tcW w:w="27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Time when call made</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Liability of joint holders</w:t>
            </w:r>
          </w:p>
        </w:tc>
        <w:tc>
          <w:tcPr>
            <w:tcW w:w="2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on unpaid calls</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Deemed calls</w:t>
            </w:r>
          </w:p>
        </w:tc>
        <w:tc>
          <w:tcPr>
            <w:tcW w:w="2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Power to accept early payment</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Power to make different arrangements at time of issue of Shares</w:t>
            </w:r>
          </w:p>
        </w:tc>
        <w:tc>
          <w:tcPr>
            <w:tcW w:w="2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Notice of default</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Forfeiture or surrender of Shares</w:t>
            </w:r>
          </w:p>
        </w:tc>
        <w:tc>
          <w:tcPr>
            <w:tcW w:w="2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Disposal of forfeited or surrendered Share and power to cancel forfeiture or surrender</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Effect of forfeiture or surrender on former Member</w:t>
            </w:r>
          </w:p>
        </w:tc>
        <w:tc>
          <w:tcPr>
            <w:tcW w:w="2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Evidence of forfeiture or surrender</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Sale of forfeited or surrendered Shares</w:t>
            </w:r>
          </w:p>
        </w:tc>
        <w:tc>
          <w:tcPr>
            <w:tcW w:w="2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8</w:t>
            </w: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Transfer of Shares</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Form of transfer</w:t>
            </w:r>
          </w:p>
        </w:tc>
        <w:tc>
          <w:tcPr>
            <w:tcW w:w="2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Power to refuse registration</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Power to suspend registration</w:t>
            </w:r>
          </w:p>
        </w:tc>
        <w:tc>
          <w:tcPr>
            <w:tcW w:w="2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Company may retain instrument of transfer</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9</w:t>
            </w:r>
          </w:p>
        </w:tc>
        <w:tc>
          <w:tcPr>
            <w:tcW w:w="8140" w:type="dxa"/>
            <w:vAlign w:val="bottom"/>
          </w:tcPr>
          <w:p>
            <w:pPr>
              <w:ind w:left="240"/>
              <w:spacing w:after="0"/>
              <w:rPr>
                <w:sz w:val="20"/>
                <w:szCs w:val="20"/>
                <w:color w:val="auto"/>
              </w:rPr>
            </w:pPr>
            <w:r>
              <w:rPr>
                <w:rFonts w:ascii="Arial" w:cs="Arial" w:eastAsia="Arial" w:hAnsi="Arial"/>
                <w:sz w:val="16"/>
                <w:szCs w:val="16"/>
                <w:b w:val="1"/>
                <w:bCs w:val="1"/>
                <w:color w:val="auto"/>
              </w:rPr>
              <w:t>Transmission of Shares</w:t>
            </w:r>
          </w:p>
        </w:tc>
        <w:tc>
          <w:tcPr>
            <w:tcW w:w="278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Persons entitled on death of a Member</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Registration of transfer of a Share following death or bankruptcy</w:t>
            </w:r>
          </w:p>
        </w:tc>
        <w:tc>
          <w:tcPr>
            <w:tcW w:w="27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
        </w:trPr>
        <w:tc>
          <w:tcPr>
            <w:tcW w:w="3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13"/>
        </w:trPr>
        <w:tc>
          <w:tcPr>
            <w:tcW w:w="34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Indemnity</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3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Arial" w:cs="Arial" w:eastAsia="Arial" w:hAnsi="Arial"/>
                <w:sz w:val="16"/>
                <w:szCs w:val="16"/>
                <w:color w:val="auto"/>
              </w:rPr>
              <w:t>Rights of person entitled to a Share following death or bankruptcy</w:t>
            </w:r>
          </w:p>
        </w:tc>
        <w:tc>
          <w:tcPr>
            <w:tcW w:w="27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78"/>
        </w:trPr>
        <w:tc>
          <w:tcPr>
            <w:tcW w:w="340" w:type="dxa"/>
            <w:vAlign w:val="bottom"/>
            <w:tcBorders>
              <w:bottom w:val="single" w:sz="8" w:color="auto"/>
            </w:tcBorders>
          </w:tcPr>
          <w:p>
            <w:pPr>
              <w:spacing w:after="0"/>
              <w:rPr>
                <w:sz w:val="15"/>
                <w:szCs w:val="15"/>
                <w:color w:val="auto"/>
              </w:rPr>
            </w:pPr>
          </w:p>
        </w:tc>
        <w:tc>
          <w:tcPr>
            <w:tcW w:w="8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140" w:right="319" w:bottom="1440" w:gutter="0" w:footer="0" w:header="0"/>
        </w:sectPr>
      </w:pPr>
    </w:p>
    <w:bookmarkStart w:id="267" w:name="page268"/>
    <w:bookmarkEnd w:id="2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10</w:t>
            </w:r>
          </w:p>
        </w:tc>
        <w:tc>
          <w:tcPr>
            <w:tcW w:w="77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Alteration of capital</w:t>
            </w:r>
          </w:p>
        </w:tc>
        <w:tc>
          <w:tcPr>
            <w:tcW w:w="3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Increasing, consolidating, converting, dividing and cancelling share capital</w:t>
            </w:r>
          </w:p>
        </w:tc>
        <w:tc>
          <w:tcPr>
            <w:tcW w:w="3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Dealing with fractions resulting from consolidation of Shares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Reducing share capital</w:t>
            </w:r>
          </w:p>
        </w:tc>
        <w:tc>
          <w:tcPr>
            <w:tcW w:w="3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11</w:t>
            </w: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Redemption and purchase of own Shares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Power to issue redeemable Shares and to purchase own Shares</w:t>
            </w:r>
          </w:p>
        </w:tc>
        <w:tc>
          <w:tcPr>
            <w:tcW w:w="3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Power to pay for redemption or purchase in cash or in specie</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Effect of redemption or purchase of a Share</w:t>
            </w:r>
          </w:p>
        </w:tc>
        <w:tc>
          <w:tcPr>
            <w:tcW w:w="31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12</w:t>
            </w: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Class B Share Conversion</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209"/>
        </w:trPr>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13</w:t>
            </w:r>
          </w:p>
        </w:tc>
        <w:tc>
          <w:tcPr>
            <w:tcW w:w="7780" w:type="dxa"/>
            <w:vAlign w:val="bottom"/>
          </w:tcPr>
          <w:p>
            <w:pPr>
              <w:ind w:left="200"/>
              <w:spacing w:after="0"/>
              <w:rPr>
                <w:sz w:val="20"/>
                <w:szCs w:val="20"/>
                <w:color w:val="auto"/>
              </w:rPr>
            </w:pPr>
            <w:r>
              <w:rPr>
                <w:rFonts w:ascii="Arial" w:cs="Arial" w:eastAsia="Arial" w:hAnsi="Arial"/>
                <w:sz w:val="16"/>
                <w:szCs w:val="16"/>
                <w:b w:val="1"/>
                <w:bCs w:val="1"/>
                <w:color w:val="auto"/>
              </w:rPr>
              <w:t>Meetings of Members</w:t>
            </w:r>
          </w:p>
        </w:tc>
        <w:tc>
          <w:tcPr>
            <w:tcW w:w="310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Power to call meetings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Content of notice</w:t>
            </w:r>
          </w:p>
        </w:tc>
        <w:tc>
          <w:tcPr>
            <w:tcW w:w="3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Period of notice</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Persons entitled to receive notice</w:t>
            </w:r>
          </w:p>
        </w:tc>
        <w:tc>
          <w:tcPr>
            <w:tcW w:w="3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Publication of notice on a website</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Time a website notice is deemed to be given</w:t>
            </w:r>
          </w:p>
        </w:tc>
        <w:tc>
          <w:tcPr>
            <w:tcW w:w="3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Required duration of publication on a website</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Accidental omission to give notice or non-receipt of notice</w:t>
            </w:r>
          </w:p>
        </w:tc>
        <w:tc>
          <w:tcPr>
            <w:tcW w:w="3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14</w:t>
            </w: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Proceedings at meetings of Members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Quorum</w:t>
            </w:r>
          </w:p>
        </w:tc>
        <w:tc>
          <w:tcPr>
            <w:tcW w:w="3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Lack of quorum</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Use of technology</w:t>
            </w:r>
          </w:p>
        </w:tc>
        <w:tc>
          <w:tcPr>
            <w:tcW w:w="3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Chairman</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Right of a director to attend and speak</w:t>
            </w:r>
          </w:p>
        </w:tc>
        <w:tc>
          <w:tcPr>
            <w:tcW w:w="3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Adjournment</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Method of voting</w:t>
            </w:r>
          </w:p>
        </w:tc>
        <w:tc>
          <w:tcPr>
            <w:tcW w:w="3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Taking of a poll</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Chairman’s casting vote</w:t>
            </w:r>
          </w:p>
        </w:tc>
        <w:tc>
          <w:tcPr>
            <w:tcW w:w="3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Amendments to resolutions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38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6"/>
                <w:szCs w:val="16"/>
                <w:color w:val="auto"/>
              </w:rPr>
              <w:t>Written resolutions</w:t>
            </w:r>
          </w:p>
        </w:tc>
        <w:tc>
          <w:tcPr>
            <w:tcW w:w="3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
        </w:trPr>
        <w:tc>
          <w:tcPr>
            <w:tcW w:w="3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Sole-member company</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55"/>
        </w:trPr>
        <w:tc>
          <w:tcPr>
            <w:tcW w:w="380" w:type="dxa"/>
            <w:vAlign w:val="bottom"/>
            <w:tcBorders>
              <w:bottom w:val="single" w:sz="8" w:color="auto"/>
            </w:tcBorders>
          </w:tcPr>
          <w:p>
            <w:pPr>
              <w:spacing w:after="0"/>
              <w:rPr>
                <w:sz w:val="13"/>
                <w:szCs w:val="13"/>
                <w:color w:val="auto"/>
              </w:rPr>
            </w:pPr>
          </w:p>
        </w:tc>
        <w:tc>
          <w:tcPr>
            <w:tcW w:w="77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40" w:right="319" w:bottom="1440" w:gutter="0" w:footer="0" w:header="0"/>
        </w:sectPr>
      </w:pPr>
    </w:p>
    <w:bookmarkStart w:id="268" w:name="page269"/>
    <w:bookmarkEnd w:id="2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15</w:t>
            </w:r>
          </w:p>
        </w:tc>
        <w:tc>
          <w:tcPr>
            <w:tcW w:w="7400" w:type="dxa"/>
            <w:vAlign w:val="bottom"/>
          </w:tcPr>
          <w:p>
            <w:pPr>
              <w:ind w:left="200"/>
              <w:spacing w:after="0"/>
              <w:rPr>
                <w:sz w:val="20"/>
                <w:szCs w:val="20"/>
                <w:color w:val="auto"/>
              </w:rPr>
            </w:pPr>
            <w:r>
              <w:rPr>
                <w:rFonts w:ascii="Arial" w:cs="Arial" w:eastAsia="Arial" w:hAnsi="Arial"/>
                <w:sz w:val="16"/>
                <w:szCs w:val="16"/>
                <w:b w:val="1"/>
                <w:bCs w:val="1"/>
                <w:color w:val="auto"/>
              </w:rPr>
              <w:t>Voting rights of Members</w:t>
            </w:r>
          </w:p>
        </w:tc>
        <w:tc>
          <w:tcPr>
            <w:tcW w:w="348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Right to vote</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Rights of joint holders</w:t>
            </w:r>
          </w:p>
        </w:tc>
        <w:tc>
          <w:tcPr>
            <w:tcW w:w="3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Representation of corporate Members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Member with mental disorder</w:t>
            </w:r>
          </w:p>
        </w:tc>
        <w:tc>
          <w:tcPr>
            <w:tcW w:w="34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Objections to admissibility of votes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Form of proxy</w:t>
            </w:r>
          </w:p>
        </w:tc>
        <w:tc>
          <w:tcPr>
            <w:tcW w:w="34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How and when proxy is to be delivered</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Voting by proxy</w:t>
            </w:r>
          </w:p>
        </w:tc>
        <w:tc>
          <w:tcPr>
            <w:tcW w:w="34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16</w:t>
            </w: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Number of directors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r>
      <w:tr>
        <w:trPr>
          <w:trHeight w:val="209"/>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17</w:t>
            </w:r>
          </w:p>
        </w:tc>
        <w:tc>
          <w:tcPr>
            <w:tcW w:w="7400" w:type="dxa"/>
            <w:vAlign w:val="bottom"/>
          </w:tcPr>
          <w:p>
            <w:pPr>
              <w:ind w:left="200"/>
              <w:spacing w:after="0"/>
              <w:rPr>
                <w:sz w:val="20"/>
                <w:szCs w:val="20"/>
                <w:color w:val="auto"/>
              </w:rPr>
            </w:pPr>
            <w:r>
              <w:rPr>
                <w:rFonts w:ascii="Arial" w:cs="Arial" w:eastAsia="Arial" w:hAnsi="Arial"/>
                <w:sz w:val="16"/>
                <w:szCs w:val="16"/>
                <w:b w:val="1"/>
                <w:bCs w:val="1"/>
                <w:color w:val="auto"/>
              </w:rPr>
              <w:t>Appointment, disqualification and removal of directors</w:t>
            </w:r>
          </w:p>
        </w:tc>
        <w:tc>
          <w:tcPr>
            <w:tcW w:w="348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 age limit</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Corporate directors</w:t>
            </w:r>
          </w:p>
        </w:tc>
        <w:tc>
          <w:tcPr>
            <w:tcW w:w="34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 shareholding qualification</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Appointment and removal of directors</w:t>
            </w:r>
          </w:p>
        </w:tc>
        <w:tc>
          <w:tcPr>
            <w:tcW w:w="3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Resignation of directors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Termination of the office of director</w:t>
            </w:r>
          </w:p>
        </w:tc>
        <w:tc>
          <w:tcPr>
            <w:tcW w:w="3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18</w:t>
            </w: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Alternate directors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Appointment and removal</w:t>
            </w:r>
          </w:p>
        </w:tc>
        <w:tc>
          <w:tcPr>
            <w:tcW w:w="34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Notices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Rights of alternate director</w:t>
            </w:r>
          </w:p>
        </w:tc>
        <w:tc>
          <w:tcPr>
            <w:tcW w:w="34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Appointment ceases when the appointor ceases to be a director</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Status of alternate director</w:t>
            </w:r>
          </w:p>
        </w:tc>
        <w:tc>
          <w:tcPr>
            <w:tcW w:w="34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
        </w:trPr>
        <w:tc>
          <w:tcPr>
            <w:tcW w:w="3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Status of the director making the appointment</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155"/>
        </w:trPr>
        <w:tc>
          <w:tcPr>
            <w:tcW w:w="380" w:type="dxa"/>
            <w:vAlign w:val="bottom"/>
            <w:tcBorders>
              <w:bottom w:val="single" w:sz="8" w:color="auto"/>
            </w:tcBorders>
          </w:tcPr>
          <w:p>
            <w:pPr>
              <w:spacing w:after="0"/>
              <w:rPr>
                <w:sz w:val="13"/>
                <w:szCs w:val="13"/>
                <w:color w:val="auto"/>
              </w:rPr>
            </w:pPr>
          </w:p>
        </w:tc>
        <w:tc>
          <w:tcPr>
            <w:tcW w:w="740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46" w:right="319" w:bottom="144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19</w:t>
            </w:r>
          </w:p>
        </w:tc>
        <w:tc>
          <w:tcPr>
            <w:tcW w:w="7600" w:type="dxa"/>
            <w:vAlign w:val="bottom"/>
          </w:tcPr>
          <w:p>
            <w:pPr>
              <w:ind w:left="200"/>
              <w:spacing w:after="0"/>
              <w:rPr>
                <w:sz w:val="20"/>
                <w:szCs w:val="20"/>
                <w:color w:val="auto"/>
              </w:rPr>
            </w:pPr>
            <w:r>
              <w:rPr>
                <w:rFonts w:ascii="Arial" w:cs="Arial" w:eastAsia="Arial" w:hAnsi="Arial"/>
                <w:sz w:val="16"/>
                <w:szCs w:val="16"/>
                <w:b w:val="1"/>
                <w:bCs w:val="1"/>
                <w:color w:val="auto"/>
              </w:rPr>
              <w:t>Powers of directors</w:t>
            </w: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Powers of directors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Appointments to office</w:t>
            </w:r>
          </w:p>
        </w:tc>
        <w:tc>
          <w:tcPr>
            <w:tcW w:w="32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Remuneration</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Disclosure of information</w:t>
            </w:r>
          </w:p>
        </w:tc>
        <w:tc>
          <w:tcPr>
            <w:tcW w:w="32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20</w:t>
            </w: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Delegation of powers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Power to delegate any of the directors’ powers to a committee</w:t>
            </w:r>
          </w:p>
        </w:tc>
        <w:tc>
          <w:tcPr>
            <w:tcW w:w="32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Power to appoint an agent of the Company</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Power to appoint an attorney or authorised signatory of the Company</w:t>
            </w:r>
          </w:p>
        </w:tc>
        <w:tc>
          <w:tcPr>
            <w:tcW w:w="32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Power to appoint a proxy</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21</w:t>
            </w:r>
          </w:p>
        </w:tc>
        <w:tc>
          <w:tcPr>
            <w:tcW w:w="7600" w:type="dxa"/>
            <w:vAlign w:val="bottom"/>
          </w:tcPr>
          <w:p>
            <w:pPr>
              <w:ind w:left="200"/>
              <w:spacing w:after="0"/>
              <w:rPr>
                <w:sz w:val="20"/>
                <w:szCs w:val="20"/>
                <w:color w:val="auto"/>
              </w:rPr>
            </w:pPr>
            <w:r>
              <w:rPr>
                <w:rFonts w:ascii="Arial" w:cs="Arial" w:eastAsia="Arial" w:hAnsi="Arial"/>
                <w:sz w:val="16"/>
                <w:szCs w:val="16"/>
                <w:b w:val="1"/>
                <w:bCs w:val="1"/>
                <w:color w:val="auto"/>
              </w:rPr>
              <w:t>Meetings of directors</w:t>
            </w: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Regulation of directors’ meetings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Calling meetings</w:t>
            </w:r>
          </w:p>
        </w:tc>
        <w:tc>
          <w:tcPr>
            <w:tcW w:w="32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Notice of meetings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Period of notice</w:t>
            </w:r>
          </w:p>
        </w:tc>
        <w:tc>
          <w:tcPr>
            <w:tcW w:w="32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Use of technology</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Place of meetings</w:t>
            </w:r>
          </w:p>
        </w:tc>
        <w:tc>
          <w:tcPr>
            <w:tcW w:w="3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Quorum</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Voting</w:t>
            </w:r>
          </w:p>
        </w:tc>
        <w:tc>
          <w:tcPr>
            <w:tcW w:w="3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Validity</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Recording of dissent</w:t>
            </w:r>
          </w:p>
        </w:tc>
        <w:tc>
          <w:tcPr>
            <w:tcW w:w="3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
        </w:trPr>
        <w:tc>
          <w:tcPr>
            <w:tcW w:w="3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Written resolutions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38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Sole director’s minute</w:t>
            </w:r>
          </w:p>
        </w:tc>
        <w:tc>
          <w:tcPr>
            <w:tcW w:w="32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78"/>
        </w:trPr>
        <w:tc>
          <w:tcPr>
            <w:tcW w:w="380" w:type="dxa"/>
            <w:vAlign w:val="bottom"/>
            <w:tcBorders>
              <w:bottom w:val="single" w:sz="8" w:color="auto"/>
            </w:tcBorders>
          </w:tcPr>
          <w:p>
            <w:pPr>
              <w:spacing w:after="0"/>
              <w:rPr>
                <w:sz w:val="15"/>
                <w:szCs w:val="15"/>
                <w:color w:val="auto"/>
              </w:rPr>
            </w:pPr>
          </w:p>
        </w:tc>
        <w:tc>
          <w:tcPr>
            <w:tcW w:w="76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146" w:right="319" w:bottom="144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22</w:t>
            </w:r>
          </w:p>
        </w:tc>
        <w:tc>
          <w:tcPr>
            <w:tcW w:w="81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Permissible directors’ interests and disclosure</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Permissible interests subject to disclosure</w:t>
            </w:r>
          </w:p>
        </w:tc>
        <w:tc>
          <w:tcPr>
            <w:tcW w:w="2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Notification of interests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Voting where a director is interested in a matter</w:t>
            </w:r>
          </w:p>
        </w:tc>
        <w:tc>
          <w:tcPr>
            <w:tcW w:w="2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23</w:t>
            </w: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Minutes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r>
      <w:tr>
        <w:trPr>
          <w:trHeight w:val="209"/>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24</w:t>
            </w:r>
          </w:p>
        </w:tc>
        <w:tc>
          <w:tcPr>
            <w:tcW w:w="8160" w:type="dxa"/>
            <w:vAlign w:val="bottom"/>
          </w:tcPr>
          <w:p>
            <w:pPr>
              <w:ind w:left="200"/>
              <w:spacing w:after="0"/>
              <w:rPr>
                <w:sz w:val="20"/>
                <w:szCs w:val="20"/>
                <w:color w:val="auto"/>
              </w:rPr>
            </w:pPr>
            <w:r>
              <w:rPr>
                <w:rFonts w:ascii="Arial" w:cs="Arial" w:eastAsia="Arial" w:hAnsi="Arial"/>
                <w:sz w:val="16"/>
                <w:szCs w:val="16"/>
                <w:b w:val="1"/>
                <w:bCs w:val="1"/>
                <w:color w:val="auto"/>
              </w:rPr>
              <w:t>Accounts and audit</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Accounting and other records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No automatic right of inspection</w:t>
            </w:r>
          </w:p>
        </w:tc>
        <w:tc>
          <w:tcPr>
            <w:tcW w:w="27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Sending of accounts and reports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Time of receipt if documents are published on a website</w:t>
            </w:r>
          </w:p>
        </w:tc>
        <w:tc>
          <w:tcPr>
            <w:tcW w:w="27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Validity despite accidental error in publication on website</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Audit</w:t>
            </w:r>
          </w:p>
        </w:tc>
        <w:tc>
          <w:tcPr>
            <w:tcW w:w="27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25</w:t>
            </w: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Financial year</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r>
      <w:tr>
        <w:trPr>
          <w:trHeight w:val="209"/>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26</w:t>
            </w:r>
          </w:p>
        </w:tc>
        <w:tc>
          <w:tcPr>
            <w:tcW w:w="8160" w:type="dxa"/>
            <w:vAlign w:val="bottom"/>
          </w:tcPr>
          <w:p>
            <w:pPr>
              <w:ind w:left="200"/>
              <w:spacing w:after="0"/>
              <w:rPr>
                <w:sz w:val="20"/>
                <w:szCs w:val="20"/>
                <w:color w:val="auto"/>
              </w:rPr>
            </w:pPr>
            <w:r>
              <w:rPr>
                <w:rFonts w:ascii="Arial" w:cs="Arial" w:eastAsia="Arial" w:hAnsi="Arial"/>
                <w:sz w:val="16"/>
                <w:szCs w:val="16"/>
                <w:b w:val="1"/>
                <w:bCs w:val="1"/>
                <w:color w:val="auto"/>
              </w:rPr>
              <w:t>Record dates</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27</w:t>
            </w: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Dividends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Declaration of dividends by Members</w:t>
            </w:r>
          </w:p>
        </w:tc>
        <w:tc>
          <w:tcPr>
            <w:tcW w:w="27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Payment of interim dividends and declaration of final dividends by directors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Apportionment of dividends</w:t>
            </w:r>
          </w:p>
        </w:tc>
        <w:tc>
          <w:tcPr>
            <w:tcW w:w="27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Right of set off</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Power to pay other than in cash</w:t>
            </w:r>
          </w:p>
        </w:tc>
        <w:tc>
          <w:tcPr>
            <w:tcW w:w="27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How payments may be made</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Dividends or other moneys not to bear interest in absence of special rights</w:t>
            </w:r>
          </w:p>
        </w:tc>
        <w:tc>
          <w:tcPr>
            <w:tcW w:w="27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Dividends unable to be paid or unclaimed</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28</w:t>
            </w:r>
          </w:p>
        </w:tc>
        <w:tc>
          <w:tcPr>
            <w:tcW w:w="8160" w:type="dxa"/>
            <w:vAlign w:val="bottom"/>
          </w:tcPr>
          <w:p>
            <w:pPr>
              <w:ind w:left="200"/>
              <w:spacing w:after="0"/>
              <w:rPr>
                <w:sz w:val="20"/>
                <w:szCs w:val="20"/>
                <w:color w:val="auto"/>
              </w:rPr>
            </w:pPr>
            <w:r>
              <w:rPr>
                <w:rFonts w:ascii="Arial" w:cs="Arial" w:eastAsia="Arial" w:hAnsi="Arial"/>
                <w:sz w:val="16"/>
                <w:szCs w:val="16"/>
                <w:b w:val="1"/>
                <w:bCs w:val="1"/>
                <w:color w:val="auto"/>
              </w:rPr>
              <w:t>Capitalisation of profits</w:t>
            </w: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24"/>
        </w:trPr>
        <w:tc>
          <w:tcPr>
            <w:tcW w:w="38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Capitalisation of profits or of any share premium account or capital redemption reserve</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38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6"/>
                <w:szCs w:val="16"/>
                <w:color w:val="auto"/>
              </w:rPr>
              <w:t>Applying an amount for the benefit of members</w:t>
            </w:r>
          </w:p>
        </w:tc>
        <w:tc>
          <w:tcPr>
            <w:tcW w:w="27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78"/>
        </w:trPr>
        <w:tc>
          <w:tcPr>
            <w:tcW w:w="380" w:type="dxa"/>
            <w:vAlign w:val="bottom"/>
            <w:tcBorders>
              <w:bottom w:val="single" w:sz="8" w:color="auto"/>
            </w:tcBorders>
          </w:tcPr>
          <w:p>
            <w:pPr>
              <w:spacing w:after="0"/>
              <w:rPr>
                <w:sz w:val="15"/>
                <w:szCs w:val="15"/>
                <w:color w:val="auto"/>
              </w:rPr>
            </w:pPr>
          </w:p>
        </w:tc>
        <w:tc>
          <w:tcPr>
            <w:tcW w:w="8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r>
    </w:tbl>
    <w:p>
      <w:pPr>
        <w:sectPr>
          <w:pgSz w:w="11900" w:h="16838" w:orient="portrait"/>
          <w:cols w:equalWidth="0" w:num="1">
            <w:col w:w="11260"/>
          </w:cols>
          <w:pgMar w:left="320" w:top="140" w:right="319"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29</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Share premium account</w:t>
            </w:r>
          </w:p>
        </w:tc>
        <w:tc>
          <w:tcPr>
            <w:tcW w:w="3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Directors to maintain share premium account</w:t>
            </w:r>
          </w:p>
        </w:tc>
        <w:tc>
          <w:tcPr>
            <w:tcW w:w="3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Debits to share premium account</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38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30</w:t>
            </w:r>
          </w:p>
        </w:tc>
        <w:tc>
          <w:tcPr>
            <w:tcW w:w="7560" w:type="dxa"/>
            <w:vAlign w:val="bottom"/>
          </w:tcPr>
          <w:p>
            <w:pPr>
              <w:ind w:left="200"/>
              <w:spacing w:after="0"/>
              <w:rPr>
                <w:sz w:val="20"/>
                <w:szCs w:val="20"/>
                <w:color w:val="auto"/>
              </w:rPr>
            </w:pPr>
            <w:r>
              <w:rPr>
                <w:rFonts w:ascii="Arial" w:cs="Arial" w:eastAsia="Arial" w:hAnsi="Arial"/>
                <w:sz w:val="16"/>
                <w:szCs w:val="16"/>
                <w:b w:val="1"/>
                <w:bCs w:val="1"/>
                <w:color w:val="auto"/>
              </w:rPr>
              <w:t>Seal</w:t>
            </w:r>
          </w:p>
        </w:tc>
        <w:tc>
          <w:tcPr>
            <w:tcW w:w="3320" w:type="dxa"/>
            <w:vAlign w:val="bottom"/>
          </w:tcPr>
          <w:p>
            <w:pPr>
              <w:jc w:val="right"/>
              <w:spacing w:after="0"/>
              <w:rPr>
                <w:sz w:val="20"/>
                <w:szCs w:val="20"/>
                <w:color w:val="auto"/>
              </w:rPr>
            </w:pPr>
            <w:r>
              <w:rPr>
                <w:rFonts w:ascii="Arial" w:cs="Arial" w:eastAsia="Arial" w:hAnsi="Arial"/>
                <w:sz w:val="16"/>
                <w:szCs w:val="16"/>
                <w:b w:val="1"/>
                <w:bCs w:val="1"/>
                <w:color w:val="auto"/>
              </w:rPr>
              <w:t>48</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Company seal</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Duplicate seal</w:t>
            </w:r>
          </w:p>
        </w:tc>
        <w:tc>
          <w:tcPr>
            <w:tcW w:w="33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When and how seal is to be used</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If no seal is adopted or used</w:t>
            </w:r>
          </w:p>
        </w:tc>
        <w:tc>
          <w:tcPr>
            <w:tcW w:w="33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Power to allow non-manual signatures and facsimile printing of seal</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Validity of execution</w:t>
            </w:r>
          </w:p>
        </w:tc>
        <w:tc>
          <w:tcPr>
            <w:tcW w:w="33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31</w:t>
            </w: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Indemnity</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Indemnity</w:t>
            </w:r>
          </w:p>
        </w:tc>
        <w:tc>
          <w:tcPr>
            <w:tcW w:w="33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Release</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Insurance</w:t>
            </w:r>
          </w:p>
        </w:tc>
        <w:tc>
          <w:tcPr>
            <w:tcW w:w="33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32</w:t>
            </w: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Notices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Form of notices</w:t>
            </w:r>
          </w:p>
        </w:tc>
        <w:tc>
          <w:tcPr>
            <w:tcW w:w="33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Electronic communications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Persons authorised to give notices</w:t>
            </w:r>
          </w:p>
        </w:tc>
        <w:tc>
          <w:tcPr>
            <w:tcW w:w="33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Delivery of written notices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Joint holders</w:t>
            </w:r>
          </w:p>
        </w:tc>
        <w:tc>
          <w:tcPr>
            <w:tcW w:w="33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Signatures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Evidence of transmission</w:t>
            </w:r>
          </w:p>
        </w:tc>
        <w:tc>
          <w:tcPr>
            <w:tcW w:w="33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Giving notice to a deceased or bankrupt Member</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Date of giving notices</w:t>
            </w:r>
          </w:p>
        </w:tc>
        <w:tc>
          <w:tcPr>
            <w:tcW w:w="33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
        </w:trPr>
        <w:tc>
          <w:tcPr>
            <w:tcW w:w="3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3"/>
        </w:trPr>
        <w:tc>
          <w:tcPr>
            <w:tcW w:w="380" w:type="dxa"/>
            <w:vAlign w:val="bottom"/>
            <w:tcBorders>
              <w:bottom w:val="single" w:sz="8" w:color="CCEEFF"/>
            </w:tcBorders>
            <w:shd w:val="clear" w:color="auto" w:fill="CCEEFF"/>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Saving provision</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155"/>
        </w:trPr>
        <w:tc>
          <w:tcPr>
            <w:tcW w:w="380" w:type="dxa"/>
            <w:vAlign w:val="bottom"/>
            <w:tcBorders>
              <w:bottom w:val="single" w:sz="8" w:color="auto"/>
            </w:tcBorders>
          </w:tcPr>
          <w:p>
            <w:pPr>
              <w:spacing w:after="0"/>
              <w:rPr>
                <w:sz w:val="13"/>
                <w:szCs w:val="13"/>
                <w:color w:val="auto"/>
              </w:rPr>
            </w:pPr>
          </w:p>
        </w:tc>
        <w:tc>
          <w:tcPr>
            <w:tcW w:w="75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40" w:right="319"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33</w:t>
            </w:r>
          </w:p>
        </w:tc>
        <w:tc>
          <w:tcPr>
            <w:tcW w:w="8520" w:type="dxa"/>
            <w:vAlign w:val="bottom"/>
          </w:tcPr>
          <w:p>
            <w:pPr>
              <w:ind w:left="300"/>
              <w:spacing w:after="0"/>
              <w:rPr>
                <w:sz w:val="20"/>
                <w:szCs w:val="20"/>
                <w:color w:val="auto"/>
              </w:rPr>
            </w:pPr>
            <w:r>
              <w:rPr>
                <w:rFonts w:ascii="Arial" w:cs="Arial" w:eastAsia="Arial" w:hAnsi="Arial"/>
                <w:sz w:val="16"/>
                <w:szCs w:val="16"/>
                <w:b w:val="1"/>
                <w:bCs w:val="1"/>
                <w:color w:val="auto"/>
              </w:rPr>
              <w:t>Authentication of Electronic Records</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Application of Articles</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4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6"/>
                <w:szCs w:val="16"/>
                <w:color w:val="auto"/>
              </w:rPr>
              <w:t>Authentication of documents sent by Members by Electronic means</w:t>
            </w:r>
          </w:p>
        </w:tc>
        <w:tc>
          <w:tcPr>
            <w:tcW w:w="22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Authentication of document sent by the Secretary or Officers of the Company by Electronic means</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4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6"/>
                <w:szCs w:val="16"/>
                <w:color w:val="auto"/>
              </w:rPr>
              <w:t>Manner of signing</w:t>
            </w:r>
          </w:p>
        </w:tc>
        <w:tc>
          <w:tcPr>
            <w:tcW w:w="22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Saving provision</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48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34</w:t>
            </w:r>
          </w:p>
        </w:tc>
        <w:tc>
          <w:tcPr>
            <w:tcW w:w="8520" w:type="dxa"/>
            <w:vAlign w:val="bottom"/>
          </w:tcPr>
          <w:p>
            <w:pPr>
              <w:ind w:left="300"/>
              <w:spacing w:after="0"/>
              <w:rPr>
                <w:sz w:val="20"/>
                <w:szCs w:val="20"/>
                <w:color w:val="auto"/>
              </w:rPr>
            </w:pPr>
            <w:r>
              <w:rPr>
                <w:rFonts w:ascii="Arial" w:cs="Arial" w:eastAsia="Arial" w:hAnsi="Arial"/>
                <w:sz w:val="16"/>
                <w:szCs w:val="16"/>
                <w:b w:val="1"/>
                <w:bCs w:val="1"/>
                <w:color w:val="auto"/>
              </w:rPr>
              <w:t>Transfer by way of continuation</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35</w:t>
            </w: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Winding up</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r>
      <w:tr>
        <w:trPr>
          <w:trHeight w:val="209"/>
        </w:trPr>
        <w:tc>
          <w:tcPr>
            <w:tcW w:w="4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6"/>
                <w:szCs w:val="16"/>
                <w:color w:val="auto"/>
              </w:rPr>
              <w:t>Distribution of assets in specie</w:t>
            </w:r>
          </w:p>
        </w:tc>
        <w:tc>
          <w:tcPr>
            <w:tcW w:w="22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No obligation to accept liability</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4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6"/>
                <w:szCs w:val="16"/>
                <w:color w:val="auto"/>
              </w:rPr>
              <w:t>The directors are authorised to present a winding up petition</w:t>
            </w:r>
          </w:p>
        </w:tc>
        <w:tc>
          <w:tcPr>
            <w:tcW w:w="22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36</w:t>
            </w: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Amendment of Memorandum and Articles</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r>
      <w:tr>
        <w:trPr>
          <w:trHeight w:val="209"/>
        </w:trPr>
        <w:tc>
          <w:tcPr>
            <w:tcW w:w="4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6"/>
                <w:szCs w:val="16"/>
                <w:color w:val="auto"/>
              </w:rPr>
              <w:t>Power to change name or amend Memorandum</w:t>
            </w:r>
          </w:p>
        </w:tc>
        <w:tc>
          <w:tcPr>
            <w:tcW w:w="22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Power to amend these Articles</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48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37</w:t>
            </w:r>
          </w:p>
        </w:tc>
        <w:tc>
          <w:tcPr>
            <w:tcW w:w="8520" w:type="dxa"/>
            <w:vAlign w:val="bottom"/>
          </w:tcPr>
          <w:p>
            <w:pPr>
              <w:ind w:left="300"/>
              <w:spacing w:after="0"/>
              <w:rPr>
                <w:sz w:val="20"/>
                <w:szCs w:val="20"/>
                <w:color w:val="auto"/>
              </w:rPr>
            </w:pPr>
            <w:r>
              <w:rPr>
                <w:rFonts w:ascii="Arial" w:cs="Arial" w:eastAsia="Arial" w:hAnsi="Arial"/>
                <w:sz w:val="16"/>
                <w:szCs w:val="16"/>
                <w:b w:val="1"/>
                <w:bCs w:val="1"/>
                <w:color w:val="auto"/>
              </w:rPr>
              <w:t>Mergers and Consolidations</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38</w:t>
            </w: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Business Combination</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r>
      <w:tr>
        <w:trPr>
          <w:trHeight w:val="209"/>
        </w:trPr>
        <w:tc>
          <w:tcPr>
            <w:tcW w:w="48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39</w:t>
            </w:r>
          </w:p>
        </w:tc>
        <w:tc>
          <w:tcPr>
            <w:tcW w:w="8520" w:type="dxa"/>
            <w:vAlign w:val="bottom"/>
          </w:tcPr>
          <w:p>
            <w:pPr>
              <w:ind w:left="300"/>
              <w:spacing w:after="0"/>
              <w:rPr>
                <w:sz w:val="20"/>
                <w:szCs w:val="20"/>
                <w:color w:val="auto"/>
              </w:rPr>
            </w:pPr>
            <w:r>
              <w:rPr>
                <w:rFonts w:ascii="Arial" w:cs="Arial" w:eastAsia="Arial" w:hAnsi="Arial"/>
                <w:sz w:val="16"/>
                <w:szCs w:val="16"/>
                <w:b w:val="1"/>
                <w:bCs w:val="1"/>
                <w:color w:val="auto"/>
              </w:rPr>
              <w:t>Certain Tax Filings</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60</w:t>
            </w:r>
          </w:p>
        </w:tc>
      </w:tr>
      <w:tr>
        <w:trPr>
          <w:trHeight w:val="24"/>
        </w:trPr>
        <w:tc>
          <w:tcPr>
            <w:tcW w:w="4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3"/>
        </w:trPr>
        <w:tc>
          <w:tcPr>
            <w:tcW w:w="48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89"/>
              </w:rPr>
              <w:t>40</w:t>
            </w:r>
          </w:p>
        </w:tc>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Business Opportunities</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r>
      <w:tr>
        <w:trPr>
          <w:trHeight w:val="573"/>
        </w:trPr>
        <w:tc>
          <w:tcPr>
            <w:tcW w:w="4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46" w:right="319" w:bottom="1440" w:gutter="0" w:footer="0" w:header="0"/>
        </w:sectPr>
      </w:pPr>
    </w:p>
    <w:bookmarkStart w:id="273" w:name="page274"/>
    <w:bookmarkEnd w:id="273"/>
    <w:p>
      <w:pPr>
        <w:jc w:val="center"/>
        <w:ind w:right="-6"/>
        <w:spacing w:after="0"/>
        <w:rPr>
          <w:sz w:val="20"/>
          <w:szCs w:val="20"/>
          <w:color w:val="auto"/>
        </w:rPr>
      </w:pPr>
      <w:r>
        <w:rPr>
          <w:rFonts w:ascii="Arial" w:cs="Arial" w:eastAsia="Arial" w:hAnsi="Arial"/>
          <w:sz w:val="19"/>
          <w:szCs w:val="19"/>
          <w:b w:val="1"/>
          <w:bCs w:val="1"/>
          <w:color w:val="auto"/>
        </w:rPr>
        <w:t>Companies Law (Revised)</w:t>
      </w: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Company Limited by Shares</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Amended &amp; Restated Articles of Association</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of</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ARYA Sciences Acquisition Corp III</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Adopted by special resolution on [ ] 2020</w:t>
      </w:r>
    </w:p>
    <w:p>
      <w:pPr>
        <w:spacing w:after="0" w:line="203" w:lineRule="exact"/>
        <w:rPr>
          <w:sz w:val="20"/>
          <w:szCs w:val="20"/>
          <w:color w:val="auto"/>
        </w:rPr>
      </w:pPr>
    </w:p>
    <w:p>
      <w:pPr>
        <w:ind w:left="567" w:hanging="567"/>
        <w:spacing w:after="0"/>
        <w:tabs>
          <w:tab w:leader="none" w:pos="567"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interpretation and exclusion of Table A</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Definitions</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these Articles, the following definitions apply:</w:t>
      </w:r>
    </w:p>
    <w:p>
      <w:pPr>
        <w:spacing w:after="0" w:line="182" w:lineRule="exact"/>
        <w:rPr>
          <w:sz w:val="20"/>
          <w:szCs w:val="20"/>
          <w:color w:val="auto"/>
        </w:rPr>
      </w:pPr>
    </w:p>
    <w:p>
      <w:pPr>
        <w:ind w:left="567" w:right="260"/>
        <w:spacing w:after="0" w:line="266" w:lineRule="auto"/>
        <w:rPr>
          <w:sz w:val="20"/>
          <w:szCs w:val="20"/>
          <w:color w:val="auto"/>
        </w:rPr>
      </w:pPr>
      <w:r>
        <w:rPr>
          <w:rFonts w:ascii="Arial" w:cs="Arial" w:eastAsia="Arial" w:hAnsi="Arial"/>
          <w:sz w:val="16"/>
          <w:szCs w:val="16"/>
          <w:b w:val="1"/>
          <w:bCs w:val="1"/>
          <w:color w:val="auto"/>
        </w:rPr>
        <w:t xml:space="preserve">Applicable Law </w:t>
      </w:r>
      <w:r>
        <w:rPr>
          <w:rFonts w:ascii="Arial" w:cs="Arial" w:eastAsia="Arial" w:hAnsi="Arial"/>
          <w:sz w:val="16"/>
          <w:szCs w:val="16"/>
          <w:color w:val="auto"/>
        </w:rPr>
        <w:t>means, with respect to any person, all provisions of laws, statutes, ordinances, rules, regulations, permits, certificates, judgments, decisions, decrees or</w:t>
      </w:r>
      <w:r>
        <w:rPr>
          <w:rFonts w:ascii="Arial" w:cs="Arial" w:eastAsia="Arial" w:hAnsi="Arial"/>
          <w:sz w:val="16"/>
          <w:szCs w:val="16"/>
          <w:b w:val="1"/>
          <w:bCs w:val="1"/>
          <w:color w:val="auto"/>
        </w:rPr>
        <w:t xml:space="preserve"> </w:t>
      </w:r>
      <w:r>
        <w:rPr>
          <w:rFonts w:ascii="Arial" w:cs="Arial" w:eastAsia="Arial" w:hAnsi="Arial"/>
          <w:sz w:val="16"/>
          <w:szCs w:val="16"/>
          <w:color w:val="auto"/>
        </w:rPr>
        <w:t>orders of any governmental authority applicable to such person.</w:t>
      </w:r>
    </w:p>
    <w:p>
      <w:pPr>
        <w:spacing w:after="0" w:line="151"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Articles </w:t>
      </w:r>
      <w:r>
        <w:rPr>
          <w:rFonts w:ascii="Arial" w:cs="Arial" w:eastAsia="Arial" w:hAnsi="Arial"/>
          <w:sz w:val="16"/>
          <w:szCs w:val="16"/>
          <w:color w:val="auto"/>
        </w:rPr>
        <w:t>means, as appropriate:</w:t>
      </w:r>
    </w:p>
    <w:p>
      <w:pPr>
        <w:spacing w:after="0" w:line="194" w:lineRule="exact"/>
        <w:rPr>
          <w:sz w:val="20"/>
          <w:szCs w:val="20"/>
          <w:color w:val="auto"/>
        </w:rPr>
      </w:pPr>
    </w:p>
    <w:p>
      <w:pPr>
        <w:ind w:left="1127" w:hanging="568"/>
        <w:spacing w:after="0"/>
        <w:tabs>
          <w:tab w:leader="none" w:pos="112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these Articles of Association as amended from time to time: or</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two or more particular Articles of these Articles;</w:t>
      </w:r>
    </w:p>
    <w:p>
      <w:pPr>
        <w:spacing w:after="0" w:line="19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b w:val="1"/>
          <w:bCs w:val="1"/>
          <w:color w:val="auto"/>
        </w:rPr>
        <w:t>Article</w:t>
      </w:r>
      <w:r>
        <w:rPr>
          <w:rFonts w:ascii="Arial" w:cs="Arial" w:eastAsia="Arial" w:hAnsi="Arial"/>
          <w:sz w:val="19"/>
          <w:szCs w:val="19"/>
          <w:color w:val="auto"/>
        </w:rPr>
        <w:t xml:space="preserve"> refers to a particular Article of these Articles.</w:t>
      </w:r>
    </w:p>
    <w:p>
      <w:pPr>
        <w:spacing w:after="0" w:line="207"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means the audit committee of the Company formed pursuant to Article 24.8 hereof, or any successor audit committee.</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b w:val="1"/>
          <w:bCs w:val="1"/>
          <w:color w:val="auto"/>
        </w:rPr>
        <w:t xml:space="preserve">Auditor </w:t>
      </w:r>
      <w:r>
        <w:rPr>
          <w:rFonts w:ascii="Arial" w:cs="Arial" w:eastAsia="Arial" w:hAnsi="Arial"/>
          <w:sz w:val="16"/>
          <w:szCs w:val="16"/>
          <w:color w:val="auto"/>
        </w:rPr>
        <w:t>means the person for the time being performing the duties of auditor of the Company.</w:t>
      </w:r>
    </w:p>
    <w:p>
      <w:pPr>
        <w:spacing w:after="0" w:line="188" w:lineRule="exact"/>
        <w:rPr>
          <w:sz w:val="20"/>
          <w:szCs w:val="20"/>
          <w:color w:val="auto"/>
        </w:rPr>
      </w:pPr>
    </w:p>
    <w:p>
      <w:pPr>
        <w:ind w:left="567"/>
        <w:spacing w:after="0" w:line="248" w:lineRule="auto"/>
        <w:rPr>
          <w:sz w:val="20"/>
          <w:szCs w:val="20"/>
          <w:color w:val="auto"/>
        </w:rPr>
      </w:pPr>
      <w:r>
        <w:rPr>
          <w:rFonts w:ascii="Arial" w:cs="Arial" w:eastAsia="Arial" w:hAnsi="Arial"/>
          <w:sz w:val="16"/>
          <w:szCs w:val="16"/>
          <w:b w:val="1"/>
          <w:bCs w:val="1"/>
          <w:color w:val="auto"/>
        </w:rPr>
        <w:t xml:space="preserve">Business Combination </w:t>
      </w:r>
      <w:r>
        <w:rPr>
          <w:rFonts w:ascii="Arial" w:cs="Arial" w:eastAsia="Arial" w:hAnsi="Arial"/>
          <w:sz w:val="16"/>
          <w:szCs w:val="16"/>
          <w:color w:val="auto"/>
        </w:rPr>
        <w:t>means a merger, share exchange, asset acquisition, share purchase, reorganisation or similar business combination involving the Company, with 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more businesses or entities (each a </w:t>
      </w:r>
      <w:r>
        <w:rPr>
          <w:rFonts w:ascii="Arial" w:cs="Arial" w:eastAsia="Arial" w:hAnsi="Arial"/>
          <w:sz w:val="16"/>
          <w:szCs w:val="16"/>
          <w:b w:val="1"/>
          <w:bCs w:val="1"/>
          <w:color w:val="auto"/>
        </w:rPr>
        <w:t>target business</w:t>
      </w:r>
      <w:r>
        <w:rPr>
          <w:rFonts w:ascii="Arial" w:cs="Arial" w:eastAsia="Arial" w:hAnsi="Arial"/>
          <w:sz w:val="16"/>
          <w:szCs w:val="16"/>
          <w:color w:val="auto"/>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15" w:right="339" w:bottom="1440" w:gutter="0" w:footer="0" w:header="0"/>
        </w:sectPr>
      </w:pPr>
    </w:p>
    <w:bookmarkStart w:id="274" w:name="page275"/>
    <w:bookmarkEnd w:id="274"/>
    <w:p>
      <w:pPr>
        <w:ind w:left="8"/>
        <w:spacing w:after="0" w:line="266"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day on which banking institutions or trust companies are authorised or obligated by law to close in New York City, a Saturday or a</w:t>
      </w:r>
      <w:r>
        <w:rPr>
          <w:rFonts w:ascii="Arial" w:cs="Arial" w:eastAsia="Arial" w:hAnsi="Arial"/>
          <w:sz w:val="16"/>
          <w:szCs w:val="16"/>
          <w:b w:val="1"/>
          <w:bCs w:val="1"/>
          <w:color w:val="auto"/>
        </w:rPr>
        <w:t xml:space="preserve"> </w:t>
      </w:r>
      <w:r>
        <w:rPr>
          <w:rFonts w:ascii="Arial" w:cs="Arial" w:eastAsia="Arial" w:hAnsi="Arial"/>
          <w:sz w:val="16"/>
          <w:szCs w:val="16"/>
          <w:color w:val="auto"/>
        </w:rPr>
        <w:t>Sunday.</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Class A Share </w:t>
      </w:r>
      <w:r>
        <w:rPr>
          <w:rFonts w:ascii="Arial" w:cs="Arial" w:eastAsia="Arial" w:hAnsi="Arial"/>
          <w:sz w:val="16"/>
          <w:szCs w:val="16"/>
          <w:color w:val="auto"/>
        </w:rPr>
        <w:t>means a Class A ordinary share of a par value of US$0.0001 in the share capital of the Company.</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Class B Share </w:t>
      </w:r>
      <w:r>
        <w:rPr>
          <w:rFonts w:ascii="Arial" w:cs="Arial" w:eastAsia="Arial" w:hAnsi="Arial"/>
          <w:sz w:val="16"/>
          <w:szCs w:val="16"/>
          <w:color w:val="auto"/>
        </w:rPr>
        <w:t>means a Class B ordinary share of a par value of US$0.0001 in the share capital of the Company.</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Clear Days</w:t>
      </w:r>
      <w:r>
        <w:rPr>
          <w:rFonts w:ascii="Arial" w:cs="Arial" w:eastAsia="Arial" w:hAnsi="Arial"/>
          <w:sz w:val="16"/>
          <w:szCs w:val="16"/>
          <w:color w:val="auto"/>
        </w:rPr>
        <w:t>, in relation to a period of notice, means that period excluding:</w:t>
      </w:r>
    </w:p>
    <w:p>
      <w:pPr>
        <w:spacing w:after="0" w:line="194" w:lineRule="exact"/>
        <w:rPr>
          <w:sz w:val="20"/>
          <w:szCs w:val="20"/>
          <w:color w:val="auto"/>
        </w:rPr>
      </w:pPr>
    </w:p>
    <w:p>
      <w:pPr>
        <w:ind w:left="568" w:hanging="568"/>
        <w:spacing w:after="0"/>
        <w:tabs>
          <w:tab w:leader="none" w:pos="56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day when the notice is given or deemed to be given; and</w:t>
      </w:r>
    </w:p>
    <w:p>
      <w:pPr>
        <w:spacing w:after="0" w:line="211" w:lineRule="exact"/>
        <w:rPr>
          <w:rFonts w:ascii="Arial" w:cs="Arial" w:eastAsia="Arial" w:hAnsi="Arial"/>
          <w:sz w:val="16"/>
          <w:szCs w:val="16"/>
          <w:color w:val="auto"/>
        </w:rPr>
      </w:pPr>
    </w:p>
    <w:p>
      <w:pPr>
        <w:ind w:left="568" w:hanging="568"/>
        <w:spacing w:after="0"/>
        <w:tabs>
          <w:tab w:leader="none" w:pos="56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day for which it is given or on which it is to take effect.</w:t>
      </w:r>
    </w:p>
    <w:p>
      <w:pPr>
        <w:spacing w:after="0" w:line="182" w:lineRule="exact"/>
        <w:rPr>
          <w:sz w:val="20"/>
          <w:szCs w:val="20"/>
          <w:color w:val="auto"/>
        </w:rPr>
      </w:pPr>
    </w:p>
    <w:p>
      <w:pPr>
        <w:ind w:left="8" w:right="320"/>
        <w:spacing w:after="0" w:line="266" w:lineRule="auto"/>
        <w:rPr>
          <w:sz w:val="20"/>
          <w:szCs w:val="20"/>
          <w:color w:val="auto"/>
        </w:rPr>
      </w:pPr>
      <w:r>
        <w:rPr>
          <w:rFonts w:ascii="Arial" w:cs="Arial" w:eastAsia="Arial" w:hAnsi="Arial"/>
          <w:sz w:val="16"/>
          <w:szCs w:val="16"/>
          <w:b w:val="1"/>
          <w:bCs w:val="1"/>
          <w:color w:val="auto"/>
        </w:rPr>
        <w:t xml:space="preserve">Clearing House </w:t>
      </w:r>
      <w:r>
        <w:rPr>
          <w:rFonts w:ascii="Arial" w:cs="Arial" w:eastAsia="Arial" w:hAnsi="Arial"/>
          <w:sz w:val="16"/>
          <w:szCs w:val="16"/>
          <w:color w:val="auto"/>
        </w:rPr>
        <w:t>means a clearing house recognised by the laws of the jurisdiction in which the Shares (or depositary receipts therefor) are listed or quoted on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or interdealer quotation system in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right="460"/>
        <w:spacing w:after="0" w:line="266" w:lineRule="auto"/>
        <w:rPr>
          <w:sz w:val="20"/>
          <w:szCs w:val="20"/>
          <w:color w:val="auto"/>
        </w:rPr>
      </w:pPr>
      <w:r>
        <w:rPr>
          <w:rFonts w:ascii="Arial" w:cs="Arial" w:eastAsia="Arial" w:hAnsi="Arial"/>
          <w:sz w:val="16"/>
          <w:szCs w:val="16"/>
          <w:b w:val="1"/>
          <w:bCs w:val="1"/>
          <w:color w:val="auto"/>
        </w:rPr>
        <w:t xml:space="preserve">Designated Stock Exchange </w:t>
      </w:r>
      <w:r>
        <w:rPr>
          <w:rFonts w:ascii="Arial" w:cs="Arial" w:eastAsia="Arial" w:hAnsi="Arial"/>
          <w:sz w:val="16"/>
          <w:szCs w:val="16"/>
          <w:color w:val="auto"/>
        </w:rPr>
        <w:t>means any national securities exchange, including the Nasdaq Stock Market LLC, the NYSE American LLC or The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LLC or any OTC market on which the Shares are listed for trading.</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Electronic </w:t>
      </w:r>
      <w:r>
        <w:rPr>
          <w:rFonts w:ascii="Arial" w:cs="Arial" w:eastAsia="Arial" w:hAnsi="Arial"/>
          <w:sz w:val="16"/>
          <w:szCs w:val="16"/>
          <w:color w:val="auto"/>
        </w:rPr>
        <w:t>has the meaning given to that term in the Electronic Transactions Law (Revised).</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Electronic Record </w:t>
      </w:r>
      <w:r>
        <w:rPr>
          <w:rFonts w:ascii="Arial" w:cs="Arial" w:eastAsia="Arial" w:hAnsi="Arial"/>
          <w:sz w:val="16"/>
          <w:szCs w:val="16"/>
          <w:color w:val="auto"/>
        </w:rPr>
        <w:t>has the meaning given to that term in the Electronic Transactions Law (Revised).</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Electronic Signature </w:t>
      </w:r>
      <w:r>
        <w:rPr>
          <w:rFonts w:ascii="Arial" w:cs="Arial" w:eastAsia="Arial" w:hAnsi="Arial"/>
          <w:sz w:val="16"/>
          <w:szCs w:val="16"/>
          <w:color w:val="auto"/>
        </w:rPr>
        <w:t>has the meaning given to that term in the Electronic Transactions Law (Revised).</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United States Securities Exchange Act of 1934, as amended.</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Founders </w:t>
      </w:r>
      <w:r>
        <w:rPr>
          <w:rFonts w:ascii="Arial" w:cs="Arial" w:eastAsia="Arial" w:hAnsi="Arial"/>
          <w:sz w:val="16"/>
          <w:szCs w:val="16"/>
          <w:color w:val="auto"/>
        </w:rPr>
        <w:t>means all Members immediately prior to the consummation of the IPO.</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Fully Paid </w:t>
      </w:r>
      <w:r>
        <w:rPr>
          <w:rFonts w:ascii="Arial" w:cs="Arial" w:eastAsia="Arial" w:hAnsi="Arial"/>
          <w:sz w:val="16"/>
          <w:szCs w:val="16"/>
          <w:color w:val="auto"/>
        </w:rPr>
        <w:t>and</w:t>
      </w:r>
      <w:r>
        <w:rPr>
          <w:rFonts w:ascii="Arial" w:cs="Arial" w:eastAsia="Arial" w:hAnsi="Arial"/>
          <w:sz w:val="16"/>
          <w:szCs w:val="16"/>
          <w:b w:val="1"/>
          <w:bCs w:val="1"/>
          <w:color w:val="auto"/>
        </w:rPr>
        <w:t xml:space="preserve"> Paid Up</w:t>
      </w:r>
      <w:r>
        <w:rPr>
          <w:rFonts w:ascii="Arial" w:cs="Arial" w:eastAsia="Arial" w:hAnsi="Arial"/>
          <w:sz w:val="16"/>
          <w:szCs w:val="16"/>
          <w:color w:val="auto"/>
        </w:rPr>
        <w:t>:</w:t>
      </w:r>
    </w:p>
    <w:p>
      <w:pPr>
        <w:spacing w:after="0" w:line="194" w:lineRule="exact"/>
        <w:rPr>
          <w:sz w:val="20"/>
          <w:szCs w:val="20"/>
          <w:color w:val="auto"/>
        </w:rPr>
      </w:pPr>
    </w:p>
    <w:p>
      <w:pPr>
        <w:ind w:left="568" w:right="60" w:hanging="568"/>
        <w:spacing w:after="0" w:line="258" w:lineRule="auto"/>
        <w:tabs>
          <w:tab w:leader="none" w:pos="56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relation to a Share with par value, means that the par value for that Share and any premium payable in respect of the issue of that Share, has been fully paid or credited as paid in money or money’s worth;</w:t>
      </w:r>
    </w:p>
    <w:p>
      <w:pPr>
        <w:spacing w:after="0" w:line="186" w:lineRule="exact"/>
        <w:rPr>
          <w:rFonts w:ascii="Arial" w:cs="Arial" w:eastAsia="Arial" w:hAnsi="Arial"/>
          <w:sz w:val="16"/>
          <w:szCs w:val="16"/>
          <w:color w:val="auto"/>
        </w:rPr>
      </w:pPr>
    </w:p>
    <w:p>
      <w:pPr>
        <w:ind w:left="568" w:hanging="568"/>
        <w:spacing w:after="0"/>
        <w:tabs>
          <w:tab w:leader="none" w:pos="568" w:val="left"/>
        </w:tabs>
        <w:numPr>
          <w:ilvl w:val="0"/>
          <w:numId w:val="227"/>
        </w:numPr>
        <w:rPr>
          <w:rFonts w:ascii="Arial" w:cs="Arial" w:eastAsia="Arial" w:hAnsi="Arial"/>
          <w:sz w:val="14"/>
          <w:szCs w:val="14"/>
          <w:color w:val="auto"/>
        </w:rPr>
      </w:pPr>
      <w:r>
        <w:rPr>
          <w:rFonts w:ascii="Arial" w:cs="Arial" w:eastAsia="Arial" w:hAnsi="Arial"/>
          <w:sz w:val="14"/>
          <w:szCs w:val="14"/>
          <w:color w:val="auto"/>
        </w:rPr>
        <w:t>in relation to a Share without par value, means that the agreed issue price for that Share has been fully paid or credited as paid in money or money’s worth.</w:t>
      </w:r>
    </w:p>
    <w:p>
      <w:pPr>
        <w:spacing w:after="0" w:line="168" w:lineRule="exact"/>
        <w:rPr>
          <w:sz w:val="20"/>
          <w:szCs w:val="20"/>
          <w:color w:val="auto"/>
        </w:rPr>
      </w:pPr>
    </w:p>
    <w:p>
      <w:pPr>
        <w:jc w:val="center"/>
        <w:ind w:right="432"/>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35560</wp:posOffset>
            </wp:positionV>
            <wp:extent cx="7151370" cy="146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588"/>
          </w:cols>
          <w:pgMar w:left="872" w:top="123" w:right="439" w:bottom="1440" w:gutter="0" w:footer="0" w:header="0"/>
        </w:sectPr>
      </w:pPr>
    </w:p>
    <w:bookmarkStart w:id="275" w:name="page276"/>
    <w:bookmarkEnd w:id="275"/>
    <w:p>
      <w:pPr>
        <w:ind w:right="320"/>
        <w:spacing w:after="0" w:line="266" w:lineRule="auto"/>
        <w:rPr>
          <w:sz w:val="20"/>
          <w:szCs w:val="20"/>
          <w:color w:val="auto"/>
        </w:rPr>
      </w:pPr>
      <w:r>
        <w:rPr>
          <w:rFonts w:ascii="Arial" w:cs="Arial" w:eastAsia="Arial" w:hAnsi="Arial"/>
          <w:sz w:val="16"/>
          <w:szCs w:val="16"/>
          <w:b w:val="1"/>
          <w:bCs w:val="1"/>
          <w:color w:val="auto"/>
        </w:rPr>
        <w:t xml:space="preserve">Independent Director </w:t>
      </w:r>
      <w:r>
        <w:rPr>
          <w:rFonts w:ascii="Arial" w:cs="Arial" w:eastAsia="Arial" w:hAnsi="Arial"/>
          <w:sz w:val="16"/>
          <w:szCs w:val="16"/>
          <w:color w:val="auto"/>
        </w:rPr>
        <w:t>means a director who is an independent director as defined in the rules and regulations of the Designated Stock Exchange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Investor Group </w:t>
      </w:r>
      <w:r>
        <w:rPr>
          <w:rFonts w:ascii="Arial" w:cs="Arial" w:eastAsia="Arial" w:hAnsi="Arial"/>
          <w:sz w:val="16"/>
          <w:szCs w:val="16"/>
          <w:color w:val="auto"/>
        </w:rPr>
        <w:t>means the Sponsor, Perceptive Advisors LLC and their respective affiliates, successors and assigns.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IPO </w:t>
      </w:r>
      <w:r>
        <w:rPr>
          <w:rFonts w:ascii="Arial" w:cs="Arial" w:eastAsia="Arial" w:hAnsi="Arial"/>
          <w:sz w:val="16"/>
          <w:szCs w:val="16"/>
          <w:color w:val="auto"/>
        </w:rPr>
        <w:t>means the Company’s initial public offering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IPO Redemption </w:t>
      </w:r>
      <w:r>
        <w:rPr>
          <w:rFonts w:ascii="Arial" w:cs="Arial" w:eastAsia="Arial" w:hAnsi="Arial"/>
          <w:sz w:val="16"/>
          <w:szCs w:val="16"/>
          <w:color w:val="auto"/>
        </w:rPr>
        <w:t>has the meaning given to it in Article 38.6.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Islands </w:t>
      </w:r>
      <w:r>
        <w:rPr>
          <w:rFonts w:ascii="Arial" w:cs="Arial" w:eastAsia="Arial" w:hAnsi="Arial"/>
          <w:sz w:val="16"/>
          <w:szCs w:val="16"/>
          <w:color w:val="auto"/>
        </w:rPr>
        <w:t>means the British Overseas Territory of the Cayman Islands.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Law </w:t>
      </w:r>
      <w:r>
        <w:rPr>
          <w:rFonts w:ascii="Arial" w:cs="Arial" w:eastAsia="Arial" w:hAnsi="Arial"/>
          <w:sz w:val="16"/>
          <w:szCs w:val="16"/>
          <w:color w:val="auto"/>
        </w:rPr>
        <w:t>means the Companies Law (Revised).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Member </w:t>
      </w:r>
      <w:r>
        <w:rPr>
          <w:rFonts w:ascii="Arial" w:cs="Arial" w:eastAsia="Arial" w:hAnsi="Arial"/>
          <w:sz w:val="16"/>
          <w:szCs w:val="16"/>
          <w:color w:val="auto"/>
        </w:rPr>
        <w:t>means any person or persons entered on the Register of Members from time to time as the holder of a Share.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Memorandum </w:t>
      </w:r>
      <w:r>
        <w:rPr>
          <w:rFonts w:ascii="Arial" w:cs="Arial" w:eastAsia="Arial" w:hAnsi="Arial"/>
          <w:sz w:val="16"/>
          <w:szCs w:val="16"/>
          <w:color w:val="auto"/>
        </w:rPr>
        <w:t>means the Memorandum of Association of the Company as amended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Officer </w:t>
      </w:r>
      <w:r>
        <w:rPr>
          <w:rFonts w:ascii="Arial" w:cs="Arial" w:eastAsia="Arial" w:hAnsi="Arial"/>
          <w:sz w:val="16"/>
          <w:szCs w:val="16"/>
          <w:color w:val="auto"/>
        </w:rPr>
        <w:t>means a person then appointed to hold an office in the Company; and the expression includes a director, alternate director or liquidator.</w:t>
      </w:r>
    </w:p>
    <w:p>
      <w:pPr>
        <w:spacing w:after="0" w:line="188"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b w:val="1"/>
          <w:bCs w:val="1"/>
          <w:color w:val="auto"/>
        </w:rPr>
        <w:t xml:space="preserve">Ordinary Resolution </w:t>
      </w:r>
      <w:r>
        <w:rPr>
          <w:rFonts w:ascii="Arial" w:cs="Arial" w:eastAsia="Arial" w:hAnsi="Arial"/>
          <w:sz w:val="16"/>
          <w:szCs w:val="16"/>
          <w:color w:val="auto"/>
        </w:rPr>
        <w:t>means a resolution of a duly constituted general meeting of the Company passed by a simple majority of the votes cast by, or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entitled to vote thereon. The expression also includes a unanimous written resolution.</w:t>
      </w:r>
    </w:p>
    <w:p>
      <w:pPr>
        <w:spacing w:after="0" w:line="15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Over-Allotment Option </w:t>
      </w:r>
      <w:r>
        <w:rPr>
          <w:rFonts w:ascii="Arial" w:cs="Arial" w:eastAsia="Arial" w:hAnsi="Arial"/>
          <w:sz w:val="16"/>
          <w:szCs w:val="16"/>
          <w:color w:val="auto"/>
        </w:rPr>
        <w:t>means the option of the Underwriters to purchase up to an additional 15% of the Class A Shares sold in the IPO at a price equal to US$10.00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less underwriting discount and commissions.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Preference Share </w:t>
      </w:r>
      <w:r>
        <w:rPr>
          <w:rFonts w:ascii="Arial" w:cs="Arial" w:eastAsia="Arial" w:hAnsi="Arial"/>
          <w:sz w:val="16"/>
          <w:szCs w:val="16"/>
          <w:color w:val="auto"/>
        </w:rPr>
        <w:t>means a preference share of a par value of US$0.0001 in the share capital of the Company.</w:t>
      </w:r>
    </w:p>
    <w:p>
      <w:pPr>
        <w:spacing w:after="0" w:line="188"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b w:val="1"/>
          <w:bCs w:val="1"/>
          <w:color w:val="auto"/>
        </w:rPr>
        <w:t xml:space="preserve">Private Placement Shares </w:t>
      </w:r>
      <w:r>
        <w:rPr>
          <w:rFonts w:ascii="Arial" w:cs="Arial" w:eastAsia="Arial" w:hAnsi="Arial"/>
          <w:sz w:val="16"/>
          <w:szCs w:val="16"/>
          <w:color w:val="auto"/>
        </w:rPr>
        <w:t>means the Class A Shares issued to the Sponsor in a private placement simultaneously with the closing of the IPO and upon conversion of</w:t>
      </w:r>
      <w:r>
        <w:rPr>
          <w:rFonts w:ascii="Arial" w:cs="Arial" w:eastAsia="Arial" w:hAnsi="Arial"/>
          <w:sz w:val="16"/>
          <w:szCs w:val="16"/>
          <w:b w:val="1"/>
          <w:bCs w:val="1"/>
          <w:color w:val="auto"/>
        </w:rPr>
        <w:t xml:space="preserve"> </w:t>
      </w:r>
      <w:r>
        <w:rPr>
          <w:rFonts w:ascii="Arial" w:cs="Arial" w:eastAsia="Arial" w:hAnsi="Arial"/>
          <w:sz w:val="16"/>
          <w:szCs w:val="16"/>
          <w:color w:val="auto"/>
        </w:rPr>
        <w:t>working capital loans (if any).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Public Share </w:t>
      </w:r>
      <w:r>
        <w:rPr>
          <w:rFonts w:ascii="Arial" w:cs="Arial" w:eastAsia="Arial" w:hAnsi="Arial"/>
          <w:sz w:val="16"/>
          <w:szCs w:val="16"/>
          <w:color w:val="auto"/>
        </w:rPr>
        <w:t>means a Class A Share issued in the IPO.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Redemption Price </w:t>
      </w:r>
      <w:r>
        <w:rPr>
          <w:rFonts w:ascii="Arial" w:cs="Arial" w:eastAsia="Arial" w:hAnsi="Arial"/>
          <w:sz w:val="16"/>
          <w:szCs w:val="16"/>
          <w:color w:val="auto"/>
        </w:rPr>
        <w:t>has the meaning given to it in Article 38.6.</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Register of Members </w:t>
      </w:r>
      <w:r>
        <w:rPr>
          <w:rFonts w:ascii="Arial" w:cs="Arial" w:eastAsia="Arial" w:hAnsi="Arial"/>
          <w:sz w:val="16"/>
          <w:szCs w:val="16"/>
          <w:color w:val="auto"/>
        </w:rPr>
        <w:t>means the register of Members maintained in accordance with the Law and includes (except where otherwise stated) any branch or duplicate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of Members.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 </w:t>
      </w:r>
      <w:r>
        <w:rPr>
          <w:rFonts w:ascii="Arial" w:cs="Arial" w:eastAsia="Arial" w:hAnsi="Arial"/>
          <w:sz w:val="16"/>
          <w:szCs w:val="16"/>
          <w:color w:val="auto"/>
        </w:rPr>
        <w:t>means the United States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Secretary </w:t>
      </w:r>
      <w:r>
        <w:rPr>
          <w:rFonts w:ascii="Arial" w:cs="Arial" w:eastAsia="Arial" w:hAnsi="Arial"/>
          <w:sz w:val="16"/>
          <w:szCs w:val="16"/>
          <w:color w:val="auto"/>
        </w:rPr>
        <w:t>means a person appointed to perform the duties of the secretary of the Company, including a joint, assistant or deputy secretary.</w:t>
      </w:r>
    </w:p>
    <w:p>
      <w:pPr>
        <w:spacing w:after="0" w:line="151" w:lineRule="exact"/>
        <w:rPr>
          <w:sz w:val="20"/>
          <w:szCs w:val="20"/>
          <w:color w:val="auto"/>
        </w:rPr>
      </w:pPr>
    </w:p>
    <w:p>
      <w:pPr>
        <w:jc w:val="center"/>
        <w:ind w:right="50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35560</wp:posOffset>
            </wp:positionV>
            <wp:extent cx="7151370" cy="146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640"/>
          </w:cols>
          <w:pgMar w:left="880" w:top="123" w:right="379" w:bottom="1440" w:gutter="0" w:footer="0" w:header="0"/>
        </w:sectPr>
      </w:pPr>
    </w:p>
    <w:bookmarkStart w:id="276" w:name="page277"/>
    <w:bookmarkEnd w:id="276"/>
    <w:p>
      <w:pPr>
        <w:ind w:left="560"/>
        <w:spacing w:after="0"/>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Class A Share, a Class B Share or a Preference Share in the share capital of the Company; and the expression:</w:t>
      </w:r>
    </w:p>
    <w:p>
      <w:pPr>
        <w:spacing w:after="0" w:line="194" w:lineRule="exact"/>
        <w:rPr>
          <w:sz w:val="20"/>
          <w:szCs w:val="20"/>
          <w:color w:val="auto"/>
        </w:rPr>
      </w:pPr>
    </w:p>
    <w:p>
      <w:pPr>
        <w:ind w:left="1120" w:hanging="568"/>
        <w:spacing w:after="0"/>
        <w:tabs>
          <w:tab w:leader="none" w:pos="11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includes stock (except where a distinction between shares and stock is expressed or implied);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where the context permits, also includes a fraction of a share.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Special Resolution </w:t>
      </w:r>
      <w:r>
        <w:rPr>
          <w:rFonts w:ascii="Arial" w:cs="Arial" w:eastAsia="Arial" w:hAnsi="Arial"/>
          <w:sz w:val="16"/>
          <w:szCs w:val="16"/>
          <w:color w:val="auto"/>
        </w:rPr>
        <w:t>has the meaning given to that term in the Law; and the expression includes a unanimous written resolution.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Sponsor </w:t>
      </w:r>
      <w:r>
        <w:rPr>
          <w:rFonts w:ascii="Arial" w:cs="Arial" w:eastAsia="Arial" w:hAnsi="Arial"/>
          <w:sz w:val="16"/>
          <w:szCs w:val="16"/>
          <w:color w:val="auto"/>
        </w:rPr>
        <w:t>means ARYA Sciences Holdings III, a Cayman Islands exempted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Tax Filing Authorised Person </w:t>
      </w:r>
      <w:r>
        <w:rPr>
          <w:rFonts w:ascii="Arial" w:cs="Arial" w:eastAsia="Arial" w:hAnsi="Arial"/>
          <w:sz w:val="16"/>
          <w:szCs w:val="16"/>
          <w:color w:val="auto"/>
        </w:rPr>
        <w:t>means such person as any director shall designate from time to time, acting severally.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Treasury Shares </w:t>
      </w:r>
      <w:r>
        <w:rPr>
          <w:rFonts w:ascii="Arial" w:cs="Arial" w:eastAsia="Arial" w:hAnsi="Arial"/>
          <w:sz w:val="16"/>
          <w:szCs w:val="16"/>
          <w:color w:val="auto"/>
        </w:rPr>
        <w:t>means Shares of the Company held in treasury pursuant to the Law and Article 3.14.</w:t>
      </w:r>
    </w:p>
    <w:p>
      <w:pPr>
        <w:spacing w:after="0" w:line="188" w:lineRule="exact"/>
        <w:rPr>
          <w:sz w:val="20"/>
          <w:szCs w:val="20"/>
          <w:color w:val="auto"/>
        </w:rPr>
      </w:pPr>
    </w:p>
    <w:p>
      <w:pPr>
        <w:ind w:left="560" w:right="200"/>
        <w:spacing w:after="0" w:line="266" w:lineRule="auto"/>
        <w:rPr>
          <w:sz w:val="20"/>
          <w:szCs w:val="20"/>
          <w:color w:val="auto"/>
        </w:rPr>
      </w:pPr>
      <w:r>
        <w:rPr>
          <w:rFonts w:ascii="Arial" w:cs="Arial" w:eastAsia="Arial" w:hAnsi="Arial"/>
          <w:sz w:val="16"/>
          <w:szCs w:val="16"/>
          <w:b w:val="1"/>
          <w:bCs w:val="1"/>
          <w:color w:val="auto"/>
        </w:rPr>
        <w:t xml:space="preserve">Trust Account </w:t>
      </w:r>
      <w:r>
        <w:rPr>
          <w:rFonts w:ascii="Arial" w:cs="Arial" w:eastAsia="Arial" w:hAnsi="Arial"/>
          <w:sz w:val="16"/>
          <w:szCs w:val="16"/>
          <w:color w:val="auto"/>
        </w:rPr>
        <w:t>means the trust account established by the Company upon the consummation of its IPO and into which a certain amount of the net proceeds of the IPO,</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certain of the proceeds of the sale of the Private Placement Shares, will be deposited.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Underwriter </w:t>
      </w:r>
      <w:r>
        <w:rPr>
          <w:rFonts w:ascii="Arial" w:cs="Arial" w:eastAsia="Arial" w:hAnsi="Arial"/>
          <w:sz w:val="16"/>
          <w:szCs w:val="16"/>
          <w:color w:val="auto"/>
        </w:rPr>
        <w:t>means an underwriter of the IPO from time to time, and any successor underwriter.</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Interpretation</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the interpretation of these Articles, the following provisions apply unless the context otherwise requires:</w:t>
      </w:r>
    </w:p>
    <w:p>
      <w:pPr>
        <w:spacing w:after="0" w:line="212" w:lineRule="exact"/>
        <w:rPr>
          <w:sz w:val="20"/>
          <w:szCs w:val="20"/>
          <w:color w:val="auto"/>
        </w:rPr>
      </w:pPr>
    </w:p>
    <w:p>
      <w:pPr>
        <w:ind w:left="1120" w:hanging="568"/>
        <w:spacing w:after="0"/>
        <w:tabs>
          <w:tab w:leader="none" w:pos="112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reference in these Articles to a statute is a reference to a statute of the Islands as known by its short title, and includes:</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any statutory modification, amendment or re-enactment; and</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any subordinate legislation or regulations issued under that statute.</w:t>
      </w:r>
    </w:p>
    <w:p>
      <w:pPr>
        <w:spacing w:after="0" w:line="203" w:lineRule="exact"/>
        <w:rPr>
          <w:sz w:val="20"/>
          <w:szCs w:val="20"/>
          <w:color w:val="auto"/>
        </w:rPr>
      </w:pPr>
    </w:p>
    <w:p>
      <w:pPr>
        <w:ind w:left="1120" w:right="440"/>
        <w:spacing w:after="0" w:line="251" w:lineRule="auto"/>
        <w:rPr>
          <w:sz w:val="20"/>
          <w:szCs w:val="20"/>
          <w:color w:val="auto"/>
        </w:rPr>
      </w:pPr>
      <w:r>
        <w:rPr>
          <w:rFonts w:ascii="Arial" w:cs="Arial" w:eastAsia="Arial" w:hAnsi="Arial"/>
          <w:sz w:val="19"/>
          <w:szCs w:val="19"/>
          <w:color w:val="auto"/>
        </w:rPr>
        <w:t>Without limitation to the preceding sentence, a reference to a revised Law of the Cayman Islands is taken to be a reference to the revision of that Law in force from time to time as amended from time to time.</w:t>
      </w:r>
    </w:p>
    <w:p>
      <w:pPr>
        <w:spacing w:after="0" w:line="180" w:lineRule="exact"/>
        <w:rPr>
          <w:sz w:val="20"/>
          <w:szCs w:val="20"/>
          <w:color w:val="auto"/>
        </w:rPr>
      </w:pPr>
    </w:p>
    <w:p>
      <w:pPr>
        <w:ind w:left="1120" w:hanging="568"/>
        <w:spacing w:after="0"/>
        <w:tabs>
          <w:tab w:leader="none" w:pos="112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Headings are inserted for convenience only and do not affect the interpretation of these Articles, unless there is ambiguity.</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If a day on which any act, matter or thing is to be done under these Articles is not a Business Day, the act, matter or thing must be done on the next Business Day.</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77" w:name="page278"/>
    <w:bookmarkEnd w:id="277"/>
    <w:p>
      <w:pPr>
        <w:ind w:left="1127" w:right="160" w:hanging="568"/>
        <w:spacing w:after="0" w:line="258" w:lineRule="auto"/>
        <w:tabs>
          <w:tab w:leader="none" w:pos="112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 word which denotes the singular also denotes the plural, a word which denotes the plural also denotes the singular, and a reference to any gender also denotes the other genders.</w:t>
      </w:r>
    </w:p>
    <w:p>
      <w:pPr>
        <w:spacing w:after="0" w:line="186" w:lineRule="exact"/>
        <w:rPr>
          <w:rFonts w:ascii="Arial" w:cs="Arial" w:eastAsia="Arial" w:hAnsi="Arial"/>
          <w:sz w:val="16"/>
          <w:szCs w:val="16"/>
          <w:color w:val="auto"/>
        </w:rPr>
      </w:pPr>
    </w:p>
    <w:p>
      <w:pPr>
        <w:ind w:left="1127" w:hanging="568"/>
        <w:spacing w:after="0"/>
        <w:tabs>
          <w:tab w:leader="none" w:pos="1127" w:val="left"/>
        </w:tabs>
        <w:numPr>
          <w:ilvl w:val="0"/>
          <w:numId w:val="231"/>
        </w:numPr>
        <w:rPr>
          <w:rFonts w:ascii="Arial" w:cs="Arial" w:eastAsia="Arial" w:hAnsi="Arial"/>
          <w:sz w:val="14"/>
          <w:szCs w:val="14"/>
          <w:color w:val="auto"/>
        </w:rPr>
      </w:pPr>
      <w:r>
        <w:rPr>
          <w:rFonts w:ascii="Arial" w:cs="Arial" w:eastAsia="Arial" w:hAnsi="Arial"/>
          <w:sz w:val="14"/>
          <w:szCs w:val="14"/>
          <w:color w:val="auto"/>
        </w:rPr>
        <w:t>A reference to a person includes, as appropriate, a company, trust, partnership, joint venture, association, body corporate or government agency.</w:t>
      </w:r>
    </w:p>
    <w:p>
      <w:pPr>
        <w:spacing w:after="0" w:line="234" w:lineRule="exact"/>
        <w:rPr>
          <w:rFonts w:ascii="Arial" w:cs="Arial" w:eastAsia="Arial" w:hAnsi="Arial"/>
          <w:sz w:val="14"/>
          <w:szCs w:val="14"/>
          <w:color w:val="auto"/>
        </w:rPr>
      </w:pPr>
    </w:p>
    <w:p>
      <w:pPr>
        <w:ind w:left="1127" w:hanging="568"/>
        <w:spacing w:after="0"/>
        <w:tabs>
          <w:tab w:leader="none" w:pos="1127" w:val="left"/>
        </w:tabs>
        <w:numPr>
          <w:ilvl w:val="0"/>
          <w:numId w:val="231"/>
        </w:numPr>
        <w:rPr>
          <w:rFonts w:ascii="Arial" w:cs="Arial" w:eastAsia="Arial" w:hAnsi="Arial"/>
          <w:sz w:val="14"/>
          <w:szCs w:val="14"/>
          <w:color w:val="auto"/>
        </w:rPr>
      </w:pPr>
      <w:r>
        <w:rPr>
          <w:rFonts w:ascii="Arial" w:cs="Arial" w:eastAsia="Arial" w:hAnsi="Arial"/>
          <w:sz w:val="14"/>
          <w:szCs w:val="14"/>
          <w:color w:val="auto"/>
        </w:rPr>
        <w:t>Where a word or phrase is given a defined meaning another part of speech or grammatical form in respect to that word or phrase has a corresponding meaning.</w:t>
      </w:r>
    </w:p>
    <w:p>
      <w:pPr>
        <w:spacing w:after="0" w:line="234" w:lineRule="exact"/>
        <w:rPr>
          <w:rFonts w:ascii="Arial" w:cs="Arial" w:eastAsia="Arial" w:hAnsi="Arial"/>
          <w:sz w:val="14"/>
          <w:szCs w:val="14"/>
          <w:color w:val="auto"/>
        </w:rPr>
      </w:pPr>
    </w:p>
    <w:p>
      <w:pPr>
        <w:ind w:left="1127" w:hanging="568"/>
        <w:spacing w:after="0"/>
        <w:tabs>
          <w:tab w:leader="none" w:pos="112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All references to time are to be calculated by reference to time in the place where the Company’s registered office is located.</w:t>
      </w:r>
    </w:p>
    <w:p>
      <w:pPr>
        <w:spacing w:after="0" w:line="211" w:lineRule="exact"/>
        <w:rPr>
          <w:rFonts w:ascii="Arial" w:cs="Arial" w:eastAsia="Arial" w:hAnsi="Arial"/>
          <w:sz w:val="16"/>
          <w:szCs w:val="16"/>
          <w:color w:val="auto"/>
        </w:rPr>
      </w:pPr>
    </w:p>
    <w:p>
      <w:pPr>
        <w:ind w:left="1127" w:right="320" w:hanging="568"/>
        <w:spacing w:after="0" w:line="258" w:lineRule="auto"/>
        <w:tabs>
          <w:tab w:leader="none" w:pos="112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words written and in writing include all modes of representing or reproducing words in a visible form, but do not include an Electronic Record where the distinction between a document in writing and an Electronic Record is expressed or implied.</w:t>
      </w:r>
    </w:p>
    <w:p>
      <w:pPr>
        <w:spacing w:after="0" w:line="186" w:lineRule="exact"/>
        <w:rPr>
          <w:rFonts w:ascii="Arial" w:cs="Arial" w:eastAsia="Arial" w:hAnsi="Arial"/>
          <w:sz w:val="16"/>
          <w:szCs w:val="16"/>
          <w:color w:val="auto"/>
        </w:rPr>
      </w:pPr>
    </w:p>
    <w:p>
      <w:pPr>
        <w:ind w:left="1127" w:hanging="568"/>
        <w:spacing w:after="0"/>
        <w:tabs>
          <w:tab w:leader="none" w:pos="112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words including, include and in particular or any similar expression are to be construed without limitation.</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Exclusion of Table A Articles</w:t>
      </w:r>
    </w:p>
    <w:p>
      <w:pPr>
        <w:spacing w:after="0" w:line="213" w:lineRule="exact"/>
        <w:rPr>
          <w:sz w:val="20"/>
          <w:szCs w:val="20"/>
          <w:color w:val="auto"/>
        </w:rPr>
      </w:pPr>
    </w:p>
    <w:p>
      <w:pPr>
        <w:ind w:left="567" w:right="140" w:hanging="558"/>
        <w:spacing w:after="0" w:line="258" w:lineRule="auto"/>
        <w:tabs>
          <w:tab w:leader="none" w:pos="547"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regulations contained in Table A in the First Schedule of the Law and any other regulations contained in any statute or subordinate legislation are expressly excluded and do not apply to the Company.</w:t>
      </w:r>
    </w:p>
    <w:p>
      <w:pPr>
        <w:spacing w:after="0" w:line="180" w:lineRule="exact"/>
        <w:rPr>
          <w:sz w:val="20"/>
          <w:szCs w:val="20"/>
          <w:color w:val="auto"/>
        </w:rPr>
      </w:pPr>
    </w:p>
    <w:p>
      <w:pPr>
        <w:ind w:left="567" w:hanging="567"/>
        <w:spacing w:after="0"/>
        <w:tabs>
          <w:tab w:leader="none" w:pos="567"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Commencement of Business</w:t>
      </w:r>
    </w:p>
    <w:p>
      <w:pPr>
        <w:spacing w:after="0" w:line="21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3"/>
          <w:szCs w:val="13"/>
          <w:color w:val="auto"/>
        </w:rPr>
        <w:t>The business of the Company may be commenced as soon after incorporation of the Company as the directors see fit.</w:t>
      </w:r>
    </w:p>
    <w:p>
      <w:pPr>
        <w:spacing w:after="0" w:line="212" w:lineRule="exact"/>
        <w:rPr>
          <w:sz w:val="20"/>
          <w:szCs w:val="20"/>
          <w:color w:val="auto"/>
        </w:rPr>
      </w:pPr>
    </w:p>
    <w:p>
      <w:pPr>
        <w:ind w:left="567" w:right="20" w:hanging="558"/>
        <w:spacing w:after="0" w:line="258" w:lineRule="auto"/>
        <w:tabs>
          <w:tab w:leader="none" w:pos="547"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The directors may pay, out of the capital or any other monies of the Company, all expenses incurred in or about the formation and establishment of the Company, including the expenses of registration.</w:t>
      </w:r>
    </w:p>
    <w:p>
      <w:pPr>
        <w:spacing w:after="0" w:line="180" w:lineRule="exact"/>
        <w:rPr>
          <w:sz w:val="20"/>
          <w:szCs w:val="20"/>
          <w:color w:val="auto"/>
        </w:rPr>
      </w:pPr>
    </w:p>
    <w:p>
      <w:pPr>
        <w:ind w:left="567" w:hanging="567"/>
        <w:spacing w:after="0"/>
        <w:tabs>
          <w:tab w:leader="none" w:pos="567"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Shares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Power to issue Shares and options, with or without special rights</w:t>
      </w:r>
    </w:p>
    <w:p>
      <w:pPr>
        <w:spacing w:after="0" w:line="213" w:lineRule="exact"/>
        <w:rPr>
          <w:sz w:val="20"/>
          <w:szCs w:val="20"/>
          <w:color w:val="auto"/>
        </w:rPr>
      </w:pPr>
    </w:p>
    <w:p>
      <w:pPr>
        <w:ind w:left="567" w:hanging="558"/>
        <w:spacing w:after="0" w:line="290" w:lineRule="auto"/>
        <w:tabs>
          <w:tab w:leader="none" w:pos="547"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spacing w:after="0" w:line="101" w:lineRule="exact"/>
        <w:rPr>
          <w:sz w:val="20"/>
          <w:szCs w:val="20"/>
          <w:color w:val="auto"/>
        </w:rPr>
      </w:pPr>
    </w:p>
    <w:p>
      <w:pPr>
        <w:jc w:val="center"/>
        <w:ind w:right="-66"/>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9" w:right="379" w:bottom="1440" w:gutter="0" w:footer="0" w:header="0"/>
        </w:sectPr>
      </w:pPr>
    </w:p>
    <w:bookmarkStart w:id="278" w:name="page279"/>
    <w:bookmarkEnd w:id="278"/>
    <w:p>
      <w:pPr>
        <w:spacing w:after="0"/>
        <w:tabs>
          <w:tab w:leader="none" w:pos="5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Without limitation to the preceding Article, the directors may so deal with the unissued Shares of the Company:</w:t>
      </w:r>
    </w:p>
    <w:p>
      <w:pPr>
        <w:spacing w:after="0" w:line="212" w:lineRule="exact"/>
        <w:rPr>
          <w:sz w:val="20"/>
          <w:szCs w:val="20"/>
          <w:color w:val="auto"/>
        </w:rPr>
      </w:pPr>
    </w:p>
    <w:p>
      <w:pPr>
        <w:ind w:left="1120" w:hanging="568"/>
        <w:spacing w:after="0"/>
        <w:tabs>
          <w:tab w:leader="none" w:pos="11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either at a premium or at par;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with or without preferred, deferred or other special rights or restrictions whether in regard to dividend, voting, return of capital or otherwise.</w:t>
      </w:r>
    </w:p>
    <w:p>
      <w:pPr>
        <w:spacing w:after="0" w:line="212" w:lineRule="exact"/>
        <w:rPr>
          <w:sz w:val="20"/>
          <w:szCs w:val="20"/>
          <w:color w:val="auto"/>
        </w:rPr>
      </w:pPr>
    </w:p>
    <w:p>
      <w:pPr>
        <w:ind w:left="560" w:right="340" w:hanging="558"/>
        <w:spacing w:after="0" w:line="329" w:lineRule="auto"/>
        <w:tabs>
          <w:tab w:leader="none" w:pos="5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40" w:lineRule="exact"/>
        <w:rPr>
          <w:sz w:val="20"/>
          <w:szCs w:val="20"/>
          <w:color w:val="auto"/>
        </w:rPr>
      </w:pPr>
    </w:p>
    <w:p>
      <w:pPr>
        <w:ind w:left="560" w:right="160" w:hanging="558"/>
        <w:spacing w:after="0" w:line="250" w:lineRule="auto"/>
        <w:tabs>
          <w:tab w:leader="none" w:pos="54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issue fractions of a Share</w:t>
      </w:r>
    </w:p>
    <w:p>
      <w:pPr>
        <w:spacing w:after="0" w:line="213" w:lineRule="exact"/>
        <w:rPr>
          <w:sz w:val="20"/>
          <w:szCs w:val="20"/>
          <w:color w:val="auto"/>
        </w:rPr>
      </w:pPr>
    </w:p>
    <w:p>
      <w:pPr>
        <w:jc w:val="right"/>
        <w:ind w:right="240"/>
        <w:spacing w:after="0" w:line="329" w:lineRule="auto"/>
        <w:rPr>
          <w:sz w:val="20"/>
          <w:szCs w:val="20"/>
          <w:color w:val="auto"/>
        </w:rPr>
      </w:pPr>
      <w:r>
        <w:rPr>
          <w:rFonts w:ascii="Arial" w:cs="Arial" w:eastAsia="Arial" w:hAnsi="Arial"/>
          <w:sz w:val="14"/>
          <w:szCs w:val="14"/>
          <w:color w:val="auto"/>
        </w:rPr>
        <w:t>3.5     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pay commissions and brokerage fees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3"/>
          <w:szCs w:val="13"/>
          <w:color w:val="auto"/>
        </w:rPr>
        <w:t>The Company may, in so far as the Law permits, pay a commission to any person in consideration of that person:</w:t>
      </w:r>
    </w:p>
    <w:p>
      <w:pPr>
        <w:spacing w:after="0" w:line="212" w:lineRule="exact"/>
        <w:rPr>
          <w:sz w:val="20"/>
          <w:szCs w:val="20"/>
          <w:color w:val="auto"/>
        </w:rPr>
      </w:pPr>
    </w:p>
    <w:p>
      <w:pPr>
        <w:ind w:left="1120" w:hanging="568"/>
        <w:spacing w:after="0"/>
        <w:tabs>
          <w:tab w:leader="none" w:pos="11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subscribing or agreeing to subscribe, whether absolutely or conditionally;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procuring or agreeing to procure subscriptions, whether absolute or conditional</w:t>
      </w:r>
    </w:p>
    <w:p>
      <w:pPr>
        <w:spacing w:after="0" w:line="203" w:lineRule="exact"/>
        <w:rPr>
          <w:sz w:val="20"/>
          <w:szCs w:val="20"/>
          <w:color w:val="auto"/>
        </w:rPr>
      </w:pPr>
    </w:p>
    <w:p>
      <w:pPr>
        <w:ind w:left="560" w:right="20"/>
        <w:spacing w:after="0" w:line="251" w:lineRule="auto"/>
        <w:rPr>
          <w:sz w:val="20"/>
          <w:szCs w:val="20"/>
          <w:color w:val="auto"/>
        </w:rPr>
      </w:pPr>
      <w:r>
        <w:rPr>
          <w:rFonts w:ascii="Arial" w:cs="Arial" w:eastAsia="Arial" w:hAnsi="Arial"/>
          <w:sz w:val="19"/>
          <w:szCs w:val="19"/>
          <w:color w:val="auto"/>
        </w:rPr>
        <w:t>for any Shares in the Company. That commission may be satisfied by the payment of cash or the allotment of Fully Paid or partly-paid Shares or partly in one way and partly in another.</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The Company may employ a broker in the issue of its capital and pay him any proper commission or brokerage.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Trusts not recognised</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4"/>
          <w:szCs w:val="14"/>
          <w:color w:val="auto"/>
        </w:rPr>
        <w:t>Except as required by Applicable Law:</w:t>
      </w:r>
    </w:p>
    <w:p>
      <w:pPr>
        <w:spacing w:after="0" w:line="212" w:lineRule="exact"/>
        <w:rPr>
          <w:sz w:val="20"/>
          <w:szCs w:val="20"/>
          <w:color w:val="auto"/>
        </w:rPr>
      </w:pPr>
    </w:p>
    <w:p>
      <w:pPr>
        <w:ind w:left="1120" w:hanging="568"/>
        <w:spacing w:after="0" w:line="250" w:lineRule="auto"/>
        <w:tabs>
          <w:tab w:leader="none" w:pos="11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279" w:name="page280"/>
    <w:bookmarkEnd w:id="279"/>
    <w:p>
      <w:pPr>
        <w:ind w:left="1120" w:hanging="568"/>
        <w:spacing w:after="0"/>
        <w:tabs>
          <w:tab w:leader="none" w:pos="11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person other than the Member shall be recognised by the Company as having any right in a Share.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vary class rights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3"/>
          <w:szCs w:val="13"/>
          <w:color w:val="auto"/>
        </w:rPr>
        <w:t>If the share capital is divided into different classes of Shares then, unless the terms on which a class of Shares was issued state otherwise, the rights attaching to a class of</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may only be varied if one of the following applies:</w:t>
      </w:r>
    </w:p>
    <w:p>
      <w:pPr>
        <w:spacing w:after="0" w:line="202" w:lineRule="exact"/>
        <w:rPr>
          <w:sz w:val="20"/>
          <w:szCs w:val="20"/>
          <w:color w:val="auto"/>
        </w:rPr>
      </w:pPr>
    </w:p>
    <w:p>
      <w:pPr>
        <w:ind w:left="1120" w:hanging="568"/>
        <w:spacing w:after="0"/>
        <w:tabs>
          <w:tab w:leader="none" w:pos="112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Members holding two thirds of the issued Shares of that class consent in writing to the variation;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the variation is made with the sanction of a Special Resolution passed at a separate general meeting of the Members holding the issued Shares of that class.</w:t>
      </w:r>
    </w:p>
    <w:p>
      <w:pPr>
        <w:spacing w:after="0" w:line="235" w:lineRule="exact"/>
        <w:rPr>
          <w:sz w:val="20"/>
          <w:szCs w:val="20"/>
          <w:color w:val="auto"/>
        </w:rPr>
      </w:pPr>
    </w:p>
    <w:p>
      <w:pPr>
        <w:ind w:left="560" w:right="160" w:hanging="558"/>
        <w:spacing w:after="0" w:line="258" w:lineRule="auto"/>
        <w:tabs>
          <w:tab w:leader="none" w:pos="54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6"/>
          <w:szCs w:val="16"/>
          <w:color w:val="auto"/>
        </w:rPr>
        <w:t>For the purpose of paragraph (b) of the preceding Article, all the provisions of these Articles relating to general meetings apply, mutatis mutandis, to every such separate meeting except that:</w:t>
      </w:r>
    </w:p>
    <w:p>
      <w:pPr>
        <w:spacing w:after="0" w:line="186" w:lineRule="exact"/>
        <w:rPr>
          <w:sz w:val="20"/>
          <w:szCs w:val="20"/>
          <w:color w:val="auto"/>
        </w:rPr>
      </w:pPr>
    </w:p>
    <w:p>
      <w:pPr>
        <w:ind w:left="1120" w:hanging="568"/>
        <w:spacing w:after="0"/>
        <w:tabs>
          <w:tab w:leader="none" w:pos="112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necessary quorum shall be one or more persons holding, or representing by proxy, not less than one third of the issued Shares of the class; and</w:t>
      </w:r>
    </w:p>
    <w:p>
      <w:pPr>
        <w:spacing w:after="0" w:line="234" w:lineRule="exact"/>
        <w:rPr>
          <w:rFonts w:ascii="Arial" w:cs="Arial" w:eastAsia="Arial" w:hAnsi="Arial"/>
          <w:sz w:val="14"/>
          <w:szCs w:val="14"/>
          <w:color w:val="auto"/>
        </w:rPr>
      </w:pPr>
    </w:p>
    <w:p>
      <w:pPr>
        <w:ind w:left="1120" w:right="240" w:hanging="568"/>
        <w:spacing w:after="0" w:line="258" w:lineRule="auto"/>
        <w:tabs>
          <w:tab w:leader="none" w:pos="112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any Member holding issued Shares of the class, present in person or by proxy or, in the case of a corporate Member, by its duly authorised representative, may demand a poll.</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 of new Share issue on existing class rights</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contributions without issue of further Shares</w:t>
      </w:r>
    </w:p>
    <w:p>
      <w:pPr>
        <w:spacing w:after="0" w:line="213" w:lineRule="exact"/>
        <w:rPr>
          <w:sz w:val="20"/>
          <w:szCs w:val="20"/>
          <w:color w:val="auto"/>
        </w:rPr>
      </w:pPr>
    </w:p>
    <w:p>
      <w:pPr>
        <w:ind w:left="560" w:right="100" w:hanging="558"/>
        <w:spacing w:after="0" w:line="258" w:lineRule="auto"/>
        <w:tabs>
          <w:tab w:leader="none" w:pos="54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 Shares in consideration for that contribution. In that event, the contribution shall be dealt with in the following manner:</w:t>
      </w:r>
    </w:p>
    <w:p>
      <w:pPr>
        <w:spacing w:after="0" w:line="186" w:lineRule="exact"/>
        <w:rPr>
          <w:sz w:val="20"/>
          <w:szCs w:val="20"/>
          <w:color w:val="auto"/>
        </w:rPr>
      </w:pPr>
    </w:p>
    <w:p>
      <w:pPr>
        <w:ind w:left="1120" w:hanging="568"/>
        <w:spacing w:after="0"/>
        <w:tabs>
          <w:tab w:leader="none" w:pos="11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It shall be treated as if it were a share premium.</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Unless the Member agrees otherwise:</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280" w:name="page281"/>
    <w:bookmarkEnd w:id="280"/>
    <w:p>
      <w:pPr>
        <w:ind w:left="1660" w:right="220" w:hanging="550"/>
        <w:spacing w:after="0" w:line="250" w:lineRule="auto"/>
        <w:tabs>
          <w:tab w:leader="none" w:pos="166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192" w:lineRule="exact"/>
        <w:rPr>
          <w:rFonts w:ascii="Arial" w:cs="Arial" w:eastAsia="Arial" w:hAnsi="Arial"/>
          <w:sz w:val="16"/>
          <w:szCs w:val="16"/>
          <w:color w:val="auto"/>
        </w:rPr>
      </w:pPr>
    </w:p>
    <w:p>
      <w:pPr>
        <w:ind w:left="1120" w:hanging="568"/>
        <w:spacing w:after="0"/>
        <w:tabs>
          <w:tab w:leader="none" w:pos="11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It shall be subject to the provisions of the Law and these Articles applicable to share premiums.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bearer Shares or warrants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3"/>
          <w:szCs w:val="13"/>
          <w:color w:val="auto"/>
        </w:rPr>
        <w:t>The Company shall not issue Shares or warrants to bearers.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Treasury Shares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3"/>
          <w:szCs w:val="13"/>
          <w:color w:val="auto"/>
        </w:rPr>
        <w:t>Shares that the Company purchases, redeems or acquires by way of surrender in accordance with the Law shall be held as Treasury Shares and not treated as cancelled if:</w:t>
      </w:r>
    </w:p>
    <w:p>
      <w:pPr>
        <w:spacing w:after="0" w:line="212" w:lineRule="exact"/>
        <w:rPr>
          <w:sz w:val="20"/>
          <w:szCs w:val="20"/>
          <w:color w:val="auto"/>
        </w:rPr>
      </w:pPr>
    </w:p>
    <w:p>
      <w:pPr>
        <w:ind w:left="1120" w:hanging="568"/>
        <w:spacing w:after="0"/>
        <w:tabs>
          <w:tab w:leader="none" w:pos="11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directors so determine prior to the purchase, redemption or surrender of those shares;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relevant provisions of the Memorandum and Articles and the Law are otherwise complied with.</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 attaching to Treasury Shares and related matters</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3.15</w:t>
      </w:r>
      <w:r>
        <w:rPr>
          <w:sz w:val="20"/>
          <w:szCs w:val="20"/>
          <w:color w:val="auto"/>
        </w:rPr>
        <w:tab/>
      </w:r>
      <w:r>
        <w:rPr>
          <w:rFonts w:ascii="Arial" w:cs="Arial" w:eastAsia="Arial" w:hAnsi="Arial"/>
          <w:sz w:val="16"/>
          <w:szCs w:val="16"/>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3.16</w:t>
      </w:r>
      <w:r>
        <w:rPr>
          <w:sz w:val="20"/>
          <w:szCs w:val="20"/>
          <w:color w:val="auto"/>
        </w:rPr>
        <w:tab/>
      </w:r>
      <w:r>
        <w:rPr>
          <w:rFonts w:ascii="Arial" w:cs="Arial" w:eastAsia="Arial" w:hAnsi="Arial"/>
          <w:sz w:val="13"/>
          <w:szCs w:val="13"/>
          <w:color w:val="auto"/>
        </w:rPr>
        <w:t>The Company shall be entered in the Register as the holder of the Treasury Shares. However:</w:t>
      </w:r>
    </w:p>
    <w:p>
      <w:pPr>
        <w:spacing w:after="0" w:line="212" w:lineRule="exact"/>
        <w:rPr>
          <w:sz w:val="20"/>
          <w:szCs w:val="20"/>
          <w:color w:val="auto"/>
        </w:rPr>
      </w:pPr>
    </w:p>
    <w:p>
      <w:pPr>
        <w:ind w:left="1120" w:right="300" w:hanging="568"/>
        <w:spacing w:after="0" w:line="258" w:lineRule="auto"/>
        <w:tabs>
          <w:tab w:leader="none" w:pos="112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 shall not be treated as a member for any purpose and shall not exercise any right in respect of the Treasury Shares, and any purported exercise of such a right shall be void;</w:t>
      </w:r>
    </w:p>
    <w:p>
      <w:pPr>
        <w:spacing w:after="0" w:line="186" w:lineRule="exact"/>
        <w:rPr>
          <w:rFonts w:ascii="Arial" w:cs="Arial" w:eastAsia="Arial" w:hAnsi="Arial"/>
          <w:sz w:val="16"/>
          <w:szCs w:val="16"/>
          <w:color w:val="auto"/>
        </w:rPr>
      </w:pPr>
    </w:p>
    <w:p>
      <w:pPr>
        <w:ind w:left="1120" w:right="20" w:hanging="568"/>
        <w:spacing w:after="0" w:line="258" w:lineRule="auto"/>
        <w:tabs>
          <w:tab w:leader="none" w:pos="112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86" w:lineRule="exact"/>
        <w:rPr>
          <w:sz w:val="20"/>
          <w:szCs w:val="20"/>
          <w:color w:val="auto"/>
        </w:rPr>
      </w:pPr>
    </w:p>
    <w:p>
      <w:pPr>
        <w:ind w:left="560" w:right="160" w:hanging="558"/>
        <w:spacing w:after="0" w:line="258" w:lineRule="auto"/>
        <w:tabs>
          <w:tab w:leader="none" w:pos="540" w:val="left"/>
        </w:tabs>
        <w:rPr>
          <w:sz w:val="20"/>
          <w:szCs w:val="20"/>
          <w:color w:val="auto"/>
        </w:rPr>
      </w:pPr>
      <w:r>
        <w:rPr>
          <w:rFonts w:ascii="Arial" w:cs="Arial" w:eastAsia="Arial" w:hAnsi="Arial"/>
          <w:sz w:val="16"/>
          <w:szCs w:val="16"/>
          <w:color w:val="auto"/>
        </w:rPr>
        <w:t>3.17</w:t>
      </w:r>
      <w:r>
        <w:rPr>
          <w:sz w:val="20"/>
          <w:szCs w:val="20"/>
          <w:color w:val="auto"/>
        </w:rPr>
        <w:tab/>
      </w:r>
      <w:r>
        <w:rPr>
          <w:rFonts w:ascii="Arial" w:cs="Arial" w:eastAsia="Arial" w:hAnsi="Arial"/>
          <w:sz w:val="16"/>
          <w:szCs w:val="16"/>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3.18</w:t>
      </w:r>
      <w:r>
        <w:rPr>
          <w:sz w:val="20"/>
          <w:szCs w:val="20"/>
          <w:color w:val="auto"/>
        </w:rPr>
        <w:tab/>
      </w:r>
      <w:r>
        <w:rPr>
          <w:rFonts w:ascii="Arial" w:cs="Arial" w:eastAsia="Arial" w:hAnsi="Arial"/>
          <w:sz w:val="13"/>
          <w:szCs w:val="13"/>
          <w:color w:val="auto"/>
        </w:rPr>
        <w:t>Treasury Shares may be disposed of by the Company in accordance with the Law and otherwise on such terms and conditions as the directors determine.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81" w:name="page282"/>
    <w:bookmarkEnd w:id="281"/>
    <w:p>
      <w:pPr>
        <w:ind w:left="567" w:hanging="567"/>
        <w:spacing w:after="0"/>
        <w:tabs>
          <w:tab w:leader="none" w:pos="567"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Register of Members</w:t>
      </w:r>
    </w:p>
    <w:p>
      <w:pPr>
        <w:spacing w:after="0" w:line="21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3"/>
          <w:szCs w:val="13"/>
          <w:color w:val="auto"/>
        </w:rPr>
        <w:t>The Company shall maintain or cause to be maintained the Register of Members in accordance with the Law.</w:t>
      </w:r>
    </w:p>
    <w:p>
      <w:pPr>
        <w:spacing w:after="0" w:line="212" w:lineRule="exact"/>
        <w:rPr>
          <w:sz w:val="20"/>
          <w:szCs w:val="20"/>
          <w:color w:val="auto"/>
        </w:rPr>
      </w:pPr>
    </w:p>
    <w:p>
      <w:pPr>
        <w:jc w:val="both"/>
        <w:ind w:left="567" w:right="100" w:hanging="558"/>
        <w:spacing w:after="0" w:line="250" w:lineRule="auto"/>
        <w:tabs>
          <w:tab w:leader="none" w:pos="547"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spacing w:after="0" w:line="187" w:lineRule="exact"/>
        <w:rPr>
          <w:sz w:val="20"/>
          <w:szCs w:val="20"/>
          <w:color w:val="auto"/>
        </w:rPr>
      </w:pPr>
    </w:p>
    <w:p>
      <w:pPr>
        <w:ind w:left="567" w:hanging="567"/>
        <w:spacing w:after="0"/>
        <w:tabs>
          <w:tab w:leader="none" w:pos="567"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Share certificates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Issue of share certificates</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3"/>
          <w:szCs w:val="13"/>
          <w:color w:val="auto"/>
        </w:rPr>
        <w:t>Upon being entered in the Register of Members as the holder of a Share, a Member shall be entitled:</w:t>
      </w:r>
    </w:p>
    <w:p>
      <w:pPr>
        <w:spacing w:after="0" w:line="212" w:lineRule="exact"/>
        <w:rPr>
          <w:sz w:val="20"/>
          <w:szCs w:val="20"/>
          <w:color w:val="auto"/>
        </w:rPr>
      </w:pPr>
    </w:p>
    <w:p>
      <w:pPr>
        <w:ind w:left="1127" w:right="40" w:hanging="568"/>
        <w:spacing w:after="0" w:line="258" w:lineRule="auto"/>
        <w:tabs>
          <w:tab w:leader="none" w:pos="112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without payment, to one certificate for all the Shares of each class held by that Member (and, upon transferring a part of the Member’s holding of Shares of any class, to a certificate for the balance of that holding); and</w:t>
      </w:r>
    </w:p>
    <w:p>
      <w:pPr>
        <w:spacing w:after="0" w:line="186" w:lineRule="exact"/>
        <w:rPr>
          <w:rFonts w:ascii="Arial" w:cs="Arial" w:eastAsia="Arial" w:hAnsi="Arial"/>
          <w:sz w:val="16"/>
          <w:szCs w:val="16"/>
          <w:color w:val="auto"/>
        </w:rPr>
      </w:pPr>
    </w:p>
    <w:p>
      <w:pPr>
        <w:ind w:left="1127" w:right="380" w:hanging="568"/>
        <w:spacing w:after="0" w:line="258" w:lineRule="auto"/>
        <w:tabs>
          <w:tab w:leader="none" w:pos="112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upon payment of such reasonable sum as the directors may determine for every certificate after the first, to several certificates each for one or more of that Member’s Shares.</w:t>
      </w:r>
    </w:p>
    <w:p>
      <w:pPr>
        <w:spacing w:after="0" w:line="186"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186" w:lineRule="exact"/>
        <w:rPr>
          <w:sz w:val="20"/>
          <w:szCs w:val="20"/>
          <w:color w:val="auto"/>
        </w:rPr>
      </w:pPr>
    </w:p>
    <w:p>
      <w:pPr>
        <w:ind w:left="567" w:right="100" w:hanging="558"/>
        <w:spacing w:after="0" w:line="258" w:lineRule="auto"/>
        <w:tabs>
          <w:tab w:leader="none" w:pos="547"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Renewal of lost or damaged share certificates</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color w:val="auto"/>
        </w:rPr>
        <w:t>If a share certificate is defaced, worn-out, lost or destroyed, it may be renewed on such terms (if any) as to:</w:t>
      </w:r>
    </w:p>
    <w:p>
      <w:pPr>
        <w:spacing w:after="0" w:line="212" w:lineRule="exact"/>
        <w:rPr>
          <w:sz w:val="20"/>
          <w:szCs w:val="20"/>
          <w:color w:val="auto"/>
        </w:rPr>
      </w:pPr>
    </w:p>
    <w:p>
      <w:pPr>
        <w:ind w:left="1127" w:hanging="568"/>
        <w:spacing w:after="0"/>
        <w:tabs>
          <w:tab w:leader="none" w:pos="11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evidence;</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indemnity;</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payment of the expenses reasonably incurred by the Company in investigating the evidence; and</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payment of a reasonable fee, if any, for issuing a replacement share certificate</w:t>
      </w:r>
    </w:p>
    <w:p>
      <w:pPr>
        <w:spacing w:after="0" w:line="203" w:lineRule="exact"/>
        <w:rPr>
          <w:sz w:val="20"/>
          <w:szCs w:val="20"/>
          <w:color w:val="auto"/>
        </w:rPr>
      </w:pPr>
    </w:p>
    <w:p>
      <w:pPr>
        <w:ind w:left="567"/>
        <w:spacing w:after="0"/>
        <w:rPr>
          <w:sz w:val="20"/>
          <w:szCs w:val="20"/>
          <w:color w:val="auto"/>
        </w:rPr>
      </w:pPr>
      <w:r>
        <w:rPr>
          <w:rFonts w:ascii="Arial" w:cs="Arial" w:eastAsia="Arial" w:hAnsi="Arial"/>
          <w:sz w:val="18"/>
          <w:szCs w:val="18"/>
          <w:color w:val="auto"/>
        </w:rPr>
        <w:t>as the directors may determine, and (in the case of defacement or wearing-out) on delivery to the Company of the old certificate.</w:t>
      </w:r>
    </w:p>
    <w:p>
      <w:pPr>
        <w:spacing w:after="0" w:line="154" w:lineRule="exact"/>
        <w:rPr>
          <w:sz w:val="20"/>
          <w:szCs w:val="20"/>
          <w:color w:val="auto"/>
        </w:rPr>
      </w:pPr>
    </w:p>
    <w:p>
      <w:pPr>
        <w:ind w:left="5587"/>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067"/>
          </w:cols>
          <w:pgMar w:left="313" w:top="123" w:right="519" w:bottom="1440" w:gutter="0" w:footer="0" w:header="0"/>
        </w:sectPr>
      </w:pPr>
    </w:p>
    <w:bookmarkStart w:id="282" w:name="page283"/>
    <w:bookmarkEnd w:id="282"/>
    <w:p>
      <w:pPr>
        <w:ind w:left="567" w:hanging="567"/>
        <w:spacing w:after="0"/>
        <w:tabs>
          <w:tab w:leader="none" w:pos="567"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Lien on Shares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Nature and scope of lien</w:t>
      </w:r>
    </w:p>
    <w:p>
      <w:pPr>
        <w:spacing w:after="0" w:line="213"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186" w:lineRule="exact"/>
        <w:rPr>
          <w:sz w:val="20"/>
          <w:szCs w:val="20"/>
          <w:color w:val="auto"/>
        </w:rPr>
      </w:pPr>
    </w:p>
    <w:p>
      <w:pPr>
        <w:ind w:left="1127" w:hanging="568"/>
        <w:spacing w:after="0"/>
        <w:tabs>
          <w:tab w:leader="none" w:pos="112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either alone or jointly with any other person, whether or not that other person is a Member; and</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whether or not those moneys are presently payable.</w:t>
      </w:r>
    </w:p>
    <w:p>
      <w:pPr>
        <w:spacing w:after="0" w:line="21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At any time the directors may declare any Share to be wholly or partly exempt from the provisions of this Article.</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Company may sell Shares to satisfy lien</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color w:val="auto"/>
        </w:rPr>
        <w:t>The Company may sell any Shares over which it has a lien if all of the following conditions are met:</w:t>
      </w:r>
    </w:p>
    <w:p>
      <w:pPr>
        <w:spacing w:after="0" w:line="212" w:lineRule="exact"/>
        <w:rPr>
          <w:sz w:val="20"/>
          <w:szCs w:val="20"/>
          <w:color w:val="auto"/>
        </w:rPr>
      </w:pPr>
    </w:p>
    <w:p>
      <w:pPr>
        <w:ind w:left="1127" w:hanging="568"/>
        <w:spacing w:after="0"/>
        <w:tabs>
          <w:tab w:leader="none" w:pos="112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sum in respect of which the lien exists is presently payable;</w:t>
      </w:r>
    </w:p>
    <w:p>
      <w:pPr>
        <w:spacing w:after="0" w:line="211" w:lineRule="exact"/>
        <w:rPr>
          <w:rFonts w:ascii="Arial" w:cs="Arial" w:eastAsia="Arial" w:hAnsi="Arial"/>
          <w:sz w:val="16"/>
          <w:szCs w:val="16"/>
          <w:color w:val="auto"/>
        </w:rPr>
      </w:pPr>
    </w:p>
    <w:p>
      <w:pPr>
        <w:ind w:left="1127" w:right="60" w:hanging="568"/>
        <w:spacing w:after="0" w:line="258" w:lineRule="auto"/>
        <w:tabs>
          <w:tab w:leader="none" w:pos="112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86" w:lineRule="exact"/>
        <w:rPr>
          <w:rFonts w:ascii="Arial" w:cs="Arial" w:eastAsia="Arial" w:hAnsi="Arial"/>
          <w:sz w:val="16"/>
          <w:szCs w:val="16"/>
          <w:color w:val="auto"/>
        </w:rPr>
      </w:pPr>
    </w:p>
    <w:p>
      <w:pPr>
        <w:ind w:left="1127" w:hanging="568"/>
        <w:spacing w:after="0"/>
        <w:tabs>
          <w:tab w:leader="none" w:pos="112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that sum is not paid within 14 Clear Days after that notice is deemed to be given under these Articles.</w:t>
      </w:r>
    </w:p>
    <w:p>
      <w:pPr>
        <w:spacing w:after="0" w:line="21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3"/>
          <w:szCs w:val="13"/>
          <w:color w:val="auto"/>
        </w:rPr>
        <w:t>The Shares may be sold in such manner as the directors determine.</w:t>
      </w:r>
    </w:p>
    <w:p>
      <w:pPr>
        <w:spacing w:after="0" w:line="21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color w:val="auto"/>
        </w:rPr>
        <w:t>To the maximum extent permitted by Applicable Law, the directors shall incur no personal liability to the Member concerned in respect of the sale.</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Authority to execute instrument of transfer</w:t>
      </w:r>
    </w:p>
    <w:p>
      <w:pPr>
        <w:spacing w:after="0" w:line="213" w:lineRule="exact"/>
        <w:rPr>
          <w:sz w:val="20"/>
          <w:szCs w:val="20"/>
          <w:color w:val="auto"/>
        </w:rPr>
      </w:pPr>
    </w:p>
    <w:p>
      <w:pPr>
        <w:ind w:left="567" w:right="460" w:hanging="558"/>
        <w:spacing w:after="0" w:line="329" w:lineRule="auto"/>
        <w:tabs>
          <w:tab w:leader="none" w:pos="547"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4"/>
          <w:szCs w:val="14"/>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Consequences of sale of Shares to satisfy lien</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6.7</w:t>
      </w:r>
      <w:r>
        <w:rPr>
          <w:sz w:val="20"/>
          <w:szCs w:val="20"/>
          <w:color w:val="auto"/>
        </w:rPr>
        <w:tab/>
      </w:r>
      <w:r>
        <w:rPr>
          <w:rFonts w:ascii="Arial" w:cs="Arial" w:eastAsia="Arial" w:hAnsi="Arial"/>
          <w:sz w:val="13"/>
          <w:szCs w:val="13"/>
          <w:color w:val="auto"/>
        </w:rPr>
        <w:t>On sale pursuant to the preceding Articles:</w:t>
      </w:r>
    </w:p>
    <w:p>
      <w:pPr>
        <w:spacing w:after="0" w:line="212" w:lineRule="exact"/>
        <w:rPr>
          <w:sz w:val="20"/>
          <w:szCs w:val="20"/>
          <w:color w:val="auto"/>
        </w:rPr>
      </w:pPr>
    </w:p>
    <w:p>
      <w:pPr>
        <w:ind w:left="1127" w:hanging="568"/>
        <w:spacing w:after="0"/>
        <w:tabs>
          <w:tab w:leader="none" w:pos="112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name of the Member concerned shall be removed from the Register of Members as the holder of those Shares; and</w:t>
      </w:r>
    </w:p>
    <w:p>
      <w:pPr>
        <w:spacing w:after="0" w:line="145" w:lineRule="exact"/>
        <w:rPr>
          <w:sz w:val="20"/>
          <w:szCs w:val="20"/>
          <w:color w:val="auto"/>
        </w:rPr>
      </w:pPr>
    </w:p>
    <w:p>
      <w:pPr>
        <w:jc w:val="center"/>
        <w:ind w:right="-106"/>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67"/>
          </w:cols>
          <w:pgMar w:left="313" w:top="123" w:right="419" w:bottom="1440" w:gutter="0" w:footer="0" w:header="0"/>
        </w:sectPr>
      </w:pPr>
    </w:p>
    <w:bookmarkStart w:id="283" w:name="page284"/>
    <w:bookmarkEnd w:id="283"/>
    <w:p>
      <w:pPr>
        <w:ind w:left="1127" w:hanging="568"/>
        <w:spacing w:after="0"/>
        <w:tabs>
          <w:tab w:leader="none" w:pos="112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that person shall deliver to the Company for cancellation the certificate for those Shares.</w:t>
      </w:r>
    </w:p>
    <w:p>
      <w:pPr>
        <w:spacing w:after="0" w:line="203" w:lineRule="exact"/>
        <w:rPr>
          <w:sz w:val="20"/>
          <w:szCs w:val="20"/>
          <w:color w:val="auto"/>
        </w:rPr>
      </w:pPr>
    </w:p>
    <w:p>
      <w:pPr>
        <w:ind w:left="567" w:right="40"/>
        <w:spacing w:after="0" w:line="274" w:lineRule="auto"/>
        <w:rPr>
          <w:sz w:val="20"/>
          <w:szCs w:val="20"/>
          <w:color w:val="auto"/>
        </w:rPr>
      </w:pPr>
      <w:r>
        <w:rPr>
          <w:rFonts w:ascii="Arial" w:cs="Arial" w:eastAsia="Arial" w:hAnsi="Arial"/>
          <w:sz w:val="17"/>
          <w:szCs w:val="17"/>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Application of proceeds of sale</w:t>
      </w:r>
    </w:p>
    <w:p>
      <w:pPr>
        <w:spacing w:after="0" w:line="213" w:lineRule="exact"/>
        <w:rPr>
          <w:sz w:val="20"/>
          <w:szCs w:val="20"/>
          <w:color w:val="auto"/>
        </w:rPr>
      </w:pPr>
    </w:p>
    <w:p>
      <w:pPr>
        <w:ind w:left="567" w:right="180" w:hanging="558"/>
        <w:spacing w:after="0" w:line="258" w:lineRule="auto"/>
        <w:tabs>
          <w:tab w:leader="none" w:pos="547"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86" w:lineRule="exact"/>
        <w:rPr>
          <w:sz w:val="20"/>
          <w:szCs w:val="20"/>
          <w:color w:val="auto"/>
        </w:rPr>
      </w:pPr>
    </w:p>
    <w:p>
      <w:pPr>
        <w:ind w:left="1127" w:hanging="568"/>
        <w:spacing w:after="0"/>
        <w:tabs>
          <w:tab w:leader="none" w:pos="112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if no certificate for the Shares was issued, at the date of the sale; or</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if a certificate for the Shares was issued, upon surrender to the Company of that certificate for cancellation</w:t>
      </w:r>
    </w:p>
    <w:p>
      <w:pPr>
        <w:spacing w:after="0" w:line="203" w:lineRule="exact"/>
        <w:rPr>
          <w:sz w:val="20"/>
          <w:szCs w:val="20"/>
          <w:color w:val="auto"/>
        </w:rPr>
      </w:pPr>
    </w:p>
    <w:p>
      <w:pPr>
        <w:ind w:left="567"/>
        <w:spacing w:after="0"/>
        <w:rPr>
          <w:sz w:val="20"/>
          <w:szCs w:val="20"/>
          <w:color w:val="auto"/>
        </w:rPr>
      </w:pPr>
      <w:r>
        <w:rPr>
          <w:rFonts w:ascii="Arial" w:cs="Arial" w:eastAsia="Arial" w:hAnsi="Arial"/>
          <w:sz w:val="17"/>
          <w:szCs w:val="17"/>
          <w:color w:val="auto"/>
        </w:rPr>
        <w:t>but, in either case, subject to the Company retaining a like lien for all sums not presently payable as existed on the Shares before the sale.</w:t>
      </w:r>
    </w:p>
    <w:p>
      <w:pPr>
        <w:spacing w:after="0" w:line="226" w:lineRule="exact"/>
        <w:rPr>
          <w:sz w:val="20"/>
          <w:szCs w:val="20"/>
          <w:color w:val="auto"/>
        </w:rPr>
      </w:pPr>
    </w:p>
    <w:p>
      <w:pPr>
        <w:ind w:left="567" w:hanging="567"/>
        <w:spacing w:after="0"/>
        <w:tabs>
          <w:tab w:leader="none" w:pos="567"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 and forfeiture</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Power to make calls and effect of calls</w:t>
      </w:r>
    </w:p>
    <w:p>
      <w:pPr>
        <w:spacing w:after="0" w:line="213" w:lineRule="exact"/>
        <w:rPr>
          <w:sz w:val="20"/>
          <w:szCs w:val="20"/>
          <w:color w:val="auto"/>
        </w:rPr>
      </w:pPr>
    </w:p>
    <w:p>
      <w:pPr>
        <w:ind w:left="567" w:hanging="558"/>
        <w:spacing w:after="0" w:line="250" w:lineRule="auto"/>
        <w:tabs>
          <w:tab w:leader="none" w:pos="547"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93" w:lineRule="exact"/>
        <w:rPr>
          <w:sz w:val="20"/>
          <w:szCs w:val="20"/>
          <w:color w:val="auto"/>
        </w:rPr>
      </w:pPr>
    </w:p>
    <w:p>
      <w:pPr>
        <w:ind w:left="567" w:right="40" w:hanging="558"/>
        <w:spacing w:after="0" w:line="250" w:lineRule="auto"/>
        <w:tabs>
          <w:tab w:leader="none" w:pos="547"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93" w:lineRule="exact"/>
        <w:rPr>
          <w:sz w:val="20"/>
          <w:szCs w:val="20"/>
          <w:color w:val="auto"/>
        </w:rPr>
      </w:pPr>
    </w:p>
    <w:p>
      <w:pPr>
        <w:ind w:left="567" w:right="140" w:hanging="558"/>
        <w:spacing w:after="0" w:line="258" w:lineRule="auto"/>
        <w:tabs>
          <w:tab w:leader="none" w:pos="547"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spacing w:after="0" w:line="120" w:lineRule="exact"/>
        <w:rPr>
          <w:sz w:val="20"/>
          <w:szCs w:val="20"/>
          <w:color w:val="auto"/>
        </w:rPr>
      </w:pPr>
    </w:p>
    <w:p>
      <w:pPr>
        <w:jc w:val="center"/>
        <w:ind w:right="-66"/>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7"/>
          </w:cols>
          <w:pgMar w:left="313" w:top="129" w:right="399" w:bottom="1440" w:gutter="0" w:footer="0" w:header="0"/>
        </w:sectPr>
      </w:pPr>
    </w:p>
    <w:bookmarkStart w:id="284" w:name="page285"/>
    <w:bookmarkEnd w:id="284"/>
    <w:p>
      <w:pPr>
        <w:spacing w:after="0"/>
        <w:rPr>
          <w:sz w:val="20"/>
          <w:szCs w:val="20"/>
          <w:color w:val="auto"/>
        </w:rPr>
      </w:pPr>
      <w:r>
        <w:rPr>
          <w:rFonts w:ascii="Arial" w:cs="Arial" w:eastAsia="Arial" w:hAnsi="Arial"/>
          <w:sz w:val="19"/>
          <w:szCs w:val="19"/>
          <w:b w:val="1"/>
          <w:bCs w:val="1"/>
          <w:color w:val="auto"/>
        </w:rPr>
        <w:t>Time when call made</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3"/>
          <w:szCs w:val="13"/>
          <w:color w:val="auto"/>
        </w:rPr>
        <w:t>A call shall be deemed to have been made at the time when the resolution of the directors authorising the call was passed.</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Liability of joint holders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4"/>
          <w:szCs w:val="14"/>
          <w:color w:val="auto"/>
        </w:rPr>
        <w:t>Members registered as the joint holders of a Share shall be jointly and severally liable to pay all calls in respect of the Share.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on unpaid calls</w:t>
      </w:r>
    </w:p>
    <w:p>
      <w:pPr>
        <w:spacing w:after="0" w:line="213"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If a call remains unpaid after it has become due and payable the person from whom it is due and payable shall pay interest on the amount unpaid from the day it became due and payable until it is paid:</w:t>
      </w:r>
    </w:p>
    <w:p>
      <w:pPr>
        <w:spacing w:after="0" w:line="186" w:lineRule="exact"/>
        <w:rPr>
          <w:sz w:val="20"/>
          <w:szCs w:val="20"/>
          <w:color w:val="auto"/>
        </w:rPr>
      </w:pPr>
    </w:p>
    <w:p>
      <w:pPr>
        <w:ind w:left="1120" w:hanging="568"/>
        <w:spacing w:after="0"/>
        <w:tabs>
          <w:tab w:leader="none" w:pos="11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at the rate fixed by the terms of allotment of the Share or in the notice of the call;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if no rate is fixed, at the Default Rate.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directors may waive payment of the interest wholly or in part.</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Deemed calls</w:t>
      </w:r>
    </w:p>
    <w:p>
      <w:pPr>
        <w:spacing w:after="0" w:line="213"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accept early payment</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4"/>
          <w:szCs w:val="14"/>
          <w:color w:val="auto"/>
        </w:rPr>
        <w:t>The Company may accept from a Member the whole or a part of the amount remaining unpaid on Shares held by him although no part of that amount has been called up.</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make different arrangements at time of issue of Shares</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7.9</w:t>
      </w:r>
      <w:r>
        <w:rPr>
          <w:sz w:val="20"/>
          <w:szCs w:val="20"/>
          <w:color w:val="auto"/>
        </w:rPr>
        <w:tab/>
      </w:r>
      <w:r>
        <w:rPr>
          <w:rFonts w:ascii="Arial" w:cs="Arial" w:eastAsia="Arial" w:hAnsi="Arial"/>
          <w:sz w:val="16"/>
          <w:szCs w:val="16"/>
          <w:color w:val="auto"/>
        </w:rPr>
        <w:t>Subject to the terms of allotment, the directors may make arrangements on the issue of Shares to distinguish between Members in the amounts and times of payment of calls on their Shares.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default</w:t>
      </w:r>
    </w:p>
    <w:p>
      <w:pPr>
        <w:spacing w:after="0" w:line="213" w:lineRule="exact"/>
        <w:rPr>
          <w:sz w:val="20"/>
          <w:szCs w:val="20"/>
          <w:color w:val="auto"/>
        </w:rPr>
      </w:pPr>
    </w:p>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7.10</w:t>
      </w:r>
      <w:r>
        <w:rPr>
          <w:sz w:val="20"/>
          <w:szCs w:val="20"/>
          <w:color w:val="auto"/>
        </w:rPr>
        <w:tab/>
      </w:r>
      <w:r>
        <w:rPr>
          <w:rFonts w:ascii="Arial" w:cs="Arial" w:eastAsia="Arial" w:hAnsi="Arial"/>
          <w:sz w:val="16"/>
          <w:szCs w:val="16"/>
          <w:color w:val="auto"/>
        </w:rPr>
        <w:t>If a call remains unpaid after it has become due and payable the directors may give to the person from whom it is due not less than 14 Clear Days’ notice requiring payment of:</w:t>
      </w:r>
    </w:p>
    <w:p>
      <w:pPr>
        <w:spacing w:after="0" w:line="186" w:lineRule="exact"/>
        <w:rPr>
          <w:sz w:val="20"/>
          <w:szCs w:val="20"/>
          <w:color w:val="auto"/>
        </w:rPr>
      </w:pPr>
    </w:p>
    <w:p>
      <w:pPr>
        <w:ind w:left="1120" w:hanging="568"/>
        <w:spacing w:after="0"/>
        <w:tabs>
          <w:tab w:leader="none" w:pos="112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amount unpaid;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interest which may have accrued;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85" w:name="page286"/>
    <w:bookmarkEnd w:id="285"/>
    <w:p>
      <w:pPr>
        <w:ind w:left="1120" w:hanging="568"/>
        <w:spacing w:after="0"/>
        <w:tabs>
          <w:tab w:leader="none" w:pos="11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any expenses which have been incurred by the Company due to that person’s default.</w:t>
      </w:r>
    </w:p>
    <w:p>
      <w:pPr>
        <w:spacing w:after="0" w:line="2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7.11</w:t>
      </w:r>
      <w:r>
        <w:rPr>
          <w:rFonts w:ascii="Arial" w:cs="Arial" w:eastAsia="Arial" w:hAnsi="Arial"/>
          <w:sz w:val="14"/>
          <w:szCs w:val="14"/>
          <w:color w:val="auto"/>
        </w:rPr>
        <w:t>The notice shall state the following:</w:t>
      </w:r>
    </w:p>
    <w:p>
      <w:pPr>
        <w:spacing w:after="0" w:line="212" w:lineRule="exact"/>
        <w:rPr>
          <w:sz w:val="20"/>
          <w:szCs w:val="20"/>
          <w:color w:val="auto"/>
        </w:rPr>
      </w:pPr>
    </w:p>
    <w:p>
      <w:pPr>
        <w:ind w:left="1120" w:hanging="568"/>
        <w:spacing w:after="0"/>
        <w:tabs>
          <w:tab w:leader="none" w:pos="11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place where payment is to be made;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warning that if the notice is not complied with the Shares in respect of which the call is made will be liable to be forfeited.</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Forfeiture or surrender of Shares</w:t>
      </w:r>
    </w:p>
    <w:p>
      <w:pPr>
        <w:spacing w:after="0" w:line="213" w:lineRule="exact"/>
        <w:rPr>
          <w:sz w:val="20"/>
          <w:szCs w:val="20"/>
          <w:color w:val="auto"/>
        </w:rPr>
      </w:pPr>
    </w:p>
    <w:p>
      <w:pPr>
        <w:ind w:left="560" w:right="20" w:hanging="558"/>
        <w:spacing w:after="0" w:line="248" w:lineRule="auto"/>
        <w:tabs>
          <w:tab w:leader="none" w:pos="540" w:val="left"/>
        </w:tabs>
        <w:rPr>
          <w:sz w:val="20"/>
          <w:szCs w:val="20"/>
          <w:color w:val="auto"/>
        </w:rPr>
      </w:pPr>
      <w:r>
        <w:rPr>
          <w:rFonts w:ascii="Arial" w:cs="Arial" w:eastAsia="Arial" w:hAnsi="Arial"/>
          <w:sz w:val="16"/>
          <w:szCs w:val="16"/>
          <w:color w:val="auto"/>
        </w:rPr>
        <w:t>7.12</w:t>
      </w:r>
      <w:r>
        <w:rPr>
          <w:sz w:val="20"/>
          <w:szCs w:val="20"/>
          <w:color w:val="auto"/>
        </w:rPr>
        <w:tab/>
      </w:r>
      <w:r>
        <w:rPr>
          <w:rFonts w:ascii="Arial" w:cs="Arial" w:eastAsia="Arial" w:hAnsi="Arial"/>
          <w:sz w:val="16"/>
          <w:szCs w:val="16"/>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7.13</w:t>
      </w:r>
      <w:r>
        <w:rPr>
          <w:sz w:val="20"/>
          <w:szCs w:val="20"/>
          <w:color w:val="auto"/>
        </w:rPr>
        <w:tab/>
      </w:r>
      <w:r>
        <w:rPr>
          <w:rFonts w:ascii="Arial" w:cs="Arial" w:eastAsia="Arial" w:hAnsi="Arial"/>
          <w:sz w:val="14"/>
          <w:szCs w:val="14"/>
          <w:color w:val="auto"/>
        </w:rPr>
        <w:t>The directors may accept the surrender for no consideration of any Fully Paid Share.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Disposal of forfeited or surrendered Share and power to cancel forfeiture or surrender</w:t>
      </w:r>
    </w:p>
    <w:p>
      <w:pPr>
        <w:spacing w:after="0" w:line="213" w:lineRule="exact"/>
        <w:rPr>
          <w:sz w:val="20"/>
          <w:szCs w:val="20"/>
          <w:color w:val="auto"/>
        </w:rPr>
      </w:pPr>
    </w:p>
    <w:p>
      <w:pPr>
        <w:ind w:left="560" w:hanging="558"/>
        <w:spacing w:after="0" w:line="248" w:lineRule="auto"/>
        <w:tabs>
          <w:tab w:leader="none" w:pos="540" w:val="left"/>
        </w:tabs>
        <w:rPr>
          <w:sz w:val="20"/>
          <w:szCs w:val="20"/>
          <w:color w:val="auto"/>
        </w:rPr>
      </w:pPr>
      <w:r>
        <w:rPr>
          <w:rFonts w:ascii="Arial" w:cs="Arial" w:eastAsia="Arial" w:hAnsi="Arial"/>
          <w:sz w:val="16"/>
          <w:szCs w:val="16"/>
          <w:color w:val="auto"/>
        </w:rPr>
        <w:t>7.14</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 of forfeiture or surrender on former Member</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7.15</w:t>
      </w:r>
      <w:r>
        <w:rPr>
          <w:sz w:val="20"/>
          <w:szCs w:val="20"/>
          <w:color w:val="auto"/>
        </w:rPr>
        <w:tab/>
      </w:r>
      <w:r>
        <w:rPr>
          <w:rFonts w:ascii="Arial" w:cs="Arial" w:eastAsia="Arial" w:hAnsi="Arial"/>
          <w:sz w:val="14"/>
          <w:szCs w:val="14"/>
          <w:color w:val="auto"/>
        </w:rPr>
        <w:t>On forfeiture or surrender:</w:t>
      </w:r>
    </w:p>
    <w:p>
      <w:pPr>
        <w:spacing w:after="0" w:line="212" w:lineRule="exact"/>
        <w:rPr>
          <w:sz w:val="20"/>
          <w:szCs w:val="20"/>
          <w:color w:val="auto"/>
        </w:rPr>
      </w:pPr>
    </w:p>
    <w:p>
      <w:pPr>
        <w:ind w:left="1120" w:right="140" w:hanging="568"/>
        <w:spacing w:after="0" w:line="258" w:lineRule="auto"/>
        <w:tabs>
          <w:tab w:leader="none" w:pos="112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name of the Member concerned shall be removed from the Register of Members as the holder of those Shares and that person shall cease to be a Member in respect of those Shares; and</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that person shall surrender to the Company for cancellation the certificate (if any) for the forfeited or surrendered Shares.</w:t>
      </w:r>
    </w:p>
    <w:p>
      <w:pPr>
        <w:spacing w:after="0" w:line="212" w:lineRule="exact"/>
        <w:rPr>
          <w:sz w:val="20"/>
          <w:szCs w:val="20"/>
          <w:color w:val="auto"/>
        </w:rPr>
      </w:pPr>
    </w:p>
    <w:p>
      <w:pPr>
        <w:ind w:left="560" w:right="100" w:hanging="558"/>
        <w:spacing w:after="0" w:line="258" w:lineRule="auto"/>
        <w:tabs>
          <w:tab w:leader="none" w:pos="540" w:val="left"/>
        </w:tabs>
        <w:rPr>
          <w:sz w:val="20"/>
          <w:szCs w:val="20"/>
          <w:color w:val="auto"/>
        </w:rPr>
      </w:pPr>
      <w:r>
        <w:rPr>
          <w:rFonts w:ascii="Arial" w:cs="Arial" w:eastAsia="Arial" w:hAnsi="Arial"/>
          <w:sz w:val="16"/>
          <w:szCs w:val="16"/>
          <w:color w:val="auto"/>
        </w:rPr>
        <w:t>7.16</w:t>
      </w:r>
      <w:r>
        <w:rPr>
          <w:sz w:val="20"/>
          <w:szCs w:val="20"/>
          <w:color w:val="auto"/>
        </w:rPr>
        <w:tab/>
      </w:r>
      <w:r>
        <w:rPr>
          <w:rFonts w:ascii="Arial" w:cs="Arial" w:eastAsia="Arial" w:hAnsi="Arial"/>
          <w:sz w:val="16"/>
          <w:szCs w:val="16"/>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86" w:lineRule="exact"/>
        <w:rPr>
          <w:sz w:val="20"/>
          <w:szCs w:val="20"/>
          <w:color w:val="auto"/>
        </w:rPr>
      </w:pPr>
    </w:p>
    <w:p>
      <w:pPr>
        <w:ind w:left="1120" w:hanging="568"/>
        <w:spacing w:after="0"/>
        <w:tabs>
          <w:tab w:leader="none" w:pos="112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all expenses; and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40"/>
          </w:cols>
          <w:pgMar w:left="320" w:top="129" w:right="439" w:bottom="1440" w:gutter="0" w:footer="0" w:header="0"/>
        </w:sectPr>
      </w:pPr>
    </w:p>
    <w:bookmarkStart w:id="286" w:name="page287"/>
    <w:bookmarkEnd w:id="286"/>
    <w:p>
      <w:pPr>
        <w:ind w:left="1127" w:hanging="568"/>
        <w:spacing w:after="0"/>
        <w:tabs>
          <w:tab w:leader="none" w:pos="112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interest from the date of forfeiture or surrender until payment:</w:t>
      </w:r>
    </w:p>
    <w:p>
      <w:pPr>
        <w:spacing w:after="0" w:line="211" w:lineRule="exact"/>
        <w:rPr>
          <w:rFonts w:ascii="Arial" w:cs="Arial" w:eastAsia="Arial" w:hAnsi="Arial"/>
          <w:sz w:val="16"/>
          <w:szCs w:val="16"/>
          <w:color w:val="auto"/>
        </w:rPr>
      </w:pPr>
    </w:p>
    <w:p>
      <w:pPr>
        <w:ind w:left="1667" w:hanging="550"/>
        <w:spacing w:after="0"/>
        <w:tabs>
          <w:tab w:leader="none" w:pos="166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at the rate of which interest was payable on those moneys before forfeiture; or</w:t>
      </w:r>
    </w:p>
    <w:p>
      <w:pPr>
        <w:spacing w:after="0" w:line="211" w:lineRule="exact"/>
        <w:rPr>
          <w:rFonts w:ascii="Arial" w:cs="Arial" w:eastAsia="Arial" w:hAnsi="Arial"/>
          <w:sz w:val="16"/>
          <w:szCs w:val="16"/>
          <w:color w:val="auto"/>
        </w:rPr>
      </w:pPr>
    </w:p>
    <w:p>
      <w:pPr>
        <w:ind w:left="1667" w:hanging="550"/>
        <w:spacing w:after="0"/>
        <w:tabs>
          <w:tab w:leader="none" w:pos="166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if no interest was so payable, at the Default Rate.</w:t>
      </w:r>
    </w:p>
    <w:p>
      <w:pPr>
        <w:spacing w:after="0" w:line="203" w:lineRule="exact"/>
        <w:rPr>
          <w:sz w:val="20"/>
          <w:szCs w:val="20"/>
          <w:color w:val="auto"/>
        </w:rPr>
      </w:pPr>
    </w:p>
    <w:p>
      <w:pPr>
        <w:ind w:left="567"/>
        <w:spacing w:after="0"/>
        <w:rPr>
          <w:sz w:val="20"/>
          <w:szCs w:val="20"/>
          <w:color w:val="auto"/>
        </w:rPr>
      </w:pPr>
      <w:r>
        <w:rPr>
          <w:rFonts w:ascii="Arial" w:cs="Arial" w:eastAsia="Arial" w:hAnsi="Arial"/>
          <w:sz w:val="19"/>
          <w:szCs w:val="19"/>
          <w:color w:val="auto"/>
        </w:rPr>
        <w:t>The directors, however, may waive payment wholly or in part.</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Evidence of forfeiture or surrender</w:t>
      </w:r>
    </w:p>
    <w:p>
      <w:pPr>
        <w:spacing w:after="0" w:line="213" w:lineRule="exact"/>
        <w:rPr>
          <w:sz w:val="20"/>
          <w:szCs w:val="20"/>
          <w:color w:val="auto"/>
        </w:rPr>
      </w:pPr>
    </w:p>
    <w:p>
      <w:pPr>
        <w:ind w:left="567" w:right="200" w:hanging="558"/>
        <w:spacing w:after="0" w:line="258" w:lineRule="auto"/>
        <w:tabs>
          <w:tab w:leader="none" w:pos="547" w:val="left"/>
        </w:tabs>
        <w:rPr>
          <w:sz w:val="20"/>
          <w:szCs w:val="20"/>
          <w:color w:val="auto"/>
        </w:rPr>
      </w:pPr>
      <w:r>
        <w:rPr>
          <w:rFonts w:ascii="Arial" w:cs="Arial" w:eastAsia="Arial" w:hAnsi="Arial"/>
          <w:sz w:val="16"/>
          <w:szCs w:val="16"/>
          <w:color w:val="auto"/>
        </w:rPr>
        <w:t>7.17</w:t>
      </w:r>
      <w:r>
        <w:rPr>
          <w:sz w:val="20"/>
          <w:szCs w:val="20"/>
          <w:color w:val="auto"/>
        </w:rPr>
        <w:tab/>
      </w:r>
      <w:r>
        <w:rPr>
          <w:rFonts w:ascii="Arial" w:cs="Arial" w:eastAsia="Arial" w:hAnsi="Arial"/>
          <w:sz w:val="16"/>
          <w:szCs w:val="16"/>
          <w:color w:val="auto"/>
        </w:rPr>
        <w:t>A declaration, whether statutory or under oath, made by a director or the Secretary shall be conclusive evidence of the following matters stated in it as against all persons claiming to be entitled to forfeited Shares:</w:t>
      </w:r>
    </w:p>
    <w:p>
      <w:pPr>
        <w:spacing w:after="0" w:line="186" w:lineRule="exact"/>
        <w:rPr>
          <w:sz w:val="20"/>
          <w:szCs w:val="20"/>
          <w:color w:val="auto"/>
        </w:rPr>
      </w:pPr>
    </w:p>
    <w:p>
      <w:pPr>
        <w:ind w:left="1127" w:hanging="568"/>
        <w:spacing w:after="0"/>
        <w:tabs>
          <w:tab w:leader="none" w:pos="11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that the person making the declaration is a director or Secretary of the Company, and</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that the particular Shares have been forfeited or surrendered on a particular date.</w:t>
      </w:r>
    </w:p>
    <w:p>
      <w:pPr>
        <w:spacing w:after="0" w:line="203" w:lineRule="exact"/>
        <w:rPr>
          <w:sz w:val="20"/>
          <w:szCs w:val="20"/>
          <w:color w:val="auto"/>
        </w:rPr>
      </w:pPr>
    </w:p>
    <w:p>
      <w:pPr>
        <w:ind w:left="567"/>
        <w:spacing w:after="0"/>
        <w:rPr>
          <w:sz w:val="20"/>
          <w:szCs w:val="20"/>
          <w:color w:val="auto"/>
        </w:rPr>
      </w:pPr>
      <w:r>
        <w:rPr>
          <w:rFonts w:ascii="Arial" w:cs="Arial" w:eastAsia="Arial" w:hAnsi="Arial"/>
          <w:sz w:val="19"/>
          <w:szCs w:val="19"/>
          <w:color w:val="auto"/>
        </w:rPr>
        <w:t>Subject to the execution of an instrument of transfer, if necessary, the declaration shall constitute good title to the Shares.</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Sale of forfeited or surrendered Shares</w:t>
      </w:r>
    </w:p>
    <w:p>
      <w:pPr>
        <w:spacing w:after="0" w:line="213" w:lineRule="exact"/>
        <w:rPr>
          <w:sz w:val="20"/>
          <w:szCs w:val="20"/>
          <w:color w:val="auto"/>
        </w:rPr>
      </w:pPr>
    </w:p>
    <w:p>
      <w:pPr>
        <w:ind w:left="567" w:hanging="558"/>
        <w:spacing w:after="0" w:line="329" w:lineRule="auto"/>
        <w:tabs>
          <w:tab w:leader="none" w:pos="547" w:val="left"/>
        </w:tabs>
        <w:rPr>
          <w:sz w:val="20"/>
          <w:szCs w:val="20"/>
          <w:color w:val="auto"/>
        </w:rPr>
      </w:pPr>
      <w:r>
        <w:rPr>
          <w:rFonts w:ascii="Arial" w:cs="Arial" w:eastAsia="Arial" w:hAnsi="Arial"/>
          <w:sz w:val="16"/>
          <w:szCs w:val="16"/>
          <w:color w:val="auto"/>
        </w:rPr>
        <w:t>7.18</w:t>
      </w:r>
      <w:r>
        <w:rPr>
          <w:sz w:val="20"/>
          <w:szCs w:val="20"/>
          <w:color w:val="auto"/>
        </w:rPr>
        <w:tab/>
      </w:r>
      <w:r>
        <w:rPr>
          <w:rFonts w:ascii="Arial" w:cs="Arial" w:eastAsia="Arial" w:hAnsi="Arial"/>
          <w:sz w:val="14"/>
          <w:szCs w:val="14"/>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34" w:lineRule="exact"/>
        <w:rPr>
          <w:sz w:val="20"/>
          <w:szCs w:val="20"/>
          <w:color w:val="auto"/>
        </w:rPr>
      </w:pPr>
    </w:p>
    <w:p>
      <w:pPr>
        <w:ind w:left="567" w:hanging="567"/>
        <w:spacing w:after="0"/>
        <w:tabs>
          <w:tab w:leader="none" w:pos="567" w:val="left"/>
        </w:tabs>
        <w:numPr>
          <w:ilvl w:val="0"/>
          <w:numId w:val="264"/>
        </w:numPr>
        <w:rPr>
          <w:rFonts w:ascii="Arial" w:cs="Arial" w:eastAsia="Arial" w:hAnsi="Arial"/>
          <w:sz w:val="16"/>
          <w:szCs w:val="16"/>
          <w:b w:val="1"/>
          <w:bCs w:val="1"/>
          <w:color w:val="auto"/>
        </w:rPr>
      </w:pPr>
      <w:r>
        <w:rPr>
          <w:rFonts w:ascii="Arial" w:cs="Arial" w:eastAsia="Arial" w:hAnsi="Arial"/>
          <w:sz w:val="16"/>
          <w:szCs w:val="16"/>
          <w:b w:val="1"/>
          <w:bCs w:val="1"/>
          <w:color w:val="auto"/>
        </w:rPr>
        <w:t>Transfer of Shares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Form of transfer</w:t>
      </w:r>
    </w:p>
    <w:p>
      <w:pPr>
        <w:spacing w:after="0" w:line="213" w:lineRule="exact"/>
        <w:rPr>
          <w:sz w:val="20"/>
          <w:szCs w:val="20"/>
          <w:color w:val="auto"/>
        </w:rPr>
      </w:pPr>
    </w:p>
    <w:p>
      <w:pPr>
        <w:jc w:val="both"/>
        <w:ind w:left="567" w:hanging="558"/>
        <w:spacing w:after="0" w:line="250" w:lineRule="auto"/>
        <w:tabs>
          <w:tab w:leader="none" w:pos="547"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spacing w:after="0" w:line="193" w:lineRule="exact"/>
        <w:rPr>
          <w:sz w:val="20"/>
          <w:szCs w:val="20"/>
          <w:color w:val="auto"/>
        </w:rPr>
      </w:pPr>
    </w:p>
    <w:p>
      <w:pPr>
        <w:ind w:left="1127" w:hanging="568"/>
        <w:spacing w:after="0"/>
        <w:tabs>
          <w:tab w:leader="none" w:pos="112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where the Shares are Fully Paid, by or on behalf of that Member; and</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where the Shares are partly paid, by or on behalf of that Member and the transferee.</w:t>
      </w:r>
    </w:p>
    <w:p>
      <w:pPr>
        <w:spacing w:after="0" w:line="21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3"/>
          <w:szCs w:val="13"/>
          <w:color w:val="auto"/>
        </w:rPr>
        <w:t>The transferor shall be deemed to remain the holder of a Share until the name of the transferee is entered into the Register of Members.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Power to refuse registration</w:t>
      </w:r>
    </w:p>
    <w:p>
      <w:pPr>
        <w:spacing w:after="0" w:line="213" w:lineRule="exact"/>
        <w:rPr>
          <w:sz w:val="20"/>
          <w:szCs w:val="20"/>
          <w:color w:val="auto"/>
        </w:rPr>
      </w:pPr>
    </w:p>
    <w:p>
      <w:pPr>
        <w:ind w:left="567" w:right="60" w:hanging="558"/>
        <w:spacing w:after="0" w:line="329" w:lineRule="auto"/>
        <w:tabs>
          <w:tab w:leader="none" w:pos="547"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4"/>
          <w:szCs w:val="14"/>
          <w:color w:val="auto"/>
        </w:rPr>
        <w:t>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p>
    <w:p>
      <w:pPr>
        <w:spacing w:after="0" w:line="74" w:lineRule="exact"/>
        <w:rPr>
          <w:sz w:val="20"/>
          <w:szCs w:val="20"/>
          <w:color w:val="auto"/>
        </w:rPr>
      </w:pPr>
    </w:p>
    <w:p>
      <w:pPr>
        <w:jc w:val="center"/>
        <w:ind w:right="-26"/>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9" w:right="339" w:bottom="1440" w:gutter="0" w:footer="0" w:header="0"/>
        </w:sectPr>
      </w:pPr>
    </w:p>
    <w:bookmarkStart w:id="287" w:name="page288"/>
    <w:bookmarkEnd w:id="287"/>
    <w:p>
      <w:pPr>
        <w:ind w:left="7"/>
        <w:spacing w:after="0"/>
        <w:rPr>
          <w:sz w:val="20"/>
          <w:szCs w:val="20"/>
          <w:color w:val="auto"/>
        </w:rPr>
      </w:pPr>
      <w:r>
        <w:rPr>
          <w:rFonts w:ascii="Arial" w:cs="Arial" w:eastAsia="Arial" w:hAnsi="Arial"/>
          <w:sz w:val="19"/>
          <w:szCs w:val="19"/>
          <w:b w:val="1"/>
          <w:bCs w:val="1"/>
          <w:color w:val="auto"/>
        </w:rPr>
        <w:t>Power to suspend registration</w:t>
      </w:r>
    </w:p>
    <w:p>
      <w:pPr>
        <w:spacing w:after="0" w:line="214"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3"/>
          <w:szCs w:val="13"/>
          <w:color w:val="auto"/>
        </w:rPr>
        <w:t>The directors may suspend registration of the transfer of Shares at such times and for such periods, not exceeding 30 days in any calendar year, as they determine.</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Company may retain instrument of transfer</w:t>
      </w:r>
    </w:p>
    <w:p>
      <w:pPr>
        <w:spacing w:after="0" w:line="213" w:lineRule="exact"/>
        <w:rPr>
          <w:sz w:val="20"/>
          <w:szCs w:val="20"/>
          <w:color w:val="auto"/>
        </w:rPr>
      </w:pPr>
    </w:p>
    <w:p>
      <w:pPr>
        <w:ind w:left="567" w:hanging="558"/>
        <w:spacing w:after="0" w:line="258" w:lineRule="auto"/>
        <w:tabs>
          <w:tab w:leader="none" w:pos="547"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80" w:lineRule="exact"/>
        <w:rPr>
          <w:sz w:val="20"/>
          <w:szCs w:val="20"/>
          <w:color w:val="auto"/>
        </w:rPr>
      </w:pPr>
    </w:p>
    <w:p>
      <w:pPr>
        <w:ind w:left="567" w:hanging="567"/>
        <w:spacing w:after="0"/>
        <w:tabs>
          <w:tab w:leader="none" w:pos="567"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Persons entitled on death of a Member</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color w:val="auto"/>
        </w:rPr>
        <w:t>If a Member dies, the only persons recognised by the Company as having any title to the deceased Members’ interest are the following:</w:t>
      </w:r>
    </w:p>
    <w:p>
      <w:pPr>
        <w:spacing w:after="0" w:line="212" w:lineRule="exact"/>
        <w:rPr>
          <w:sz w:val="20"/>
          <w:szCs w:val="20"/>
          <w:color w:val="auto"/>
        </w:rPr>
      </w:pPr>
    </w:p>
    <w:p>
      <w:pPr>
        <w:ind w:left="1127" w:hanging="568"/>
        <w:spacing w:after="0"/>
        <w:tabs>
          <w:tab w:leader="none" w:pos="11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where the deceased Member was a joint holder, the survivor or survivors; and</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where the deceased Member was a sole holder, that Member’s personal representative or representatives.</w:t>
      </w:r>
    </w:p>
    <w:p>
      <w:pPr>
        <w:spacing w:after="0" w:line="21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3"/>
          <w:szCs w:val="13"/>
          <w:color w:val="auto"/>
        </w:rPr>
        <w:t>Nothing in these Articles shall release the deceased Member’s estate from any liability in respect of any Share, whether the deceased was a sole holder or a joint holder.</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Registration of transfer of a Share following death or bankruptcy</w:t>
      </w:r>
    </w:p>
    <w:p>
      <w:pPr>
        <w:spacing w:after="0" w:line="2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color w:val="auto"/>
        </w:rPr>
        <w:t>A person becoming entitled to a Share in consequence of the death or bankruptcy of a Member may elect to do either of the following:</w:t>
      </w:r>
    </w:p>
    <w:p>
      <w:pPr>
        <w:spacing w:after="0" w:line="212" w:lineRule="exact"/>
        <w:rPr>
          <w:sz w:val="20"/>
          <w:szCs w:val="20"/>
          <w:color w:val="auto"/>
        </w:rPr>
      </w:pPr>
    </w:p>
    <w:p>
      <w:pPr>
        <w:ind w:left="1127" w:hanging="568"/>
        <w:spacing w:after="0"/>
        <w:tabs>
          <w:tab w:leader="none" w:pos="112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to become the holder of the Share; or</w:t>
      </w:r>
    </w:p>
    <w:p>
      <w:pPr>
        <w:spacing w:after="0" w:line="211" w:lineRule="exact"/>
        <w:rPr>
          <w:rFonts w:ascii="Arial" w:cs="Arial" w:eastAsia="Arial" w:hAnsi="Arial"/>
          <w:sz w:val="16"/>
          <w:szCs w:val="16"/>
          <w:color w:val="auto"/>
        </w:rPr>
      </w:pPr>
    </w:p>
    <w:p>
      <w:pPr>
        <w:ind w:left="1127" w:hanging="568"/>
        <w:spacing w:after="0"/>
        <w:tabs>
          <w:tab w:leader="none" w:pos="112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to transfer the Share to another person.</w:t>
      </w:r>
    </w:p>
    <w:p>
      <w:pPr>
        <w:spacing w:after="0" w:line="212"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3"/>
          <w:szCs w:val="13"/>
          <w:color w:val="auto"/>
        </w:rPr>
        <w:t>That person must produce such evidence of his entitlement as the directors may properly require.</w:t>
      </w:r>
    </w:p>
    <w:p>
      <w:pPr>
        <w:spacing w:after="0" w:line="212" w:lineRule="exact"/>
        <w:rPr>
          <w:sz w:val="20"/>
          <w:szCs w:val="20"/>
          <w:color w:val="auto"/>
        </w:rPr>
      </w:pPr>
    </w:p>
    <w:p>
      <w:pPr>
        <w:ind w:left="567" w:right="160" w:hanging="558"/>
        <w:spacing w:after="0" w:line="258" w:lineRule="auto"/>
        <w:tabs>
          <w:tab w:leader="none" w:pos="547"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6"/>
          <w:szCs w:val="16"/>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86"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3"/>
          <w:szCs w:val="13"/>
          <w:color w:val="auto"/>
        </w:rPr>
        <w:t>If the person elects to transfer the Share to another person then:</w:t>
      </w:r>
    </w:p>
    <w:p>
      <w:pPr>
        <w:spacing w:after="0" w:line="212" w:lineRule="exact"/>
        <w:rPr>
          <w:sz w:val="20"/>
          <w:szCs w:val="20"/>
          <w:color w:val="auto"/>
        </w:rPr>
      </w:pPr>
    </w:p>
    <w:p>
      <w:pPr>
        <w:ind w:left="1127" w:hanging="568"/>
        <w:spacing w:after="0"/>
        <w:tabs>
          <w:tab w:leader="none" w:pos="112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the Share is Fully Paid, the transferor must execute an instrument of transfer; and</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51370" cy="146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15" w:right="339" w:bottom="1440" w:gutter="0" w:footer="0" w:header="0"/>
        </w:sectPr>
      </w:pPr>
    </w:p>
    <w:bookmarkStart w:id="288" w:name="page289"/>
    <w:bookmarkEnd w:id="288"/>
    <w:p>
      <w:pPr>
        <w:ind w:left="1120" w:hanging="568"/>
        <w:spacing w:after="0"/>
        <w:tabs>
          <w:tab w:leader="none" w:pos="112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if the Share is partly paid, the transferor and the transferee must execute an instrument of transfer.</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4"/>
          <w:szCs w:val="14"/>
          <w:color w:val="auto"/>
        </w:rPr>
        <w:t>All the Articles relating to the transfer of Shares shall apply to the notice or, as appropriate, the instrument of transfer.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Indemnity</w:t>
      </w:r>
    </w:p>
    <w:p>
      <w:pPr>
        <w:spacing w:after="0" w:line="213" w:lineRule="exact"/>
        <w:rPr>
          <w:sz w:val="20"/>
          <w:szCs w:val="20"/>
          <w:color w:val="auto"/>
        </w:rPr>
      </w:pPr>
    </w:p>
    <w:p>
      <w:pPr>
        <w:ind w:left="560" w:right="340" w:hanging="558"/>
        <w:spacing w:after="0" w:line="258" w:lineRule="auto"/>
        <w:tabs>
          <w:tab w:leader="none" w:pos="54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 of person entitled to a Share following death or bankruptcy</w:t>
      </w:r>
    </w:p>
    <w:p>
      <w:pPr>
        <w:spacing w:after="0" w:line="213" w:lineRule="exact"/>
        <w:rPr>
          <w:sz w:val="20"/>
          <w:szCs w:val="20"/>
          <w:color w:val="auto"/>
        </w:rPr>
      </w:pPr>
    </w:p>
    <w:p>
      <w:pPr>
        <w:jc w:val="both"/>
        <w:ind w:left="560" w:right="140" w:hanging="558"/>
        <w:spacing w:after="0" w:line="250" w:lineRule="auto"/>
        <w:tabs>
          <w:tab w:leader="none" w:pos="540" w:val="left"/>
        </w:tabs>
        <w:rPr>
          <w:sz w:val="20"/>
          <w:szCs w:val="20"/>
          <w:color w:val="auto"/>
        </w:rPr>
      </w:pPr>
      <w:r>
        <w:rPr>
          <w:rFonts w:ascii="Arial" w:cs="Arial" w:eastAsia="Arial" w:hAnsi="Arial"/>
          <w:sz w:val="16"/>
          <w:szCs w:val="16"/>
          <w:color w:val="auto"/>
        </w:rPr>
        <w:t>9.9</w:t>
      </w:r>
      <w:r>
        <w:rPr>
          <w:sz w:val="20"/>
          <w:szCs w:val="20"/>
          <w:color w:val="auto"/>
        </w:rPr>
        <w:tab/>
      </w:r>
      <w:r>
        <w:rPr>
          <w:rFonts w:ascii="Arial" w:cs="Arial" w:eastAsia="Arial" w:hAnsi="Arial"/>
          <w:sz w:val="16"/>
          <w:szCs w:val="16"/>
          <w:color w:val="auto"/>
        </w:rPr>
        <w:t>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spacing w:after="0" w:line="18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Alteration of capital</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Increasing, consolidating, converting, dividing and cancelling share capital</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To the fullest extent permitted by the Law, the Company may by Ordinary Resolution do any of the following and amend its Memorandum for that purpose:</w:t>
      </w:r>
    </w:p>
    <w:p>
      <w:pPr>
        <w:spacing w:after="0" w:line="212" w:lineRule="exact"/>
        <w:rPr>
          <w:sz w:val="20"/>
          <w:szCs w:val="20"/>
          <w:color w:val="auto"/>
        </w:rPr>
      </w:pPr>
    </w:p>
    <w:p>
      <w:pPr>
        <w:ind w:left="1120" w:right="380" w:hanging="568"/>
        <w:spacing w:after="0" w:line="258" w:lineRule="auto"/>
        <w:tabs>
          <w:tab w:leader="none" w:pos="11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increase its share capital by new Shares of the amount fixed by that Ordinary Resolution and with the attached rights, priorities and privileges set out in that Ordinary Resolution;</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consolidate and divide all or any of its share capital into Shares of larger amount than its existing Shares;</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convert all or any of its Paid Up Shares into stock, and reconvert that stock into Paid Up Shares of any denomination;</w:t>
      </w:r>
    </w:p>
    <w:p>
      <w:pPr>
        <w:spacing w:after="0" w:line="211" w:lineRule="exact"/>
        <w:rPr>
          <w:rFonts w:ascii="Arial" w:cs="Arial" w:eastAsia="Arial" w:hAnsi="Arial"/>
          <w:sz w:val="16"/>
          <w:szCs w:val="16"/>
          <w:color w:val="auto"/>
        </w:rPr>
      </w:pPr>
    </w:p>
    <w:p>
      <w:pPr>
        <w:jc w:val="both"/>
        <w:ind w:left="1120" w:right="160" w:hanging="568"/>
        <w:spacing w:after="0" w:line="250" w:lineRule="auto"/>
        <w:tabs>
          <w:tab w:leader="none" w:pos="11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92" w:lineRule="exact"/>
        <w:rPr>
          <w:rFonts w:ascii="Arial" w:cs="Arial" w:eastAsia="Arial" w:hAnsi="Arial"/>
          <w:sz w:val="16"/>
          <w:szCs w:val="16"/>
          <w:color w:val="auto"/>
        </w:rPr>
      </w:pPr>
    </w:p>
    <w:p>
      <w:pPr>
        <w:ind w:left="1120" w:hanging="568"/>
        <w:spacing w:after="0" w:line="250" w:lineRule="auto"/>
        <w:tabs>
          <w:tab w:leader="none" w:pos="11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60"/>
          </w:cols>
          <w:pgMar w:left="320" w:top="129" w:right="419" w:bottom="1440" w:gutter="0" w:footer="0" w:header="0"/>
        </w:sectPr>
      </w:pPr>
    </w:p>
    <w:bookmarkStart w:id="289" w:name="page290"/>
    <w:bookmarkEnd w:id="289"/>
    <w:p>
      <w:pPr>
        <w:spacing w:after="0"/>
        <w:rPr>
          <w:sz w:val="20"/>
          <w:szCs w:val="20"/>
          <w:color w:val="auto"/>
        </w:rPr>
      </w:pPr>
      <w:r>
        <w:rPr>
          <w:rFonts w:ascii="Arial" w:cs="Arial" w:eastAsia="Arial" w:hAnsi="Arial"/>
          <w:sz w:val="19"/>
          <w:szCs w:val="19"/>
          <w:b w:val="1"/>
          <w:bCs w:val="1"/>
          <w:color w:val="auto"/>
        </w:rPr>
        <w:t>Dealing with fractions resulting from consolidation of Shares</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3"/>
          <w:szCs w:val="13"/>
          <w:color w:val="auto"/>
        </w:rPr>
        <w:t>Whenever, as a result of a consolidation of Shares, any Members would become entitled to fractions of a Share the directors may on behalf of those Members:</w:t>
      </w:r>
    </w:p>
    <w:p>
      <w:pPr>
        <w:spacing w:after="0" w:line="212" w:lineRule="exact"/>
        <w:rPr>
          <w:sz w:val="20"/>
          <w:szCs w:val="20"/>
          <w:color w:val="auto"/>
        </w:rPr>
      </w:pPr>
    </w:p>
    <w:p>
      <w:pPr>
        <w:ind w:left="1120" w:hanging="568"/>
        <w:spacing w:after="0"/>
        <w:tabs>
          <w:tab w:leader="none" w:pos="112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sell the Shares representing the fractions for the best price reasonably obtainable to any person (including, subject to the provisions of the Law, the Company); and</w:t>
      </w:r>
    </w:p>
    <w:p>
      <w:pPr>
        <w:spacing w:after="0" w:line="234" w:lineRule="exact"/>
        <w:rPr>
          <w:rFonts w:ascii="Arial" w:cs="Arial" w:eastAsia="Arial" w:hAnsi="Arial"/>
          <w:sz w:val="14"/>
          <w:szCs w:val="14"/>
          <w:color w:val="auto"/>
        </w:rPr>
      </w:pPr>
    </w:p>
    <w:p>
      <w:pPr>
        <w:ind w:left="1120" w:hanging="568"/>
        <w:spacing w:after="0"/>
        <w:tabs>
          <w:tab w:leader="none" w:pos="11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distribute the net proceeds in due proportion among those Members.</w:t>
      </w:r>
    </w:p>
    <w:p>
      <w:pPr>
        <w:spacing w:after="0" w:line="203" w:lineRule="exact"/>
        <w:rPr>
          <w:sz w:val="20"/>
          <w:szCs w:val="20"/>
          <w:color w:val="auto"/>
        </w:rPr>
      </w:pPr>
    </w:p>
    <w:p>
      <w:pPr>
        <w:ind w:left="560" w:right="100"/>
        <w:spacing w:after="0" w:line="260" w:lineRule="auto"/>
        <w:rPr>
          <w:sz w:val="20"/>
          <w:szCs w:val="20"/>
          <w:color w:val="auto"/>
        </w:rPr>
      </w:pPr>
      <w:r>
        <w:rPr>
          <w:rFonts w:ascii="Arial" w:cs="Arial" w:eastAsia="Arial" w:hAnsi="Arial"/>
          <w:sz w:val="18"/>
          <w:szCs w:val="18"/>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Reducing share capital</w:t>
      </w:r>
    </w:p>
    <w:p>
      <w:pPr>
        <w:spacing w:after="0" w:line="213" w:lineRule="exact"/>
        <w:rPr>
          <w:sz w:val="20"/>
          <w:szCs w:val="20"/>
          <w:color w:val="auto"/>
        </w:rPr>
      </w:pPr>
    </w:p>
    <w:p>
      <w:pPr>
        <w:ind w:left="560" w:right="80" w:hanging="558"/>
        <w:spacing w:after="0" w:line="258" w:lineRule="auto"/>
        <w:tabs>
          <w:tab w:leader="none" w:pos="54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Subject to the Law and to any rights for the time being conferred on the Members holding a particular class of Shares, the Company may, by Special Resolution, reduce its share capital in any way.</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b w:val="1"/>
          <w:bCs w:val="1"/>
          <w:color w:val="auto"/>
        </w:rPr>
        <w:t>Redemption and purchase of own Shares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issue redeemable Shares and to purchase own Shares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color w:val="auto"/>
        </w:rPr>
        <w:t>Subject to the Law and Article 38, and to any rights for the time being conferred on the Members holding a particular class of Shares, and, where applicable, the rules of the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Designated Stock Exchange and/or any competent regulatory authority, the Company may by its directors:</w:t>
      </w:r>
    </w:p>
    <w:p>
      <w:pPr>
        <w:spacing w:after="0" w:line="202" w:lineRule="exact"/>
        <w:rPr>
          <w:sz w:val="20"/>
          <w:szCs w:val="20"/>
          <w:color w:val="auto"/>
        </w:rPr>
      </w:pPr>
    </w:p>
    <w:p>
      <w:pPr>
        <w:ind w:left="1120" w:right="140" w:hanging="568"/>
        <w:spacing w:after="0" w:line="258" w:lineRule="auto"/>
        <w:tabs>
          <w:tab w:leader="none" w:pos="112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86" w:lineRule="exact"/>
        <w:rPr>
          <w:rFonts w:ascii="Arial" w:cs="Arial" w:eastAsia="Arial" w:hAnsi="Arial"/>
          <w:sz w:val="16"/>
          <w:szCs w:val="16"/>
          <w:color w:val="auto"/>
        </w:rPr>
      </w:pPr>
    </w:p>
    <w:p>
      <w:pPr>
        <w:ind w:left="1120" w:right="220" w:hanging="568"/>
        <w:spacing w:after="0" w:line="250" w:lineRule="auto"/>
        <w:tabs>
          <w:tab w:leader="none" w:pos="112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92" w:lineRule="exact"/>
        <w:rPr>
          <w:rFonts w:ascii="Arial" w:cs="Arial" w:eastAsia="Arial" w:hAnsi="Arial"/>
          <w:sz w:val="16"/>
          <w:szCs w:val="16"/>
          <w:color w:val="auto"/>
        </w:rPr>
      </w:pPr>
    </w:p>
    <w:p>
      <w:pPr>
        <w:ind w:left="1120" w:right="280" w:hanging="568"/>
        <w:spacing w:after="0" w:line="258" w:lineRule="auto"/>
        <w:tabs>
          <w:tab w:leader="none" w:pos="112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purchase all or any of its own Shares of any class including any redeemable Shares on the terms and in the manner which the directors determine at the time of such purchase.</w:t>
      </w:r>
    </w:p>
    <w:p>
      <w:pPr>
        <w:spacing w:after="0" w:line="178" w:lineRule="exact"/>
        <w:rPr>
          <w:sz w:val="20"/>
          <w:szCs w:val="20"/>
          <w:color w:val="auto"/>
        </w:rPr>
      </w:pPr>
    </w:p>
    <w:p>
      <w:pPr>
        <w:ind w:left="560" w:right="20"/>
        <w:spacing w:after="0" w:line="251" w:lineRule="auto"/>
        <w:rPr>
          <w:sz w:val="20"/>
          <w:szCs w:val="20"/>
          <w:color w:val="auto"/>
        </w:rPr>
      </w:pPr>
      <w:r>
        <w:rPr>
          <w:rFonts w:ascii="Arial" w:cs="Arial" w:eastAsia="Arial" w:hAnsi="Arial"/>
          <w:sz w:val="19"/>
          <w:szCs w:val="19"/>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3"/>
          <w:szCs w:val="13"/>
          <w:color w:val="auto"/>
        </w:rPr>
        <w:t>With respect to redeeming or repurchasing the Shares:</w:t>
      </w:r>
    </w:p>
    <w:p>
      <w:pPr>
        <w:spacing w:after="0" w:line="212" w:lineRule="exact"/>
        <w:rPr>
          <w:sz w:val="20"/>
          <w:szCs w:val="20"/>
          <w:color w:val="auto"/>
        </w:rPr>
      </w:pPr>
    </w:p>
    <w:p>
      <w:pPr>
        <w:ind w:left="1120" w:hanging="568"/>
        <w:spacing w:after="0"/>
        <w:tabs>
          <w:tab w:leader="none" w:pos="11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Members who hold Public Shares are entitled to request the redemption of such Shares in the circumstances described in Article 38.3;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0" w:name="page291"/>
    <w:bookmarkEnd w:id="290"/>
    <w:p>
      <w:pPr>
        <w:ind w:left="1120" w:right="40" w:hanging="568"/>
        <w:spacing w:after="0" w:line="258" w:lineRule="auto"/>
        <w:tabs>
          <w:tab w:leader="none" w:pos="11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Public Shares shall be repurchased by way of tender offer in the circumstances set out in Article 38.2(b).</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pay for redemption or purchase in cash or in specie</w:t>
      </w:r>
    </w:p>
    <w:p>
      <w:pPr>
        <w:spacing w:after="0" w:line="213" w:lineRule="exact"/>
        <w:rPr>
          <w:sz w:val="20"/>
          <w:szCs w:val="20"/>
          <w:color w:val="auto"/>
        </w:rPr>
      </w:pPr>
    </w:p>
    <w:p>
      <w:pPr>
        <w:ind w:left="560" w:right="240" w:hanging="558"/>
        <w:spacing w:after="0" w:line="250" w:lineRule="auto"/>
        <w:tabs>
          <w:tab w:leader="none" w:pos="5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 of redemption or purchase of a Share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3"/>
          <w:szCs w:val="13"/>
          <w:color w:val="auto"/>
        </w:rPr>
        <w:t>Upon the date of redemption or purchase of a Share:</w:t>
      </w:r>
    </w:p>
    <w:p>
      <w:pPr>
        <w:spacing w:after="0" w:line="212" w:lineRule="exact"/>
        <w:rPr>
          <w:sz w:val="20"/>
          <w:szCs w:val="20"/>
          <w:color w:val="auto"/>
        </w:rPr>
      </w:pPr>
    </w:p>
    <w:p>
      <w:pPr>
        <w:ind w:left="1120" w:hanging="568"/>
        <w:spacing w:after="0"/>
        <w:tabs>
          <w:tab w:leader="none" w:pos="11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Member holding that Share shall cease to be entitled to any rights in respect of the Share other than the right to receive:</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price for the Share; and</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any dividend declared in respect of the Share prior to the date of redemption or purchase;</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Member’s name shall be removed from the Register of Members with respect to the Share;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Share shall be cancelled or held as a Treasury Shares, as the directors may determine.</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For the purpose of this Article, the date of redemption or purchase is the date when the redemption or purchase falls due.</w:t>
      </w:r>
    </w:p>
    <w:p>
      <w:pPr>
        <w:spacing w:after="0" w:line="209" w:lineRule="exact"/>
        <w:rPr>
          <w:sz w:val="20"/>
          <w:szCs w:val="20"/>
          <w:color w:val="auto"/>
        </w:rPr>
      </w:pPr>
    </w:p>
    <w:p>
      <w:pPr>
        <w:ind w:left="560" w:right="240" w:hanging="558"/>
        <w:spacing w:after="0" w:line="258" w:lineRule="auto"/>
        <w:tabs>
          <w:tab w:leader="none" w:pos="54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For the avoidance of doubt, redemptions and repurchases of Shares in the circumstances described in Articles 11.2(a), 11.2(b) and 11.2(c) above shall not require further approval of the Members.</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Class B Share Conversion</w:t>
      </w:r>
    </w:p>
    <w:p>
      <w:pPr>
        <w:spacing w:after="0" w:line="218" w:lineRule="exact"/>
        <w:rPr>
          <w:sz w:val="20"/>
          <w:szCs w:val="20"/>
          <w:color w:val="auto"/>
        </w:rPr>
      </w:pPr>
    </w:p>
    <w:p>
      <w:pPr>
        <w:ind w:left="560" w:hanging="558"/>
        <w:spacing w:after="0" w:line="329" w:lineRule="auto"/>
        <w:tabs>
          <w:tab w:leader="none" w:pos="54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1" w:name="page292"/>
    <w:bookmarkEnd w:id="291"/>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spacing w:after="0" w:line="186" w:lineRule="exact"/>
        <w:rPr>
          <w:sz w:val="20"/>
          <w:szCs w:val="20"/>
          <w:color w:val="auto"/>
        </w:rPr>
      </w:pPr>
    </w:p>
    <w:p>
      <w:pPr>
        <w:ind w:left="1120" w:right="120" w:hanging="568"/>
        <w:spacing w:after="0" w:line="258" w:lineRule="auto"/>
        <w:tabs>
          <w:tab w:leader="none" w:pos="11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total number of Class A Shares issued and outstanding (excluding the Private Placement Shares) upon completion of the IPO (including pursuant to the Over-Allotment Option, if applicable), plus</w:t>
      </w:r>
    </w:p>
    <w:p>
      <w:pPr>
        <w:spacing w:after="0" w:line="186" w:lineRule="exact"/>
        <w:rPr>
          <w:rFonts w:ascii="Arial" w:cs="Arial" w:eastAsia="Arial" w:hAnsi="Arial"/>
          <w:sz w:val="16"/>
          <w:szCs w:val="16"/>
          <w:color w:val="auto"/>
        </w:rPr>
      </w:pPr>
    </w:p>
    <w:p>
      <w:pPr>
        <w:ind w:left="1120" w:hanging="568"/>
        <w:spacing w:after="0" w:line="290" w:lineRule="auto"/>
        <w:tabs>
          <w:tab w:leader="none" w:pos="112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spacing w:after="0" w:line="161" w:lineRule="exact"/>
        <w:rPr>
          <w:sz w:val="20"/>
          <w:szCs w:val="20"/>
          <w:color w:val="auto"/>
        </w:rPr>
      </w:pPr>
    </w:p>
    <w:p>
      <w:pPr>
        <w:ind w:left="560" w:right="20" w:hanging="558"/>
        <w:spacing w:after="0" w:line="248" w:lineRule="auto"/>
        <w:tabs>
          <w:tab w:leader="none" w:pos="54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 xml:space="preserve">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or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96" w:lineRule="exact"/>
        <w:rPr>
          <w:sz w:val="20"/>
          <w:szCs w:val="20"/>
          <w:color w:val="auto"/>
        </w:rPr>
      </w:pPr>
    </w:p>
    <w:p>
      <w:pPr>
        <w:ind w:left="560" w:right="20" w:hanging="558"/>
        <w:spacing w:after="0" w:line="246" w:lineRule="auto"/>
        <w:tabs>
          <w:tab w:leader="none" w:pos="54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spacing w:after="0" w:line="197" w:lineRule="exact"/>
        <w:rPr>
          <w:sz w:val="20"/>
          <w:szCs w:val="20"/>
          <w:color w:val="auto"/>
        </w:rPr>
      </w:pPr>
    </w:p>
    <w:p>
      <w:pPr>
        <w:ind w:left="560" w:right="600" w:hanging="558"/>
        <w:spacing w:after="0" w:line="258" w:lineRule="auto"/>
        <w:tabs>
          <w:tab w:leader="none" w:pos="54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The directors shall not allot or issue Class A Shares such that the number of authorised but unissued Class A Shares would at any time be insufficient to permit the conversion of all Class B Shares from time to time issued into Class A Shares.</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6"/>
          <w:szCs w:val="16"/>
          <w:b w:val="1"/>
          <w:bCs w:val="1"/>
          <w:color w:val="auto"/>
        </w:rPr>
        <w:t>Meetings of Members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call meetings</w:t>
      </w:r>
    </w:p>
    <w:p>
      <w:pPr>
        <w:spacing w:after="0" w:line="213" w:lineRule="exact"/>
        <w:rPr>
          <w:sz w:val="20"/>
          <w:szCs w:val="20"/>
          <w:color w:val="auto"/>
        </w:rPr>
      </w:pPr>
    </w:p>
    <w:p>
      <w:pPr>
        <w:ind w:left="560" w:right="180" w:hanging="558"/>
        <w:spacing w:after="0" w:line="303" w:lineRule="auto"/>
        <w:tabs>
          <w:tab w:leader="none" w:pos="54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 required by the Law or the rules and regulations of the Designated Stock Exchange) be obliged to, in each year hold any other general meeting.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2" w:name="page293"/>
    <w:bookmarkEnd w:id="292"/>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The agenda of the annual general meeting shall be set by the directors and shall include the presentation of the Company’s annual accounts and the report of the directors (if any).</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4"/>
          <w:szCs w:val="14"/>
          <w:color w:val="auto"/>
        </w:rPr>
        <w:t>Annual general meetings shall be held in New York, USA or in such other places as the directors may determine.</w:t>
      </w:r>
    </w:p>
    <w:p>
      <w:pPr>
        <w:spacing w:after="0" w:line="212" w:lineRule="exact"/>
        <w:rPr>
          <w:sz w:val="20"/>
          <w:szCs w:val="20"/>
          <w:color w:val="auto"/>
        </w:rPr>
      </w:pPr>
    </w:p>
    <w:p>
      <w:pPr>
        <w:ind w:left="560" w:right="220" w:hanging="558"/>
        <w:spacing w:after="0" w:line="258" w:lineRule="auto"/>
        <w:tabs>
          <w:tab w:leader="none" w:pos="5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 and the Company shall specify the meeting as such in the notices calling it.</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3"/>
          <w:szCs w:val="13"/>
          <w:color w:val="auto"/>
        </w:rPr>
        <w:t>The directors may call a general meeting at any time.</w:t>
      </w:r>
    </w:p>
    <w:p>
      <w:pPr>
        <w:spacing w:after="0" w:line="212" w:lineRule="exact"/>
        <w:rPr>
          <w:sz w:val="20"/>
          <w:szCs w:val="20"/>
          <w:color w:val="auto"/>
        </w:rPr>
      </w:pPr>
    </w:p>
    <w:p>
      <w:pPr>
        <w:ind w:left="560" w:right="100" w:hanging="558"/>
        <w:spacing w:after="0" w:line="258" w:lineRule="auto"/>
        <w:tabs>
          <w:tab w:leader="none" w:pos="54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4"/>
          <w:szCs w:val="14"/>
          <w:color w:val="auto"/>
        </w:rPr>
        <w:t>The directors must also call a general meeting if requisitioned in the manner set out in the next two Articles.</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4"/>
          <w:szCs w:val="14"/>
          <w:color w:val="auto"/>
        </w:rPr>
        <w:t>The requisition must be in writing and given by one or more Members who together hold at least 40% of the rights to vote at such general meeting.</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13.9</w:t>
      </w:r>
      <w:r>
        <w:rPr>
          <w:sz w:val="20"/>
          <w:szCs w:val="20"/>
          <w:color w:val="auto"/>
        </w:rPr>
        <w:tab/>
      </w:r>
      <w:r>
        <w:rPr>
          <w:rFonts w:ascii="Arial" w:cs="Arial" w:eastAsia="Arial" w:hAnsi="Arial"/>
          <w:sz w:val="14"/>
          <w:szCs w:val="14"/>
          <w:color w:val="auto"/>
        </w:rPr>
        <w:t>The requisition must also:</w:t>
      </w:r>
    </w:p>
    <w:p>
      <w:pPr>
        <w:spacing w:after="0" w:line="212" w:lineRule="exact"/>
        <w:rPr>
          <w:sz w:val="20"/>
          <w:szCs w:val="20"/>
          <w:color w:val="auto"/>
        </w:rPr>
      </w:pPr>
    </w:p>
    <w:p>
      <w:pPr>
        <w:ind w:left="1120" w:hanging="568"/>
        <w:spacing w:after="0"/>
        <w:tabs>
          <w:tab w:leader="none" w:pos="11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specify the purpose of the meeting.</w:t>
      </w:r>
    </w:p>
    <w:p>
      <w:pPr>
        <w:spacing w:after="0" w:line="211" w:lineRule="exact"/>
        <w:rPr>
          <w:rFonts w:ascii="Arial" w:cs="Arial" w:eastAsia="Arial" w:hAnsi="Arial"/>
          <w:sz w:val="16"/>
          <w:szCs w:val="16"/>
          <w:color w:val="auto"/>
        </w:rPr>
      </w:pPr>
    </w:p>
    <w:p>
      <w:pPr>
        <w:ind w:left="1120" w:right="120" w:hanging="568"/>
        <w:spacing w:after="0" w:line="258" w:lineRule="auto"/>
        <w:tabs>
          <w:tab w:leader="none" w:pos="11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be delivered in accordance with the notice provisions.</w:t>
      </w:r>
    </w:p>
    <w:p>
      <w:pPr>
        <w:spacing w:after="0" w:line="212"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13.10</w:t>
        <w:tab/>
        <w:t>Should the directors fail to call a general meeting within 21 Clear Days from the date of receipt of a requisition, the requisitioners or any of them may call a general meeting within three months after the end of that period.</w:t>
      </w:r>
    </w:p>
    <w:p>
      <w:pPr>
        <w:spacing w:after="0" w:line="186" w:lineRule="exact"/>
        <w:rPr>
          <w:sz w:val="20"/>
          <w:szCs w:val="20"/>
          <w:color w:val="auto"/>
        </w:rPr>
      </w:pPr>
    </w:p>
    <w:p>
      <w:pPr>
        <w:ind w:left="560" w:hanging="558"/>
        <w:spacing w:after="0" w:line="303" w:lineRule="auto"/>
        <w:tabs>
          <w:tab w:leader="none" w:pos="540" w:val="left"/>
        </w:tabs>
        <w:rPr>
          <w:sz w:val="20"/>
          <w:szCs w:val="20"/>
          <w:color w:val="auto"/>
        </w:rPr>
      </w:pPr>
      <w:r>
        <w:rPr>
          <w:rFonts w:ascii="Arial" w:cs="Arial" w:eastAsia="Arial" w:hAnsi="Arial"/>
          <w:sz w:val="16"/>
          <w:szCs w:val="16"/>
          <w:color w:val="auto"/>
        </w:rPr>
        <w:t>13.11</w:t>
      </w:r>
      <w:r>
        <w:rPr>
          <w:sz w:val="20"/>
          <w:szCs w:val="20"/>
          <w:color w:val="auto"/>
        </w:rPr>
        <w:tab/>
      </w:r>
      <w:r>
        <w:rPr>
          <w:rFonts w:ascii="Arial" w:cs="Arial" w:eastAsia="Arial" w:hAnsi="Arial"/>
          <w:sz w:val="14"/>
          <w:szCs w:val="14"/>
          <w:color w:val="auto"/>
        </w:rPr>
        <w:t>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3" w:name="page294"/>
    <w:bookmarkEnd w:id="293"/>
    <w:p>
      <w:pPr>
        <w:ind w:left="560" w:right="100" w:hanging="558"/>
        <w:spacing w:after="0" w:line="250" w:lineRule="auto"/>
        <w:tabs>
          <w:tab w:leader="none" w:pos="540" w:val="left"/>
        </w:tabs>
        <w:rPr>
          <w:sz w:val="20"/>
          <w:szCs w:val="20"/>
          <w:color w:val="auto"/>
        </w:rPr>
      </w:pPr>
      <w:r>
        <w:rPr>
          <w:rFonts w:ascii="Arial" w:cs="Arial" w:eastAsia="Arial" w:hAnsi="Arial"/>
          <w:sz w:val="16"/>
          <w:szCs w:val="16"/>
          <w:color w:val="auto"/>
        </w:rPr>
        <w:t>13.12</w:t>
        <w:tab/>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Content of notice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13.13</w:t>
      </w:r>
      <w:r>
        <w:rPr>
          <w:sz w:val="20"/>
          <w:szCs w:val="20"/>
          <w:color w:val="auto"/>
        </w:rPr>
        <w:tab/>
      </w:r>
      <w:r>
        <w:rPr>
          <w:rFonts w:ascii="Arial" w:cs="Arial" w:eastAsia="Arial" w:hAnsi="Arial"/>
          <w:sz w:val="14"/>
          <w:szCs w:val="14"/>
          <w:color w:val="auto"/>
        </w:rPr>
        <w:t>Notice of a general meeting shall specify each of the following:</w:t>
      </w:r>
    </w:p>
    <w:p>
      <w:pPr>
        <w:spacing w:after="0" w:line="212" w:lineRule="exact"/>
        <w:rPr>
          <w:sz w:val="20"/>
          <w:szCs w:val="20"/>
          <w:color w:val="auto"/>
        </w:rPr>
      </w:pPr>
    </w:p>
    <w:p>
      <w:pPr>
        <w:ind w:left="1120" w:hanging="568"/>
        <w:spacing w:after="0"/>
        <w:tabs>
          <w:tab w:leader="none" w:pos="11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place, the date and the hour of the meeting;</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if the meeting is to be held in two or more places, the technology that will be used to facilitate the meeting;</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subject to paragraph (d), the general nature of the business to be transacted;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if a resolution is proposed as a Special Resolution, the text of that resolution.</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13.14</w:t>
      </w:r>
      <w:r>
        <w:rPr>
          <w:sz w:val="20"/>
          <w:szCs w:val="20"/>
          <w:color w:val="auto"/>
        </w:rPr>
        <w:tab/>
      </w:r>
      <w:r>
        <w:rPr>
          <w:rFonts w:ascii="Arial" w:cs="Arial" w:eastAsia="Arial" w:hAnsi="Arial"/>
          <w:sz w:val="13"/>
          <w:szCs w:val="13"/>
          <w:color w:val="auto"/>
        </w:rPr>
        <w:t>In each notice there shall appear with reasonable prominence the following statements:</w:t>
      </w:r>
    </w:p>
    <w:p>
      <w:pPr>
        <w:spacing w:after="0" w:line="212" w:lineRule="exact"/>
        <w:rPr>
          <w:sz w:val="20"/>
          <w:szCs w:val="20"/>
          <w:color w:val="auto"/>
        </w:rPr>
      </w:pPr>
    </w:p>
    <w:p>
      <w:pPr>
        <w:ind w:left="1120" w:hanging="568"/>
        <w:spacing w:after="0"/>
        <w:tabs>
          <w:tab w:leader="none" w:pos="11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that a proxyholder need not be a Member.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Period of notice</w:t>
      </w:r>
    </w:p>
    <w:p>
      <w:pPr>
        <w:spacing w:after="0" w:line="213"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13.15</w:t>
        <w:tab/>
        <w:t>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93" w:lineRule="exact"/>
        <w:rPr>
          <w:sz w:val="20"/>
          <w:szCs w:val="20"/>
          <w:color w:val="auto"/>
        </w:rPr>
      </w:pPr>
    </w:p>
    <w:p>
      <w:pPr>
        <w:ind w:left="1120" w:hanging="568"/>
        <w:spacing w:after="0"/>
        <w:tabs>
          <w:tab w:leader="none" w:pos="11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the case of an annual general meeting, by all of the Members entitled to attend and vote thereat; and</w:t>
      </w:r>
    </w:p>
    <w:p>
      <w:pPr>
        <w:spacing w:after="0" w:line="211" w:lineRule="exact"/>
        <w:rPr>
          <w:rFonts w:ascii="Arial" w:cs="Arial" w:eastAsia="Arial" w:hAnsi="Arial"/>
          <w:sz w:val="16"/>
          <w:szCs w:val="16"/>
          <w:color w:val="auto"/>
        </w:rPr>
      </w:pPr>
    </w:p>
    <w:p>
      <w:pPr>
        <w:ind w:left="1120" w:right="40" w:hanging="568"/>
        <w:spacing w:after="0" w:line="258" w:lineRule="auto"/>
        <w:tabs>
          <w:tab w:leader="none" w:pos="11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the case of an extraordinary general meeting, by a majority in number of the Members having a right to attend and vote at the meeting, together holding not less than 95% in par value of the Shares giving that right.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Persons entitled to receive notice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13.16</w:t>
      </w:r>
      <w:r>
        <w:rPr>
          <w:sz w:val="20"/>
          <w:szCs w:val="20"/>
          <w:color w:val="auto"/>
        </w:rPr>
        <w:tab/>
      </w:r>
      <w:r>
        <w:rPr>
          <w:rFonts w:ascii="Arial" w:cs="Arial" w:eastAsia="Arial" w:hAnsi="Arial"/>
          <w:sz w:val="14"/>
          <w:szCs w:val="14"/>
          <w:color w:val="auto"/>
        </w:rPr>
        <w:t>Subject to the provisions of these Articles and to any restrictions imposed on any Shares, the notice shall be given to the following people:</w:t>
      </w:r>
    </w:p>
    <w:p>
      <w:pPr>
        <w:spacing w:after="0" w:line="212" w:lineRule="exact"/>
        <w:rPr>
          <w:sz w:val="20"/>
          <w:szCs w:val="20"/>
          <w:color w:val="auto"/>
        </w:rPr>
      </w:pPr>
    </w:p>
    <w:p>
      <w:pPr>
        <w:ind w:left="1120" w:hanging="568"/>
        <w:spacing w:after="0"/>
        <w:tabs>
          <w:tab w:leader="none" w:pos="11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Members;</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persons entitled to a Share in consequence of the death or bankruptcy of a Member;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4" w:name="page295"/>
    <w:bookmarkEnd w:id="294"/>
    <w:p>
      <w:pPr>
        <w:ind w:left="1120" w:hanging="568"/>
        <w:spacing w:after="0"/>
        <w:tabs>
          <w:tab w:leader="none" w:pos="11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Publication of notice on a website</w:t>
      </w:r>
    </w:p>
    <w:p>
      <w:pPr>
        <w:spacing w:after="0" w:line="213" w:lineRule="exact"/>
        <w:rPr>
          <w:sz w:val="20"/>
          <w:szCs w:val="20"/>
          <w:color w:val="auto"/>
        </w:rPr>
      </w:pPr>
    </w:p>
    <w:p>
      <w:pPr>
        <w:ind w:left="560" w:right="120" w:hanging="558"/>
        <w:spacing w:after="0" w:line="258" w:lineRule="auto"/>
        <w:tabs>
          <w:tab w:leader="none" w:pos="540" w:val="left"/>
        </w:tabs>
        <w:rPr>
          <w:sz w:val="20"/>
          <w:szCs w:val="20"/>
          <w:color w:val="auto"/>
        </w:rPr>
      </w:pPr>
      <w:r>
        <w:rPr>
          <w:rFonts w:ascii="Arial" w:cs="Arial" w:eastAsia="Arial" w:hAnsi="Arial"/>
          <w:sz w:val="16"/>
          <w:szCs w:val="16"/>
          <w:color w:val="auto"/>
        </w:rPr>
        <w:t>13.17</w:t>
        <w:tab/>
        <w:t>Subject to the Law or the rules of the Designated Stock Exchange, a notice of a general meeting may be published on a website providing the recipient is given separate notice of:</w:t>
      </w:r>
    </w:p>
    <w:p>
      <w:pPr>
        <w:spacing w:after="0" w:line="186" w:lineRule="exact"/>
        <w:rPr>
          <w:sz w:val="20"/>
          <w:szCs w:val="20"/>
          <w:color w:val="auto"/>
        </w:rPr>
      </w:pPr>
    </w:p>
    <w:p>
      <w:pPr>
        <w:ind w:left="1120" w:hanging="568"/>
        <w:spacing w:after="0"/>
        <w:tabs>
          <w:tab w:leader="none" w:pos="11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publication of the notice on the website;</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place on the website where the notice may be accessed;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how it may be accessed;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place, date and time of the general meeting.</w:t>
      </w:r>
    </w:p>
    <w:p>
      <w:pPr>
        <w:spacing w:after="0" w:line="212" w:lineRule="exact"/>
        <w:rPr>
          <w:sz w:val="20"/>
          <w:szCs w:val="20"/>
          <w:color w:val="auto"/>
        </w:rPr>
      </w:pPr>
    </w:p>
    <w:p>
      <w:pPr>
        <w:ind w:left="560" w:right="360" w:hanging="558"/>
        <w:spacing w:after="0" w:line="329" w:lineRule="auto"/>
        <w:tabs>
          <w:tab w:leader="none" w:pos="540" w:val="left"/>
        </w:tabs>
        <w:rPr>
          <w:sz w:val="20"/>
          <w:szCs w:val="20"/>
          <w:color w:val="auto"/>
        </w:rPr>
      </w:pPr>
      <w:r>
        <w:rPr>
          <w:rFonts w:ascii="Arial" w:cs="Arial" w:eastAsia="Arial" w:hAnsi="Arial"/>
          <w:sz w:val="16"/>
          <w:szCs w:val="16"/>
          <w:color w:val="auto"/>
        </w:rPr>
        <w:t>13.18</w:t>
      </w:r>
      <w:r>
        <w:rPr>
          <w:sz w:val="20"/>
          <w:szCs w:val="20"/>
          <w:color w:val="auto"/>
        </w:rPr>
        <w:tab/>
      </w:r>
      <w:r>
        <w:rPr>
          <w:rFonts w:ascii="Arial" w:cs="Arial" w:eastAsia="Arial" w:hAnsi="Arial"/>
          <w:sz w:val="14"/>
          <w:szCs w:val="14"/>
          <w:color w:val="auto"/>
        </w:rPr>
        <w:t>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Time a website notice is deemed to be given</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13.19</w:t>
      </w:r>
      <w:r>
        <w:rPr>
          <w:sz w:val="20"/>
          <w:szCs w:val="20"/>
          <w:color w:val="auto"/>
        </w:rPr>
        <w:tab/>
      </w:r>
      <w:r>
        <w:rPr>
          <w:rFonts w:ascii="Arial" w:cs="Arial" w:eastAsia="Arial" w:hAnsi="Arial"/>
          <w:sz w:val="14"/>
          <w:szCs w:val="14"/>
          <w:color w:val="auto"/>
        </w:rPr>
        <w:t>A website notice is deemed to be given when the Member is given notice of its publication.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Required duration of publication on a website</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13.20</w:t>
        <w:tab/>
        <w:t>Where the notice of meeting is published on a website, it shall continue to be published in the same place on that website from the date of the notification until at least the conclusion of the meeting to which the notice relates.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Accidental omission to give notice or non-receipt of notice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13.21</w:t>
      </w:r>
      <w:r>
        <w:rPr>
          <w:sz w:val="20"/>
          <w:szCs w:val="20"/>
          <w:color w:val="auto"/>
        </w:rPr>
        <w:tab/>
      </w:r>
      <w:r>
        <w:rPr>
          <w:rFonts w:ascii="Arial" w:cs="Arial" w:eastAsia="Arial" w:hAnsi="Arial"/>
          <w:sz w:val="14"/>
          <w:szCs w:val="14"/>
          <w:color w:val="auto"/>
        </w:rPr>
        <w:t>Proceedings at a meeting shall not be invalidated by the following:</w:t>
      </w:r>
    </w:p>
    <w:p>
      <w:pPr>
        <w:spacing w:after="0" w:line="212" w:lineRule="exact"/>
        <w:rPr>
          <w:sz w:val="20"/>
          <w:szCs w:val="20"/>
          <w:color w:val="auto"/>
        </w:rPr>
      </w:pPr>
    </w:p>
    <w:p>
      <w:pPr>
        <w:ind w:left="1120" w:hanging="568"/>
        <w:spacing w:after="0"/>
        <w:tabs>
          <w:tab w:leader="none" w:pos="11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 accidental failure to give notice of the meeting to any person entitled to notice;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non-receipt of notice of the meeting by any person entitled to notice.</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13.22</w:t>
      </w:r>
      <w:r>
        <w:rPr>
          <w:sz w:val="20"/>
          <w:szCs w:val="20"/>
          <w:color w:val="auto"/>
        </w:rPr>
        <w:tab/>
      </w:r>
      <w:r>
        <w:rPr>
          <w:rFonts w:ascii="Arial" w:cs="Arial" w:eastAsia="Arial" w:hAnsi="Arial"/>
          <w:sz w:val="14"/>
          <w:szCs w:val="14"/>
          <w:color w:val="auto"/>
        </w:rPr>
        <w:t>In addition, where a notice of meeting is published on a website, proceedings at the meeting shall not be invalidated merely because it is accidentally published:</w:t>
      </w:r>
    </w:p>
    <w:p>
      <w:pPr>
        <w:spacing w:after="0" w:line="212" w:lineRule="exact"/>
        <w:rPr>
          <w:sz w:val="20"/>
          <w:szCs w:val="20"/>
          <w:color w:val="auto"/>
        </w:rPr>
      </w:pPr>
    </w:p>
    <w:p>
      <w:pPr>
        <w:ind w:left="1120" w:hanging="568"/>
        <w:spacing w:after="0"/>
        <w:tabs>
          <w:tab w:leader="none" w:pos="11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 a different place on the website;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for part only of the period from the date of the notification until the conclusion of the meeting to which the notice relates.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00"/>
          </w:cols>
          <w:pgMar w:left="320" w:top="129" w:right="479" w:bottom="1440" w:gutter="0" w:footer="0" w:header="0"/>
        </w:sectPr>
      </w:pPr>
    </w:p>
    <w:bookmarkStart w:id="295" w:name="page296"/>
    <w:bookmarkEnd w:id="295"/>
    <w:p>
      <w:pPr>
        <w:spacing w:after="0"/>
        <w:tabs>
          <w:tab w:leader="none" w:pos="5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auto"/>
        </w:rPr>
        <w:t>Proceedings at meetings of Members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Quorum</w:t>
      </w:r>
    </w:p>
    <w:p>
      <w:pPr>
        <w:spacing w:after="0" w:line="213" w:lineRule="exact"/>
        <w:rPr>
          <w:sz w:val="20"/>
          <w:szCs w:val="20"/>
          <w:color w:val="auto"/>
        </w:rPr>
      </w:pPr>
    </w:p>
    <w:p>
      <w:pPr>
        <w:ind w:left="560" w:right="120" w:hanging="558"/>
        <w:spacing w:after="0" w:line="290" w:lineRule="auto"/>
        <w:tabs>
          <w:tab w:leader="none" w:pos="54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4"/>
          <w:szCs w:val="14"/>
          <w:color w:val="auto"/>
        </w:rPr>
        <w:t>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Lack of quorum</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If a quorum is not present within 15 minutes of the time appointed for the meeting, or if at any time during the meeting it becomes inquorate, then the following provisions apply:</w:t>
      </w:r>
    </w:p>
    <w:p>
      <w:pPr>
        <w:spacing w:after="0" w:line="186" w:lineRule="exact"/>
        <w:rPr>
          <w:sz w:val="20"/>
          <w:szCs w:val="20"/>
          <w:color w:val="auto"/>
        </w:rPr>
      </w:pPr>
    </w:p>
    <w:p>
      <w:pPr>
        <w:ind w:left="1120" w:hanging="568"/>
        <w:spacing w:after="0"/>
        <w:tabs>
          <w:tab w:leader="none" w:pos="11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the meeting was requisitioned by Members, it shall be cancelled.</w:t>
      </w:r>
    </w:p>
    <w:p>
      <w:pPr>
        <w:spacing w:after="0" w:line="211" w:lineRule="exact"/>
        <w:rPr>
          <w:rFonts w:ascii="Arial" w:cs="Arial" w:eastAsia="Arial" w:hAnsi="Arial"/>
          <w:sz w:val="16"/>
          <w:szCs w:val="16"/>
          <w:color w:val="auto"/>
        </w:rPr>
      </w:pPr>
    </w:p>
    <w:p>
      <w:pPr>
        <w:ind w:left="1120" w:right="40" w:hanging="568"/>
        <w:spacing w:after="0" w:line="329" w:lineRule="auto"/>
        <w:tabs>
          <w:tab w:leader="none" w:pos="1120" w:val="left"/>
        </w:tabs>
        <w:numPr>
          <w:ilvl w:val="0"/>
          <w:numId w:val="287"/>
        </w:numPr>
        <w:rPr>
          <w:rFonts w:ascii="Arial" w:cs="Arial" w:eastAsia="Arial" w:hAnsi="Arial"/>
          <w:sz w:val="14"/>
          <w:szCs w:val="14"/>
          <w:color w:val="auto"/>
        </w:rPr>
      </w:pPr>
      <w:r>
        <w:rPr>
          <w:rFonts w:ascii="Arial" w:cs="Arial" w:eastAsia="Arial" w:hAnsi="Arial"/>
          <w:sz w:val="14"/>
          <w:szCs w:val="14"/>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technology</w:t>
      </w:r>
    </w:p>
    <w:p>
      <w:pPr>
        <w:spacing w:after="0" w:line="213" w:lineRule="exact"/>
        <w:rPr>
          <w:sz w:val="20"/>
          <w:szCs w:val="20"/>
          <w:color w:val="auto"/>
        </w:rPr>
      </w:pPr>
    </w:p>
    <w:p>
      <w:pPr>
        <w:ind w:left="560" w:right="100" w:hanging="558"/>
        <w:spacing w:after="0" w:line="250" w:lineRule="auto"/>
        <w:tabs>
          <w:tab w:leader="none" w:pos="54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Chairman</w:t>
      </w:r>
    </w:p>
    <w:p>
      <w:pPr>
        <w:spacing w:after="0" w:line="213" w:lineRule="exact"/>
        <w:rPr>
          <w:sz w:val="20"/>
          <w:szCs w:val="20"/>
          <w:color w:val="auto"/>
        </w:rPr>
      </w:pPr>
    </w:p>
    <w:p>
      <w:pPr>
        <w:ind w:left="560" w:right="20" w:hanging="558"/>
        <w:spacing w:after="0" w:line="250" w:lineRule="auto"/>
        <w:tabs>
          <w:tab w:leader="none" w:pos="54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color w:val="auto"/>
        </w:rPr>
        <w:t>The chairman of a general meeting shall be the chairman of the board or such other director as the directors have nominated to chair board meetings in the absence of the chairman of the board. Absent any such person being present within 15 minutes of the time appointed for the meeting, the directors present shall elect one of their number to chair the meeting.</w:t>
      </w:r>
    </w:p>
    <w:p>
      <w:pPr>
        <w:spacing w:after="0" w:line="193" w:lineRule="exact"/>
        <w:rPr>
          <w:sz w:val="20"/>
          <w:szCs w:val="20"/>
          <w:color w:val="auto"/>
        </w:rPr>
      </w:pPr>
    </w:p>
    <w:p>
      <w:pPr>
        <w:ind w:left="560" w:right="60" w:hanging="558"/>
        <w:spacing w:after="0" w:line="258" w:lineRule="auto"/>
        <w:tabs>
          <w:tab w:leader="none" w:pos="54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296" w:name="page297"/>
    <w:bookmarkEnd w:id="296"/>
    <w:p>
      <w:pPr>
        <w:spacing w:after="0"/>
        <w:rPr>
          <w:sz w:val="20"/>
          <w:szCs w:val="20"/>
          <w:color w:val="auto"/>
        </w:rPr>
      </w:pPr>
      <w:r>
        <w:rPr>
          <w:rFonts w:ascii="Arial" w:cs="Arial" w:eastAsia="Arial" w:hAnsi="Arial"/>
          <w:sz w:val="19"/>
          <w:szCs w:val="19"/>
          <w:b w:val="1"/>
          <w:bCs w:val="1"/>
          <w:color w:val="auto"/>
        </w:rPr>
        <w:t>Right of a director to attend and speak</w:t>
      </w:r>
    </w:p>
    <w:p>
      <w:pPr>
        <w:spacing w:after="0" w:line="214" w:lineRule="exact"/>
        <w:rPr>
          <w:sz w:val="20"/>
          <w:szCs w:val="20"/>
          <w:color w:val="auto"/>
        </w:rPr>
      </w:pPr>
    </w:p>
    <w:p>
      <w:pPr>
        <w:ind w:left="560" w:right="340" w:hanging="558"/>
        <w:spacing w:after="0" w:line="258" w:lineRule="auto"/>
        <w:tabs>
          <w:tab w:leader="none" w:pos="540" w:val="left"/>
        </w:tabs>
        <w:rPr>
          <w:sz w:val="20"/>
          <w:szCs w:val="20"/>
          <w:color w:val="auto"/>
        </w:rPr>
      </w:pPr>
      <w:r>
        <w:rPr>
          <w:rFonts w:ascii="Arial" w:cs="Arial" w:eastAsia="Arial" w:hAnsi="Arial"/>
          <w:sz w:val="16"/>
          <w:szCs w:val="16"/>
          <w:color w:val="auto"/>
        </w:rPr>
        <w:t>14.6</w:t>
      </w:r>
      <w:r>
        <w:rPr>
          <w:sz w:val="20"/>
          <w:szCs w:val="20"/>
          <w:color w:val="auto"/>
        </w:rPr>
        <w:tab/>
      </w:r>
      <w:r>
        <w:rPr>
          <w:rFonts w:ascii="Arial" w:cs="Arial" w:eastAsia="Arial" w:hAnsi="Arial"/>
          <w:sz w:val="16"/>
          <w:szCs w:val="16"/>
          <w:color w:val="auto"/>
        </w:rPr>
        <w:t>Even if a director is not a Member, he shall be entitled to attend and speak at any general meeting and at any separate meeting of Members holding a particular class of Shares in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Adjournment</w:t>
      </w:r>
    </w:p>
    <w:p>
      <w:pPr>
        <w:spacing w:after="0" w:line="213" w:lineRule="exact"/>
        <w:rPr>
          <w:sz w:val="20"/>
          <w:szCs w:val="20"/>
          <w:color w:val="auto"/>
        </w:rPr>
      </w:pPr>
    </w:p>
    <w:p>
      <w:pPr>
        <w:ind w:left="560" w:right="300" w:hanging="558"/>
        <w:spacing w:after="0" w:line="258" w:lineRule="auto"/>
        <w:tabs>
          <w:tab w:leader="none" w:pos="540" w:val="left"/>
        </w:tabs>
        <w:rPr>
          <w:sz w:val="20"/>
          <w:szCs w:val="20"/>
          <w:color w:val="auto"/>
        </w:rPr>
      </w:pPr>
      <w:r>
        <w:rPr>
          <w:rFonts w:ascii="Arial" w:cs="Arial" w:eastAsia="Arial" w:hAnsi="Arial"/>
          <w:sz w:val="16"/>
          <w:szCs w:val="16"/>
          <w:color w:val="auto"/>
        </w:rPr>
        <w:t>14.7</w:t>
      </w:r>
      <w:r>
        <w:rPr>
          <w:sz w:val="20"/>
          <w:szCs w:val="20"/>
          <w:color w:val="auto"/>
        </w:rPr>
        <w:tab/>
      </w:r>
      <w:r>
        <w:rPr>
          <w:rFonts w:ascii="Arial" w:cs="Arial" w:eastAsia="Arial" w:hAnsi="Arial"/>
          <w:sz w:val="16"/>
          <w:szCs w:val="16"/>
          <w:color w:val="auto"/>
        </w:rPr>
        <w:t>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spacing w:after="0" w:line="186"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6"/>
          <w:szCs w:val="16"/>
          <w:color w:val="auto"/>
        </w:rPr>
        <w:t>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Method of voting</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4"/>
          <w:szCs w:val="14"/>
          <w:color w:val="auto"/>
        </w:rPr>
        <w:t>A resolution put to the vote of the meeting shall be decided on a poll.</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Taking of a poll</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14.10</w:t>
      </w:r>
      <w:r>
        <w:rPr>
          <w:sz w:val="20"/>
          <w:szCs w:val="20"/>
          <w:color w:val="auto"/>
        </w:rPr>
        <w:tab/>
      </w:r>
      <w:r>
        <w:rPr>
          <w:rFonts w:ascii="Arial" w:cs="Arial" w:eastAsia="Arial" w:hAnsi="Arial"/>
          <w:sz w:val="14"/>
          <w:szCs w:val="14"/>
          <w:color w:val="auto"/>
        </w:rPr>
        <w:t>A poll demanded on the question of adjournment shall be taken immediately.</w:t>
      </w:r>
    </w:p>
    <w:p>
      <w:pPr>
        <w:spacing w:after="0" w:line="212" w:lineRule="exact"/>
        <w:rPr>
          <w:sz w:val="20"/>
          <w:szCs w:val="20"/>
          <w:color w:val="auto"/>
        </w:rPr>
      </w:pPr>
    </w:p>
    <w:p>
      <w:pPr>
        <w:ind w:left="560" w:right="60" w:hanging="558"/>
        <w:spacing w:after="0" w:line="258" w:lineRule="auto"/>
        <w:tabs>
          <w:tab w:leader="none" w:pos="540" w:val="left"/>
        </w:tabs>
        <w:rPr>
          <w:sz w:val="20"/>
          <w:szCs w:val="20"/>
          <w:color w:val="auto"/>
        </w:rPr>
      </w:pPr>
      <w:r>
        <w:rPr>
          <w:rFonts w:ascii="Arial" w:cs="Arial" w:eastAsia="Arial" w:hAnsi="Arial"/>
          <w:sz w:val="16"/>
          <w:szCs w:val="16"/>
          <w:color w:val="auto"/>
        </w:rPr>
        <w:t>14.11</w:t>
        <w:tab/>
        <w:t>A poll demanded on any other question shall be taken either immediately or at an adjourned meeting at such time and place as the chairman directs, not being more than 30 Clear Days after the poll was demanded.</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14.12</w:t>
      </w:r>
      <w:r>
        <w:rPr>
          <w:sz w:val="20"/>
          <w:szCs w:val="20"/>
          <w:color w:val="auto"/>
        </w:rPr>
        <w:tab/>
      </w:r>
      <w:r>
        <w:rPr>
          <w:rFonts w:ascii="Arial" w:cs="Arial" w:eastAsia="Arial" w:hAnsi="Arial"/>
          <w:sz w:val="13"/>
          <w:szCs w:val="13"/>
          <w:color w:val="auto"/>
        </w:rPr>
        <w:t>The demand for a poll shall not prevent the meeting continuing to transact any business other than the question on which the poll was demanded.</w:t>
      </w:r>
    </w:p>
    <w:p>
      <w:pPr>
        <w:spacing w:after="0" w:line="212" w:lineRule="exact"/>
        <w:rPr>
          <w:sz w:val="20"/>
          <w:szCs w:val="20"/>
          <w:color w:val="auto"/>
        </w:rPr>
      </w:pPr>
    </w:p>
    <w:p>
      <w:pPr>
        <w:ind w:left="560" w:right="80" w:hanging="558"/>
        <w:spacing w:after="0" w:line="303" w:lineRule="auto"/>
        <w:tabs>
          <w:tab w:leader="none" w:pos="540" w:val="left"/>
        </w:tabs>
        <w:rPr>
          <w:sz w:val="20"/>
          <w:szCs w:val="20"/>
          <w:color w:val="auto"/>
        </w:rPr>
      </w:pPr>
      <w:r>
        <w:rPr>
          <w:rFonts w:ascii="Arial" w:cs="Arial" w:eastAsia="Arial" w:hAnsi="Arial"/>
          <w:sz w:val="16"/>
          <w:szCs w:val="16"/>
          <w:color w:val="auto"/>
        </w:rPr>
        <w:t>14.13</w:t>
      </w:r>
      <w:r>
        <w:rPr>
          <w:sz w:val="20"/>
          <w:szCs w:val="20"/>
          <w:color w:val="auto"/>
        </w:rPr>
        <w:tab/>
      </w:r>
      <w:r>
        <w:rPr>
          <w:rFonts w:ascii="Arial" w:cs="Arial" w:eastAsia="Arial" w:hAnsi="Arial"/>
          <w:sz w:val="14"/>
          <w:szCs w:val="14"/>
          <w:color w:val="auto"/>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Chairman’s casting vote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14.14</w:t>
      </w:r>
      <w:r>
        <w:rPr>
          <w:sz w:val="20"/>
          <w:szCs w:val="20"/>
          <w:color w:val="auto"/>
        </w:rPr>
        <w:tab/>
      </w:r>
      <w:r>
        <w:rPr>
          <w:rFonts w:ascii="Arial" w:cs="Arial" w:eastAsia="Arial" w:hAnsi="Arial"/>
          <w:sz w:val="13"/>
          <w:szCs w:val="13"/>
          <w:color w:val="auto"/>
        </w:rPr>
        <w:t>If the votes on a resolution are equal, the chairman may if he wishes exercise a casting vote.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Amendments to resolutions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14.15</w:t>
      </w:r>
      <w:r>
        <w:rPr>
          <w:sz w:val="20"/>
          <w:szCs w:val="20"/>
          <w:color w:val="auto"/>
        </w:rPr>
        <w:tab/>
      </w:r>
      <w:r>
        <w:rPr>
          <w:rFonts w:ascii="Arial" w:cs="Arial" w:eastAsia="Arial" w:hAnsi="Arial"/>
          <w:sz w:val="14"/>
          <w:szCs w:val="14"/>
          <w:color w:val="auto"/>
        </w:rPr>
        <w:t>An Ordinary Resolution to be proposed at a general meeting may be amended by Ordinary Resolution if:</w:t>
      </w:r>
    </w:p>
    <w:p>
      <w:pPr>
        <w:spacing w:after="0" w:line="212" w:lineRule="exact"/>
        <w:rPr>
          <w:sz w:val="20"/>
          <w:szCs w:val="20"/>
          <w:color w:val="auto"/>
        </w:rPr>
      </w:pPr>
    </w:p>
    <w:p>
      <w:pPr>
        <w:ind w:left="1120" w:right="140" w:hanging="568"/>
        <w:spacing w:after="0" w:line="258" w:lineRule="auto"/>
        <w:tabs>
          <w:tab w:leader="none" w:pos="11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97" w:name="page298"/>
    <w:bookmarkEnd w:id="297"/>
    <w:p>
      <w:pPr>
        <w:ind w:left="1120" w:hanging="568"/>
        <w:spacing w:after="0"/>
        <w:tabs>
          <w:tab w:leader="none" w:pos="11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14.16   A Special Resolution to be proposed at a general meeting may be amended by Ordinary Resolution, if:</w:t>
      </w:r>
    </w:p>
    <w:p>
      <w:pPr>
        <w:spacing w:after="0" w:line="212" w:lineRule="exact"/>
        <w:rPr>
          <w:sz w:val="20"/>
          <w:szCs w:val="20"/>
          <w:color w:val="auto"/>
        </w:rPr>
      </w:pPr>
    </w:p>
    <w:p>
      <w:pPr>
        <w:ind w:left="1120" w:hanging="568"/>
        <w:spacing w:after="0"/>
        <w:tabs>
          <w:tab w:leader="none" w:pos="112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chairman of the meeting proposes the amendment at the general meeting at which the resolution is to be proposed,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the amendment does not go beyond what the chairman considers is necessary to correct a grammatical or other non-substantive error in the resolution.</w:t>
      </w:r>
    </w:p>
    <w:p>
      <w:pPr>
        <w:spacing w:after="0" w:line="235" w:lineRule="exact"/>
        <w:rPr>
          <w:sz w:val="20"/>
          <w:szCs w:val="20"/>
          <w:color w:val="auto"/>
        </w:rPr>
      </w:pPr>
    </w:p>
    <w:p>
      <w:pPr>
        <w:ind w:left="560" w:right="80" w:hanging="558"/>
        <w:spacing w:after="0" w:line="258" w:lineRule="auto"/>
        <w:tabs>
          <w:tab w:leader="none" w:pos="540" w:val="left"/>
        </w:tabs>
        <w:rPr>
          <w:sz w:val="20"/>
          <w:szCs w:val="20"/>
          <w:color w:val="auto"/>
        </w:rPr>
      </w:pPr>
      <w:r>
        <w:rPr>
          <w:rFonts w:ascii="Arial" w:cs="Arial" w:eastAsia="Arial" w:hAnsi="Arial"/>
          <w:sz w:val="16"/>
          <w:szCs w:val="16"/>
          <w:color w:val="auto"/>
        </w:rPr>
        <w:t>14.17</w:t>
        <w:tab/>
        <w:t>If the chairman of the meeting, acting in good faith, wrongly decides that an amendment to a resolution is out of order, the chairman’s error does not invalidate the vote on that resolution.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Written resolutions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14.18</w:t>
      </w:r>
      <w:r>
        <w:rPr>
          <w:sz w:val="20"/>
          <w:szCs w:val="20"/>
          <w:color w:val="auto"/>
        </w:rPr>
        <w:tab/>
      </w:r>
      <w:r>
        <w:rPr>
          <w:rFonts w:ascii="Arial" w:cs="Arial" w:eastAsia="Arial" w:hAnsi="Arial"/>
          <w:sz w:val="14"/>
          <w:szCs w:val="14"/>
          <w:color w:val="auto"/>
        </w:rPr>
        <w:t>Members may pass a resolution in writing without holding a meeting if the following conditions are met:</w:t>
      </w:r>
    </w:p>
    <w:p>
      <w:pPr>
        <w:spacing w:after="0" w:line="212" w:lineRule="exact"/>
        <w:rPr>
          <w:sz w:val="20"/>
          <w:szCs w:val="20"/>
          <w:color w:val="auto"/>
        </w:rPr>
      </w:pPr>
    </w:p>
    <w:p>
      <w:pPr>
        <w:ind w:left="1120" w:hanging="568"/>
        <w:spacing w:after="0"/>
        <w:tabs>
          <w:tab w:leader="none" w:pos="1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Members entitled so to vote are given notice of the resolution as if the same were being proposed at a meeting of Members;</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Members entitled so to vote :</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sign a document; or</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sign several documents in the like form each signed by one or more of those Members; and</w:t>
      </w:r>
    </w:p>
    <w:p>
      <w:pPr>
        <w:spacing w:after="0" w:line="211" w:lineRule="exact"/>
        <w:rPr>
          <w:rFonts w:ascii="Arial" w:cs="Arial" w:eastAsia="Arial" w:hAnsi="Arial"/>
          <w:sz w:val="16"/>
          <w:szCs w:val="16"/>
          <w:color w:val="auto"/>
        </w:rPr>
      </w:pPr>
    </w:p>
    <w:p>
      <w:pPr>
        <w:ind w:left="1120" w:right="20" w:hanging="568"/>
        <w:spacing w:after="0" w:line="258" w:lineRule="auto"/>
        <w:tabs>
          <w:tab w:leader="none" w:pos="1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signed document or documents is or are delivered to the Company, including, if the Company so nominates, by delivery of an Electronic Record by Electronic means to the address specified for that purpose.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Such written resolution shall be as effective as if it had been passed at a meeting of the Members entitled to vote duly convened and held.</w:t>
      </w: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14.19</w:t>
      </w:r>
      <w:r>
        <w:rPr>
          <w:sz w:val="20"/>
          <w:szCs w:val="20"/>
          <w:color w:val="auto"/>
        </w:rPr>
        <w:tab/>
      </w:r>
      <w:r>
        <w:rPr>
          <w:rFonts w:ascii="Arial" w:cs="Arial" w:eastAsia="Arial" w:hAnsi="Arial"/>
          <w:sz w:val="14"/>
          <w:szCs w:val="14"/>
          <w:color w:val="auto"/>
        </w:rPr>
        <w:t>If a written resolution is described as a Special Resolution or as an Ordinary Resolution, it has effect accordingly.</w:t>
      </w:r>
    </w:p>
    <w:p>
      <w:pPr>
        <w:spacing w:after="0" w:line="212" w:lineRule="exact"/>
        <w:rPr>
          <w:sz w:val="20"/>
          <w:szCs w:val="20"/>
          <w:color w:val="auto"/>
        </w:rPr>
      </w:pPr>
    </w:p>
    <w:p>
      <w:pPr>
        <w:ind w:left="560" w:hanging="558"/>
        <w:spacing w:after="0" w:line="248" w:lineRule="auto"/>
        <w:tabs>
          <w:tab w:leader="none" w:pos="540" w:val="left"/>
        </w:tabs>
        <w:rPr>
          <w:sz w:val="20"/>
          <w:szCs w:val="20"/>
          <w:color w:val="auto"/>
        </w:rPr>
      </w:pPr>
      <w:r>
        <w:rPr>
          <w:rFonts w:ascii="Arial" w:cs="Arial" w:eastAsia="Arial" w:hAnsi="Arial"/>
          <w:sz w:val="16"/>
          <w:szCs w:val="16"/>
          <w:color w:val="auto"/>
        </w:rPr>
        <w:t>14.20</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298" w:name="page299"/>
    <w:bookmarkEnd w:id="298"/>
    <w:p>
      <w:pPr>
        <w:spacing w:after="0"/>
        <w:rPr>
          <w:sz w:val="20"/>
          <w:szCs w:val="20"/>
          <w:color w:val="auto"/>
        </w:rPr>
      </w:pPr>
      <w:r>
        <w:rPr>
          <w:rFonts w:ascii="Arial" w:cs="Arial" w:eastAsia="Arial" w:hAnsi="Arial"/>
          <w:sz w:val="19"/>
          <w:szCs w:val="19"/>
          <w:b w:val="1"/>
          <w:bCs w:val="1"/>
          <w:color w:val="auto"/>
        </w:rPr>
        <w:t>Sole-member company</w:t>
      </w:r>
    </w:p>
    <w:p>
      <w:pPr>
        <w:spacing w:after="0" w:line="214" w:lineRule="exact"/>
        <w:rPr>
          <w:sz w:val="20"/>
          <w:szCs w:val="20"/>
          <w:color w:val="auto"/>
        </w:rPr>
      </w:pPr>
    </w:p>
    <w:p>
      <w:pPr>
        <w:ind w:left="560" w:right="240" w:hanging="558"/>
        <w:spacing w:after="0" w:line="258" w:lineRule="auto"/>
        <w:tabs>
          <w:tab w:leader="none" w:pos="540" w:val="left"/>
        </w:tabs>
        <w:rPr>
          <w:sz w:val="20"/>
          <w:szCs w:val="20"/>
          <w:color w:val="auto"/>
        </w:rPr>
      </w:pPr>
      <w:r>
        <w:rPr>
          <w:rFonts w:ascii="Arial" w:cs="Arial" w:eastAsia="Arial" w:hAnsi="Arial"/>
          <w:sz w:val="16"/>
          <w:szCs w:val="16"/>
          <w:color w:val="auto"/>
        </w:rPr>
        <w:t>14.21</w:t>
        <w:tab/>
        <w:t>If the Company has only one Member, and the Member records in writing his decision on a question, that record shall constitute both the passing of a resolution and the minute of it.</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6"/>
          <w:szCs w:val="16"/>
          <w:b w:val="1"/>
          <w:bCs w:val="1"/>
          <w:color w:val="auto"/>
        </w:rPr>
        <w:t>Voting rights of Members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to vote</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color w:val="auto"/>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4"/>
          <w:szCs w:val="14"/>
          <w:color w:val="auto"/>
        </w:rPr>
        <w:t>Members may vote in person or by proxy.</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3"/>
          <w:szCs w:val="13"/>
          <w:color w:val="auto"/>
        </w:rPr>
        <w:t>Every Member shall have one vote for each Share he holds, unless any Share carries special voting rights.</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15.4</w:t>
      </w:r>
      <w:r>
        <w:rPr>
          <w:sz w:val="20"/>
          <w:szCs w:val="20"/>
          <w:color w:val="auto"/>
        </w:rPr>
        <w:tab/>
      </w:r>
      <w:r>
        <w:rPr>
          <w:rFonts w:ascii="Arial" w:cs="Arial" w:eastAsia="Arial" w:hAnsi="Arial"/>
          <w:sz w:val="14"/>
          <w:szCs w:val="14"/>
          <w:color w:val="auto"/>
        </w:rPr>
        <w:t>A fraction of a Share shall entitle its holder to an equivalent fraction of one vote.</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15.5</w:t>
      </w:r>
      <w:r>
        <w:rPr>
          <w:sz w:val="20"/>
          <w:szCs w:val="20"/>
          <w:color w:val="auto"/>
        </w:rPr>
        <w:tab/>
      </w:r>
      <w:r>
        <w:rPr>
          <w:rFonts w:ascii="Arial" w:cs="Arial" w:eastAsia="Arial" w:hAnsi="Arial"/>
          <w:sz w:val="13"/>
          <w:szCs w:val="13"/>
          <w:color w:val="auto"/>
        </w:rPr>
        <w:t>No Member is bound to vote on his Shares or any of them; nor is he bound to vote each of his Shares in the same way.</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 of joint holders</w:t>
      </w:r>
    </w:p>
    <w:p>
      <w:pPr>
        <w:spacing w:after="0" w:line="213" w:lineRule="exact"/>
        <w:rPr>
          <w:sz w:val="20"/>
          <w:szCs w:val="20"/>
          <w:color w:val="auto"/>
        </w:rPr>
      </w:pPr>
    </w:p>
    <w:p>
      <w:pPr>
        <w:ind w:left="560" w:right="60" w:hanging="558"/>
        <w:spacing w:after="0" w:line="258" w:lineRule="auto"/>
        <w:tabs>
          <w:tab w:leader="none" w:pos="540" w:val="left"/>
        </w:tabs>
        <w:rPr>
          <w:sz w:val="20"/>
          <w:szCs w:val="20"/>
          <w:color w:val="auto"/>
        </w:rPr>
      </w:pPr>
      <w:r>
        <w:rPr>
          <w:rFonts w:ascii="Arial" w:cs="Arial" w:eastAsia="Arial" w:hAnsi="Arial"/>
          <w:sz w:val="16"/>
          <w:szCs w:val="16"/>
          <w:color w:val="auto"/>
        </w:rPr>
        <w:t>15.6</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Representation of corporate Members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15.7</w:t>
      </w:r>
      <w:r>
        <w:rPr>
          <w:sz w:val="20"/>
          <w:szCs w:val="20"/>
          <w:color w:val="auto"/>
        </w:rPr>
        <w:tab/>
      </w:r>
      <w:r>
        <w:rPr>
          <w:rFonts w:ascii="Arial" w:cs="Arial" w:eastAsia="Arial" w:hAnsi="Arial"/>
          <w:sz w:val="13"/>
          <w:szCs w:val="13"/>
          <w:color w:val="auto"/>
        </w:rPr>
        <w:t>Save where otherwise provided, a corporate Member must act by a duly authorised representative.</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15.8</w:t>
      </w:r>
      <w:r>
        <w:rPr>
          <w:sz w:val="20"/>
          <w:szCs w:val="20"/>
          <w:color w:val="auto"/>
        </w:rPr>
        <w:tab/>
      </w:r>
      <w:r>
        <w:rPr>
          <w:rFonts w:ascii="Arial" w:cs="Arial" w:eastAsia="Arial" w:hAnsi="Arial"/>
          <w:sz w:val="14"/>
          <w:szCs w:val="14"/>
          <w:color w:val="auto"/>
        </w:rPr>
        <w:t>A corporate Member wishing to act by a duly authorised representative must identify that person to the Company by notice in writing.</w:t>
      </w:r>
    </w:p>
    <w:p>
      <w:pPr>
        <w:spacing w:after="0" w:line="212"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15.9</w:t>
      </w:r>
      <w:r>
        <w:rPr>
          <w:sz w:val="20"/>
          <w:szCs w:val="20"/>
          <w:color w:val="auto"/>
        </w:rPr>
        <w:tab/>
      </w:r>
      <w:r>
        <w:rPr>
          <w:rFonts w:ascii="Arial" w:cs="Arial" w:eastAsia="Arial" w:hAnsi="Arial"/>
          <w:sz w:val="16"/>
          <w:szCs w:val="16"/>
          <w:color w:val="auto"/>
        </w:rPr>
        <w:t>The authorisation may be for any period of time, and must be delivered to the Company not less than two hours before the commencement of the meeting at which it is first used.</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15.10</w:t>
      </w:r>
      <w:r>
        <w:rPr>
          <w:sz w:val="20"/>
          <w:szCs w:val="20"/>
          <w:color w:val="auto"/>
        </w:rPr>
        <w:tab/>
      </w:r>
      <w:r>
        <w:rPr>
          <w:rFonts w:ascii="Arial" w:cs="Arial" w:eastAsia="Arial" w:hAnsi="Arial"/>
          <w:sz w:val="14"/>
          <w:szCs w:val="14"/>
          <w:color w:val="auto"/>
        </w:rPr>
        <w:t>The directors of the Company may require the production of any evidence which they consider necessary to determine the validity of the notice.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99" w:name="page300"/>
    <w:bookmarkEnd w:id="299"/>
    <w:p>
      <w:pPr>
        <w:ind w:left="560" w:right="520" w:hanging="558"/>
        <w:spacing w:after="0" w:line="258" w:lineRule="auto"/>
        <w:tabs>
          <w:tab w:leader="none" w:pos="540" w:val="left"/>
        </w:tabs>
        <w:rPr>
          <w:sz w:val="20"/>
          <w:szCs w:val="20"/>
          <w:color w:val="auto"/>
        </w:rPr>
      </w:pPr>
      <w:r>
        <w:rPr>
          <w:rFonts w:ascii="Arial" w:cs="Arial" w:eastAsia="Arial" w:hAnsi="Arial"/>
          <w:sz w:val="16"/>
          <w:szCs w:val="16"/>
          <w:color w:val="auto"/>
        </w:rPr>
        <w:t>15.11</w:t>
        <w:tab/>
        <w:t>Where a duly authorised representative is present at a meeting that Member is deemed to be present in person; and the acts of the duly authorised representative are personal acts of that Member.</w:t>
      </w:r>
    </w:p>
    <w:p>
      <w:pPr>
        <w:spacing w:after="0" w:line="186" w:lineRule="exact"/>
        <w:rPr>
          <w:sz w:val="20"/>
          <w:szCs w:val="20"/>
          <w:color w:val="auto"/>
        </w:rPr>
      </w:pPr>
    </w:p>
    <w:p>
      <w:pPr>
        <w:ind w:left="560" w:right="60" w:hanging="558"/>
        <w:spacing w:after="0" w:line="329" w:lineRule="auto"/>
        <w:tabs>
          <w:tab w:leader="none" w:pos="540" w:val="left"/>
        </w:tabs>
        <w:rPr>
          <w:sz w:val="20"/>
          <w:szCs w:val="20"/>
          <w:color w:val="auto"/>
        </w:rPr>
      </w:pPr>
      <w:r>
        <w:rPr>
          <w:rFonts w:ascii="Arial" w:cs="Arial" w:eastAsia="Arial" w:hAnsi="Arial"/>
          <w:sz w:val="16"/>
          <w:szCs w:val="16"/>
          <w:color w:val="auto"/>
        </w:rPr>
        <w:t>15.12</w:t>
      </w:r>
      <w:r>
        <w:rPr>
          <w:sz w:val="20"/>
          <w:szCs w:val="20"/>
          <w:color w:val="auto"/>
        </w:rPr>
        <w:tab/>
      </w:r>
      <w:r>
        <w:rPr>
          <w:rFonts w:ascii="Arial" w:cs="Arial" w:eastAsia="Arial" w:hAnsi="Arial"/>
          <w:sz w:val="14"/>
          <w:szCs w:val="14"/>
          <w:color w:val="auto"/>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40" w:lineRule="exact"/>
        <w:rPr>
          <w:sz w:val="20"/>
          <w:szCs w:val="20"/>
          <w:color w:val="auto"/>
        </w:rPr>
      </w:pPr>
    </w:p>
    <w:p>
      <w:pPr>
        <w:ind w:left="560" w:right="80" w:hanging="558"/>
        <w:spacing w:after="0" w:line="246" w:lineRule="auto"/>
        <w:tabs>
          <w:tab w:leader="none" w:pos="540" w:val="left"/>
        </w:tabs>
        <w:rPr>
          <w:sz w:val="20"/>
          <w:szCs w:val="20"/>
          <w:color w:val="auto"/>
        </w:rPr>
      </w:pPr>
      <w:r>
        <w:rPr>
          <w:rFonts w:ascii="Arial" w:cs="Arial" w:eastAsia="Arial" w:hAnsi="Arial"/>
          <w:sz w:val="16"/>
          <w:szCs w:val="16"/>
          <w:color w:val="auto"/>
        </w:rPr>
        <w:t>15.13</w:t>
        <w:tab/>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Member with mental disorder</w:t>
      </w:r>
    </w:p>
    <w:p>
      <w:pPr>
        <w:spacing w:after="0" w:line="213" w:lineRule="exact"/>
        <w:rPr>
          <w:sz w:val="20"/>
          <w:szCs w:val="20"/>
          <w:color w:val="auto"/>
        </w:rPr>
      </w:pPr>
    </w:p>
    <w:p>
      <w:pPr>
        <w:ind w:left="560" w:right="200" w:hanging="558"/>
        <w:spacing w:after="0" w:line="258" w:lineRule="auto"/>
        <w:tabs>
          <w:tab w:leader="none" w:pos="540" w:val="left"/>
        </w:tabs>
        <w:rPr>
          <w:sz w:val="20"/>
          <w:szCs w:val="20"/>
          <w:color w:val="auto"/>
        </w:rPr>
      </w:pPr>
      <w:r>
        <w:rPr>
          <w:rFonts w:ascii="Arial" w:cs="Arial" w:eastAsia="Arial" w:hAnsi="Arial"/>
          <w:sz w:val="16"/>
          <w:szCs w:val="16"/>
          <w:color w:val="auto"/>
        </w:rPr>
        <w:t>15.14</w:t>
        <w:tab/>
        <w:t>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spacing w:after="0" w:line="186"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15.15</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Objections to admissibility of votes</w:t>
      </w:r>
    </w:p>
    <w:p>
      <w:pPr>
        <w:spacing w:after="0" w:line="213"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15.16</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proxy</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15.17</w:t>
      </w:r>
      <w:r>
        <w:rPr>
          <w:sz w:val="20"/>
          <w:szCs w:val="20"/>
          <w:color w:val="auto"/>
        </w:rPr>
        <w:tab/>
      </w:r>
      <w:r>
        <w:rPr>
          <w:rFonts w:ascii="Arial" w:cs="Arial" w:eastAsia="Arial" w:hAnsi="Arial"/>
          <w:sz w:val="14"/>
          <w:szCs w:val="14"/>
          <w:color w:val="auto"/>
        </w:rPr>
        <w:t>An instrument appointing a proxy shall be in any common form or in any other form approved by the directors.</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15.18</w:t>
      </w:r>
      <w:r>
        <w:rPr>
          <w:sz w:val="20"/>
          <w:szCs w:val="20"/>
          <w:color w:val="auto"/>
        </w:rPr>
        <w:tab/>
      </w:r>
      <w:r>
        <w:rPr>
          <w:rFonts w:ascii="Arial" w:cs="Arial" w:eastAsia="Arial" w:hAnsi="Arial"/>
          <w:sz w:val="14"/>
          <w:szCs w:val="14"/>
          <w:color w:val="auto"/>
        </w:rPr>
        <w:t>The instrument must be in writing and signed in one of the following ways:</w:t>
      </w:r>
    </w:p>
    <w:p>
      <w:pPr>
        <w:spacing w:after="0" w:line="212" w:lineRule="exact"/>
        <w:rPr>
          <w:sz w:val="20"/>
          <w:szCs w:val="20"/>
          <w:color w:val="auto"/>
        </w:rPr>
      </w:pPr>
    </w:p>
    <w:p>
      <w:pPr>
        <w:ind w:left="1120" w:hanging="568"/>
        <w:spacing w:after="0"/>
        <w:tabs>
          <w:tab w:leader="none" w:pos="11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by the Member;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by the Member’s authorised attorney;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00" w:name="page301"/>
    <w:bookmarkEnd w:id="300"/>
    <w:p>
      <w:pPr>
        <w:ind w:left="1120" w:hanging="568"/>
        <w:spacing w:after="0"/>
        <w:tabs>
          <w:tab w:leader="none" w:pos="11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the Member is a corporation or other body corporate, under seal or signed by an authorised officer, secretary or attorney.</w:t>
      </w:r>
    </w:p>
    <w:p>
      <w:pPr>
        <w:spacing w:after="0" w:line="203" w:lineRule="exact"/>
        <w:rPr>
          <w:sz w:val="20"/>
          <w:szCs w:val="20"/>
          <w:color w:val="auto"/>
        </w:rPr>
      </w:pPr>
    </w:p>
    <w:p>
      <w:pPr>
        <w:ind w:left="560" w:right="440"/>
        <w:spacing w:after="0" w:line="251" w:lineRule="auto"/>
        <w:rPr>
          <w:sz w:val="20"/>
          <w:szCs w:val="20"/>
          <w:color w:val="auto"/>
        </w:rPr>
      </w:pPr>
      <w:r>
        <w:rPr>
          <w:rFonts w:ascii="Arial" w:cs="Arial" w:eastAsia="Arial" w:hAnsi="Arial"/>
          <w:sz w:val="19"/>
          <w:szCs w:val="19"/>
          <w:color w:val="auto"/>
        </w:rPr>
        <w:t>If the directors so resolve, the Company may accept an Electronic Record of that instrument delivered in the manner specified below and otherwise satisfying the Articles about authentication of Electronic Records.</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15.19</w:t>
      </w:r>
      <w:r>
        <w:rPr>
          <w:sz w:val="20"/>
          <w:szCs w:val="20"/>
          <w:color w:val="auto"/>
        </w:rPr>
        <w:tab/>
      </w:r>
      <w:r>
        <w:rPr>
          <w:rFonts w:ascii="Arial" w:cs="Arial" w:eastAsia="Arial" w:hAnsi="Arial"/>
          <w:sz w:val="14"/>
          <w:szCs w:val="14"/>
          <w:color w:val="auto"/>
        </w:rPr>
        <w:t>The directors may require the production of any evidence which they consider necessary to determine the validity of any appointment of a proxy.</w:t>
      </w:r>
    </w:p>
    <w:p>
      <w:pPr>
        <w:spacing w:after="0" w:line="212" w:lineRule="exact"/>
        <w:rPr>
          <w:sz w:val="20"/>
          <w:szCs w:val="20"/>
          <w:color w:val="auto"/>
        </w:rPr>
      </w:pPr>
    </w:p>
    <w:p>
      <w:pPr>
        <w:ind w:left="560" w:right="60" w:hanging="558"/>
        <w:spacing w:after="0" w:line="329" w:lineRule="auto"/>
        <w:tabs>
          <w:tab w:leader="none" w:pos="540" w:val="left"/>
        </w:tabs>
        <w:rPr>
          <w:sz w:val="20"/>
          <w:szCs w:val="20"/>
          <w:color w:val="auto"/>
        </w:rPr>
      </w:pPr>
      <w:r>
        <w:rPr>
          <w:rFonts w:ascii="Arial" w:cs="Arial" w:eastAsia="Arial" w:hAnsi="Arial"/>
          <w:sz w:val="16"/>
          <w:szCs w:val="16"/>
          <w:color w:val="auto"/>
        </w:rPr>
        <w:t>15.20</w:t>
      </w:r>
      <w:r>
        <w:rPr>
          <w:sz w:val="20"/>
          <w:szCs w:val="20"/>
          <w:color w:val="auto"/>
        </w:rPr>
        <w:tab/>
      </w:r>
      <w:r>
        <w:rPr>
          <w:rFonts w:ascii="Arial" w:cs="Arial" w:eastAsia="Arial" w:hAnsi="Arial"/>
          <w:sz w:val="14"/>
          <w:szCs w:val="14"/>
          <w:color w:val="auto"/>
        </w:rPr>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and when proxy is to be delivered</w:t>
      </w:r>
    </w:p>
    <w:p>
      <w:pPr>
        <w:spacing w:after="0" w:line="213" w:lineRule="exact"/>
        <w:rPr>
          <w:sz w:val="20"/>
          <w:szCs w:val="20"/>
          <w:color w:val="auto"/>
        </w:rPr>
      </w:pPr>
    </w:p>
    <w:p>
      <w:pPr>
        <w:ind w:left="560" w:right="180" w:hanging="558"/>
        <w:spacing w:after="0" w:line="303" w:lineRule="auto"/>
        <w:tabs>
          <w:tab w:leader="none" w:pos="540" w:val="left"/>
        </w:tabs>
        <w:rPr>
          <w:sz w:val="20"/>
          <w:szCs w:val="20"/>
          <w:color w:val="auto"/>
        </w:rPr>
      </w:pPr>
      <w:r>
        <w:rPr>
          <w:rFonts w:ascii="Arial" w:cs="Arial" w:eastAsia="Arial" w:hAnsi="Arial"/>
          <w:sz w:val="16"/>
          <w:szCs w:val="16"/>
          <w:color w:val="auto"/>
        </w:rPr>
        <w:t>15.21</w:t>
      </w:r>
      <w:r>
        <w:rPr>
          <w:sz w:val="20"/>
          <w:szCs w:val="20"/>
          <w:color w:val="auto"/>
        </w:rPr>
        <w:tab/>
      </w:r>
      <w:r>
        <w:rPr>
          <w:rFonts w:ascii="Arial" w:cs="Arial" w:eastAsia="Arial" w:hAnsi="Arial"/>
          <w:sz w:val="14"/>
          <w:szCs w:val="14"/>
          <w:color w:val="auto"/>
        </w:rPr>
        <w:t>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spacing w:after="0" w:line="158" w:lineRule="exact"/>
        <w:rPr>
          <w:sz w:val="20"/>
          <w:szCs w:val="20"/>
          <w:color w:val="auto"/>
        </w:rPr>
      </w:pPr>
    </w:p>
    <w:p>
      <w:pPr>
        <w:ind w:left="1120" w:hanging="568"/>
        <w:spacing w:after="0"/>
        <w:tabs>
          <w:tab w:leader="none" w:pos="11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 the case of an instrument in writing, it must be left at or sent by post:</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to the registered office of the Company; or</w:t>
      </w:r>
    </w:p>
    <w:p>
      <w:pPr>
        <w:spacing w:after="0" w:line="211" w:lineRule="exact"/>
        <w:rPr>
          <w:rFonts w:ascii="Arial" w:cs="Arial" w:eastAsia="Arial" w:hAnsi="Arial"/>
          <w:sz w:val="16"/>
          <w:szCs w:val="16"/>
          <w:color w:val="auto"/>
        </w:rPr>
      </w:pPr>
    </w:p>
    <w:p>
      <w:pPr>
        <w:ind w:left="1660" w:right="380" w:hanging="550"/>
        <w:spacing w:after="0" w:line="258" w:lineRule="auto"/>
        <w:tabs>
          <w:tab w:leader="none" w:pos="166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to such other place specified in the notice convening the meeting or in any form of appointment of proxy sent out by the Company in relation to the meeting.</w:t>
      </w:r>
    </w:p>
    <w:p>
      <w:pPr>
        <w:spacing w:after="0" w:line="186" w:lineRule="exact"/>
        <w:rPr>
          <w:rFonts w:ascii="Arial" w:cs="Arial" w:eastAsia="Arial" w:hAnsi="Arial"/>
          <w:sz w:val="16"/>
          <w:szCs w:val="16"/>
          <w:color w:val="auto"/>
        </w:rPr>
      </w:pPr>
    </w:p>
    <w:p>
      <w:pPr>
        <w:ind w:left="1120" w:right="160" w:hanging="568"/>
        <w:spacing w:after="0" w:line="258" w:lineRule="auto"/>
        <w:tabs>
          <w:tab w:leader="none" w:pos="11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86" w:lineRule="exact"/>
        <w:rPr>
          <w:rFonts w:ascii="Arial" w:cs="Arial" w:eastAsia="Arial" w:hAnsi="Arial"/>
          <w:sz w:val="16"/>
          <w:szCs w:val="16"/>
          <w:color w:val="auto"/>
        </w:rPr>
      </w:pPr>
    </w:p>
    <w:p>
      <w:pPr>
        <w:ind w:left="1660" w:hanging="550"/>
        <w:spacing w:after="0"/>
        <w:tabs>
          <w:tab w:leader="none" w:pos="166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in the notice convening the meeting; or</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in any form of appointment of a proxy sent out by the Company in relation to the meeting; or</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in any invitation to appoint a proxy issued by the Company in relation to the meeting.</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15.22</w:t>
      </w:r>
      <w:r>
        <w:rPr>
          <w:sz w:val="20"/>
          <w:szCs w:val="20"/>
          <w:color w:val="auto"/>
        </w:rPr>
        <w:tab/>
      </w:r>
      <w:r>
        <w:rPr>
          <w:rFonts w:ascii="Arial" w:cs="Arial" w:eastAsia="Arial" w:hAnsi="Arial"/>
          <w:sz w:val="14"/>
          <w:szCs w:val="14"/>
          <w:color w:val="auto"/>
        </w:rPr>
        <w:t>Where a poll is taken:</w:t>
      </w:r>
    </w:p>
    <w:p>
      <w:pPr>
        <w:spacing w:after="0" w:line="212" w:lineRule="exact"/>
        <w:rPr>
          <w:sz w:val="20"/>
          <w:szCs w:val="20"/>
          <w:color w:val="auto"/>
        </w:rPr>
      </w:pPr>
    </w:p>
    <w:p>
      <w:pPr>
        <w:ind w:left="1120" w:hanging="568"/>
        <w:spacing w:after="0" w:line="329" w:lineRule="auto"/>
        <w:tabs>
          <w:tab w:leader="none" w:pos="112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301" w:name="page302"/>
    <w:bookmarkEnd w:id="301"/>
    <w:p>
      <w:pPr>
        <w:ind w:left="1120" w:right="80" w:hanging="568"/>
        <w:spacing w:after="0" w:line="329" w:lineRule="auto"/>
        <w:tabs>
          <w:tab w:leader="none" w:pos="1120" w:val="left"/>
        </w:tabs>
        <w:numPr>
          <w:ilvl w:val="0"/>
          <w:numId w:val="296"/>
        </w:numPr>
        <w:rPr>
          <w:rFonts w:ascii="Arial" w:cs="Arial" w:eastAsia="Arial" w:hAnsi="Arial"/>
          <w:sz w:val="14"/>
          <w:szCs w:val="14"/>
          <w:color w:val="auto"/>
        </w:rPr>
      </w:pPr>
      <w:r>
        <w:rPr>
          <w:rFonts w:ascii="Arial" w:cs="Arial" w:eastAsia="Arial" w:hAnsi="Arial"/>
          <w:sz w:val="14"/>
          <w:szCs w:val="14"/>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4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15.23</w:t>
      </w:r>
      <w:r>
        <w:rPr>
          <w:sz w:val="20"/>
          <w:szCs w:val="20"/>
          <w:color w:val="auto"/>
        </w:rPr>
        <w:tab/>
      </w:r>
      <w:r>
        <w:rPr>
          <w:rFonts w:ascii="Arial" w:cs="Arial" w:eastAsia="Arial" w:hAnsi="Arial"/>
          <w:sz w:val="14"/>
          <w:szCs w:val="14"/>
          <w:color w:val="auto"/>
        </w:rPr>
        <w:t>If the form of appointment of proxy is not delivered on time, it is invalid.</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by proxy</w:t>
      </w:r>
    </w:p>
    <w:p>
      <w:pPr>
        <w:spacing w:after="0" w:line="213" w:lineRule="exact"/>
        <w:rPr>
          <w:sz w:val="20"/>
          <w:szCs w:val="20"/>
          <w:color w:val="auto"/>
        </w:rPr>
      </w:pPr>
    </w:p>
    <w:p>
      <w:pPr>
        <w:jc w:val="both"/>
        <w:ind w:left="560" w:right="120" w:hanging="558"/>
        <w:spacing w:after="0" w:line="250" w:lineRule="auto"/>
        <w:tabs>
          <w:tab w:leader="none" w:pos="540" w:val="left"/>
        </w:tabs>
        <w:rPr>
          <w:sz w:val="20"/>
          <w:szCs w:val="20"/>
          <w:color w:val="auto"/>
        </w:rPr>
      </w:pPr>
      <w:r>
        <w:rPr>
          <w:rFonts w:ascii="Arial" w:cs="Arial" w:eastAsia="Arial" w:hAnsi="Arial"/>
          <w:sz w:val="16"/>
          <w:szCs w:val="16"/>
          <w:color w:val="auto"/>
        </w:rPr>
        <w:t>15.24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auto"/>
        </w:rPr>
        <w:t>Number of directors</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determined by Ordinary Resolution, the minimum number of directors shall be one and the maximum shall be ten.</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6"/>
          <w:szCs w:val="16"/>
          <w:b w:val="1"/>
          <w:bCs w:val="1"/>
          <w:color w:val="auto"/>
        </w:rPr>
        <w:t>Appointment, disqualification and removal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age limit</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3"/>
          <w:szCs w:val="13"/>
          <w:color w:val="auto"/>
        </w:rPr>
        <w:t>There is no age limit for directors save that they must be aged at least 18 years.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directors</w:t>
      </w:r>
    </w:p>
    <w:p>
      <w:pPr>
        <w:spacing w:after="0" w:line="213" w:lineRule="exact"/>
        <w:rPr>
          <w:sz w:val="20"/>
          <w:szCs w:val="20"/>
          <w:color w:val="auto"/>
        </w:rPr>
      </w:pPr>
    </w:p>
    <w:p>
      <w:pPr>
        <w:ind w:left="560" w:right="80" w:hanging="558"/>
        <w:spacing w:after="0" w:line="258" w:lineRule="auto"/>
        <w:tabs>
          <w:tab w:leader="none" w:pos="54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shareholding qualification</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4"/>
          <w:szCs w:val="14"/>
          <w:color w:val="auto"/>
        </w:rPr>
        <w:t>Unless a shareholding qualification for directors is fixed by Ordinary Resolution, no director shall be required to own Shares as a condition of his appointment.</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Appointment and removal of directors</w:t>
      </w:r>
    </w:p>
    <w:p>
      <w:pPr>
        <w:spacing w:after="0" w:line="213" w:lineRule="exact"/>
        <w:rPr>
          <w:sz w:val="20"/>
          <w:szCs w:val="20"/>
          <w:color w:val="auto"/>
        </w:rPr>
      </w:pPr>
    </w:p>
    <w:p>
      <w:pPr>
        <w:ind w:left="560" w:hanging="558"/>
        <w:spacing w:after="0" w:line="286" w:lineRule="auto"/>
        <w:tabs>
          <w:tab w:leader="none" w:pos="540"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4"/>
          <w:szCs w:val="14"/>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02" w:name="page303"/>
    <w:bookmarkEnd w:id="302"/>
    <w:p>
      <w:pPr>
        <w:ind w:left="560" w:right="160" w:hanging="558"/>
        <w:spacing w:after="0" w:line="250" w:lineRule="auto"/>
        <w:tabs>
          <w:tab w:leader="none" w:pos="540"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193" w:lineRule="exact"/>
        <w:rPr>
          <w:sz w:val="20"/>
          <w:szCs w:val="20"/>
          <w:color w:val="auto"/>
        </w:rPr>
      </w:pPr>
    </w:p>
    <w:p>
      <w:pPr>
        <w:ind w:left="560" w:right="280" w:hanging="558"/>
        <w:spacing w:after="0" w:line="258" w:lineRule="auto"/>
        <w:tabs>
          <w:tab w:leader="none" w:pos="540"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6"/>
          <w:szCs w:val="16"/>
          <w:color w:val="auto"/>
        </w:rPr>
        <w:t>After the closing of a Business Combination, the Company may by Ordinary Resolution appoint any person to be a director or may by Ordinary Resolution remove any director.</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17.7</w:t>
      </w:r>
      <w:r>
        <w:rPr>
          <w:sz w:val="20"/>
          <w:szCs w:val="20"/>
          <w:color w:val="auto"/>
        </w:rPr>
        <w:tab/>
      </w:r>
      <w:r>
        <w:rPr>
          <w:rFonts w:ascii="Arial" w:cs="Arial" w:eastAsia="Arial" w:hAnsi="Arial"/>
          <w:sz w:val="13"/>
          <w:szCs w:val="13"/>
          <w:color w:val="auto"/>
        </w:rPr>
        <w:t>Article 17.5 may only be amended by a Special Resolution passed by holders representing at least two-thirds of the outstanding Class B Shares.</w:t>
      </w:r>
    </w:p>
    <w:p>
      <w:pPr>
        <w:spacing w:after="0" w:line="212" w:lineRule="exact"/>
        <w:rPr>
          <w:sz w:val="20"/>
          <w:szCs w:val="20"/>
          <w:color w:val="auto"/>
        </w:rPr>
      </w:pPr>
    </w:p>
    <w:p>
      <w:pPr>
        <w:ind w:left="560" w:right="40" w:hanging="558"/>
        <w:spacing w:after="0" w:line="248" w:lineRule="auto"/>
        <w:tabs>
          <w:tab w:leader="none" w:pos="540" w:val="left"/>
        </w:tabs>
        <w:rPr>
          <w:sz w:val="20"/>
          <w:szCs w:val="20"/>
          <w:color w:val="auto"/>
        </w:rPr>
      </w:pPr>
      <w:r>
        <w:rPr>
          <w:rFonts w:ascii="Arial" w:cs="Arial" w:eastAsia="Arial" w:hAnsi="Arial"/>
          <w:sz w:val="16"/>
          <w:szCs w:val="16"/>
          <w:color w:val="auto"/>
        </w:rPr>
        <w:t>17.8</w:t>
      </w:r>
      <w:r>
        <w:rPr>
          <w:sz w:val="20"/>
          <w:szCs w:val="20"/>
          <w:color w:val="auto"/>
        </w:rPr>
        <w:tab/>
      </w:r>
      <w:r>
        <w:rPr>
          <w:rFonts w:ascii="Arial" w:cs="Arial" w:eastAsia="Arial" w:hAnsi="Arial"/>
          <w:sz w:val="16"/>
          <w:szCs w:val="16"/>
          <w:color w:val="auto"/>
        </w:rPr>
        <w:t>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94" w:lineRule="exact"/>
        <w:rPr>
          <w:sz w:val="20"/>
          <w:szCs w:val="20"/>
          <w:color w:val="auto"/>
        </w:rPr>
      </w:pPr>
    </w:p>
    <w:p>
      <w:pPr>
        <w:ind w:left="560" w:hanging="558"/>
        <w:spacing w:after="0" w:line="329" w:lineRule="auto"/>
        <w:tabs>
          <w:tab w:leader="none" w:pos="540" w:val="left"/>
        </w:tabs>
        <w:rPr>
          <w:sz w:val="20"/>
          <w:szCs w:val="20"/>
          <w:color w:val="auto"/>
        </w:rPr>
      </w:pPr>
      <w:r>
        <w:rPr>
          <w:rFonts w:ascii="Arial" w:cs="Arial" w:eastAsia="Arial" w:hAnsi="Arial"/>
          <w:sz w:val="16"/>
          <w:szCs w:val="16"/>
          <w:color w:val="auto"/>
        </w:rPr>
        <w:t>17.9</w:t>
      </w:r>
      <w:r>
        <w:rPr>
          <w:sz w:val="20"/>
          <w:szCs w:val="20"/>
          <w:color w:val="auto"/>
        </w:rPr>
        <w:tab/>
      </w:r>
      <w:r>
        <w:rPr>
          <w:rFonts w:ascii="Arial" w:cs="Arial" w:eastAsia="Arial" w:hAnsi="Arial"/>
          <w:sz w:val="14"/>
          <w:szCs w:val="14"/>
          <w:color w:val="auto"/>
        </w:rPr>
        <w:t>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spacing w:after="0" w:line="140" w:lineRule="exact"/>
        <w:rPr>
          <w:sz w:val="20"/>
          <w:szCs w:val="20"/>
          <w:color w:val="auto"/>
        </w:rPr>
      </w:pPr>
    </w:p>
    <w:p>
      <w:pPr>
        <w:ind w:left="1120" w:right="280" w:hanging="568"/>
        <w:spacing w:after="0" w:line="258" w:lineRule="auto"/>
        <w:tabs>
          <w:tab w:leader="none" w:pos="11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where two or more shareholders die in circumstances rendering it uncertain who was the last to die, a younger shareholder is deemed to have survived an older shareholder;</w:t>
      </w:r>
    </w:p>
    <w:p>
      <w:pPr>
        <w:spacing w:after="0" w:line="186" w:lineRule="exact"/>
        <w:rPr>
          <w:rFonts w:ascii="Arial" w:cs="Arial" w:eastAsia="Arial" w:hAnsi="Arial"/>
          <w:sz w:val="16"/>
          <w:szCs w:val="16"/>
          <w:color w:val="auto"/>
        </w:rPr>
      </w:pPr>
    </w:p>
    <w:p>
      <w:pPr>
        <w:ind w:left="1120" w:right="340" w:hanging="568"/>
        <w:spacing w:after="0" w:line="258" w:lineRule="auto"/>
        <w:tabs>
          <w:tab w:leader="none" w:pos="11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if the last shareholder died leaving a will which disposes of that shareholder’s shares in the Company (whether by way of specific gift, as part of the residuary estate, or otherwise):</w:t>
      </w:r>
    </w:p>
    <w:p>
      <w:pPr>
        <w:spacing w:after="0" w:line="186" w:lineRule="exact"/>
        <w:rPr>
          <w:rFonts w:ascii="Arial" w:cs="Arial" w:eastAsia="Arial" w:hAnsi="Arial"/>
          <w:sz w:val="16"/>
          <w:szCs w:val="16"/>
          <w:color w:val="auto"/>
        </w:rPr>
      </w:pPr>
    </w:p>
    <w:p>
      <w:pPr>
        <w:ind w:left="1660" w:hanging="550"/>
        <w:spacing w:after="0"/>
        <w:tabs>
          <w:tab w:leader="none" w:pos="16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the expression personal representatives of the last shareholder means:</w:t>
      </w:r>
    </w:p>
    <w:p>
      <w:pPr>
        <w:spacing w:after="0" w:line="211" w:lineRule="exact"/>
        <w:rPr>
          <w:rFonts w:ascii="Arial" w:cs="Arial" w:eastAsia="Arial" w:hAnsi="Arial"/>
          <w:sz w:val="16"/>
          <w:szCs w:val="16"/>
          <w:color w:val="auto"/>
        </w:rPr>
      </w:pPr>
    </w:p>
    <w:p>
      <w:pPr>
        <w:ind w:left="2220" w:right="120" w:hanging="552"/>
        <w:spacing w:after="0" w:line="258" w:lineRule="auto"/>
        <w:tabs>
          <w:tab w:leader="none" w:pos="2220" w:val="left"/>
        </w:tabs>
        <w:numPr>
          <w:ilvl w:val="2"/>
          <w:numId w:val="297"/>
        </w:numPr>
        <w:rPr>
          <w:rFonts w:ascii="Arial" w:cs="Arial" w:eastAsia="Arial" w:hAnsi="Arial"/>
          <w:sz w:val="16"/>
          <w:szCs w:val="16"/>
          <w:color w:val="auto"/>
        </w:rPr>
      </w:pPr>
      <w:r>
        <w:rPr>
          <w:rFonts w:ascii="Arial" w:cs="Arial" w:eastAsia="Arial" w:hAnsi="Arial"/>
          <w:sz w:val="16"/>
          <w:szCs w:val="16"/>
          <w:color w:val="auto"/>
        </w:rPr>
        <w:t>until a grant of probate in respect of that will has been obtained from the Grand Court of the Cayman Islands, all of the executors named in that will who are living at the time the power of appointment under this Article is exercised; and</w:t>
      </w:r>
    </w:p>
    <w:p>
      <w:pPr>
        <w:spacing w:after="0" w:line="186" w:lineRule="exact"/>
        <w:rPr>
          <w:rFonts w:ascii="Arial" w:cs="Arial" w:eastAsia="Arial" w:hAnsi="Arial"/>
          <w:sz w:val="16"/>
          <w:szCs w:val="16"/>
          <w:color w:val="auto"/>
        </w:rPr>
      </w:pPr>
    </w:p>
    <w:p>
      <w:pPr>
        <w:ind w:left="2220" w:hanging="552"/>
        <w:spacing w:after="0"/>
        <w:tabs>
          <w:tab w:leader="none" w:pos="2220" w:val="left"/>
        </w:tabs>
        <w:numPr>
          <w:ilvl w:val="2"/>
          <w:numId w:val="297"/>
        </w:numPr>
        <w:rPr>
          <w:rFonts w:ascii="Arial" w:cs="Arial" w:eastAsia="Arial" w:hAnsi="Arial"/>
          <w:sz w:val="16"/>
          <w:szCs w:val="16"/>
          <w:color w:val="auto"/>
        </w:rPr>
      </w:pPr>
      <w:r>
        <w:rPr>
          <w:rFonts w:ascii="Arial" w:cs="Arial" w:eastAsia="Arial" w:hAnsi="Arial"/>
          <w:sz w:val="16"/>
          <w:szCs w:val="16"/>
          <w:color w:val="auto"/>
        </w:rPr>
        <w:t>after such grant of probate has been obtained, only such of those executors who have proved that will;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3" w:name="page304"/>
    <w:bookmarkEnd w:id="303"/>
    <w:p>
      <w:pPr>
        <w:ind w:left="1660" w:hanging="550"/>
        <w:spacing w:after="0" w:line="258" w:lineRule="auto"/>
        <w:tabs>
          <w:tab w:leader="none" w:pos="16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without derogating from section 3(1) of the Succession Law (Revised), the executors named in that will may exercise the power of appointment under this Article without first obtaining a grant of probate.</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17.10</w:t>
      </w:r>
      <w:r>
        <w:rPr>
          <w:sz w:val="20"/>
          <w:szCs w:val="20"/>
          <w:color w:val="auto"/>
        </w:rPr>
        <w:tab/>
      </w:r>
      <w:r>
        <w:rPr>
          <w:rFonts w:ascii="Arial" w:cs="Arial" w:eastAsia="Arial" w:hAnsi="Arial"/>
          <w:sz w:val="14"/>
          <w:szCs w:val="14"/>
          <w:color w:val="auto"/>
        </w:rPr>
        <w:t>A remaining director may appoint a director even though there is not a quorum of directors.</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17.11</w:t>
      </w:r>
      <w:r>
        <w:rPr>
          <w:sz w:val="20"/>
          <w:szCs w:val="20"/>
          <w:color w:val="auto"/>
        </w:rPr>
        <w:tab/>
      </w:r>
      <w:r>
        <w:rPr>
          <w:rFonts w:ascii="Arial" w:cs="Arial" w:eastAsia="Arial" w:hAnsi="Arial"/>
          <w:sz w:val="13"/>
          <w:szCs w:val="13"/>
          <w:color w:val="auto"/>
        </w:rPr>
        <w:t>No appointment can cause the number of directors to exceed the maximum; and any such appointment shall be invalid.</w:t>
      </w:r>
    </w:p>
    <w:p>
      <w:pPr>
        <w:spacing w:after="0" w:line="212" w:lineRule="exact"/>
        <w:rPr>
          <w:sz w:val="20"/>
          <w:szCs w:val="20"/>
          <w:color w:val="auto"/>
        </w:rPr>
      </w:pPr>
    </w:p>
    <w:p>
      <w:pPr>
        <w:ind w:left="560" w:right="160" w:hanging="558"/>
        <w:spacing w:after="0" w:line="329" w:lineRule="auto"/>
        <w:tabs>
          <w:tab w:leader="none" w:pos="540" w:val="left"/>
        </w:tabs>
        <w:rPr>
          <w:sz w:val="20"/>
          <w:szCs w:val="20"/>
          <w:color w:val="auto"/>
        </w:rPr>
      </w:pPr>
      <w:r>
        <w:rPr>
          <w:rFonts w:ascii="Arial" w:cs="Arial" w:eastAsia="Arial" w:hAnsi="Arial"/>
          <w:sz w:val="16"/>
          <w:szCs w:val="16"/>
          <w:color w:val="auto"/>
        </w:rPr>
        <w:t>17.12</w:t>
      </w:r>
      <w:r>
        <w:rPr>
          <w:sz w:val="20"/>
          <w:szCs w:val="20"/>
          <w:color w:val="auto"/>
        </w:rPr>
        <w:tab/>
      </w:r>
      <w:r>
        <w:rPr>
          <w:rFonts w:ascii="Arial" w:cs="Arial" w:eastAsia="Arial" w:hAnsi="Arial"/>
          <w:sz w:val="14"/>
          <w:szCs w:val="14"/>
          <w:color w:val="auto"/>
        </w:rPr>
        <w:t>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Resignation of directors</w:t>
      </w:r>
    </w:p>
    <w:p>
      <w:pPr>
        <w:spacing w:after="0" w:line="213" w:lineRule="exact"/>
        <w:rPr>
          <w:sz w:val="20"/>
          <w:szCs w:val="20"/>
          <w:color w:val="auto"/>
        </w:rPr>
      </w:pPr>
    </w:p>
    <w:p>
      <w:pPr>
        <w:ind w:left="560" w:right="140" w:hanging="558"/>
        <w:spacing w:after="0" w:line="258" w:lineRule="auto"/>
        <w:tabs>
          <w:tab w:leader="none" w:pos="540" w:val="left"/>
        </w:tabs>
        <w:rPr>
          <w:sz w:val="20"/>
          <w:szCs w:val="20"/>
          <w:color w:val="auto"/>
        </w:rPr>
      </w:pPr>
      <w:r>
        <w:rPr>
          <w:rFonts w:ascii="Arial" w:cs="Arial" w:eastAsia="Arial" w:hAnsi="Arial"/>
          <w:sz w:val="16"/>
          <w:szCs w:val="16"/>
          <w:color w:val="auto"/>
        </w:rPr>
        <w:t>17.13</w:t>
        <w:tab/>
        <w:t>A director may at any time resign office by giving to the Company notice in writing or, if permitted pursuant to the notice provisions, in an Electronic Record delivered in either case in accordance with those provisions.</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17.14</w:t>
      </w:r>
      <w:r>
        <w:rPr>
          <w:sz w:val="20"/>
          <w:szCs w:val="20"/>
          <w:color w:val="auto"/>
        </w:rPr>
        <w:tab/>
      </w:r>
      <w:r>
        <w:rPr>
          <w:rFonts w:ascii="Arial" w:cs="Arial" w:eastAsia="Arial" w:hAnsi="Arial"/>
          <w:sz w:val="13"/>
          <w:szCs w:val="13"/>
          <w:color w:val="auto"/>
        </w:rPr>
        <w:t>Unless the notice specifies a different date, the director shall be deemed to have resigned on the date that the notice is delivered to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the office of director</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17.15</w:t>
      </w:r>
      <w:r>
        <w:rPr>
          <w:sz w:val="20"/>
          <w:szCs w:val="20"/>
          <w:color w:val="auto"/>
        </w:rPr>
        <w:tab/>
      </w:r>
      <w:r>
        <w:rPr>
          <w:rFonts w:ascii="Arial" w:cs="Arial" w:eastAsia="Arial" w:hAnsi="Arial"/>
          <w:sz w:val="14"/>
          <w:szCs w:val="14"/>
          <w:color w:val="auto"/>
        </w:rPr>
        <w:t>A director’s office shall be terminated forthwith if:</w:t>
      </w:r>
    </w:p>
    <w:p>
      <w:pPr>
        <w:spacing w:after="0" w:line="212" w:lineRule="exact"/>
        <w:rPr>
          <w:sz w:val="20"/>
          <w:szCs w:val="20"/>
          <w:color w:val="auto"/>
        </w:rPr>
      </w:pPr>
    </w:p>
    <w:p>
      <w:pPr>
        <w:ind w:left="1120" w:hanging="568"/>
        <w:spacing w:after="0"/>
        <w:tabs>
          <w:tab w:leader="none" w:pos="11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he is prohibited by the law of the Islands from acting as a director;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he is made bankrupt or makes an arrangement or composition with his creditors generally;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in the opinion of a registered medical practitioner by whom he is being treated he becomes physically or mentally incapable of acting as a director; or</w:t>
      </w:r>
    </w:p>
    <w:p>
      <w:pPr>
        <w:spacing w:after="0" w:line="234" w:lineRule="exact"/>
        <w:rPr>
          <w:rFonts w:ascii="Arial" w:cs="Arial" w:eastAsia="Arial" w:hAnsi="Arial"/>
          <w:sz w:val="14"/>
          <w:szCs w:val="14"/>
          <w:color w:val="auto"/>
        </w:rPr>
      </w:pPr>
    </w:p>
    <w:p>
      <w:pPr>
        <w:ind w:left="1120" w:hanging="568"/>
        <w:spacing w:after="0"/>
        <w:tabs>
          <w:tab w:leader="none" w:pos="11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he is made subject to any law relating to mental health or incompetence, whether by court order or otherwise;</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without the consent of the other directors, he is absent from meetings of directors for a continuous period of six months; or</w:t>
      </w:r>
    </w:p>
    <w:p>
      <w:pPr>
        <w:spacing w:after="0" w:line="211" w:lineRule="exact"/>
        <w:rPr>
          <w:rFonts w:ascii="Arial" w:cs="Arial" w:eastAsia="Arial" w:hAnsi="Arial"/>
          <w:sz w:val="16"/>
          <w:szCs w:val="16"/>
          <w:color w:val="auto"/>
        </w:rPr>
      </w:pPr>
    </w:p>
    <w:p>
      <w:pPr>
        <w:ind w:left="1120" w:right="280" w:hanging="568"/>
        <w:spacing w:after="0" w:line="329" w:lineRule="auto"/>
        <w:tabs>
          <w:tab w:leader="none" w:pos="112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4" w:name="page305"/>
    <w:bookmarkEnd w:id="304"/>
    <w:p>
      <w:pPr>
        <w:spacing w:after="0"/>
        <w:tabs>
          <w:tab w:leader="none" w:pos="54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auto"/>
        </w:rPr>
        <w:t>Alternate directors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Appointment and removal</w:t>
      </w:r>
    </w:p>
    <w:p>
      <w:pPr>
        <w:spacing w:after="0" w:line="213" w:lineRule="exact"/>
        <w:rPr>
          <w:sz w:val="20"/>
          <w:szCs w:val="20"/>
          <w:color w:val="auto"/>
        </w:rPr>
      </w:pPr>
    </w:p>
    <w:p>
      <w:pPr>
        <w:ind w:left="560" w:right="300" w:hanging="558"/>
        <w:spacing w:after="0" w:line="329" w:lineRule="auto"/>
        <w:tabs>
          <w:tab w:leader="none" w:pos="540"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4"/>
          <w:szCs w:val="14"/>
          <w:color w:val="auto"/>
        </w:rPr>
        <w:t>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spacing w:after="0" w:line="140" w:lineRule="exact"/>
        <w:rPr>
          <w:sz w:val="20"/>
          <w:szCs w:val="20"/>
          <w:color w:val="auto"/>
        </w:rPr>
      </w:pPr>
    </w:p>
    <w:p>
      <w:pPr>
        <w:ind w:left="1120" w:hanging="568"/>
        <w:spacing w:after="0"/>
        <w:tabs>
          <w:tab w:leader="none" w:pos="11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by notice in writing in accordance with the notice provisions;</w:t>
      </w:r>
    </w:p>
    <w:p>
      <w:pPr>
        <w:spacing w:after="0" w:line="211" w:lineRule="exact"/>
        <w:rPr>
          <w:rFonts w:ascii="Arial" w:cs="Arial" w:eastAsia="Arial" w:hAnsi="Arial"/>
          <w:sz w:val="16"/>
          <w:szCs w:val="16"/>
          <w:color w:val="auto"/>
        </w:rPr>
      </w:pPr>
    </w:p>
    <w:p>
      <w:pPr>
        <w:jc w:val="both"/>
        <w:ind w:left="1120" w:right="200" w:hanging="568"/>
        <w:spacing w:after="0" w:line="303" w:lineRule="auto"/>
        <w:tabs>
          <w:tab w:leader="none" w:pos="1120" w:val="left"/>
        </w:tabs>
        <w:numPr>
          <w:ilvl w:val="0"/>
          <w:numId w:val="300"/>
        </w:numPr>
        <w:rPr>
          <w:rFonts w:ascii="Arial" w:cs="Arial" w:eastAsia="Arial" w:hAnsi="Arial"/>
          <w:sz w:val="14"/>
          <w:szCs w:val="14"/>
          <w:color w:val="auto"/>
        </w:rPr>
      </w:pPr>
      <w:r>
        <w:rPr>
          <w:rFonts w:ascii="Arial" w:cs="Arial" w:eastAsia="Arial" w:hAnsi="Arial"/>
          <w:sz w:val="14"/>
          <w:szCs w:val="14"/>
          <w:color w:val="auto"/>
        </w:rPr>
        <w:t>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spacing w:after="0" w:line="158" w:lineRule="exact"/>
        <w:rPr>
          <w:sz w:val="20"/>
          <w:szCs w:val="20"/>
          <w:color w:val="auto"/>
        </w:rPr>
      </w:pPr>
    </w:p>
    <w:p>
      <w:pPr>
        <w:ind w:left="560" w:right="60" w:hanging="558"/>
        <w:spacing w:after="0" w:line="250" w:lineRule="auto"/>
        <w:tabs>
          <w:tab w:leader="none" w:pos="54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6"/>
          <w:szCs w:val="16"/>
          <w:color w:val="auto"/>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spacing w:after="0" w:line="193" w:lineRule="exact"/>
        <w:rPr>
          <w:sz w:val="20"/>
          <w:szCs w:val="20"/>
          <w:color w:val="auto"/>
        </w:rPr>
      </w:pPr>
    </w:p>
    <w:p>
      <w:pPr>
        <w:ind w:left="560" w:right="660" w:hanging="558"/>
        <w:spacing w:after="0" w:line="258" w:lineRule="auto"/>
        <w:tabs>
          <w:tab w:leader="none" w:pos="54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color w:val="auto"/>
        </w:rPr>
        <w:t>A director may revoke his appointment of an alternate at any time. No revocation shall take effect until the director has given notice of the revocation to the other directors. Such notice must be given by either of the methods specified in Article 18.1.</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4"/>
          <w:szCs w:val="14"/>
          <w:color w:val="auto"/>
        </w:rPr>
        <w:t>A notice of appointment or removal of an alternate director must also be given to the Company by any of the following methods:</w:t>
      </w:r>
    </w:p>
    <w:p>
      <w:pPr>
        <w:spacing w:after="0" w:line="212" w:lineRule="exact"/>
        <w:rPr>
          <w:sz w:val="20"/>
          <w:szCs w:val="20"/>
          <w:color w:val="auto"/>
        </w:rPr>
      </w:pPr>
    </w:p>
    <w:p>
      <w:pPr>
        <w:ind w:left="1120" w:hanging="568"/>
        <w:spacing w:after="0"/>
        <w:tabs>
          <w:tab w:leader="none" w:pos="11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by notice in writing in accordance with the notice provisions;</w:t>
      </w:r>
    </w:p>
    <w:p>
      <w:pPr>
        <w:spacing w:after="0" w:line="211" w:lineRule="exact"/>
        <w:rPr>
          <w:rFonts w:ascii="Arial" w:cs="Arial" w:eastAsia="Arial" w:hAnsi="Arial"/>
          <w:sz w:val="16"/>
          <w:szCs w:val="16"/>
          <w:color w:val="auto"/>
        </w:rPr>
      </w:pPr>
    </w:p>
    <w:p>
      <w:pPr>
        <w:ind w:left="1120" w:hanging="568"/>
        <w:spacing w:after="0" w:line="303" w:lineRule="auto"/>
        <w:tabs>
          <w:tab w:leader="none" w:pos="1120" w:val="left"/>
        </w:tabs>
        <w:numPr>
          <w:ilvl w:val="0"/>
          <w:numId w:val="301"/>
        </w:numPr>
        <w:rPr>
          <w:rFonts w:ascii="Arial" w:cs="Arial" w:eastAsia="Arial" w:hAnsi="Arial"/>
          <w:sz w:val="14"/>
          <w:szCs w:val="14"/>
          <w:color w:val="auto"/>
        </w:rPr>
      </w:pPr>
      <w:r>
        <w:rPr>
          <w:rFonts w:ascii="Arial" w:cs="Arial" w:eastAsia="Arial" w:hAnsi="Arial"/>
          <w:sz w:val="14"/>
          <w:szCs w:val="14"/>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spacing w:after="0" w:line="158" w:lineRule="exact"/>
        <w:rPr>
          <w:rFonts w:ascii="Arial" w:cs="Arial" w:eastAsia="Arial" w:hAnsi="Arial"/>
          <w:sz w:val="14"/>
          <w:szCs w:val="14"/>
          <w:color w:val="auto"/>
        </w:rPr>
      </w:pPr>
    </w:p>
    <w:p>
      <w:pPr>
        <w:ind w:left="1120" w:right="40" w:hanging="568"/>
        <w:spacing w:after="0" w:line="248" w:lineRule="auto"/>
        <w:tabs>
          <w:tab w:leader="none" w:pos="11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 event notice shall be taken to be given on the date of receipt by the Company or the Company’s registered office (as appropriate) in readable form;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5" w:name="page306"/>
    <w:bookmarkEnd w:id="305"/>
    <w:p>
      <w:pPr>
        <w:ind w:left="1120" w:hanging="568"/>
        <w:spacing w:after="0"/>
        <w:tabs>
          <w:tab w:leader="none" w:pos="1120" w:val="left"/>
        </w:tabs>
        <w:numPr>
          <w:ilvl w:val="0"/>
          <w:numId w:val="302"/>
        </w:numPr>
        <w:rPr>
          <w:rFonts w:ascii="Arial" w:cs="Arial" w:eastAsia="Arial" w:hAnsi="Arial"/>
          <w:sz w:val="14"/>
          <w:szCs w:val="14"/>
          <w:color w:val="auto"/>
        </w:rPr>
      </w:pPr>
      <w:r>
        <w:rPr>
          <w:rFonts w:ascii="Arial" w:cs="Arial" w:eastAsia="Arial" w:hAnsi="Arial"/>
          <w:sz w:val="14"/>
          <w:szCs w:val="14"/>
          <w:color w:val="auto"/>
        </w:rPr>
        <w:t>if permitted pursuant to the notice provisions, in some other form of approved Electronic Record delivered in accordance with those provisions in writing.</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4"/>
          <w:szCs w:val="14"/>
          <w:color w:val="auto"/>
        </w:rPr>
        <w:t>All notices of meetings of directors shall continue to be given to the appointing director and not to the alternate.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 of alternate director</w:t>
      </w:r>
    </w:p>
    <w:p>
      <w:pPr>
        <w:spacing w:after="0" w:line="213" w:lineRule="exact"/>
        <w:rPr>
          <w:sz w:val="20"/>
          <w:szCs w:val="20"/>
          <w:color w:val="auto"/>
        </w:rPr>
      </w:pPr>
    </w:p>
    <w:p>
      <w:pPr>
        <w:ind w:left="560" w:right="180" w:hanging="558"/>
        <w:spacing w:after="0" w:line="258" w:lineRule="auto"/>
        <w:tabs>
          <w:tab w:leader="none" w:pos="540"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3"/>
          <w:szCs w:val="13"/>
          <w:color w:val="auto"/>
        </w:rPr>
        <w:t>For the avoidance of doubt:</w:t>
      </w:r>
    </w:p>
    <w:p>
      <w:pPr>
        <w:spacing w:after="0" w:line="212" w:lineRule="exact"/>
        <w:rPr>
          <w:sz w:val="20"/>
          <w:szCs w:val="20"/>
          <w:color w:val="auto"/>
        </w:rPr>
      </w:pPr>
    </w:p>
    <w:p>
      <w:pPr>
        <w:ind w:left="1120" w:hanging="568"/>
        <w:spacing w:after="0" w:line="258" w:lineRule="auto"/>
        <w:tabs>
          <w:tab w:leader="none" w:pos="11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another director has been appointed an alternate director for one or more directors, he shall be entitled to a separate vote in his own right as a director and in right of each other director for whom he has been appointed an alternate; and</w:t>
      </w:r>
    </w:p>
    <w:p>
      <w:pPr>
        <w:spacing w:after="0" w:line="186" w:lineRule="exact"/>
        <w:rPr>
          <w:rFonts w:ascii="Arial" w:cs="Arial" w:eastAsia="Arial" w:hAnsi="Arial"/>
          <w:sz w:val="16"/>
          <w:szCs w:val="16"/>
          <w:color w:val="auto"/>
        </w:rPr>
      </w:pPr>
    </w:p>
    <w:p>
      <w:pPr>
        <w:ind w:left="1120" w:right="180" w:hanging="568"/>
        <w:spacing w:after="0" w:line="258" w:lineRule="auto"/>
        <w:tabs>
          <w:tab w:leader="none" w:pos="11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a person other than a director has been appointed an alternate director for more than one director, he shall be entitled to a separate vote in right of each director for whom he has been appointed an alternate.</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18.8</w:t>
      </w:r>
      <w:r>
        <w:rPr>
          <w:sz w:val="20"/>
          <w:szCs w:val="20"/>
          <w:color w:val="auto"/>
        </w:rPr>
        <w:tab/>
      </w:r>
      <w:r>
        <w:rPr>
          <w:rFonts w:ascii="Arial" w:cs="Arial" w:eastAsia="Arial" w:hAnsi="Arial"/>
          <w:sz w:val="14"/>
          <w:szCs w:val="14"/>
          <w:color w:val="auto"/>
        </w:rPr>
        <w:t>An alternate director, however, is not entitled to receive any remuneration from the Company for services rendered as an alternate director.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Appointment ceases when the appointor ceases to be a director</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3"/>
          <w:szCs w:val="13"/>
          <w:color w:val="auto"/>
        </w:rPr>
        <w:t>An alternate director shall cease to be an alternate director if the director who appointed him ceases to be a director.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Status of alternate director</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18.10</w:t>
      </w:r>
      <w:r>
        <w:rPr>
          <w:sz w:val="20"/>
          <w:szCs w:val="20"/>
          <w:color w:val="auto"/>
        </w:rPr>
        <w:tab/>
      </w:r>
      <w:r>
        <w:rPr>
          <w:rFonts w:ascii="Arial" w:cs="Arial" w:eastAsia="Arial" w:hAnsi="Arial"/>
          <w:sz w:val="14"/>
          <w:szCs w:val="14"/>
          <w:color w:val="auto"/>
        </w:rPr>
        <w:t>An alternate director shall carry out all functions of the director who made the appointment.</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18.11</w:t>
      </w:r>
      <w:r>
        <w:rPr>
          <w:sz w:val="20"/>
          <w:szCs w:val="20"/>
          <w:color w:val="auto"/>
        </w:rPr>
        <w:tab/>
      </w:r>
      <w:r>
        <w:rPr>
          <w:rFonts w:ascii="Arial" w:cs="Arial" w:eastAsia="Arial" w:hAnsi="Arial"/>
          <w:sz w:val="13"/>
          <w:szCs w:val="13"/>
          <w:color w:val="auto"/>
        </w:rPr>
        <w:t>Save where otherwise expressed, an alternate director shall be treated as a director under these Articles.</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18.12</w:t>
      </w:r>
      <w:r>
        <w:rPr>
          <w:sz w:val="20"/>
          <w:szCs w:val="20"/>
          <w:color w:val="auto"/>
        </w:rPr>
        <w:tab/>
      </w:r>
      <w:r>
        <w:rPr>
          <w:rFonts w:ascii="Arial" w:cs="Arial" w:eastAsia="Arial" w:hAnsi="Arial"/>
          <w:sz w:val="14"/>
          <w:szCs w:val="14"/>
          <w:color w:val="auto"/>
        </w:rPr>
        <w:t>An alternate director is not the agent of the director appointing him.</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18.13</w:t>
      </w:r>
      <w:r>
        <w:rPr>
          <w:sz w:val="20"/>
          <w:szCs w:val="20"/>
          <w:color w:val="auto"/>
        </w:rPr>
        <w:tab/>
      </w:r>
      <w:r>
        <w:rPr>
          <w:rFonts w:ascii="Arial" w:cs="Arial" w:eastAsia="Arial" w:hAnsi="Arial"/>
          <w:sz w:val="14"/>
          <w:szCs w:val="14"/>
          <w:color w:val="auto"/>
        </w:rPr>
        <w:t>An alternate director is not entitled to any remuneration for acting as alternate director.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Status of the director making the appointment</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18.14</w:t>
      </w:r>
      <w:r>
        <w:rPr>
          <w:sz w:val="20"/>
          <w:szCs w:val="20"/>
          <w:color w:val="auto"/>
        </w:rPr>
        <w:tab/>
      </w:r>
      <w:r>
        <w:rPr>
          <w:rFonts w:ascii="Arial" w:cs="Arial" w:eastAsia="Arial" w:hAnsi="Arial"/>
          <w:sz w:val="14"/>
          <w:szCs w:val="14"/>
          <w:color w:val="auto"/>
        </w:rPr>
        <w:t>A director who has appointed an alternate is not thereby relieved from the duties which he owes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06" w:name="page307"/>
    <w:bookmarkEnd w:id="306"/>
    <w:p>
      <w:pPr>
        <w:spacing w:after="0"/>
        <w:tabs>
          <w:tab w:leader="none" w:pos="54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6"/>
          <w:szCs w:val="16"/>
          <w:b w:val="1"/>
          <w:bCs w:val="1"/>
          <w:color w:val="auto"/>
        </w:rPr>
        <w:t>Powers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Powers of directors</w:t>
      </w:r>
    </w:p>
    <w:p>
      <w:pPr>
        <w:spacing w:after="0" w:line="213" w:lineRule="exact"/>
        <w:rPr>
          <w:sz w:val="20"/>
          <w:szCs w:val="20"/>
          <w:color w:val="auto"/>
        </w:rPr>
      </w:pPr>
    </w:p>
    <w:p>
      <w:pPr>
        <w:ind w:left="560" w:right="500" w:hanging="558"/>
        <w:spacing w:after="0" w:line="258" w:lineRule="auto"/>
        <w:tabs>
          <w:tab w:leader="none" w:pos="54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color w:val="auto"/>
        </w:rPr>
        <w:t>Subject to the provisions of the Law, the Memorandum and these Articles, the business of the Company shall be managed by the directors who may for that purpose exercise all the powers of the Company.</w:t>
      </w:r>
    </w:p>
    <w:p>
      <w:pPr>
        <w:spacing w:after="0" w:line="186" w:lineRule="exact"/>
        <w:rPr>
          <w:sz w:val="20"/>
          <w:szCs w:val="20"/>
          <w:color w:val="auto"/>
        </w:rPr>
      </w:pPr>
    </w:p>
    <w:p>
      <w:pPr>
        <w:ind w:left="560" w:right="80" w:hanging="558"/>
        <w:spacing w:after="0" w:line="329" w:lineRule="auto"/>
        <w:tabs>
          <w:tab w:leader="none" w:pos="540"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4"/>
          <w:szCs w:val="14"/>
          <w:color w:val="auto"/>
        </w:rPr>
        <w:t>No prior act of the directors shall be invalidated by any subsequent alteration of the Memorandum or these Articles. However, to the extent allowed by the Law, following the consummation of the IPO Members may by Special Resolution validate any prior or future act of the directors which would otherwise be in breach of their duties.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Appointments to office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4"/>
          <w:szCs w:val="14"/>
          <w:color w:val="auto"/>
        </w:rPr>
        <w:t>The directors may appoint a director:</w:t>
      </w:r>
    </w:p>
    <w:p>
      <w:pPr>
        <w:spacing w:after="0" w:line="212" w:lineRule="exact"/>
        <w:rPr>
          <w:sz w:val="20"/>
          <w:szCs w:val="20"/>
          <w:color w:val="auto"/>
        </w:rPr>
      </w:pPr>
    </w:p>
    <w:p>
      <w:pPr>
        <w:ind w:left="1120" w:hanging="568"/>
        <w:spacing w:after="0"/>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chairman of the board of directors;</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vice-chairman of the board of directors;</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managing director;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to any other executive office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for such period and on such terms, including as to remuneration, as they think fit.</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4"/>
          <w:szCs w:val="14"/>
          <w:color w:val="auto"/>
        </w:rPr>
        <w:t>The appointee must consent in writing to holding that office.</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19.5</w:t>
      </w:r>
      <w:r>
        <w:rPr>
          <w:sz w:val="20"/>
          <w:szCs w:val="20"/>
          <w:color w:val="auto"/>
        </w:rPr>
        <w:tab/>
      </w:r>
      <w:r>
        <w:rPr>
          <w:rFonts w:ascii="Arial" w:cs="Arial" w:eastAsia="Arial" w:hAnsi="Arial"/>
          <w:sz w:val="13"/>
          <w:szCs w:val="13"/>
          <w:color w:val="auto"/>
        </w:rPr>
        <w:t>Where a chairman is appointed he shall, unless unable to do so, preside at every meeting of directors.</w:t>
      </w:r>
    </w:p>
    <w:p>
      <w:pPr>
        <w:spacing w:after="0" w:line="212" w:lineRule="exact"/>
        <w:rPr>
          <w:sz w:val="20"/>
          <w:szCs w:val="20"/>
          <w:color w:val="auto"/>
        </w:rPr>
      </w:pPr>
    </w:p>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19.6</w:t>
      </w:r>
      <w:r>
        <w:rPr>
          <w:sz w:val="20"/>
          <w:szCs w:val="20"/>
          <w:color w:val="auto"/>
        </w:rPr>
        <w:tab/>
      </w:r>
      <w:r>
        <w:rPr>
          <w:rFonts w:ascii="Arial" w:cs="Arial" w:eastAsia="Arial" w:hAnsi="Arial"/>
          <w:sz w:val="16"/>
          <w:szCs w:val="16"/>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19.7</w:t>
      </w:r>
      <w:r>
        <w:rPr>
          <w:sz w:val="20"/>
          <w:szCs w:val="20"/>
          <w:color w:val="auto"/>
        </w:rPr>
        <w:tab/>
      </w:r>
      <w:r>
        <w:rPr>
          <w:rFonts w:ascii="Arial" w:cs="Arial" w:eastAsia="Arial" w:hAnsi="Arial"/>
          <w:sz w:val="13"/>
          <w:szCs w:val="13"/>
          <w:color w:val="auto"/>
        </w:rPr>
        <w:t>Subject to the provisions of the Law, the directors may also appoint any person, who need not be a director:</w:t>
      </w:r>
    </w:p>
    <w:p>
      <w:pPr>
        <w:spacing w:after="0" w:line="212" w:lineRule="exact"/>
        <w:rPr>
          <w:sz w:val="20"/>
          <w:szCs w:val="20"/>
          <w:color w:val="auto"/>
        </w:rPr>
      </w:pPr>
    </w:p>
    <w:p>
      <w:pPr>
        <w:ind w:left="1120" w:hanging="568"/>
        <w:spacing w:after="0"/>
        <w:tabs>
          <w:tab w:leader="none" w:pos="11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as Secretary; and</w:t>
      </w:r>
    </w:p>
    <w:p>
      <w:pPr>
        <w:spacing w:after="0" w:line="211" w:lineRule="exact"/>
        <w:rPr>
          <w:rFonts w:ascii="Arial" w:cs="Arial" w:eastAsia="Arial" w:hAnsi="Arial"/>
          <w:sz w:val="16"/>
          <w:szCs w:val="16"/>
          <w:color w:val="auto"/>
        </w:rPr>
      </w:pPr>
    </w:p>
    <w:p>
      <w:pPr>
        <w:ind w:left="1120" w:hanging="568"/>
        <w:spacing w:after="0" w:line="329" w:lineRule="auto"/>
        <w:tabs>
          <w:tab w:leader="none" w:pos="1120" w:val="left"/>
        </w:tabs>
        <w:numPr>
          <w:ilvl w:val="0"/>
          <w:numId w:val="305"/>
        </w:numPr>
        <w:rPr>
          <w:rFonts w:ascii="Arial" w:cs="Arial" w:eastAsia="Arial" w:hAnsi="Arial"/>
          <w:sz w:val="14"/>
          <w:szCs w:val="14"/>
          <w:color w:val="auto"/>
        </w:rPr>
      </w:pPr>
      <w:r>
        <w:rPr>
          <w:rFonts w:ascii="Arial" w:cs="Arial" w:eastAsia="Arial" w:hAnsi="Arial"/>
          <w:sz w:val="14"/>
          <w:szCs w:val="14"/>
          <w:color w:val="auto"/>
        </w:rPr>
        <w:t>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spacing w:after="0" w:line="132" w:lineRule="exact"/>
        <w:rPr>
          <w:sz w:val="20"/>
          <w:szCs w:val="20"/>
          <w:color w:val="auto"/>
        </w:rPr>
      </w:pPr>
    </w:p>
    <w:p>
      <w:pPr>
        <w:ind w:left="560" w:right="100"/>
        <w:spacing w:after="0" w:line="251" w:lineRule="auto"/>
        <w:rPr>
          <w:sz w:val="20"/>
          <w:szCs w:val="20"/>
          <w:color w:val="auto"/>
        </w:rPr>
      </w:pPr>
      <w:r>
        <w:rPr>
          <w:rFonts w:ascii="Arial" w:cs="Arial" w:eastAsia="Arial" w:hAnsi="Arial"/>
          <w:sz w:val="19"/>
          <w:szCs w:val="19"/>
          <w:color w:val="auto"/>
        </w:rPr>
        <w:t>for such period and on such terms, including as to remuneration, as they think fit. In the case of an Officer, that Officer may be given any title the directors decide.</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19.8</w:t>
      </w:r>
      <w:r>
        <w:rPr>
          <w:sz w:val="20"/>
          <w:szCs w:val="20"/>
          <w:color w:val="auto"/>
        </w:rPr>
        <w:tab/>
      </w:r>
      <w:r>
        <w:rPr>
          <w:rFonts w:ascii="Arial" w:cs="Arial" w:eastAsia="Arial" w:hAnsi="Arial"/>
          <w:sz w:val="14"/>
          <w:szCs w:val="14"/>
          <w:color w:val="auto"/>
        </w:rPr>
        <w:t>The Secretary or Officer must consent in writing to holding that office.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07" w:name="page308"/>
    <w:bookmarkEnd w:id="307"/>
    <w:p>
      <w:pPr>
        <w:spacing w:after="0"/>
        <w:tabs>
          <w:tab w:leader="none" w:pos="540" w:val="left"/>
        </w:tabs>
        <w:rPr>
          <w:sz w:val="20"/>
          <w:szCs w:val="20"/>
          <w:color w:val="auto"/>
        </w:rPr>
      </w:pPr>
      <w:r>
        <w:rPr>
          <w:rFonts w:ascii="Arial" w:cs="Arial" w:eastAsia="Arial" w:hAnsi="Arial"/>
          <w:sz w:val="16"/>
          <w:szCs w:val="16"/>
          <w:color w:val="auto"/>
        </w:rPr>
        <w:t>19.9</w:t>
      </w:r>
      <w:r>
        <w:rPr>
          <w:sz w:val="20"/>
          <w:szCs w:val="20"/>
          <w:color w:val="auto"/>
        </w:rPr>
        <w:tab/>
      </w:r>
      <w:r>
        <w:rPr>
          <w:rFonts w:ascii="Arial" w:cs="Arial" w:eastAsia="Arial" w:hAnsi="Arial"/>
          <w:sz w:val="14"/>
          <w:szCs w:val="14"/>
          <w:color w:val="auto"/>
        </w:rPr>
        <w:t>A director, Secretary or other Officer of the Company may not hold the office, or perform the services, of Auditor.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Remuneration</w:t>
      </w:r>
    </w:p>
    <w:p>
      <w:pPr>
        <w:spacing w:after="0" w:line="213" w:lineRule="exact"/>
        <w:rPr>
          <w:sz w:val="20"/>
          <w:szCs w:val="20"/>
          <w:color w:val="auto"/>
        </w:rPr>
      </w:pPr>
    </w:p>
    <w:p>
      <w:pPr>
        <w:ind w:left="560" w:right="40" w:hanging="558"/>
        <w:spacing w:after="0" w:line="248" w:lineRule="auto"/>
        <w:tabs>
          <w:tab w:leader="none" w:pos="540" w:val="left"/>
        </w:tabs>
        <w:rPr>
          <w:sz w:val="20"/>
          <w:szCs w:val="20"/>
          <w:color w:val="auto"/>
        </w:rPr>
      </w:pPr>
      <w:r>
        <w:rPr>
          <w:rFonts w:ascii="Arial" w:cs="Arial" w:eastAsia="Arial" w:hAnsi="Arial"/>
          <w:sz w:val="16"/>
          <w:szCs w:val="16"/>
          <w:color w:val="auto"/>
        </w:rPr>
        <w:t>19.10</w:t>
        <w:tab/>
        <w:t>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spacing w:after="0" w:line="194"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19.11</w:t>
        <w:tab/>
        <w:t>Remuneration may take any form and may include arrangements to pay pensions, health insurance, death or sickness benefits, whether to the director or to any other person connected to or related to him.</w:t>
      </w:r>
    </w:p>
    <w:p>
      <w:pPr>
        <w:spacing w:after="0" w:line="186" w:lineRule="exact"/>
        <w:rPr>
          <w:sz w:val="20"/>
          <w:szCs w:val="20"/>
          <w:color w:val="auto"/>
        </w:rPr>
      </w:pPr>
    </w:p>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19.12</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 of information</w:t>
      </w:r>
    </w:p>
    <w:p>
      <w:pPr>
        <w:spacing w:after="0" w:line="213"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19.13</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93" w:lineRule="exact"/>
        <w:rPr>
          <w:sz w:val="20"/>
          <w:szCs w:val="20"/>
          <w:color w:val="auto"/>
        </w:rPr>
      </w:pPr>
    </w:p>
    <w:p>
      <w:pPr>
        <w:ind w:left="1120" w:hanging="568"/>
        <w:spacing w:after="0"/>
        <w:tabs>
          <w:tab w:leader="none" w:pos="1120" w:val="left"/>
        </w:tabs>
        <w:numPr>
          <w:ilvl w:val="0"/>
          <w:numId w:val="306"/>
        </w:numPr>
        <w:rPr>
          <w:rFonts w:ascii="Arial" w:cs="Arial" w:eastAsia="Arial" w:hAnsi="Arial"/>
          <w:sz w:val="14"/>
          <w:szCs w:val="14"/>
          <w:color w:val="auto"/>
        </w:rPr>
      </w:pPr>
      <w:r>
        <w:rPr>
          <w:rFonts w:ascii="Arial" w:cs="Arial" w:eastAsia="Arial" w:hAnsi="Arial"/>
          <w:sz w:val="14"/>
          <w:szCs w:val="14"/>
          <w:color w:val="auto"/>
        </w:rPr>
        <w:t>the Company or that person, as the case may be, is lawfully required to do so under the laws of any jurisdiction to which the Company is subject; or</w:t>
      </w:r>
    </w:p>
    <w:p>
      <w:pPr>
        <w:spacing w:after="0" w:line="234" w:lineRule="exact"/>
        <w:rPr>
          <w:rFonts w:ascii="Arial" w:cs="Arial" w:eastAsia="Arial" w:hAnsi="Arial"/>
          <w:sz w:val="14"/>
          <w:szCs w:val="14"/>
          <w:color w:val="auto"/>
        </w:rPr>
      </w:pPr>
    </w:p>
    <w:p>
      <w:pPr>
        <w:ind w:left="1120" w:hanging="568"/>
        <w:spacing w:after="0"/>
        <w:tabs>
          <w:tab w:leader="none" w:pos="11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such disclosure is in compliance with the rules of any stock exchange upon which the Company’s shares are listed;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such disclosure is in accordance with any contract entered into by the Company;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directors are of the opinion such disclosure would assist or facilitate the Company’s operations.</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auto"/>
        </w:rPr>
        <w:t>Delegation of powers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delegate any of the directors’ powers to a committee</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20.2</w:t>
      </w:r>
      <w:r>
        <w:rPr>
          <w:sz w:val="20"/>
          <w:szCs w:val="20"/>
          <w:color w:val="auto"/>
        </w:rPr>
        <w:tab/>
      </w:r>
      <w:r>
        <w:rPr>
          <w:rFonts w:ascii="Arial" w:cs="Arial" w:eastAsia="Arial" w:hAnsi="Arial"/>
          <w:sz w:val="14"/>
          <w:szCs w:val="14"/>
          <w:color w:val="auto"/>
        </w:rPr>
        <w:t>The delegation may be collateral with, or to the exclusion of, the directors’ own powers.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8" w:name="page309"/>
    <w:bookmarkEnd w:id="308"/>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20.3</w:t>
      </w:r>
      <w:r>
        <w:rPr>
          <w:sz w:val="20"/>
          <w:szCs w:val="20"/>
          <w:color w:val="auto"/>
        </w:rPr>
        <w:tab/>
      </w:r>
      <w:r>
        <w:rPr>
          <w:rFonts w:ascii="Arial" w:cs="Arial" w:eastAsia="Arial" w:hAnsi="Arial"/>
          <w:sz w:val="16"/>
          <w:szCs w:val="16"/>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20.4</w:t>
      </w:r>
      <w:r>
        <w:rPr>
          <w:sz w:val="20"/>
          <w:szCs w:val="20"/>
          <w:color w:val="auto"/>
        </w:rPr>
        <w:tab/>
      </w:r>
      <w:r>
        <w:rPr>
          <w:rFonts w:ascii="Arial" w:cs="Arial" w:eastAsia="Arial" w:hAnsi="Arial"/>
          <w:sz w:val="14"/>
          <w:szCs w:val="14"/>
          <w:color w:val="auto"/>
        </w:rPr>
        <w:t>Unless otherwise permitted by the directors, a committee must follow the procedures prescribed for the taking of decisions by directors.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appoint an agent of the Company</w:t>
      </w:r>
    </w:p>
    <w:p>
      <w:pPr>
        <w:spacing w:after="0" w:line="213" w:lineRule="exact"/>
        <w:rPr>
          <w:sz w:val="20"/>
          <w:szCs w:val="20"/>
          <w:color w:val="auto"/>
        </w:rPr>
      </w:pPr>
    </w:p>
    <w:p>
      <w:pPr>
        <w:ind w:left="560" w:right="400" w:hanging="558"/>
        <w:spacing w:after="0" w:line="258" w:lineRule="auto"/>
        <w:tabs>
          <w:tab w:leader="none" w:pos="540" w:val="left"/>
        </w:tabs>
        <w:rPr>
          <w:sz w:val="20"/>
          <w:szCs w:val="20"/>
          <w:color w:val="auto"/>
        </w:rPr>
      </w:pPr>
      <w:r>
        <w:rPr>
          <w:rFonts w:ascii="Arial" w:cs="Arial" w:eastAsia="Arial" w:hAnsi="Arial"/>
          <w:sz w:val="16"/>
          <w:szCs w:val="16"/>
          <w:color w:val="auto"/>
        </w:rPr>
        <w:t>20.5</w:t>
      </w:r>
      <w:r>
        <w:rPr>
          <w:sz w:val="20"/>
          <w:szCs w:val="20"/>
          <w:color w:val="auto"/>
        </w:rPr>
        <w:tab/>
      </w:r>
      <w:r>
        <w:rPr>
          <w:rFonts w:ascii="Arial" w:cs="Arial" w:eastAsia="Arial" w:hAnsi="Arial"/>
          <w:sz w:val="16"/>
          <w:szCs w:val="16"/>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86" w:lineRule="exact"/>
        <w:rPr>
          <w:sz w:val="20"/>
          <w:szCs w:val="20"/>
          <w:color w:val="auto"/>
        </w:rPr>
      </w:pPr>
    </w:p>
    <w:p>
      <w:pPr>
        <w:ind w:left="1120" w:hanging="568"/>
        <w:spacing w:after="0"/>
        <w:tabs>
          <w:tab w:leader="none" w:pos="112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by causing the Company to enter into a power of attorney or agreement;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in any other manner they determine.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appoint an attorney or authorised signatory of the Company</w:t>
      </w:r>
    </w:p>
    <w:p>
      <w:pPr>
        <w:spacing w:after="0" w:line="213" w:lineRule="exact"/>
        <w:rPr>
          <w:sz w:val="20"/>
          <w:szCs w:val="20"/>
          <w:color w:val="auto"/>
        </w:rPr>
      </w:pPr>
    </w:p>
    <w:p>
      <w:pPr>
        <w:ind w:left="560" w:right="560" w:hanging="558"/>
        <w:spacing w:after="0" w:line="258" w:lineRule="auto"/>
        <w:tabs>
          <w:tab w:leader="none" w:pos="540" w:val="left"/>
        </w:tabs>
        <w:rPr>
          <w:sz w:val="20"/>
          <w:szCs w:val="20"/>
          <w:color w:val="auto"/>
        </w:rPr>
      </w:pPr>
      <w:r>
        <w:rPr>
          <w:rFonts w:ascii="Arial" w:cs="Arial" w:eastAsia="Arial" w:hAnsi="Arial"/>
          <w:sz w:val="16"/>
          <w:szCs w:val="16"/>
          <w:color w:val="auto"/>
        </w:rPr>
        <w:t>20.6</w:t>
      </w:r>
      <w:r>
        <w:rPr>
          <w:sz w:val="20"/>
          <w:szCs w:val="20"/>
          <w:color w:val="auto"/>
        </w:rPr>
        <w:tab/>
      </w:r>
      <w:r>
        <w:rPr>
          <w:rFonts w:ascii="Arial" w:cs="Arial" w:eastAsia="Arial" w:hAnsi="Arial"/>
          <w:sz w:val="16"/>
          <w:szCs w:val="16"/>
          <w:color w:val="auto"/>
        </w:rPr>
        <w:t>The directors may appoint any person, whether nominated directly or indirectly by the directors, to be the attorney or the authorised signatory of the Company. The appointment may be:</w:t>
      </w:r>
    </w:p>
    <w:p>
      <w:pPr>
        <w:spacing w:after="0" w:line="186" w:lineRule="exact"/>
        <w:rPr>
          <w:sz w:val="20"/>
          <w:szCs w:val="20"/>
          <w:color w:val="auto"/>
        </w:rPr>
      </w:pPr>
    </w:p>
    <w:p>
      <w:pPr>
        <w:ind w:left="1120" w:hanging="568"/>
        <w:spacing w:after="0"/>
        <w:tabs>
          <w:tab w:leader="none" w:pos="11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for any purpose;</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with the powers, authorities and discretions;</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for the period;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subject to such conditions</w:t>
      </w:r>
    </w:p>
    <w:p>
      <w:pPr>
        <w:spacing w:after="0" w:line="203" w:lineRule="exact"/>
        <w:rPr>
          <w:sz w:val="20"/>
          <w:szCs w:val="20"/>
          <w:color w:val="auto"/>
        </w:rPr>
      </w:pPr>
    </w:p>
    <w:p>
      <w:pPr>
        <w:ind w:left="560"/>
        <w:spacing w:after="0" w:line="251" w:lineRule="auto"/>
        <w:rPr>
          <w:sz w:val="20"/>
          <w:szCs w:val="20"/>
          <w:color w:val="auto"/>
        </w:rPr>
      </w:pPr>
      <w:r>
        <w:rPr>
          <w:rFonts w:ascii="Arial" w:cs="Arial" w:eastAsia="Arial" w:hAnsi="Arial"/>
          <w:sz w:val="19"/>
          <w:szCs w:val="19"/>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80" w:lineRule="exact"/>
        <w:rPr>
          <w:sz w:val="20"/>
          <w:szCs w:val="20"/>
          <w:color w:val="auto"/>
        </w:rPr>
      </w:pPr>
    </w:p>
    <w:p>
      <w:pPr>
        <w:jc w:val="both"/>
        <w:ind w:left="560" w:right="40" w:hanging="558"/>
        <w:spacing w:after="0" w:line="250" w:lineRule="auto"/>
        <w:tabs>
          <w:tab w:leader="none" w:pos="540" w:val="left"/>
        </w:tabs>
        <w:rPr>
          <w:sz w:val="20"/>
          <w:szCs w:val="20"/>
          <w:color w:val="auto"/>
        </w:rPr>
      </w:pPr>
      <w:r>
        <w:rPr>
          <w:rFonts w:ascii="Arial" w:cs="Arial" w:eastAsia="Arial" w:hAnsi="Arial"/>
          <w:sz w:val="16"/>
          <w:szCs w:val="16"/>
          <w:color w:val="auto"/>
        </w:rPr>
        <w:t>20.7</w:t>
      </w:r>
      <w:r>
        <w:rPr>
          <w:sz w:val="20"/>
          <w:szCs w:val="20"/>
          <w:color w:val="auto"/>
        </w:rPr>
        <w:tab/>
      </w:r>
      <w:r>
        <w:rPr>
          <w:rFonts w:ascii="Arial" w:cs="Arial" w:eastAsia="Arial" w:hAnsi="Arial"/>
          <w:sz w:val="16"/>
          <w:szCs w:val="16"/>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appoint a proxy</w:t>
      </w:r>
    </w:p>
    <w:p>
      <w:pPr>
        <w:spacing w:after="0" w:line="213" w:lineRule="exact"/>
        <w:rPr>
          <w:sz w:val="20"/>
          <w:szCs w:val="20"/>
          <w:color w:val="auto"/>
        </w:rPr>
      </w:pPr>
    </w:p>
    <w:p>
      <w:pPr>
        <w:ind w:left="560" w:right="100" w:hanging="558"/>
        <w:spacing w:after="0" w:line="258" w:lineRule="auto"/>
        <w:tabs>
          <w:tab w:leader="none" w:pos="540" w:val="left"/>
        </w:tabs>
        <w:rPr>
          <w:sz w:val="20"/>
          <w:szCs w:val="20"/>
          <w:color w:val="auto"/>
        </w:rPr>
      </w:pPr>
      <w:r>
        <w:rPr>
          <w:rFonts w:ascii="Arial" w:cs="Arial" w:eastAsia="Arial" w:hAnsi="Arial"/>
          <w:sz w:val="16"/>
          <w:szCs w:val="16"/>
          <w:color w:val="auto"/>
        </w:rPr>
        <w:t>20.8</w:t>
      </w:r>
      <w:r>
        <w:rPr>
          <w:sz w:val="20"/>
          <w:szCs w:val="20"/>
          <w:color w:val="auto"/>
        </w:rPr>
        <w:tab/>
      </w:r>
      <w:r>
        <w:rPr>
          <w:rFonts w:ascii="Arial" w:cs="Arial" w:eastAsia="Arial" w:hAnsi="Arial"/>
          <w:sz w:val="16"/>
          <w:szCs w:val="16"/>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20.9</w:t>
      </w:r>
      <w:r>
        <w:rPr>
          <w:sz w:val="20"/>
          <w:szCs w:val="20"/>
          <w:color w:val="auto"/>
        </w:rPr>
        <w:tab/>
      </w:r>
      <w:r>
        <w:rPr>
          <w:rFonts w:ascii="Arial" w:cs="Arial" w:eastAsia="Arial" w:hAnsi="Arial"/>
          <w:sz w:val="14"/>
          <w:szCs w:val="14"/>
          <w:color w:val="auto"/>
        </w:rPr>
        <w:t>Articles 18.1 to 18.4 inclusive (relating to the appointment by directors of alternate directors) apply, mutatis mutandis, to the appointment of proxies by directors.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9" w:name="page310"/>
    <w:bookmarkEnd w:id="309"/>
    <w:p>
      <w:pPr>
        <w:spacing w:after="0"/>
        <w:tabs>
          <w:tab w:leader="none" w:pos="540" w:val="left"/>
        </w:tabs>
        <w:rPr>
          <w:sz w:val="20"/>
          <w:szCs w:val="20"/>
          <w:color w:val="auto"/>
        </w:rPr>
      </w:pPr>
      <w:r>
        <w:rPr>
          <w:rFonts w:ascii="Arial" w:cs="Arial" w:eastAsia="Arial" w:hAnsi="Arial"/>
          <w:sz w:val="16"/>
          <w:szCs w:val="16"/>
          <w:color w:val="auto"/>
        </w:rPr>
        <w:t>20.10</w:t>
      </w:r>
      <w:r>
        <w:rPr>
          <w:sz w:val="20"/>
          <w:szCs w:val="20"/>
          <w:color w:val="auto"/>
        </w:rPr>
        <w:tab/>
      </w:r>
      <w:r>
        <w:rPr>
          <w:rFonts w:ascii="Arial" w:cs="Arial" w:eastAsia="Arial" w:hAnsi="Arial"/>
          <w:sz w:val="14"/>
          <w:szCs w:val="14"/>
          <w:color w:val="auto"/>
        </w:rPr>
        <w:t>A proxy is an agent of the director appointing him and is not an officer of the Company.</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6"/>
          <w:szCs w:val="16"/>
          <w:b w:val="1"/>
          <w:bCs w:val="1"/>
          <w:color w:val="auto"/>
        </w:rPr>
        <w:t>Meetings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 of directors’ meetings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Subject to the provisions of these Articles, the directors may regulate their proceedings as they think fit.</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Calling meetings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color w:val="auto"/>
        </w:rPr>
        <w:t>Any director may call a meeting of directors at any time. The Secretary, if any, must call a meeting of the directors if requested to do so by a director.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meetings</w:t>
      </w:r>
    </w:p>
    <w:p>
      <w:pPr>
        <w:spacing w:after="0" w:line="213" w:lineRule="exact"/>
        <w:rPr>
          <w:sz w:val="20"/>
          <w:szCs w:val="20"/>
          <w:color w:val="auto"/>
        </w:rPr>
      </w:pPr>
    </w:p>
    <w:p>
      <w:pPr>
        <w:ind w:left="560" w:right="60" w:hanging="558"/>
        <w:spacing w:after="0" w:line="258" w:lineRule="auto"/>
        <w:tabs>
          <w:tab w:leader="none" w:pos="54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color w:val="auto"/>
        </w:rPr>
        <w:t>Every director shall be given notice of a meeting, although a director may waive retrospectively the requirement to be given notice. Notice may be oral. Attendance at a meeting without written objection shall be deemed to be a waiver of such notice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Period of notice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color w:val="auto"/>
        </w:rPr>
        <w:t>At least five Clear Days’ notice of a meeting of directors must be given to directors. A meeting may be convened on shorter notice with the consent of all directors.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technology</w:t>
      </w:r>
    </w:p>
    <w:p>
      <w:pPr>
        <w:spacing w:after="0" w:line="213" w:lineRule="exact"/>
        <w:rPr>
          <w:sz w:val="20"/>
          <w:szCs w:val="20"/>
          <w:color w:val="auto"/>
        </w:rPr>
      </w:pPr>
    </w:p>
    <w:p>
      <w:pPr>
        <w:ind w:left="560" w:right="180" w:hanging="558"/>
        <w:spacing w:after="0" w:line="258" w:lineRule="auto"/>
        <w:tabs>
          <w:tab w:leader="none" w:pos="540" w:val="left"/>
        </w:tabs>
        <w:rPr>
          <w:sz w:val="20"/>
          <w:szCs w:val="20"/>
          <w:color w:val="auto"/>
        </w:rPr>
      </w:pPr>
      <w:r>
        <w:rPr>
          <w:rFonts w:ascii="Arial" w:cs="Arial" w:eastAsia="Arial" w:hAnsi="Arial"/>
          <w:sz w:val="16"/>
          <w:szCs w:val="16"/>
          <w:color w:val="auto"/>
        </w:rPr>
        <w:t>21.5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4"/>
          <w:szCs w:val="14"/>
          <w:color w:val="auto"/>
        </w:rPr>
        <w:t>A director participating in this way is deemed to be present in person at the meeting.</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Place of meetings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21.7</w:t>
      </w:r>
      <w:r>
        <w:rPr>
          <w:sz w:val="20"/>
          <w:szCs w:val="20"/>
          <w:color w:val="auto"/>
        </w:rPr>
        <w:tab/>
      </w:r>
      <w:r>
        <w:rPr>
          <w:rFonts w:ascii="Arial" w:cs="Arial" w:eastAsia="Arial" w:hAnsi="Arial"/>
          <w:sz w:val="14"/>
          <w:szCs w:val="14"/>
          <w:color w:val="auto"/>
        </w:rPr>
        <w:t>If all the directors participating in a meeting are not in the same place, they may decide that the meeting is to be treated as taking place wherever any of them is.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Quorum</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21.8</w:t>
      </w:r>
      <w:r>
        <w:rPr>
          <w:sz w:val="20"/>
          <w:szCs w:val="20"/>
          <w:color w:val="auto"/>
        </w:rPr>
        <w:tab/>
      </w:r>
      <w:r>
        <w:rPr>
          <w:rFonts w:ascii="Arial" w:cs="Arial" w:eastAsia="Arial" w:hAnsi="Arial"/>
          <w:sz w:val="13"/>
          <w:szCs w:val="13"/>
          <w:color w:val="auto"/>
        </w:rPr>
        <w:t>The quorum for the transaction of business at a meeting of directors shall be two unless the directors fix some other number or unless the Company has only one director.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21.9</w:t>
      </w:r>
      <w:r>
        <w:rPr>
          <w:sz w:val="20"/>
          <w:szCs w:val="20"/>
          <w:color w:val="auto"/>
        </w:rPr>
        <w:tab/>
      </w:r>
      <w:r>
        <w:rPr>
          <w:rFonts w:ascii="Arial" w:cs="Arial" w:eastAsia="Arial" w:hAnsi="Arial"/>
          <w:sz w:val="14"/>
          <w:szCs w:val="14"/>
          <w:color w:val="auto"/>
        </w:rPr>
        <w:t>A question which arises at a board meeting shall be decided by a majority of votes. If votes are equal the chairman may, if he wishes, exercise a casting vote.</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060"/>
          </w:cols>
          <w:pgMar w:left="320" w:top="129" w:right="519" w:bottom="1440" w:gutter="0" w:footer="0" w:header="0"/>
        </w:sectPr>
      </w:pPr>
    </w:p>
    <w:bookmarkStart w:id="310" w:name="page311"/>
    <w:bookmarkEnd w:id="310"/>
    <w:p>
      <w:pPr>
        <w:spacing w:after="0"/>
        <w:rPr>
          <w:sz w:val="20"/>
          <w:szCs w:val="20"/>
          <w:color w:val="auto"/>
        </w:rPr>
      </w:pPr>
      <w:r>
        <w:rPr>
          <w:rFonts w:ascii="Arial" w:cs="Arial" w:eastAsia="Arial" w:hAnsi="Arial"/>
          <w:sz w:val="19"/>
          <w:szCs w:val="19"/>
          <w:b w:val="1"/>
          <w:bCs w:val="1"/>
          <w:color w:val="auto"/>
        </w:rPr>
        <w:t>Validity</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21.10</w:t>
        <w:tab/>
        <w:t>Anything done at a meeting of directors is unaffected by the fact that it is later discovered that any person was not properly appointed, or had ceased to be a director, or was otherwise not entitled to vote.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Recording of dissent</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21.11</w:t>
      </w:r>
      <w:r>
        <w:rPr>
          <w:sz w:val="20"/>
          <w:szCs w:val="20"/>
          <w:color w:val="auto"/>
        </w:rPr>
        <w:tab/>
      </w:r>
      <w:r>
        <w:rPr>
          <w:rFonts w:ascii="Arial" w:cs="Arial" w:eastAsia="Arial" w:hAnsi="Arial"/>
          <w:sz w:val="13"/>
          <w:szCs w:val="13"/>
          <w:color w:val="auto"/>
        </w:rPr>
        <w:t>A director present at a meeting of directors shall be presumed to have assented to any action taken at that meeting unless:</w:t>
      </w:r>
    </w:p>
    <w:p>
      <w:pPr>
        <w:spacing w:after="0" w:line="212" w:lineRule="exact"/>
        <w:rPr>
          <w:sz w:val="20"/>
          <w:szCs w:val="20"/>
          <w:color w:val="auto"/>
        </w:rPr>
      </w:pPr>
    </w:p>
    <w:p>
      <w:pPr>
        <w:ind w:left="1120" w:hanging="568"/>
        <w:spacing w:after="0"/>
        <w:tabs>
          <w:tab w:leader="none" w:pos="11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his dissent is entered in the minutes of the meeting;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he has filed with the meeting before it is concluded signed dissent from that action;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he has forwarded to the Company as soon as practical following the conclusion of that meeting signed dissent.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 director who votes in favour of an action is not entitled to record his dissent to it.</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Written resolutions</w:t>
      </w:r>
    </w:p>
    <w:p>
      <w:pPr>
        <w:spacing w:after="0" w:line="213" w:lineRule="exact"/>
        <w:rPr>
          <w:sz w:val="20"/>
          <w:szCs w:val="20"/>
          <w:color w:val="auto"/>
        </w:rPr>
      </w:pPr>
    </w:p>
    <w:p>
      <w:pPr>
        <w:ind w:left="560" w:right="120" w:hanging="558"/>
        <w:spacing w:after="0" w:line="258" w:lineRule="auto"/>
        <w:tabs>
          <w:tab w:leader="none" w:pos="540" w:val="left"/>
        </w:tabs>
        <w:rPr>
          <w:sz w:val="20"/>
          <w:szCs w:val="20"/>
          <w:color w:val="auto"/>
        </w:rPr>
      </w:pPr>
      <w:r>
        <w:rPr>
          <w:rFonts w:ascii="Arial" w:cs="Arial" w:eastAsia="Arial" w:hAnsi="Arial"/>
          <w:sz w:val="16"/>
          <w:szCs w:val="16"/>
          <w:color w:val="auto"/>
        </w:rPr>
        <w:t>21.12</w:t>
        <w:tab/>
        <w:t>The directors may pass a resolution in writing without holding a meeting if all directors sign a document or sign several documents in the like form each signed by one or more of those directors.</w:t>
      </w:r>
    </w:p>
    <w:p>
      <w:pPr>
        <w:spacing w:after="0" w:line="186" w:lineRule="exact"/>
        <w:rPr>
          <w:sz w:val="20"/>
          <w:szCs w:val="20"/>
          <w:color w:val="auto"/>
        </w:rPr>
      </w:pPr>
    </w:p>
    <w:p>
      <w:pPr>
        <w:ind w:left="560" w:right="300" w:hanging="558"/>
        <w:spacing w:after="0" w:line="329" w:lineRule="auto"/>
        <w:tabs>
          <w:tab w:leader="none" w:pos="540" w:val="left"/>
        </w:tabs>
        <w:rPr>
          <w:sz w:val="20"/>
          <w:szCs w:val="20"/>
          <w:color w:val="auto"/>
        </w:rPr>
      </w:pPr>
      <w:r>
        <w:rPr>
          <w:rFonts w:ascii="Arial" w:cs="Arial" w:eastAsia="Arial" w:hAnsi="Arial"/>
          <w:sz w:val="16"/>
          <w:szCs w:val="16"/>
          <w:color w:val="auto"/>
        </w:rPr>
        <w:t>21.13</w:t>
      </w:r>
      <w:r>
        <w:rPr>
          <w:sz w:val="20"/>
          <w:szCs w:val="20"/>
          <w:color w:val="auto"/>
        </w:rPr>
        <w:tab/>
      </w:r>
      <w:r>
        <w:rPr>
          <w:rFonts w:ascii="Arial" w:cs="Arial" w:eastAsia="Arial" w:hAnsi="Arial"/>
          <w:sz w:val="14"/>
          <w:szCs w:val="14"/>
          <w:color w:val="auto"/>
        </w:rPr>
        <w:t>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spacing w:after="0" w:line="140" w:lineRule="exact"/>
        <w:rPr>
          <w:sz w:val="20"/>
          <w:szCs w:val="20"/>
          <w:color w:val="auto"/>
        </w:rPr>
      </w:pPr>
    </w:p>
    <w:p>
      <w:pPr>
        <w:ind w:left="560" w:right="160" w:hanging="558"/>
        <w:spacing w:after="0" w:line="258" w:lineRule="auto"/>
        <w:tabs>
          <w:tab w:leader="none" w:pos="540" w:val="left"/>
        </w:tabs>
        <w:rPr>
          <w:sz w:val="20"/>
          <w:szCs w:val="20"/>
          <w:color w:val="auto"/>
        </w:rPr>
      </w:pPr>
      <w:r>
        <w:rPr>
          <w:rFonts w:ascii="Arial" w:cs="Arial" w:eastAsia="Arial" w:hAnsi="Arial"/>
          <w:sz w:val="16"/>
          <w:szCs w:val="16"/>
          <w:color w:val="auto"/>
        </w:rPr>
        <w:t>21.14</w:t>
        <w:tab/>
        <w:t>Such written resolution shall be as effective as if it had been passed at a meeting of the directors duly convened and held; and it shall be treated as having been passed on the day and at the time that the last director signs.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Sole director’s minute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21.15</w:t>
      </w:r>
      <w:r>
        <w:rPr>
          <w:sz w:val="20"/>
          <w:szCs w:val="20"/>
          <w:color w:val="auto"/>
        </w:rPr>
        <w:tab/>
      </w:r>
      <w:r>
        <w:rPr>
          <w:rFonts w:ascii="Arial" w:cs="Arial" w:eastAsia="Arial" w:hAnsi="Arial"/>
          <w:sz w:val="13"/>
          <w:szCs w:val="13"/>
          <w:color w:val="auto"/>
        </w:rPr>
        <w:t>Where a sole director signs a minute recording his decision on a question, that record shall constitute the passing of a resolution in those terms.</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auto"/>
        </w:rPr>
        <w:t>Permissible directors’ interests and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Permissible interests subject to disclosure</w:t>
      </w:r>
    </w:p>
    <w:p>
      <w:pPr>
        <w:spacing w:after="0" w:line="213" w:lineRule="exact"/>
        <w:rPr>
          <w:sz w:val="20"/>
          <w:szCs w:val="20"/>
          <w:color w:val="auto"/>
        </w:rPr>
      </w:pPr>
    </w:p>
    <w:p>
      <w:pPr>
        <w:ind w:left="560" w:right="100" w:hanging="558"/>
        <w:spacing w:after="0" w:line="258" w:lineRule="auto"/>
        <w:tabs>
          <w:tab w:leader="none" w:pos="540"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6"/>
          <w:szCs w:val="16"/>
          <w:color w:val="auto"/>
        </w:rPr>
        <w:t>Save as expressly permitted by these Articles or as set out below, a director may not have a direct or indirect interest or duty which conflicts or may possibly conflict with the interests of the Company.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11" w:name="page312"/>
    <w:bookmarkEnd w:id="311"/>
    <w:p>
      <w:pPr>
        <w:ind w:left="560" w:right="200" w:hanging="558"/>
        <w:spacing w:after="0" w:line="258" w:lineRule="auto"/>
        <w:tabs>
          <w:tab w:leader="none" w:pos="54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If, notwithstanding the prohibition in the preceding Article, a director discloses to his fellow directors the nature and extent of any material interest or duty in accordance with the next Article, he may:</w:t>
      </w:r>
    </w:p>
    <w:p>
      <w:pPr>
        <w:spacing w:after="0" w:line="186" w:lineRule="exact"/>
        <w:rPr>
          <w:sz w:val="20"/>
          <w:szCs w:val="20"/>
          <w:color w:val="auto"/>
        </w:rPr>
      </w:pPr>
    </w:p>
    <w:p>
      <w:pPr>
        <w:ind w:left="1120" w:hanging="568"/>
        <w:spacing w:after="0"/>
        <w:tabs>
          <w:tab w:leader="none" w:pos="112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be a party to, or otherwise interested in, any transaction or arrangement with the Company or in which the Company is or may otherwise be interested; or</w:t>
      </w:r>
    </w:p>
    <w:p>
      <w:pPr>
        <w:spacing w:after="0" w:line="234" w:lineRule="exact"/>
        <w:rPr>
          <w:rFonts w:ascii="Arial" w:cs="Arial" w:eastAsia="Arial" w:hAnsi="Arial"/>
          <w:sz w:val="14"/>
          <w:szCs w:val="14"/>
          <w:color w:val="auto"/>
        </w:rPr>
      </w:pPr>
    </w:p>
    <w:p>
      <w:pPr>
        <w:ind w:left="1120" w:right="160" w:hanging="568"/>
        <w:spacing w:after="0" w:line="329" w:lineRule="auto"/>
        <w:tabs>
          <w:tab w:leader="none" w:pos="112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140" w:lineRule="exact"/>
        <w:rPr>
          <w:sz w:val="20"/>
          <w:szCs w:val="20"/>
          <w:color w:val="auto"/>
        </w:rPr>
      </w:pPr>
    </w:p>
    <w:p>
      <w:pPr>
        <w:jc w:val="both"/>
        <w:ind w:left="560" w:right="20" w:hanging="558"/>
        <w:spacing w:after="0" w:line="250" w:lineRule="auto"/>
        <w:tabs>
          <w:tab w:leader="none" w:pos="54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93"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22.4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 of interests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22.5</w:t>
      </w:r>
      <w:r>
        <w:rPr>
          <w:sz w:val="20"/>
          <w:szCs w:val="20"/>
          <w:color w:val="auto"/>
        </w:rPr>
        <w:tab/>
      </w:r>
      <w:r>
        <w:rPr>
          <w:rFonts w:ascii="Arial" w:cs="Arial" w:eastAsia="Arial" w:hAnsi="Arial"/>
          <w:sz w:val="14"/>
          <w:szCs w:val="14"/>
          <w:color w:val="auto"/>
        </w:rPr>
        <w:t>For the purposes of the preceding Articles:</w:t>
      </w:r>
    </w:p>
    <w:p>
      <w:pPr>
        <w:spacing w:after="0" w:line="212" w:lineRule="exact"/>
        <w:rPr>
          <w:sz w:val="20"/>
          <w:szCs w:val="20"/>
          <w:color w:val="auto"/>
        </w:rPr>
      </w:pPr>
    </w:p>
    <w:p>
      <w:pPr>
        <w:jc w:val="both"/>
        <w:ind w:left="1120" w:right="400" w:hanging="568"/>
        <w:spacing w:after="0" w:line="250" w:lineRule="auto"/>
        <w:tabs>
          <w:tab w:leader="none" w:pos="112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192" w:lineRule="exact"/>
        <w:rPr>
          <w:rFonts w:ascii="Arial" w:cs="Arial" w:eastAsia="Arial" w:hAnsi="Arial"/>
          <w:sz w:val="16"/>
          <w:szCs w:val="16"/>
          <w:color w:val="auto"/>
        </w:rPr>
      </w:pPr>
    </w:p>
    <w:p>
      <w:pPr>
        <w:ind w:left="1120" w:hanging="568"/>
        <w:spacing w:after="0"/>
        <w:tabs>
          <w:tab w:leader="none" w:pos="1120" w:val="left"/>
        </w:tabs>
        <w:numPr>
          <w:ilvl w:val="0"/>
          <w:numId w:val="311"/>
        </w:numPr>
        <w:rPr>
          <w:rFonts w:ascii="Arial" w:cs="Arial" w:eastAsia="Arial" w:hAnsi="Arial"/>
          <w:sz w:val="14"/>
          <w:szCs w:val="14"/>
          <w:color w:val="auto"/>
        </w:rPr>
      </w:pPr>
      <w:r>
        <w:rPr>
          <w:rFonts w:ascii="Arial" w:cs="Arial" w:eastAsia="Arial" w:hAnsi="Arial"/>
          <w:sz w:val="14"/>
          <w:szCs w:val="14"/>
          <w:color w:val="auto"/>
        </w:rPr>
        <w:t>an interest of which a director has no knowledge and of which it is unreasonable to expect him to have knowledge shall not be treated as an interest of his.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where a director is interested in a matter</w:t>
      </w:r>
    </w:p>
    <w:p>
      <w:pPr>
        <w:spacing w:after="0" w:line="213" w:lineRule="exact"/>
        <w:rPr>
          <w:sz w:val="20"/>
          <w:szCs w:val="20"/>
          <w:color w:val="auto"/>
        </w:rPr>
      </w:pPr>
    </w:p>
    <w:p>
      <w:pPr>
        <w:ind w:left="560" w:right="60" w:hanging="558"/>
        <w:spacing w:after="0" w:line="250" w:lineRule="auto"/>
        <w:tabs>
          <w:tab w:leader="none" w:pos="540" w:val="left"/>
        </w:tabs>
        <w:rPr>
          <w:sz w:val="20"/>
          <w:szCs w:val="20"/>
          <w:color w:val="auto"/>
        </w:rPr>
      </w:pPr>
      <w:r>
        <w:rPr>
          <w:rFonts w:ascii="Arial" w:cs="Arial" w:eastAsia="Arial" w:hAnsi="Arial"/>
          <w:sz w:val="16"/>
          <w:szCs w:val="16"/>
          <w:color w:val="auto"/>
        </w:rPr>
        <w:t>22.6</w:t>
      </w:r>
      <w:r>
        <w:rPr>
          <w:sz w:val="20"/>
          <w:szCs w:val="20"/>
          <w:color w:val="auto"/>
        </w:rPr>
        <w:tab/>
      </w:r>
      <w:r>
        <w:rPr>
          <w:rFonts w:ascii="Arial" w:cs="Arial" w:eastAsia="Arial" w:hAnsi="Arial"/>
          <w:sz w:val="16"/>
          <w:szCs w:val="16"/>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93" w:lineRule="exact"/>
        <w:rPr>
          <w:sz w:val="20"/>
          <w:szCs w:val="20"/>
          <w:color w:val="auto"/>
        </w:rPr>
      </w:pPr>
    </w:p>
    <w:p>
      <w:pPr>
        <w:jc w:val="both"/>
        <w:ind w:left="560" w:right="60" w:hanging="558"/>
        <w:spacing w:after="0" w:line="303" w:lineRule="auto"/>
        <w:tabs>
          <w:tab w:leader="none" w:pos="540" w:val="left"/>
        </w:tabs>
        <w:rPr>
          <w:sz w:val="20"/>
          <w:szCs w:val="20"/>
          <w:color w:val="auto"/>
        </w:rPr>
      </w:pPr>
      <w:r>
        <w:rPr>
          <w:rFonts w:ascii="Arial" w:cs="Arial" w:eastAsia="Arial" w:hAnsi="Arial"/>
          <w:sz w:val="16"/>
          <w:szCs w:val="16"/>
          <w:color w:val="auto"/>
        </w:rPr>
        <w:t>22.7</w:t>
      </w:r>
      <w:r>
        <w:rPr>
          <w:sz w:val="20"/>
          <w:szCs w:val="20"/>
          <w:color w:val="auto"/>
        </w:rPr>
        <w:tab/>
      </w:r>
      <w:r>
        <w:rPr>
          <w:rFonts w:ascii="Arial" w:cs="Arial" w:eastAsia="Arial" w:hAnsi="Arial"/>
          <w:sz w:val="14"/>
          <w:szCs w:val="14"/>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2" w:name="page313"/>
    <w:bookmarkEnd w:id="312"/>
    <w:p>
      <w:pPr>
        <w:spacing w:after="0"/>
        <w:tabs>
          <w:tab w:leader="none" w:pos="54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6"/>
          <w:szCs w:val="16"/>
          <w:b w:val="1"/>
          <w:bCs w:val="1"/>
          <w:color w:val="auto"/>
        </w:rPr>
        <w:t>Minutes</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Company shall cause minutes to be made in books kept for the purpose in accordance with the Law.</w:t>
      </w:r>
    </w:p>
    <w:p>
      <w:pPr>
        <w:spacing w:after="0" w:line="20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auto"/>
        </w:rPr>
        <w:t>Accounts and audit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Accounting and other records</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6"/>
          <w:szCs w:val="16"/>
          <w:color w:val="auto"/>
        </w:rPr>
        <w:t>The directors must ensure that proper accounting and other records are kept, and that accounts and associated reports are distributed in accordance with the requirements of the Law.</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automatic right of inspection</w:t>
      </w:r>
    </w:p>
    <w:p>
      <w:pPr>
        <w:spacing w:after="0" w:line="213" w:lineRule="exact"/>
        <w:rPr>
          <w:sz w:val="20"/>
          <w:szCs w:val="20"/>
          <w:color w:val="auto"/>
        </w:rPr>
      </w:pPr>
    </w:p>
    <w:p>
      <w:pPr>
        <w:ind w:left="560" w:right="260" w:hanging="558"/>
        <w:spacing w:after="0" w:line="258" w:lineRule="auto"/>
        <w:tabs>
          <w:tab w:leader="none" w:pos="54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6"/>
          <w:szCs w:val="16"/>
          <w:color w:val="auto"/>
        </w:rPr>
        <w:t>Members are only entitled to inspect the Company’s records if they are expressly entitled to do so by law, or by resolution made by the directors or passed by Ordinary Resolution.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Sending of accounts and reports</w:t>
      </w:r>
    </w:p>
    <w:p>
      <w:pPr>
        <w:spacing w:after="0" w:line="213" w:lineRule="exact"/>
        <w:rPr>
          <w:sz w:val="20"/>
          <w:szCs w:val="20"/>
          <w:color w:val="auto"/>
        </w:rPr>
      </w:pPr>
    </w:p>
    <w:p>
      <w:pPr>
        <w:ind w:left="560" w:right="160" w:hanging="558"/>
        <w:spacing w:after="0" w:line="258" w:lineRule="auto"/>
        <w:tabs>
          <w:tab w:leader="none" w:pos="540"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6"/>
          <w:szCs w:val="16"/>
          <w:color w:val="auto"/>
        </w:rPr>
        <w:t>The Company’s accounts and associated directors’ report or auditor’s report that are required or permitted to be sent to any person pursuant to any law shall be treated as properly sent to that person if:</w:t>
      </w:r>
    </w:p>
    <w:p>
      <w:pPr>
        <w:spacing w:after="0" w:line="186" w:lineRule="exact"/>
        <w:rPr>
          <w:sz w:val="20"/>
          <w:szCs w:val="20"/>
          <w:color w:val="auto"/>
        </w:rPr>
      </w:pPr>
    </w:p>
    <w:p>
      <w:pPr>
        <w:ind w:left="1120" w:hanging="568"/>
        <w:spacing w:after="0"/>
        <w:tabs>
          <w:tab w:leader="none" w:pos="112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they are sent to that person in accordance with the notice provisions: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they are published on a website providing that person is given separate notice of:</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fact that publication of the documents has been published on the website;</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address of the website; and</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place on the website where the documents may be accessed; and</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how they may be accessed.</w:t>
      </w:r>
    </w:p>
    <w:p>
      <w:pPr>
        <w:spacing w:after="0" w:line="212" w:lineRule="exact"/>
        <w:rPr>
          <w:sz w:val="20"/>
          <w:szCs w:val="20"/>
          <w:color w:val="auto"/>
        </w:rPr>
      </w:pPr>
    </w:p>
    <w:p>
      <w:pPr>
        <w:ind w:left="560" w:right="160" w:hanging="558"/>
        <w:spacing w:after="0" w:line="329" w:lineRule="auto"/>
        <w:tabs>
          <w:tab w:leader="none" w:pos="54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4"/>
          <w:szCs w:val="14"/>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Time of receipt if documents are published on a website</w:t>
      </w:r>
    </w:p>
    <w:p>
      <w:pPr>
        <w:spacing w:after="0" w:line="213" w:lineRule="exact"/>
        <w:rPr>
          <w:sz w:val="20"/>
          <w:szCs w:val="20"/>
          <w:color w:val="auto"/>
        </w:rPr>
      </w:pPr>
    </w:p>
    <w:p>
      <w:pPr>
        <w:ind w:left="560" w:right="420" w:hanging="558"/>
        <w:spacing w:after="0" w:line="258" w:lineRule="auto"/>
        <w:tabs>
          <w:tab w:leader="none" w:pos="540" w:val="left"/>
        </w:tabs>
        <w:rPr>
          <w:sz w:val="20"/>
          <w:szCs w:val="20"/>
          <w:color w:val="auto"/>
        </w:rPr>
      </w:pPr>
      <w:r>
        <w:rPr>
          <w:rFonts w:ascii="Arial" w:cs="Arial" w:eastAsia="Arial" w:hAnsi="Arial"/>
          <w:sz w:val="16"/>
          <w:szCs w:val="16"/>
          <w:color w:val="auto"/>
        </w:rPr>
        <w:t>24.5</w:t>
      </w:r>
      <w:r>
        <w:rPr>
          <w:sz w:val="20"/>
          <w:szCs w:val="20"/>
          <w:color w:val="auto"/>
        </w:rPr>
        <w:tab/>
      </w:r>
      <w:r>
        <w:rPr>
          <w:rFonts w:ascii="Arial" w:cs="Arial" w:eastAsia="Arial" w:hAnsi="Arial"/>
          <w:sz w:val="16"/>
          <w:szCs w:val="16"/>
          <w:color w:val="auto"/>
        </w:rPr>
        <w:t>Documents sent by being published on a website in accordance with the preceding two Articles are only treated as sent at least five Clear Days before the date of the meeting at which they are to be laid if:</w:t>
      </w:r>
    </w:p>
    <w:p>
      <w:pPr>
        <w:spacing w:after="0" w:line="186" w:lineRule="exact"/>
        <w:rPr>
          <w:sz w:val="20"/>
          <w:szCs w:val="20"/>
          <w:color w:val="auto"/>
        </w:rPr>
      </w:pPr>
    </w:p>
    <w:p>
      <w:pPr>
        <w:ind w:left="1120" w:right="80" w:hanging="568"/>
        <w:spacing w:after="0" w:line="258" w:lineRule="auto"/>
        <w:tabs>
          <w:tab w:leader="none" w:pos="11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documents are published on the website throughout a period beginning at least five Clear Days before the date of the meeting and ending with the conclusion of the meeting; and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13" w:name="page314"/>
    <w:bookmarkEnd w:id="313"/>
    <w:p>
      <w:pPr>
        <w:ind w:left="1120" w:hanging="568"/>
        <w:spacing w:after="0"/>
        <w:tabs>
          <w:tab w:leader="none" w:pos="11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person is given at least five Clear Days’ notice of the hearing.</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Validity despite accidental error in publication on website</w:t>
      </w:r>
    </w:p>
    <w:p>
      <w:pPr>
        <w:spacing w:after="0" w:line="213" w:lineRule="exact"/>
        <w:rPr>
          <w:sz w:val="20"/>
          <w:szCs w:val="20"/>
          <w:color w:val="auto"/>
        </w:rPr>
      </w:pPr>
    </w:p>
    <w:p>
      <w:pPr>
        <w:ind w:left="560" w:right="320" w:hanging="558"/>
        <w:spacing w:after="0" w:line="258" w:lineRule="auto"/>
        <w:tabs>
          <w:tab w:leader="none" w:pos="540"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6"/>
          <w:szCs w:val="16"/>
          <w:color w:val="auto"/>
        </w:rPr>
        <w:t>If, for the purpose of a meeting, documents are sent by being published on a website in accordance with the preceding Articles, the proceedings at that meeting are not invalidated merely because:</w:t>
      </w:r>
    </w:p>
    <w:p>
      <w:pPr>
        <w:spacing w:after="0" w:line="186" w:lineRule="exact"/>
        <w:rPr>
          <w:sz w:val="20"/>
          <w:szCs w:val="20"/>
          <w:color w:val="auto"/>
        </w:rPr>
      </w:pPr>
    </w:p>
    <w:p>
      <w:pPr>
        <w:ind w:left="1120" w:hanging="568"/>
        <w:spacing w:after="0"/>
        <w:tabs>
          <w:tab w:leader="none" w:pos="11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those documents are, by accident, published in a different place on the website to the place notified;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they are published for part only of the period from the date of notification until the conclusion of that meeting.</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24.7</w:t>
      </w:r>
      <w:r>
        <w:rPr>
          <w:sz w:val="20"/>
          <w:szCs w:val="20"/>
          <w:color w:val="auto"/>
        </w:rPr>
        <w:tab/>
      </w:r>
      <w:r>
        <w:rPr>
          <w:rFonts w:ascii="Arial" w:cs="Arial" w:eastAsia="Arial" w:hAnsi="Arial"/>
          <w:sz w:val="14"/>
          <w:szCs w:val="14"/>
          <w:color w:val="auto"/>
        </w:rPr>
        <w:t>The directors may appoint an Auditor of the Company who shall hold office on such terms as the directors determine.</w:t>
      </w:r>
    </w:p>
    <w:p>
      <w:pPr>
        <w:spacing w:after="0" w:line="212" w:lineRule="exact"/>
        <w:rPr>
          <w:sz w:val="20"/>
          <w:szCs w:val="20"/>
          <w:color w:val="auto"/>
        </w:rPr>
      </w:pPr>
    </w:p>
    <w:p>
      <w:pPr>
        <w:ind w:left="560" w:hanging="558"/>
        <w:spacing w:after="0" w:line="246" w:lineRule="auto"/>
        <w:tabs>
          <w:tab w:leader="none" w:pos="540" w:val="left"/>
        </w:tabs>
        <w:rPr>
          <w:sz w:val="20"/>
          <w:szCs w:val="20"/>
          <w:color w:val="auto"/>
        </w:rPr>
      </w:pPr>
      <w:r>
        <w:rPr>
          <w:rFonts w:ascii="Arial" w:cs="Arial" w:eastAsia="Arial" w:hAnsi="Arial"/>
          <w:sz w:val="16"/>
          <w:szCs w:val="16"/>
          <w:color w:val="auto"/>
        </w:rPr>
        <w:t>24.8</w:t>
      </w:r>
      <w:r>
        <w:rPr>
          <w:sz w:val="20"/>
          <w:szCs w:val="20"/>
          <w:color w:val="auto"/>
        </w:rPr>
        <w:tab/>
      </w:r>
      <w:r>
        <w:rPr>
          <w:rFonts w:ascii="Arial" w:cs="Arial" w:eastAsia="Arial" w:hAnsi="Arial"/>
          <w:sz w:val="16"/>
          <w:szCs w:val="16"/>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197" w:lineRule="exact"/>
        <w:rPr>
          <w:sz w:val="20"/>
          <w:szCs w:val="20"/>
          <w:color w:val="auto"/>
        </w:rPr>
      </w:pPr>
    </w:p>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24.9</w:t>
      </w:r>
      <w:r>
        <w:rPr>
          <w:sz w:val="20"/>
          <w:szCs w:val="20"/>
          <w:color w:val="auto"/>
        </w:rPr>
        <w:tab/>
      </w:r>
      <w:r>
        <w:rPr>
          <w:rFonts w:ascii="Arial" w:cs="Arial" w:eastAsia="Arial" w:hAnsi="Arial"/>
          <w:sz w:val="16"/>
          <w:szCs w:val="16"/>
          <w:color w:val="auto"/>
        </w:rPr>
        <w:t>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24.10</w:t>
      </w:r>
      <w:r>
        <w:rPr>
          <w:sz w:val="20"/>
          <w:szCs w:val="20"/>
          <w:color w:val="auto"/>
        </w:rPr>
        <w:tab/>
      </w:r>
      <w:r>
        <w:rPr>
          <w:rFonts w:ascii="Arial" w:cs="Arial" w:eastAsia="Arial" w:hAnsi="Arial"/>
          <w:sz w:val="14"/>
          <w:szCs w:val="14"/>
          <w:color w:val="auto"/>
        </w:rPr>
        <w:t>The remuneration of the Auditor shall be fixed by the Audit Committee (if one exists).</w:t>
      </w:r>
    </w:p>
    <w:p>
      <w:pPr>
        <w:spacing w:after="0" w:line="212"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24.11</w:t>
        <w:tab/>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86" w:lineRule="exact"/>
        <w:rPr>
          <w:sz w:val="20"/>
          <w:szCs w:val="20"/>
          <w:color w:val="auto"/>
        </w:rPr>
      </w:pPr>
    </w:p>
    <w:p>
      <w:pPr>
        <w:ind w:left="560" w:right="260" w:hanging="558"/>
        <w:spacing w:after="0" w:line="329" w:lineRule="auto"/>
        <w:tabs>
          <w:tab w:leader="none" w:pos="540" w:val="left"/>
        </w:tabs>
        <w:rPr>
          <w:sz w:val="20"/>
          <w:szCs w:val="20"/>
          <w:color w:val="auto"/>
        </w:rPr>
      </w:pPr>
      <w:r>
        <w:rPr>
          <w:rFonts w:ascii="Arial" w:cs="Arial" w:eastAsia="Arial" w:hAnsi="Arial"/>
          <w:sz w:val="16"/>
          <w:szCs w:val="16"/>
          <w:color w:val="auto"/>
        </w:rPr>
        <w:t>24.12</w:t>
      </w:r>
      <w:r>
        <w:rPr>
          <w:sz w:val="20"/>
          <w:szCs w:val="20"/>
          <w:color w:val="auto"/>
        </w:rPr>
        <w:tab/>
      </w:r>
      <w:r>
        <w:rPr>
          <w:rFonts w:ascii="Arial" w:cs="Arial" w:eastAsia="Arial" w:hAnsi="Arial"/>
          <w:sz w:val="14"/>
          <w:szCs w:val="14"/>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314" w:name="page315"/>
    <w:bookmarkEnd w:id="314"/>
    <w:p>
      <w:pPr>
        <w:jc w:val="both"/>
        <w:ind w:left="560" w:hanging="558"/>
        <w:spacing w:after="0" w:line="248" w:lineRule="auto"/>
        <w:tabs>
          <w:tab w:leader="none" w:pos="540" w:val="left"/>
        </w:tabs>
        <w:rPr>
          <w:sz w:val="20"/>
          <w:szCs w:val="20"/>
          <w:color w:val="auto"/>
        </w:rPr>
      </w:pPr>
      <w:r>
        <w:rPr>
          <w:rFonts w:ascii="Arial" w:cs="Arial" w:eastAsia="Arial" w:hAnsi="Arial"/>
          <w:sz w:val="16"/>
          <w:szCs w:val="16"/>
          <w:color w:val="auto"/>
        </w:rPr>
        <w:t>24.13</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6"/>
          <w:szCs w:val="16"/>
          <w:b w:val="1"/>
          <w:bCs w:val="1"/>
          <w:color w:val="auto"/>
        </w:rPr>
        <w:t>Financial year</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Unless the directors otherwise specify, the financial year of the Company:</w:t>
      </w:r>
    </w:p>
    <w:p>
      <w:pPr>
        <w:spacing w:after="0" w:line="209" w:lineRule="exact"/>
        <w:rPr>
          <w:sz w:val="20"/>
          <w:szCs w:val="20"/>
          <w:color w:val="auto"/>
        </w:rPr>
      </w:pPr>
    </w:p>
    <w:p>
      <w:pPr>
        <w:ind w:left="1120" w:hanging="568"/>
        <w:spacing w:after="0"/>
        <w:tabs>
          <w:tab w:leader="none" w:pos="11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shall end on 31st December in the year of its incorporation and each following year;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shall begin when it was incorporated and on 1st January each following year.</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auto"/>
        </w:rPr>
        <w:t>Record dates</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Except to the extent of any conflicting rights attached to Shares, the directors may fix any time and date as the record date for:</w:t>
      </w:r>
    </w:p>
    <w:p>
      <w:pPr>
        <w:spacing w:after="0" w:line="209" w:lineRule="exact"/>
        <w:rPr>
          <w:sz w:val="20"/>
          <w:szCs w:val="20"/>
          <w:color w:val="auto"/>
        </w:rPr>
      </w:pPr>
    </w:p>
    <w:p>
      <w:pPr>
        <w:ind w:left="1120" w:hanging="568"/>
        <w:spacing w:after="0"/>
        <w:tabs>
          <w:tab w:leader="none" w:pos="112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calling a general meeting;</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declaring or paying a dividend;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making or issuing an allotment of Shares;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conducting any other business required pursuant to these Articles.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record date may be before or after the date on which a dividend, allotment or issue is declared, paid or made.</w:t>
      </w:r>
    </w:p>
    <w:p>
      <w:pPr>
        <w:spacing w:after="0" w:line="20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6"/>
          <w:szCs w:val="16"/>
          <w:b w:val="1"/>
          <w:bCs w:val="1"/>
          <w:color w:val="auto"/>
        </w:rPr>
        <w:t>Dividends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Declaration of dividends by Members</w:t>
      </w:r>
    </w:p>
    <w:p>
      <w:pPr>
        <w:spacing w:after="0" w:line="213" w:lineRule="exact"/>
        <w:rPr>
          <w:sz w:val="20"/>
          <w:szCs w:val="20"/>
          <w:color w:val="auto"/>
        </w:rPr>
      </w:pPr>
    </w:p>
    <w:p>
      <w:pPr>
        <w:ind w:left="560" w:right="60" w:hanging="558"/>
        <w:spacing w:after="0" w:line="258" w:lineRule="auto"/>
        <w:tabs>
          <w:tab w:leader="none" w:pos="540" w:val="left"/>
        </w:tabs>
        <w:rPr>
          <w:sz w:val="20"/>
          <w:szCs w:val="20"/>
          <w:color w:val="auto"/>
        </w:rPr>
      </w:pPr>
      <w:r>
        <w:rPr>
          <w:rFonts w:ascii="Arial" w:cs="Arial" w:eastAsia="Arial" w:hAnsi="Arial"/>
          <w:sz w:val="16"/>
          <w:szCs w:val="16"/>
          <w:color w:val="auto"/>
        </w:rPr>
        <w:t>27.1</w:t>
      </w:r>
      <w:r>
        <w:rPr>
          <w:sz w:val="20"/>
          <w:szCs w:val="20"/>
          <w:color w:val="auto"/>
        </w:rPr>
        <w:tab/>
      </w:r>
      <w:r>
        <w:rPr>
          <w:rFonts w:ascii="Arial" w:cs="Arial" w:eastAsia="Arial" w:hAnsi="Arial"/>
          <w:sz w:val="16"/>
          <w:szCs w:val="16"/>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interim dividends and declaration of final dividends by directors</w:t>
      </w:r>
    </w:p>
    <w:p>
      <w:pPr>
        <w:spacing w:after="0" w:line="213" w:lineRule="exact"/>
        <w:rPr>
          <w:sz w:val="20"/>
          <w:szCs w:val="20"/>
          <w:color w:val="auto"/>
        </w:rPr>
      </w:pPr>
    </w:p>
    <w:p>
      <w:pPr>
        <w:ind w:left="560" w:right="180" w:hanging="558"/>
        <w:spacing w:after="0" w:line="258" w:lineRule="auto"/>
        <w:tabs>
          <w:tab w:leader="none" w:pos="540" w:val="left"/>
        </w:tabs>
        <w:rPr>
          <w:sz w:val="20"/>
          <w:szCs w:val="20"/>
          <w:color w:val="auto"/>
        </w:rPr>
      </w:pPr>
      <w:r>
        <w:rPr>
          <w:rFonts w:ascii="Arial" w:cs="Arial" w:eastAsia="Arial" w:hAnsi="Arial"/>
          <w:sz w:val="16"/>
          <w:szCs w:val="16"/>
          <w:color w:val="auto"/>
        </w:rPr>
        <w:t>27.2</w:t>
      </w:r>
      <w:r>
        <w:rPr>
          <w:sz w:val="20"/>
          <w:szCs w:val="20"/>
          <w:color w:val="auto"/>
        </w:rPr>
        <w:tab/>
      </w:r>
      <w:r>
        <w:rPr>
          <w:rFonts w:ascii="Arial" w:cs="Arial" w:eastAsia="Arial" w:hAnsi="Arial"/>
          <w:sz w:val="16"/>
          <w:szCs w:val="16"/>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27.3</w:t>
      </w:r>
      <w:r>
        <w:rPr>
          <w:sz w:val="20"/>
          <w:szCs w:val="20"/>
          <w:color w:val="auto"/>
        </w:rPr>
        <w:tab/>
      </w:r>
      <w:r>
        <w:rPr>
          <w:rFonts w:ascii="Arial" w:cs="Arial" w:eastAsia="Arial" w:hAnsi="Arial"/>
          <w:sz w:val="14"/>
          <w:szCs w:val="14"/>
          <w:color w:val="auto"/>
        </w:rPr>
        <w:t>Subject to the provisions of the Law, in relation to the distinction between interim dividends and final dividends, the following applies:</w:t>
      </w:r>
    </w:p>
    <w:p>
      <w:pPr>
        <w:spacing w:after="0" w:line="212" w:lineRule="exact"/>
        <w:rPr>
          <w:sz w:val="20"/>
          <w:szCs w:val="20"/>
          <w:color w:val="auto"/>
        </w:rPr>
      </w:pPr>
    </w:p>
    <w:p>
      <w:pPr>
        <w:ind w:left="1120" w:right="20" w:hanging="568"/>
        <w:spacing w:after="0" w:line="258" w:lineRule="auto"/>
        <w:tabs>
          <w:tab w:leader="none" w:pos="11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Upon determination to pay a dividend or dividends described as interim by the directors in the dividend resolution, no debt shall be created by the declaration until such time as payment is made.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15" w:name="page316"/>
    <w:bookmarkEnd w:id="315"/>
    <w:p>
      <w:pPr>
        <w:ind w:left="1120" w:right="500" w:hanging="568"/>
        <w:spacing w:after="0" w:line="258" w:lineRule="auto"/>
        <w:tabs>
          <w:tab w:leader="none" w:pos="112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If the resolution fails to specify whether a dividend is final or interim, it shall be assumed to be interim.</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27.4</w:t>
      </w:r>
      <w:r>
        <w:rPr>
          <w:sz w:val="20"/>
          <w:szCs w:val="20"/>
          <w:color w:val="auto"/>
        </w:rPr>
        <w:tab/>
      </w:r>
      <w:r>
        <w:rPr>
          <w:rFonts w:ascii="Arial" w:cs="Arial" w:eastAsia="Arial" w:hAnsi="Arial"/>
          <w:sz w:val="14"/>
          <w:szCs w:val="14"/>
          <w:color w:val="auto"/>
        </w:rPr>
        <w:t>In relation to Shares carrying differing rights to dividends or rights to dividends at a fixed rate, the following applies:</w:t>
      </w:r>
    </w:p>
    <w:p>
      <w:pPr>
        <w:spacing w:after="0" w:line="212" w:lineRule="exact"/>
        <w:rPr>
          <w:sz w:val="20"/>
          <w:szCs w:val="20"/>
          <w:color w:val="auto"/>
        </w:rPr>
      </w:pPr>
    </w:p>
    <w:p>
      <w:pPr>
        <w:ind w:left="1120" w:right="40" w:hanging="568"/>
        <w:spacing w:after="0" w:line="250" w:lineRule="auto"/>
        <w:tabs>
          <w:tab w:leader="none" w:pos="11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92" w:lineRule="exact"/>
        <w:rPr>
          <w:rFonts w:ascii="Arial" w:cs="Arial" w:eastAsia="Arial" w:hAnsi="Arial"/>
          <w:sz w:val="16"/>
          <w:szCs w:val="16"/>
          <w:color w:val="auto"/>
        </w:rPr>
      </w:pPr>
    </w:p>
    <w:p>
      <w:pPr>
        <w:ind w:left="1120" w:right="260" w:hanging="568"/>
        <w:spacing w:after="0" w:line="258" w:lineRule="auto"/>
        <w:tabs>
          <w:tab w:leader="none" w:pos="11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86" w:lineRule="exact"/>
        <w:rPr>
          <w:rFonts w:ascii="Arial" w:cs="Arial" w:eastAsia="Arial" w:hAnsi="Arial"/>
          <w:sz w:val="16"/>
          <w:szCs w:val="16"/>
          <w:color w:val="auto"/>
        </w:rPr>
      </w:pPr>
    </w:p>
    <w:p>
      <w:pPr>
        <w:ind w:left="1120" w:hanging="568"/>
        <w:spacing w:after="0" w:line="258" w:lineRule="auto"/>
        <w:tabs>
          <w:tab w:leader="none" w:pos="11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Apportionment of dividends</w:t>
      </w:r>
    </w:p>
    <w:p>
      <w:pPr>
        <w:spacing w:after="0" w:line="213" w:lineRule="exact"/>
        <w:rPr>
          <w:sz w:val="20"/>
          <w:szCs w:val="20"/>
          <w:color w:val="auto"/>
        </w:rPr>
      </w:pPr>
    </w:p>
    <w:p>
      <w:pPr>
        <w:ind w:left="560" w:right="20" w:hanging="558"/>
        <w:spacing w:after="0" w:line="303" w:lineRule="auto"/>
        <w:tabs>
          <w:tab w:leader="none" w:pos="540" w:val="left"/>
        </w:tabs>
        <w:rPr>
          <w:sz w:val="20"/>
          <w:szCs w:val="20"/>
          <w:color w:val="auto"/>
        </w:rPr>
      </w:pPr>
      <w:r>
        <w:rPr>
          <w:rFonts w:ascii="Arial" w:cs="Arial" w:eastAsia="Arial" w:hAnsi="Arial"/>
          <w:sz w:val="16"/>
          <w:szCs w:val="16"/>
          <w:color w:val="auto"/>
        </w:rPr>
        <w:t>27.5</w:t>
      </w:r>
      <w:r>
        <w:rPr>
          <w:sz w:val="20"/>
          <w:szCs w:val="20"/>
          <w:color w:val="auto"/>
        </w:rPr>
        <w:tab/>
      </w:r>
      <w:r>
        <w:rPr>
          <w:rFonts w:ascii="Arial" w:cs="Arial" w:eastAsia="Arial" w:hAnsi="Arial"/>
          <w:sz w:val="14"/>
          <w:szCs w:val="14"/>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of set off</w:t>
      </w:r>
    </w:p>
    <w:p>
      <w:pPr>
        <w:spacing w:after="0" w:line="213" w:lineRule="exact"/>
        <w:rPr>
          <w:sz w:val="20"/>
          <w:szCs w:val="20"/>
          <w:color w:val="auto"/>
        </w:rPr>
      </w:pPr>
    </w:p>
    <w:p>
      <w:pPr>
        <w:ind w:left="560" w:right="540" w:hanging="558"/>
        <w:spacing w:after="0" w:line="258" w:lineRule="auto"/>
        <w:tabs>
          <w:tab w:leader="none" w:pos="540" w:val="left"/>
        </w:tabs>
        <w:rPr>
          <w:sz w:val="20"/>
          <w:szCs w:val="20"/>
          <w:color w:val="auto"/>
        </w:rPr>
      </w:pPr>
      <w:r>
        <w:rPr>
          <w:rFonts w:ascii="Arial" w:cs="Arial" w:eastAsia="Arial" w:hAnsi="Arial"/>
          <w:sz w:val="16"/>
          <w:szCs w:val="16"/>
          <w:color w:val="auto"/>
        </w:rPr>
        <w:t>27.6</w:t>
      </w:r>
      <w:r>
        <w:rPr>
          <w:sz w:val="20"/>
          <w:szCs w:val="20"/>
          <w:color w:val="auto"/>
        </w:rPr>
        <w:tab/>
      </w:r>
      <w:r>
        <w:rPr>
          <w:rFonts w:ascii="Arial" w:cs="Arial" w:eastAsia="Arial" w:hAnsi="Arial"/>
          <w:sz w:val="16"/>
          <w:szCs w:val="16"/>
          <w:color w:val="auto"/>
        </w:rPr>
        <w:t>The directors may deduct from a dividend or any other amount payable to a person in respect of a Share any amount due by that person to the Company on a call or otherwise in relation to a Share.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pay other than in cash</w:t>
      </w:r>
    </w:p>
    <w:p>
      <w:pPr>
        <w:spacing w:after="0" w:line="213" w:lineRule="exact"/>
        <w:rPr>
          <w:sz w:val="20"/>
          <w:szCs w:val="20"/>
          <w:color w:val="auto"/>
        </w:rPr>
      </w:pPr>
    </w:p>
    <w:p>
      <w:pPr>
        <w:ind w:left="560" w:right="240" w:hanging="558"/>
        <w:spacing w:after="0" w:line="329" w:lineRule="auto"/>
        <w:tabs>
          <w:tab w:leader="none" w:pos="540" w:val="left"/>
        </w:tabs>
        <w:rPr>
          <w:sz w:val="20"/>
          <w:szCs w:val="20"/>
          <w:color w:val="auto"/>
        </w:rPr>
      </w:pPr>
      <w:r>
        <w:rPr>
          <w:rFonts w:ascii="Arial" w:cs="Arial" w:eastAsia="Arial" w:hAnsi="Arial"/>
          <w:sz w:val="16"/>
          <w:szCs w:val="16"/>
          <w:color w:val="auto"/>
        </w:rPr>
        <w:t>27.7</w:t>
      </w:r>
      <w:r>
        <w:rPr>
          <w:sz w:val="20"/>
          <w:szCs w:val="20"/>
          <w:color w:val="auto"/>
        </w:rPr>
        <w:tab/>
      </w:r>
      <w:r>
        <w:rPr>
          <w:rFonts w:ascii="Arial" w:cs="Arial" w:eastAsia="Arial" w:hAnsi="Arial"/>
          <w:sz w:val="14"/>
          <w:szCs w:val="14"/>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40" w:lineRule="exact"/>
        <w:rPr>
          <w:sz w:val="20"/>
          <w:szCs w:val="20"/>
          <w:color w:val="auto"/>
        </w:rPr>
      </w:pPr>
    </w:p>
    <w:p>
      <w:pPr>
        <w:ind w:left="1120" w:hanging="568"/>
        <w:spacing w:after="0"/>
        <w:tabs>
          <w:tab w:leader="none" w:pos="112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issue fractional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6" w:name="page317"/>
    <w:bookmarkEnd w:id="316"/>
    <w:p>
      <w:pPr>
        <w:ind w:left="1120" w:hanging="568"/>
        <w:spacing w:after="0"/>
        <w:tabs>
          <w:tab w:leader="none" w:pos="1120" w:val="left"/>
        </w:tabs>
        <w:numPr>
          <w:ilvl w:val="0"/>
          <w:numId w:val="322"/>
        </w:numPr>
        <w:rPr>
          <w:rFonts w:ascii="Arial" w:cs="Arial" w:eastAsia="Arial" w:hAnsi="Arial"/>
          <w:sz w:val="14"/>
          <w:szCs w:val="14"/>
          <w:color w:val="auto"/>
        </w:rPr>
      </w:pPr>
      <w:r>
        <w:rPr>
          <w:rFonts w:ascii="Arial" w:cs="Arial" w:eastAsia="Arial" w:hAnsi="Arial"/>
          <w:sz w:val="14"/>
          <w:szCs w:val="14"/>
          <w:color w:val="auto"/>
        </w:rPr>
        <w:t>fix the value of assets for distribution and make cash payments to some Members on the footing of the value so fixed in order to adjust the rights of Members; and</w:t>
      </w:r>
    </w:p>
    <w:p>
      <w:pPr>
        <w:spacing w:after="0" w:line="234" w:lineRule="exact"/>
        <w:rPr>
          <w:rFonts w:ascii="Arial" w:cs="Arial" w:eastAsia="Arial" w:hAnsi="Arial"/>
          <w:sz w:val="14"/>
          <w:szCs w:val="14"/>
          <w:color w:val="auto"/>
        </w:rPr>
      </w:pPr>
    </w:p>
    <w:p>
      <w:pPr>
        <w:ind w:left="1120" w:hanging="568"/>
        <w:spacing w:after="0"/>
        <w:tabs>
          <w:tab w:leader="none" w:pos="112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vest some assets in trustees.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payments may be made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27.8</w:t>
      </w:r>
      <w:r>
        <w:rPr>
          <w:sz w:val="20"/>
          <w:szCs w:val="20"/>
          <w:color w:val="auto"/>
        </w:rPr>
        <w:tab/>
      </w:r>
      <w:r>
        <w:rPr>
          <w:rFonts w:ascii="Arial" w:cs="Arial" w:eastAsia="Arial" w:hAnsi="Arial"/>
          <w:sz w:val="14"/>
          <w:szCs w:val="14"/>
          <w:color w:val="auto"/>
        </w:rPr>
        <w:t>A dividend or other monies payable on or in respect of a Share may be paid in any of the following ways:</w:t>
      </w:r>
    </w:p>
    <w:p>
      <w:pPr>
        <w:spacing w:after="0" w:line="212" w:lineRule="exact"/>
        <w:rPr>
          <w:sz w:val="20"/>
          <w:szCs w:val="20"/>
          <w:color w:val="auto"/>
        </w:rPr>
      </w:pPr>
    </w:p>
    <w:p>
      <w:pPr>
        <w:ind w:left="1120" w:hanging="568"/>
        <w:spacing w:after="0"/>
        <w:tabs>
          <w:tab w:leader="none" w:pos="1120" w:val="left"/>
        </w:tabs>
        <w:numPr>
          <w:ilvl w:val="0"/>
          <w:numId w:val="323"/>
        </w:numPr>
        <w:rPr>
          <w:rFonts w:ascii="Arial" w:cs="Arial" w:eastAsia="Arial" w:hAnsi="Arial"/>
          <w:sz w:val="14"/>
          <w:szCs w:val="14"/>
          <w:color w:val="auto"/>
        </w:rPr>
      </w:pPr>
      <w:r>
        <w:rPr>
          <w:rFonts w:ascii="Arial" w:cs="Arial" w:eastAsia="Arial" w:hAnsi="Arial"/>
          <w:sz w:val="14"/>
          <w:szCs w:val="14"/>
          <w:color w:val="auto"/>
        </w:rPr>
        <w:t>if the Member holding that Share or other person entitled to that Share nominates a bank account for that purpose - by wire transfer to that bank account; or</w:t>
      </w:r>
    </w:p>
    <w:p>
      <w:pPr>
        <w:spacing w:after="0" w:line="234" w:lineRule="exact"/>
        <w:rPr>
          <w:rFonts w:ascii="Arial" w:cs="Arial" w:eastAsia="Arial" w:hAnsi="Arial"/>
          <w:sz w:val="14"/>
          <w:szCs w:val="14"/>
          <w:color w:val="auto"/>
        </w:rPr>
      </w:pPr>
    </w:p>
    <w:p>
      <w:pPr>
        <w:ind w:left="1120" w:hanging="568"/>
        <w:spacing w:after="0"/>
        <w:tabs>
          <w:tab w:leader="none" w:pos="112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by cheque or warrant sent by post to the registered address of the Member holding that Share or other person entitled to that Share.</w:t>
      </w:r>
    </w:p>
    <w:p>
      <w:pPr>
        <w:spacing w:after="0" w:line="212" w:lineRule="exact"/>
        <w:rPr>
          <w:sz w:val="20"/>
          <w:szCs w:val="20"/>
          <w:color w:val="auto"/>
        </w:rPr>
      </w:pPr>
    </w:p>
    <w:p>
      <w:pPr>
        <w:ind w:left="560" w:hanging="558"/>
        <w:spacing w:after="0" w:line="248" w:lineRule="auto"/>
        <w:tabs>
          <w:tab w:leader="none" w:pos="540" w:val="left"/>
        </w:tabs>
        <w:rPr>
          <w:sz w:val="20"/>
          <w:szCs w:val="20"/>
          <w:color w:val="auto"/>
        </w:rPr>
      </w:pPr>
      <w:r>
        <w:rPr>
          <w:rFonts w:ascii="Arial" w:cs="Arial" w:eastAsia="Arial" w:hAnsi="Arial"/>
          <w:sz w:val="16"/>
          <w:szCs w:val="16"/>
          <w:color w:val="auto"/>
        </w:rPr>
        <w:t>27.9</w:t>
      </w:r>
      <w:r>
        <w:rPr>
          <w:sz w:val="20"/>
          <w:szCs w:val="20"/>
          <w:color w:val="auto"/>
        </w:rPr>
        <w:tab/>
      </w:r>
      <w:r>
        <w:rPr>
          <w:rFonts w:ascii="Arial" w:cs="Arial" w:eastAsia="Arial" w:hAnsi="Arial"/>
          <w:sz w:val="16"/>
          <w:szCs w:val="16"/>
          <w:color w:val="auto"/>
        </w:rPr>
        <w:t>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94" w:lineRule="exact"/>
        <w:rPr>
          <w:sz w:val="20"/>
          <w:szCs w:val="20"/>
          <w:color w:val="auto"/>
        </w:rPr>
      </w:pPr>
    </w:p>
    <w:p>
      <w:pPr>
        <w:ind w:left="560" w:right="160" w:hanging="558"/>
        <w:spacing w:after="0" w:line="258" w:lineRule="auto"/>
        <w:tabs>
          <w:tab w:leader="none" w:pos="540" w:val="left"/>
        </w:tabs>
        <w:rPr>
          <w:sz w:val="20"/>
          <w:szCs w:val="20"/>
          <w:color w:val="auto"/>
        </w:rPr>
      </w:pPr>
      <w:r>
        <w:rPr>
          <w:rFonts w:ascii="Arial" w:cs="Arial" w:eastAsia="Arial" w:hAnsi="Arial"/>
          <w:sz w:val="16"/>
          <w:szCs w:val="16"/>
          <w:color w:val="auto"/>
        </w:rPr>
        <w:t>27.10</w:t>
        <w:tab/>
        <w:t>If two or more persons are registered as the holders of the Share or are jointly entitled to it by reason of the death or bankruptcy of the registered holder (Joint Holders), a dividend (or other amount) payable on or in respect of that Share may be paid as follows:</w:t>
      </w:r>
    </w:p>
    <w:p>
      <w:pPr>
        <w:spacing w:after="0" w:line="186" w:lineRule="exact"/>
        <w:rPr>
          <w:sz w:val="20"/>
          <w:szCs w:val="20"/>
          <w:color w:val="auto"/>
        </w:rPr>
      </w:pPr>
    </w:p>
    <w:p>
      <w:pPr>
        <w:ind w:left="1120" w:right="200" w:hanging="568"/>
        <w:spacing w:after="0" w:line="258" w:lineRule="auto"/>
        <w:tabs>
          <w:tab w:leader="none" w:pos="112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to the registered address of the Joint Holder of the Share who is named first on the Register of Members or to the registered address of the deceased or bankrupt holder, as the case may be; or</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24"/>
        </w:numPr>
        <w:rPr>
          <w:rFonts w:ascii="Arial" w:cs="Arial" w:eastAsia="Arial" w:hAnsi="Arial"/>
          <w:sz w:val="14"/>
          <w:szCs w:val="14"/>
          <w:color w:val="auto"/>
        </w:rPr>
      </w:pPr>
      <w:r>
        <w:rPr>
          <w:rFonts w:ascii="Arial" w:cs="Arial" w:eastAsia="Arial" w:hAnsi="Arial"/>
          <w:sz w:val="14"/>
          <w:szCs w:val="14"/>
          <w:color w:val="auto"/>
        </w:rPr>
        <w:t>to the address or bank account of another person nominated by the Joint Holders, whether that nomination is in writing or in an Electronic Record.</w:t>
      </w:r>
    </w:p>
    <w:p>
      <w:pPr>
        <w:spacing w:after="0" w:line="23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27.11</w:t>
      </w:r>
      <w:r>
        <w:rPr>
          <w:sz w:val="20"/>
          <w:szCs w:val="20"/>
          <w:color w:val="auto"/>
        </w:rPr>
        <w:tab/>
      </w:r>
      <w:r>
        <w:rPr>
          <w:rFonts w:ascii="Arial" w:cs="Arial" w:eastAsia="Arial" w:hAnsi="Arial"/>
          <w:sz w:val="14"/>
          <w:szCs w:val="14"/>
          <w:color w:val="auto"/>
        </w:rPr>
        <w:t>Any Joint Holder of a Share may give a valid receipt for a dividend (or other amount) payable in respect of that Share.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 or other moneys not to bear interest in absence of special rights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27.12</w:t>
      </w:r>
      <w:r>
        <w:rPr>
          <w:sz w:val="20"/>
          <w:szCs w:val="20"/>
          <w:color w:val="auto"/>
        </w:rPr>
        <w:tab/>
      </w:r>
      <w:r>
        <w:rPr>
          <w:rFonts w:ascii="Arial" w:cs="Arial" w:eastAsia="Arial" w:hAnsi="Arial"/>
          <w:sz w:val="13"/>
          <w:szCs w:val="13"/>
          <w:color w:val="auto"/>
        </w:rPr>
        <w:t>Unless provided for by the rights attached to a Share, no dividend or other monies payable by the Company in respect of a Share shall bear interest.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8" w:right="359" w:bottom="1440" w:gutter="0" w:footer="0" w:header="0"/>
        </w:sectPr>
      </w:pPr>
    </w:p>
    <w:bookmarkStart w:id="317" w:name="page318"/>
    <w:bookmarkEnd w:id="317"/>
    <w:p>
      <w:pPr>
        <w:spacing w:after="0"/>
        <w:rPr>
          <w:sz w:val="20"/>
          <w:szCs w:val="20"/>
          <w:color w:val="auto"/>
        </w:rPr>
      </w:pPr>
      <w:r>
        <w:rPr>
          <w:rFonts w:ascii="Arial" w:cs="Arial" w:eastAsia="Arial" w:hAnsi="Arial"/>
          <w:sz w:val="19"/>
          <w:szCs w:val="19"/>
          <w:b w:val="1"/>
          <w:bCs w:val="1"/>
          <w:color w:val="auto"/>
        </w:rPr>
        <w:t>Dividends unable to be paid or unclaimed</w:t>
      </w:r>
    </w:p>
    <w:p>
      <w:pPr>
        <w:spacing w:after="0" w:line="214" w:lineRule="exact"/>
        <w:rPr>
          <w:sz w:val="20"/>
          <w:szCs w:val="20"/>
          <w:color w:val="auto"/>
        </w:rPr>
      </w:pPr>
    </w:p>
    <w:p>
      <w:pPr>
        <w:ind w:left="560" w:right="80" w:hanging="558"/>
        <w:spacing w:after="0" w:line="250" w:lineRule="auto"/>
        <w:tabs>
          <w:tab w:leader="none" w:pos="540" w:val="left"/>
        </w:tabs>
        <w:rPr>
          <w:sz w:val="20"/>
          <w:szCs w:val="20"/>
          <w:color w:val="auto"/>
        </w:rPr>
      </w:pPr>
      <w:r>
        <w:rPr>
          <w:rFonts w:ascii="Arial" w:cs="Arial" w:eastAsia="Arial" w:hAnsi="Arial"/>
          <w:sz w:val="16"/>
          <w:szCs w:val="16"/>
          <w:color w:val="auto"/>
        </w:rPr>
        <w:t>27.13</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27.14</w:t>
      </w:r>
      <w:r>
        <w:rPr>
          <w:sz w:val="20"/>
          <w:szCs w:val="20"/>
          <w:color w:val="auto"/>
        </w:rPr>
        <w:tab/>
      </w:r>
      <w:r>
        <w:rPr>
          <w:rFonts w:ascii="Arial" w:cs="Arial" w:eastAsia="Arial" w:hAnsi="Arial"/>
          <w:sz w:val="14"/>
          <w:szCs w:val="14"/>
          <w:color w:val="auto"/>
        </w:rPr>
        <w:t>A dividend that remains unclaimed for a period of six years after it became due for payment shall be forfeited to, and shall cease to remain owing by, the Company.</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auto"/>
        </w:rPr>
        <w:t>Capitalisation of profits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Capitalisation of profits or of any share premium account or capital redemption reserve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4"/>
          <w:szCs w:val="14"/>
          <w:color w:val="auto"/>
        </w:rPr>
        <w:t>The directors may resolve to capitalise:</w:t>
      </w:r>
    </w:p>
    <w:p>
      <w:pPr>
        <w:spacing w:after="0" w:line="212" w:lineRule="exact"/>
        <w:rPr>
          <w:sz w:val="20"/>
          <w:szCs w:val="20"/>
          <w:color w:val="auto"/>
        </w:rPr>
      </w:pPr>
    </w:p>
    <w:p>
      <w:pPr>
        <w:ind w:left="1120" w:hanging="568"/>
        <w:spacing w:after="0"/>
        <w:tabs>
          <w:tab w:leader="none" w:pos="112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part of the Company’s profits not required for paying any preferential dividend (whether or not those profits are available for distribution);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sum standing to the credit of the Company’s share premium account or capital redemption reserve, if any.</w:t>
      </w:r>
    </w:p>
    <w:p>
      <w:pPr>
        <w:spacing w:after="0" w:line="203" w:lineRule="exact"/>
        <w:rPr>
          <w:sz w:val="20"/>
          <w:szCs w:val="20"/>
          <w:color w:val="auto"/>
        </w:rPr>
      </w:pPr>
    </w:p>
    <w:p>
      <w:pPr>
        <w:ind w:left="560" w:right="120"/>
        <w:spacing w:after="0" w:line="309" w:lineRule="auto"/>
        <w:rPr>
          <w:sz w:val="20"/>
          <w:szCs w:val="20"/>
          <w:color w:val="auto"/>
        </w:rPr>
      </w:pPr>
      <w:r>
        <w:rPr>
          <w:rFonts w:ascii="Arial" w:cs="Arial" w:eastAsia="Arial" w:hAnsi="Arial"/>
          <w:sz w:val="17"/>
          <w:szCs w:val="17"/>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33" w:lineRule="exact"/>
        <w:rPr>
          <w:sz w:val="20"/>
          <w:szCs w:val="20"/>
          <w:color w:val="auto"/>
        </w:rPr>
      </w:pPr>
    </w:p>
    <w:p>
      <w:pPr>
        <w:ind w:left="1120" w:hanging="568"/>
        <w:spacing w:after="0"/>
        <w:tabs>
          <w:tab w:leader="none" w:pos="11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by paying up the amounts unpaid on that Member’s Shares;</w:t>
      </w:r>
    </w:p>
    <w:p>
      <w:pPr>
        <w:spacing w:after="0" w:line="211" w:lineRule="exact"/>
        <w:rPr>
          <w:rFonts w:ascii="Arial" w:cs="Arial" w:eastAsia="Arial" w:hAnsi="Arial"/>
          <w:sz w:val="16"/>
          <w:szCs w:val="16"/>
          <w:color w:val="auto"/>
        </w:rPr>
      </w:pPr>
    </w:p>
    <w:p>
      <w:pPr>
        <w:jc w:val="both"/>
        <w:ind w:left="1120" w:right="100" w:hanging="568"/>
        <w:spacing w:after="0" w:line="250" w:lineRule="auto"/>
        <w:tabs>
          <w:tab w:leader="none" w:pos="11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Applying an amount for the benefit of members</w:t>
      </w:r>
    </w:p>
    <w:p>
      <w:pPr>
        <w:spacing w:after="0" w:line="213" w:lineRule="exact"/>
        <w:rPr>
          <w:sz w:val="20"/>
          <w:szCs w:val="20"/>
          <w:color w:val="auto"/>
        </w:rPr>
      </w:pPr>
    </w:p>
    <w:p>
      <w:pPr>
        <w:ind w:left="560" w:right="40" w:hanging="558"/>
        <w:spacing w:after="0" w:line="258" w:lineRule="auto"/>
        <w:tabs>
          <w:tab w:leader="none" w:pos="540"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6"/>
          <w:szCs w:val="16"/>
          <w:color w:val="auto"/>
        </w:rPr>
        <w:t>The amount capitalised must be applied to the benefit of Members in the proportions to which the Members would have been entitled to dividends if the amount capitalised had been distributed as a dividend.</w:t>
      </w:r>
    </w:p>
    <w:p>
      <w:pPr>
        <w:spacing w:after="0" w:line="186"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6"/>
          <w:szCs w:val="16"/>
          <w:color w:val="auto"/>
        </w:rPr>
        <w:t>Subject to the Law, if a fraction of a Share, a debenture, or other security is allocated to a Member, the directors may issue a fractional certificate to that Member or pay him the cash equivalent of the fraction.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8" w:name="page319"/>
    <w:bookmarkEnd w:id="318"/>
    <w:p>
      <w:pPr>
        <w:spacing w:after="0"/>
        <w:tabs>
          <w:tab w:leader="none" w:pos="54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6"/>
          <w:szCs w:val="16"/>
          <w:b w:val="1"/>
          <w:bCs w:val="1"/>
          <w:color w:val="auto"/>
        </w:rPr>
        <w:t>Share premium account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to maintain share premium account</w:t>
      </w:r>
    </w:p>
    <w:p>
      <w:pPr>
        <w:spacing w:after="0" w:line="213" w:lineRule="exact"/>
        <w:rPr>
          <w:sz w:val="20"/>
          <w:szCs w:val="20"/>
          <w:color w:val="auto"/>
        </w:rPr>
      </w:pPr>
    </w:p>
    <w:p>
      <w:pPr>
        <w:ind w:left="560" w:right="40" w:hanging="558"/>
        <w:spacing w:after="0" w:line="329" w:lineRule="auto"/>
        <w:tabs>
          <w:tab w:leader="none" w:pos="540" w:val="left"/>
        </w:tabs>
        <w:rPr>
          <w:sz w:val="20"/>
          <w:szCs w:val="20"/>
          <w:color w:val="auto"/>
        </w:rPr>
      </w:pPr>
      <w:r>
        <w:rPr>
          <w:rFonts w:ascii="Arial" w:cs="Arial" w:eastAsia="Arial" w:hAnsi="Arial"/>
          <w:sz w:val="16"/>
          <w:szCs w:val="16"/>
          <w:color w:val="auto"/>
        </w:rPr>
        <w:t>29.1</w:t>
      </w:r>
      <w:r>
        <w:rPr>
          <w:sz w:val="20"/>
          <w:szCs w:val="20"/>
          <w:color w:val="auto"/>
        </w:rPr>
        <w:tab/>
      </w:r>
      <w:r>
        <w:rPr>
          <w:rFonts w:ascii="Arial" w:cs="Arial" w:eastAsia="Arial" w:hAnsi="Arial"/>
          <w:sz w:val="14"/>
          <w:szCs w:val="14"/>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Debits to share premium account</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29.2</w:t>
      </w:r>
      <w:r>
        <w:rPr>
          <w:sz w:val="20"/>
          <w:szCs w:val="20"/>
          <w:color w:val="auto"/>
        </w:rPr>
        <w:tab/>
      </w:r>
      <w:r>
        <w:rPr>
          <w:rFonts w:ascii="Arial" w:cs="Arial" w:eastAsia="Arial" w:hAnsi="Arial"/>
          <w:sz w:val="14"/>
          <w:szCs w:val="14"/>
          <w:color w:val="auto"/>
        </w:rPr>
        <w:t>The following amounts shall be debited to any share premium account:</w:t>
      </w:r>
    </w:p>
    <w:p>
      <w:pPr>
        <w:spacing w:after="0" w:line="212" w:lineRule="exact"/>
        <w:rPr>
          <w:sz w:val="20"/>
          <w:szCs w:val="20"/>
          <w:color w:val="auto"/>
        </w:rPr>
      </w:pPr>
    </w:p>
    <w:p>
      <w:pPr>
        <w:ind w:left="1120" w:hanging="568"/>
        <w:spacing w:after="0"/>
        <w:tabs>
          <w:tab w:leader="none" w:pos="112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on the redemption or purchase of a Share, the difference between the nominal value of that Share and the redemption or purchase price; and</w:t>
      </w:r>
    </w:p>
    <w:p>
      <w:pPr>
        <w:spacing w:after="0" w:line="234" w:lineRule="exact"/>
        <w:rPr>
          <w:rFonts w:ascii="Arial" w:cs="Arial" w:eastAsia="Arial" w:hAnsi="Arial"/>
          <w:sz w:val="14"/>
          <w:szCs w:val="14"/>
          <w:color w:val="auto"/>
        </w:rPr>
      </w:pPr>
    </w:p>
    <w:p>
      <w:pPr>
        <w:ind w:left="1120" w:hanging="568"/>
        <w:spacing w:after="0"/>
        <w:tabs>
          <w:tab w:leader="none" w:pos="112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other amount paid out of a share premium account as permitted by the Law.</w:t>
      </w:r>
    </w:p>
    <w:p>
      <w:pPr>
        <w:spacing w:after="0" w:line="212" w:lineRule="exact"/>
        <w:rPr>
          <w:sz w:val="20"/>
          <w:szCs w:val="20"/>
          <w:color w:val="auto"/>
        </w:rPr>
      </w:pPr>
    </w:p>
    <w:p>
      <w:pPr>
        <w:ind w:left="560" w:right="200" w:hanging="558"/>
        <w:spacing w:after="0" w:line="258" w:lineRule="auto"/>
        <w:tabs>
          <w:tab w:leader="none" w:pos="540" w:val="left"/>
        </w:tabs>
        <w:rPr>
          <w:sz w:val="20"/>
          <w:szCs w:val="20"/>
          <w:color w:val="auto"/>
        </w:rPr>
      </w:pPr>
      <w:r>
        <w:rPr>
          <w:rFonts w:ascii="Arial" w:cs="Arial" w:eastAsia="Arial" w:hAnsi="Arial"/>
          <w:sz w:val="16"/>
          <w:szCs w:val="16"/>
          <w:color w:val="auto"/>
        </w:rPr>
        <w:t>29.3</w:t>
      </w:r>
      <w:r>
        <w:rPr>
          <w:sz w:val="20"/>
          <w:szCs w:val="20"/>
          <w:color w:val="auto"/>
        </w:rPr>
        <w:tab/>
      </w:r>
      <w:r>
        <w:rPr>
          <w:rFonts w:ascii="Arial" w:cs="Arial" w:eastAsia="Arial" w:hAnsi="Arial"/>
          <w:sz w:val="16"/>
          <w:szCs w:val="16"/>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color w:val="auto"/>
        </w:rPr>
        <w:t>Seal</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 seal</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30.1</w:t>
      </w:r>
      <w:r>
        <w:rPr>
          <w:sz w:val="20"/>
          <w:szCs w:val="20"/>
          <w:color w:val="auto"/>
        </w:rPr>
        <w:tab/>
      </w:r>
      <w:r>
        <w:rPr>
          <w:rFonts w:ascii="Arial" w:cs="Arial" w:eastAsia="Arial" w:hAnsi="Arial"/>
          <w:sz w:val="13"/>
          <w:szCs w:val="13"/>
          <w:color w:val="auto"/>
        </w:rPr>
        <w:t>The Company may have a seal if the directors so determine.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Duplicate seal</w:t>
      </w:r>
    </w:p>
    <w:p>
      <w:pPr>
        <w:spacing w:after="0" w:line="213"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30.2</w:t>
      </w:r>
      <w:r>
        <w:rPr>
          <w:sz w:val="20"/>
          <w:szCs w:val="20"/>
          <w:color w:val="auto"/>
        </w:rPr>
        <w:tab/>
      </w:r>
      <w:r>
        <w:rPr>
          <w:rFonts w:ascii="Arial" w:cs="Arial" w:eastAsia="Arial" w:hAnsi="Arial"/>
          <w:sz w:val="16"/>
          <w:szCs w:val="16"/>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When and how seal is to be used</w:t>
      </w:r>
    </w:p>
    <w:p>
      <w:pPr>
        <w:spacing w:after="0" w:line="213" w:lineRule="exact"/>
        <w:rPr>
          <w:sz w:val="20"/>
          <w:szCs w:val="20"/>
          <w:color w:val="auto"/>
        </w:rPr>
      </w:pPr>
    </w:p>
    <w:p>
      <w:pPr>
        <w:ind w:left="560" w:right="220" w:hanging="558"/>
        <w:spacing w:after="0" w:line="258" w:lineRule="auto"/>
        <w:tabs>
          <w:tab w:leader="none" w:pos="540" w:val="left"/>
        </w:tabs>
        <w:rPr>
          <w:sz w:val="20"/>
          <w:szCs w:val="20"/>
          <w:color w:val="auto"/>
        </w:rPr>
      </w:pPr>
      <w:r>
        <w:rPr>
          <w:rFonts w:ascii="Arial" w:cs="Arial" w:eastAsia="Arial" w:hAnsi="Arial"/>
          <w:sz w:val="16"/>
          <w:szCs w:val="16"/>
          <w:color w:val="auto"/>
        </w:rPr>
        <w:t>30.3</w:t>
      </w:r>
      <w:r>
        <w:rPr>
          <w:sz w:val="20"/>
          <w:szCs w:val="20"/>
          <w:color w:val="auto"/>
        </w:rPr>
        <w:tab/>
      </w:r>
      <w:r>
        <w:rPr>
          <w:rFonts w:ascii="Arial" w:cs="Arial" w:eastAsia="Arial" w:hAnsi="Arial"/>
          <w:sz w:val="16"/>
          <w:szCs w:val="16"/>
          <w:color w:val="auto"/>
        </w:rPr>
        <w:t>A seal may only be used by the authority of the directors. Unless the directors otherwise determine, a document to which a seal is affixed must be signed in one of the following ways:</w:t>
      </w:r>
    </w:p>
    <w:p>
      <w:pPr>
        <w:spacing w:after="0" w:line="186" w:lineRule="exact"/>
        <w:rPr>
          <w:sz w:val="20"/>
          <w:szCs w:val="20"/>
          <w:color w:val="auto"/>
        </w:rPr>
      </w:pPr>
    </w:p>
    <w:p>
      <w:pPr>
        <w:ind w:left="1120" w:hanging="568"/>
        <w:spacing w:after="0"/>
        <w:tabs>
          <w:tab w:leader="none" w:pos="11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by a director (or his alternate) and the Secretary;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by a single director (or his alternate).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no seal is adopted or used</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30.4</w:t>
      </w:r>
      <w:r>
        <w:rPr>
          <w:sz w:val="20"/>
          <w:szCs w:val="20"/>
          <w:color w:val="auto"/>
        </w:rPr>
        <w:tab/>
      </w:r>
      <w:r>
        <w:rPr>
          <w:rFonts w:ascii="Arial" w:cs="Arial" w:eastAsia="Arial" w:hAnsi="Arial"/>
          <w:sz w:val="13"/>
          <w:szCs w:val="13"/>
          <w:color w:val="auto"/>
        </w:rPr>
        <w:t>If the directors do not adopt a seal, or a seal is not used, a document may be executed in the following manner:</w:t>
      </w:r>
    </w:p>
    <w:p>
      <w:pPr>
        <w:spacing w:after="0" w:line="212" w:lineRule="exact"/>
        <w:rPr>
          <w:sz w:val="20"/>
          <w:szCs w:val="20"/>
          <w:color w:val="auto"/>
        </w:rPr>
      </w:pPr>
    </w:p>
    <w:p>
      <w:pPr>
        <w:ind w:left="1120" w:hanging="568"/>
        <w:spacing w:after="0"/>
        <w:tabs>
          <w:tab w:leader="none" w:pos="11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by a director (or his alternate) or any Officer to which authority has been delegated by resolution duly adopted by the directors; or</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319" w:name="page320"/>
    <w:bookmarkEnd w:id="319"/>
    <w:p>
      <w:pPr>
        <w:ind w:left="1120" w:hanging="568"/>
        <w:spacing w:after="0"/>
        <w:tabs>
          <w:tab w:leader="none" w:pos="11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by a single director (or his alternate);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in any other manner permitted by the Law.</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allow non-manual signatures and facsimile printing of seal</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30.5</w:t>
      </w:r>
      <w:r>
        <w:rPr>
          <w:sz w:val="20"/>
          <w:szCs w:val="20"/>
          <w:color w:val="auto"/>
        </w:rPr>
        <w:tab/>
      </w:r>
      <w:r>
        <w:rPr>
          <w:rFonts w:ascii="Arial" w:cs="Arial" w:eastAsia="Arial" w:hAnsi="Arial"/>
          <w:sz w:val="14"/>
          <w:szCs w:val="14"/>
          <w:color w:val="auto"/>
        </w:rPr>
        <w:t>The directors may determine that either or both of the following applies:</w:t>
      </w:r>
    </w:p>
    <w:p>
      <w:pPr>
        <w:spacing w:after="0" w:line="212" w:lineRule="exact"/>
        <w:rPr>
          <w:sz w:val="20"/>
          <w:szCs w:val="20"/>
          <w:color w:val="auto"/>
        </w:rPr>
      </w:pPr>
    </w:p>
    <w:p>
      <w:pPr>
        <w:ind w:left="1120" w:hanging="568"/>
        <w:spacing w:after="0"/>
        <w:tabs>
          <w:tab w:leader="none" w:pos="11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that the seal or a duplicate seal need not be affixed manually but may be affixed by some other method or system of reproduction;</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that a signature required by these Articles need not be manual but may be a mechanical or Electronic Signature.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Validity of execution</w:t>
      </w:r>
    </w:p>
    <w:p>
      <w:pPr>
        <w:spacing w:after="0" w:line="213"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30.6</w:t>
      </w:r>
      <w:r>
        <w:rPr>
          <w:sz w:val="20"/>
          <w:szCs w:val="20"/>
          <w:color w:val="auto"/>
        </w:rPr>
        <w:tab/>
      </w:r>
      <w:r>
        <w:rPr>
          <w:rFonts w:ascii="Arial" w:cs="Arial" w:eastAsia="Arial" w:hAnsi="Arial"/>
          <w:sz w:val="16"/>
          <w:szCs w:val="16"/>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8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6"/>
          <w:szCs w:val="16"/>
          <w:b w:val="1"/>
          <w:bCs w:val="1"/>
          <w:color w:val="auto"/>
        </w:rPr>
        <w:t>Indemnity</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Indemnity</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4"/>
          <w:szCs w:val="14"/>
          <w:color w:val="auto"/>
        </w:rPr>
        <w:t>To the extent permitted by Applicable Law, the Company shall indemnify each existing or former Secretary, director (including alternate director), and other Officer of the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Company (including an investment adviser or an administrator or liquidator) and their personal representatives against:</w:t>
      </w:r>
    </w:p>
    <w:p>
      <w:pPr>
        <w:spacing w:after="0" w:line="202" w:lineRule="exact"/>
        <w:rPr>
          <w:sz w:val="20"/>
          <w:szCs w:val="20"/>
          <w:color w:val="auto"/>
        </w:rPr>
      </w:pPr>
    </w:p>
    <w:p>
      <w:pPr>
        <w:ind w:left="1120" w:right="100" w:hanging="568"/>
        <w:spacing w:after="0" w:line="250" w:lineRule="auto"/>
        <w:tabs>
          <w:tab w:leader="none" w:pos="11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spacing w:after="0" w:line="192" w:lineRule="exact"/>
        <w:rPr>
          <w:rFonts w:ascii="Arial" w:cs="Arial" w:eastAsia="Arial" w:hAnsi="Arial"/>
          <w:sz w:val="16"/>
          <w:szCs w:val="16"/>
          <w:color w:val="auto"/>
        </w:rPr>
      </w:pPr>
    </w:p>
    <w:p>
      <w:pPr>
        <w:ind w:left="1120" w:right="40" w:hanging="568"/>
        <w:spacing w:after="0" w:line="250" w:lineRule="auto"/>
        <w:tabs>
          <w:tab w:leader="none" w:pos="11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184" w:lineRule="exact"/>
        <w:rPr>
          <w:sz w:val="20"/>
          <w:szCs w:val="20"/>
          <w:color w:val="auto"/>
        </w:rPr>
      </w:pPr>
    </w:p>
    <w:p>
      <w:pPr>
        <w:ind w:left="560" w:right="340"/>
        <w:spacing w:after="0" w:line="251" w:lineRule="auto"/>
        <w:rPr>
          <w:sz w:val="20"/>
          <w:szCs w:val="20"/>
          <w:color w:val="auto"/>
        </w:rPr>
      </w:pPr>
      <w:r>
        <w:rPr>
          <w:rFonts w:ascii="Arial" w:cs="Arial" w:eastAsia="Arial" w:hAnsi="Arial"/>
          <w:sz w:val="19"/>
          <w:szCs w:val="19"/>
          <w:color w:val="auto"/>
        </w:rPr>
        <w:t>No such existing or former Secretary or Officer, however, shall be indemnified in respect of any matter arising out of his own actual fraud, wilful default or wilful neglect.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8" w:right="359" w:bottom="1440" w:gutter="0" w:footer="0" w:header="0"/>
        </w:sectPr>
      </w:pPr>
    </w:p>
    <w:bookmarkStart w:id="320" w:name="page321"/>
    <w:bookmarkEnd w:id="320"/>
    <w:p>
      <w:pPr>
        <w:ind w:left="560" w:right="60" w:hanging="558"/>
        <w:spacing w:after="0" w:line="248" w:lineRule="auto"/>
        <w:tabs>
          <w:tab w:leader="none" w:pos="54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Release</w:t>
      </w:r>
    </w:p>
    <w:p>
      <w:pPr>
        <w:spacing w:after="0" w:line="213" w:lineRule="exact"/>
        <w:rPr>
          <w:sz w:val="20"/>
          <w:szCs w:val="20"/>
          <w:color w:val="auto"/>
        </w:rPr>
      </w:pPr>
    </w:p>
    <w:p>
      <w:pPr>
        <w:ind w:left="560" w:hanging="558"/>
        <w:spacing w:after="0" w:line="248" w:lineRule="auto"/>
        <w:tabs>
          <w:tab w:leader="none" w:pos="54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6"/>
          <w:szCs w:val="16"/>
          <w:color w:val="auto"/>
        </w:rPr>
        <w:t>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w:t>
      </w:r>
    </w:p>
    <w:p>
      <w:pPr>
        <w:spacing w:after="0" w:line="213" w:lineRule="exact"/>
        <w:rPr>
          <w:sz w:val="20"/>
          <w:szCs w:val="20"/>
          <w:color w:val="auto"/>
        </w:rPr>
      </w:pPr>
    </w:p>
    <w:p>
      <w:pPr>
        <w:ind w:left="560" w:right="140" w:hanging="558"/>
        <w:spacing w:after="0" w:line="258" w:lineRule="auto"/>
        <w:tabs>
          <w:tab w:leader="none" w:pos="54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6"/>
          <w:szCs w:val="16"/>
          <w:color w:val="auto"/>
        </w:rPr>
        <w:t>To the extent permitted by Applicable Law, the Company may pay, or agree to pay, a premium in respect of a contract insuring each of the following persons against risks determined by the directors, other than liability arising out of that person’s own dishonesty:</w:t>
      </w:r>
    </w:p>
    <w:p>
      <w:pPr>
        <w:spacing w:after="0" w:line="186" w:lineRule="exact"/>
        <w:rPr>
          <w:sz w:val="20"/>
          <w:szCs w:val="20"/>
          <w:color w:val="auto"/>
        </w:rPr>
      </w:pPr>
    </w:p>
    <w:p>
      <w:pPr>
        <w:ind w:left="1120" w:hanging="568"/>
        <w:spacing w:after="0"/>
        <w:tabs>
          <w:tab w:leader="none" w:pos="11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 existing or former director (including alternate director), Secretary or Officer or auditor of:</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the Company;</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 company which is or was a subsidiary of the Company;</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 company in which the Company has or had an interest (whether direct or indirect);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33"/>
        </w:numPr>
        <w:rPr>
          <w:rFonts w:ascii="Arial" w:cs="Arial" w:eastAsia="Arial" w:hAnsi="Arial"/>
          <w:sz w:val="14"/>
          <w:szCs w:val="14"/>
          <w:color w:val="auto"/>
        </w:rPr>
      </w:pPr>
      <w:r>
        <w:rPr>
          <w:rFonts w:ascii="Arial" w:cs="Arial" w:eastAsia="Arial" w:hAnsi="Arial"/>
          <w:sz w:val="14"/>
          <w:szCs w:val="14"/>
          <w:color w:val="auto"/>
        </w:rPr>
        <w:t>a trustee of an employee or retirement benefits scheme or other trust in which any of the persons referred to in paragraph (a) is or was interested.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auto"/>
        </w:rPr>
        <w:t>Notices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notices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color w:val="auto"/>
        </w:rPr>
        <w:t>Save where these Articles provide otherwise, any notice to be given to or by any person pursuant to these Articles shall be:</w:t>
      </w:r>
    </w:p>
    <w:p>
      <w:pPr>
        <w:spacing w:after="0" w:line="212" w:lineRule="exact"/>
        <w:rPr>
          <w:sz w:val="20"/>
          <w:szCs w:val="20"/>
          <w:color w:val="auto"/>
        </w:rPr>
      </w:pPr>
    </w:p>
    <w:p>
      <w:pPr>
        <w:ind w:left="1120" w:hanging="568"/>
        <w:spacing w:after="0"/>
        <w:tabs>
          <w:tab w:leader="none" w:pos="11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 writing signed by or on behalf of the giver in the manner set out below for written notices;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21" w:name="page322"/>
    <w:bookmarkEnd w:id="321"/>
    <w:p>
      <w:pPr>
        <w:ind w:left="1120" w:right="40" w:hanging="568"/>
        <w:spacing w:after="0" w:line="258" w:lineRule="auto"/>
        <w:tabs>
          <w:tab w:leader="none" w:pos="11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subject to the next Article, in an Electronic Record signed by or on behalf of the giver by Electronic Signature and authenticated in accordance with Articles about authentication of Electronic Records; or</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where these Articles expressly permit, by the Company by means of a website.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Electronic communications</w:t>
      </w:r>
    </w:p>
    <w:p>
      <w:pPr>
        <w:spacing w:after="0" w:line="213" w:lineRule="exact"/>
        <w:rPr>
          <w:sz w:val="20"/>
          <w:szCs w:val="20"/>
          <w:color w:val="auto"/>
        </w:rPr>
      </w:pPr>
    </w:p>
    <w:p>
      <w:pPr>
        <w:ind w:left="560" w:right="320" w:hanging="558"/>
        <w:spacing w:after="0" w:line="258" w:lineRule="auto"/>
        <w:tabs>
          <w:tab w:leader="none" w:pos="54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spacing w:after="0" w:line="186" w:lineRule="exact"/>
        <w:rPr>
          <w:sz w:val="20"/>
          <w:szCs w:val="20"/>
          <w:color w:val="auto"/>
        </w:rPr>
      </w:pPr>
    </w:p>
    <w:p>
      <w:pPr>
        <w:ind w:left="1120" w:hanging="568"/>
        <w:spacing w:after="0"/>
        <w:tabs>
          <w:tab w:leader="none" w:pos="11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directors so resolve;</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resolution states how an Electronic Record may be given and, if applicable, specifies an email address for the Company; and</w:t>
      </w:r>
    </w:p>
    <w:p>
      <w:pPr>
        <w:spacing w:after="0" w:line="211" w:lineRule="exact"/>
        <w:rPr>
          <w:rFonts w:ascii="Arial" w:cs="Arial" w:eastAsia="Arial" w:hAnsi="Arial"/>
          <w:sz w:val="16"/>
          <w:szCs w:val="16"/>
          <w:color w:val="auto"/>
        </w:rPr>
      </w:pPr>
    </w:p>
    <w:p>
      <w:pPr>
        <w:ind w:left="1120" w:right="300" w:hanging="568"/>
        <w:spacing w:after="0" w:line="258" w:lineRule="auto"/>
        <w:tabs>
          <w:tab w:leader="none" w:pos="11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terms of that resolution are notified to the Members for the time being and, if applicable, to those directors who were absent from the meeting at which the resolution was passed.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resolution is revoked or varied, the revocation or variation shall only become effective when its terms have been similarly notified.</w:t>
      </w:r>
    </w:p>
    <w:p>
      <w:pPr>
        <w:spacing w:after="0" w:line="232"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6"/>
          <w:szCs w:val="16"/>
          <w:color w:val="auto"/>
        </w:rPr>
        <w:t>A notice may not be given by Electronic Record to a person other than the Company unless the recipient has notified the giver of an Electronic address to which notice may be sent.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Persons authorised to give notices</w:t>
      </w:r>
    </w:p>
    <w:p>
      <w:pPr>
        <w:spacing w:after="0" w:line="213" w:lineRule="exact"/>
        <w:rPr>
          <w:sz w:val="20"/>
          <w:szCs w:val="20"/>
          <w:color w:val="auto"/>
        </w:rPr>
      </w:pPr>
    </w:p>
    <w:p>
      <w:pPr>
        <w:ind w:left="560" w:right="260" w:hanging="558"/>
        <w:spacing w:after="0" w:line="258" w:lineRule="auto"/>
        <w:tabs>
          <w:tab w:leader="none" w:pos="540" w:val="left"/>
        </w:tabs>
        <w:rPr>
          <w:sz w:val="20"/>
          <w:szCs w:val="20"/>
          <w:color w:val="auto"/>
        </w:rPr>
      </w:pPr>
      <w:r>
        <w:rPr>
          <w:rFonts w:ascii="Arial" w:cs="Arial" w:eastAsia="Arial" w:hAnsi="Arial"/>
          <w:sz w:val="16"/>
          <w:szCs w:val="16"/>
          <w:color w:val="auto"/>
        </w:rPr>
        <w:t>32.4</w:t>
      </w:r>
      <w:r>
        <w:rPr>
          <w:sz w:val="20"/>
          <w:szCs w:val="20"/>
          <w:color w:val="auto"/>
        </w:rPr>
        <w:tab/>
      </w:r>
      <w:r>
        <w:rPr>
          <w:rFonts w:ascii="Arial" w:cs="Arial" w:eastAsia="Arial" w:hAnsi="Arial"/>
          <w:sz w:val="16"/>
          <w:szCs w:val="16"/>
          <w:color w:val="auto"/>
        </w:rPr>
        <w:t>A notice by either the Company or a Member pursuant to these Articles may be given on behalf of the Company or a Member by a director or company secretary of the Company or a Member.</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Delivery of written notices</w:t>
      </w:r>
    </w:p>
    <w:p>
      <w:pPr>
        <w:spacing w:after="0" w:line="213" w:lineRule="exact"/>
        <w:rPr>
          <w:sz w:val="20"/>
          <w:szCs w:val="20"/>
          <w:color w:val="auto"/>
        </w:rPr>
      </w:pPr>
    </w:p>
    <w:p>
      <w:pPr>
        <w:ind w:left="560" w:right="200" w:hanging="558"/>
        <w:spacing w:after="0" w:line="258" w:lineRule="auto"/>
        <w:tabs>
          <w:tab w:leader="none" w:pos="540" w:val="left"/>
        </w:tabs>
        <w:rPr>
          <w:sz w:val="20"/>
          <w:szCs w:val="20"/>
          <w:color w:val="auto"/>
        </w:rPr>
      </w:pPr>
      <w:r>
        <w:rPr>
          <w:rFonts w:ascii="Arial" w:cs="Arial" w:eastAsia="Arial" w:hAnsi="Arial"/>
          <w:sz w:val="16"/>
          <w:szCs w:val="16"/>
          <w:color w:val="auto"/>
        </w:rPr>
        <w:t>32.5</w:t>
      </w:r>
      <w:r>
        <w:rPr>
          <w:sz w:val="20"/>
          <w:szCs w:val="20"/>
          <w:color w:val="auto"/>
        </w:rPr>
        <w:tab/>
      </w:r>
      <w:r>
        <w:rPr>
          <w:rFonts w:ascii="Arial" w:cs="Arial" w:eastAsia="Arial" w:hAnsi="Arial"/>
          <w:sz w:val="16"/>
          <w:szCs w:val="16"/>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Joint holders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32.6</w:t>
      </w:r>
      <w:r>
        <w:rPr>
          <w:sz w:val="20"/>
          <w:szCs w:val="20"/>
          <w:color w:val="auto"/>
        </w:rPr>
        <w:tab/>
      </w:r>
      <w:r>
        <w:rPr>
          <w:rFonts w:ascii="Arial" w:cs="Arial" w:eastAsia="Arial" w:hAnsi="Arial"/>
          <w:sz w:val="13"/>
          <w:szCs w:val="13"/>
          <w:color w:val="auto"/>
        </w:rPr>
        <w:t>Where Members are joint holders of a Share, all notices shall be given to the Member whose name first appears in the Register of Members.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32.7</w:t>
      </w:r>
      <w:r>
        <w:rPr>
          <w:sz w:val="20"/>
          <w:szCs w:val="20"/>
          <w:color w:val="auto"/>
        </w:rPr>
        <w:tab/>
      </w:r>
      <w:r>
        <w:rPr>
          <w:rFonts w:ascii="Arial" w:cs="Arial" w:eastAsia="Arial" w:hAnsi="Arial"/>
          <w:sz w:val="14"/>
          <w:szCs w:val="14"/>
          <w:color w:val="auto"/>
        </w:rPr>
        <w:t>A written notice shall be signed when it is autographed by or on behalf of the giver, or is marked in such a way as to indicate its execution or adoption by the giver.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22" w:name="page323"/>
    <w:bookmarkEnd w:id="322"/>
    <w:p>
      <w:pPr>
        <w:spacing w:after="0"/>
        <w:tabs>
          <w:tab w:leader="none" w:pos="540" w:val="left"/>
        </w:tabs>
        <w:rPr>
          <w:sz w:val="20"/>
          <w:szCs w:val="20"/>
          <w:color w:val="auto"/>
        </w:rPr>
      </w:pPr>
      <w:r>
        <w:rPr>
          <w:rFonts w:ascii="Arial" w:cs="Arial" w:eastAsia="Arial" w:hAnsi="Arial"/>
          <w:sz w:val="16"/>
          <w:szCs w:val="16"/>
          <w:color w:val="auto"/>
        </w:rPr>
        <w:t>32.8</w:t>
      </w:r>
      <w:r>
        <w:rPr>
          <w:sz w:val="20"/>
          <w:szCs w:val="20"/>
          <w:color w:val="auto"/>
        </w:rPr>
        <w:tab/>
      </w:r>
      <w:r>
        <w:rPr>
          <w:rFonts w:ascii="Arial" w:cs="Arial" w:eastAsia="Arial" w:hAnsi="Arial"/>
          <w:sz w:val="14"/>
          <w:szCs w:val="14"/>
          <w:color w:val="auto"/>
        </w:rPr>
        <w:t>An Electronic Record may be signed by an Electronic Signature.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Evidence of transmission</w:t>
      </w:r>
    </w:p>
    <w:p>
      <w:pPr>
        <w:spacing w:after="0" w:line="213" w:lineRule="exact"/>
        <w:rPr>
          <w:sz w:val="20"/>
          <w:szCs w:val="20"/>
          <w:color w:val="auto"/>
        </w:rPr>
      </w:pPr>
    </w:p>
    <w:p>
      <w:pPr>
        <w:jc w:val="both"/>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32.9</w:t>
      </w:r>
      <w:r>
        <w:rPr>
          <w:sz w:val="20"/>
          <w:szCs w:val="20"/>
          <w:color w:val="auto"/>
        </w:rPr>
        <w:tab/>
      </w:r>
      <w:r>
        <w:rPr>
          <w:rFonts w:ascii="Arial" w:cs="Arial" w:eastAsia="Arial" w:hAnsi="Arial"/>
          <w:sz w:val="16"/>
          <w:szCs w:val="16"/>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86" w:lineRule="exact"/>
        <w:rPr>
          <w:sz w:val="20"/>
          <w:szCs w:val="20"/>
          <w:color w:val="auto"/>
        </w:rPr>
      </w:pPr>
    </w:p>
    <w:p>
      <w:pPr>
        <w:jc w:val="both"/>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32.10</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Giving notice to a deceased or bankrupt Member</w:t>
      </w:r>
    </w:p>
    <w:p>
      <w:pPr>
        <w:spacing w:after="0" w:line="213" w:lineRule="exact"/>
        <w:rPr>
          <w:sz w:val="20"/>
          <w:szCs w:val="20"/>
          <w:color w:val="auto"/>
        </w:rPr>
      </w:pPr>
    </w:p>
    <w:p>
      <w:pPr>
        <w:jc w:val="both"/>
        <w:ind w:left="560" w:right="40" w:hanging="558"/>
        <w:spacing w:after="0" w:line="303" w:lineRule="auto"/>
        <w:tabs>
          <w:tab w:leader="none" w:pos="540" w:val="left"/>
        </w:tabs>
        <w:rPr>
          <w:sz w:val="20"/>
          <w:szCs w:val="20"/>
          <w:color w:val="auto"/>
        </w:rPr>
      </w:pPr>
      <w:r>
        <w:rPr>
          <w:rFonts w:ascii="Arial" w:cs="Arial" w:eastAsia="Arial" w:hAnsi="Arial"/>
          <w:sz w:val="16"/>
          <w:szCs w:val="16"/>
          <w:color w:val="auto"/>
        </w:rPr>
        <w:t>32.11</w:t>
      </w:r>
      <w:r>
        <w:rPr>
          <w:sz w:val="20"/>
          <w:szCs w:val="20"/>
          <w:color w:val="auto"/>
        </w:rPr>
        <w:tab/>
      </w:r>
      <w:r>
        <w:rPr>
          <w:rFonts w:ascii="Arial" w:cs="Arial" w:eastAsia="Arial" w:hAnsi="Arial"/>
          <w:sz w:val="14"/>
          <w:szCs w:val="14"/>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5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32.12</w:t>
      </w:r>
      <w:r>
        <w:rPr>
          <w:sz w:val="20"/>
          <w:szCs w:val="20"/>
          <w:color w:val="auto"/>
        </w:rPr>
        <w:tab/>
      </w:r>
      <w:r>
        <w:rPr>
          <w:rFonts w:ascii="Arial" w:cs="Arial" w:eastAsia="Arial" w:hAnsi="Arial"/>
          <w:sz w:val="14"/>
          <w:szCs w:val="14"/>
          <w:color w:val="auto"/>
        </w:rPr>
        <w:t>Until such an address has been supplied, a notice may be given in any manner in which it might have been given if the death or bankruptcy had not occurred.</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giving notices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32.13</w:t>
      </w:r>
      <w:r>
        <w:rPr>
          <w:sz w:val="20"/>
          <w:szCs w:val="20"/>
          <w:color w:val="auto"/>
        </w:rPr>
        <w:tab/>
      </w:r>
      <w:r>
        <w:rPr>
          <w:rFonts w:ascii="Arial" w:cs="Arial" w:eastAsia="Arial" w:hAnsi="Arial"/>
          <w:sz w:val="14"/>
          <w:szCs w:val="14"/>
          <w:color w:val="auto"/>
        </w:rPr>
        <w:t>A notice is given on the date identified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Borders>
              <w:right w:val="single" w:sz="8" w:color="auto"/>
            </w:tcBorders>
          </w:tcPr>
          <w:p>
            <w:pPr>
              <w:spacing w:after="0"/>
              <w:rPr>
                <w:sz w:val="18"/>
                <w:szCs w:val="18"/>
                <w:color w:val="auto"/>
              </w:rPr>
            </w:pPr>
          </w:p>
        </w:tc>
        <w:tc>
          <w:tcPr>
            <w:tcW w:w="4760" w:type="dxa"/>
            <w:vAlign w:val="bottom"/>
            <w:tcBorders>
              <w:top w:val="single" w:sz="8" w:color="auto"/>
              <w:bottom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Method for giving notices</w:t>
            </w:r>
          </w:p>
        </w:tc>
        <w:tc>
          <w:tcPr>
            <w:tcW w:w="300" w:type="dxa"/>
            <w:vAlign w:val="bottom"/>
            <w:tcBorders>
              <w:top w:val="single" w:sz="8" w:color="auto"/>
              <w:bottom w:val="single" w:sz="8" w:color="auto"/>
              <w:right w:val="single" w:sz="8" w:color="auto"/>
            </w:tcBorders>
            <w:shd w:val="clear" w:color="auto" w:fill="D9D9D9"/>
          </w:tcPr>
          <w:p>
            <w:pPr>
              <w:spacing w:after="0"/>
              <w:rPr>
                <w:sz w:val="18"/>
                <w:szCs w:val="18"/>
                <w:color w:val="auto"/>
              </w:rPr>
            </w:pPr>
          </w:p>
        </w:tc>
        <w:tc>
          <w:tcPr>
            <w:tcW w:w="504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When taken to be given</w:t>
            </w:r>
          </w:p>
        </w:tc>
        <w:tc>
          <w:tcPr>
            <w:tcW w:w="580" w:type="dxa"/>
            <w:vAlign w:val="bottom"/>
          </w:tcPr>
          <w:p>
            <w:pPr>
              <w:spacing w:after="0"/>
              <w:rPr>
                <w:sz w:val="18"/>
                <w:szCs w:val="18"/>
                <w:color w:val="auto"/>
              </w:rPr>
            </w:pPr>
          </w:p>
        </w:tc>
      </w:tr>
      <w:tr>
        <w:trPr>
          <w:trHeight w:val="189"/>
        </w:trPr>
        <w:tc>
          <w:tcPr>
            <w:tcW w:w="580" w:type="dxa"/>
            <w:vAlign w:val="bottom"/>
            <w:tcBorders>
              <w:right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Personally</w:t>
            </w:r>
          </w:p>
        </w:tc>
        <w:tc>
          <w:tcPr>
            <w:tcW w:w="300" w:type="dxa"/>
            <w:vAlign w:val="bottom"/>
            <w:tcBorders>
              <w:bottom w:val="single" w:sz="8" w:color="auto"/>
              <w:right w:val="single" w:sz="8" w:color="auto"/>
            </w:tcBorders>
          </w:tcPr>
          <w:p>
            <w:pPr>
              <w:spacing w:after="0"/>
              <w:rPr>
                <w:sz w:val="16"/>
                <w:szCs w:val="16"/>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time and date of delivery</w:t>
            </w:r>
          </w:p>
        </w:tc>
        <w:tc>
          <w:tcPr>
            <w:tcW w:w="580" w:type="dxa"/>
            <w:vAlign w:val="bottom"/>
          </w:tcPr>
          <w:p>
            <w:pPr>
              <w:spacing w:after="0"/>
              <w:rPr>
                <w:sz w:val="16"/>
                <w:szCs w:val="16"/>
                <w:color w:val="auto"/>
              </w:rPr>
            </w:pPr>
          </w:p>
        </w:tc>
      </w:tr>
      <w:tr>
        <w:trPr>
          <w:trHeight w:val="189"/>
        </w:trPr>
        <w:tc>
          <w:tcPr>
            <w:tcW w:w="580" w:type="dxa"/>
            <w:vAlign w:val="bottom"/>
            <w:tcBorders>
              <w:right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leaving it at the member’s registered address</w:t>
            </w:r>
          </w:p>
        </w:tc>
        <w:tc>
          <w:tcPr>
            <w:tcW w:w="300" w:type="dxa"/>
            <w:vAlign w:val="bottom"/>
            <w:tcBorders>
              <w:bottom w:val="single" w:sz="8" w:color="auto"/>
              <w:right w:val="single" w:sz="8" w:color="auto"/>
            </w:tcBorders>
          </w:tcPr>
          <w:p>
            <w:pPr>
              <w:spacing w:after="0"/>
              <w:rPr>
                <w:sz w:val="16"/>
                <w:szCs w:val="16"/>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At the time and date it was left</w:t>
            </w:r>
          </w:p>
        </w:tc>
        <w:tc>
          <w:tcPr>
            <w:tcW w:w="580" w:type="dxa"/>
            <w:vAlign w:val="bottom"/>
          </w:tcPr>
          <w:p>
            <w:pPr>
              <w:spacing w:after="0"/>
              <w:rPr>
                <w:sz w:val="16"/>
                <w:szCs w:val="16"/>
                <w:color w:val="auto"/>
              </w:rPr>
            </w:pPr>
          </w:p>
        </w:tc>
      </w:tr>
      <w:tr>
        <w:trPr>
          <w:trHeight w:val="176"/>
        </w:trPr>
        <w:tc>
          <w:tcPr>
            <w:tcW w:w="58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w w:val="88"/>
              </w:rPr>
              <w:t>If the recipient has an address within the Islands, by posting it by prepaid post to</w:t>
            </w:r>
          </w:p>
        </w:tc>
        <w:tc>
          <w:tcPr>
            <w:tcW w:w="50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48 hours after it was posted</w:t>
            </w:r>
          </w:p>
        </w:tc>
        <w:tc>
          <w:tcPr>
            <w:tcW w:w="580" w:type="dxa"/>
            <w:vAlign w:val="bottom"/>
          </w:tcPr>
          <w:p>
            <w:pPr>
              <w:spacing w:after="0"/>
              <w:rPr>
                <w:sz w:val="15"/>
                <w:szCs w:val="15"/>
                <w:color w:val="auto"/>
              </w:rPr>
            </w:pPr>
          </w:p>
        </w:tc>
      </w:tr>
      <w:tr>
        <w:trPr>
          <w:trHeight w:val="200"/>
        </w:trPr>
        <w:tc>
          <w:tcPr>
            <w:tcW w:w="580" w:type="dxa"/>
            <w:vAlign w:val="bottom"/>
            <w:tcBorders>
              <w:right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 street or postal address of that recipient</w:t>
            </w:r>
          </w:p>
        </w:tc>
        <w:tc>
          <w:tcPr>
            <w:tcW w:w="30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r>
      <w:tr>
        <w:trPr>
          <w:trHeight w:val="176"/>
        </w:trPr>
        <w:tc>
          <w:tcPr>
            <w:tcW w:w="580" w:type="dxa"/>
            <w:vAlign w:val="bottom"/>
            <w:tcBorders>
              <w:right w:val="single" w:sz="8" w:color="auto"/>
            </w:tcBorders>
          </w:tcPr>
          <w:p>
            <w:pPr>
              <w:spacing w:after="0"/>
              <w:rPr>
                <w:sz w:val="15"/>
                <w:szCs w:val="15"/>
                <w:color w:val="auto"/>
              </w:rPr>
            </w:pPr>
          </w:p>
        </w:tc>
        <w:tc>
          <w:tcPr>
            <w:tcW w:w="4760" w:type="dxa"/>
            <w:vAlign w:val="bottom"/>
          </w:tcPr>
          <w:p>
            <w:pPr>
              <w:spacing w:after="0" w:line="176" w:lineRule="exact"/>
              <w:rPr>
                <w:sz w:val="20"/>
                <w:szCs w:val="20"/>
                <w:color w:val="auto"/>
              </w:rPr>
            </w:pPr>
            <w:r>
              <w:rPr>
                <w:rFonts w:ascii="Arial" w:cs="Arial" w:eastAsia="Arial" w:hAnsi="Arial"/>
                <w:sz w:val="16"/>
                <w:szCs w:val="16"/>
                <w:color w:val="auto"/>
                <w:w w:val="90"/>
              </w:rPr>
              <w:t>If the recipient has an address outside the Islands, by posting it by prepaid</w:t>
            </w:r>
          </w:p>
        </w:tc>
        <w:tc>
          <w:tcPr>
            <w:tcW w:w="30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3 Clear Days after posting</w:t>
            </w:r>
          </w:p>
        </w:tc>
        <w:tc>
          <w:tcPr>
            <w:tcW w:w="580" w:type="dxa"/>
            <w:vAlign w:val="bottom"/>
          </w:tcPr>
          <w:p>
            <w:pPr>
              <w:spacing w:after="0"/>
              <w:rPr>
                <w:sz w:val="15"/>
                <w:szCs w:val="15"/>
                <w:color w:val="auto"/>
              </w:rPr>
            </w:pPr>
          </w:p>
        </w:tc>
      </w:tr>
      <w:tr>
        <w:trPr>
          <w:trHeight w:val="200"/>
        </w:trPr>
        <w:tc>
          <w:tcPr>
            <w:tcW w:w="580" w:type="dxa"/>
            <w:vAlign w:val="bottom"/>
            <w:tcBorders>
              <w:right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airmail to the street or postal address of that recipient</w:t>
            </w:r>
          </w:p>
        </w:tc>
        <w:tc>
          <w:tcPr>
            <w:tcW w:w="30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r>
      <w:tr>
        <w:trPr>
          <w:trHeight w:val="176"/>
        </w:trPr>
        <w:tc>
          <w:tcPr>
            <w:tcW w:w="580" w:type="dxa"/>
            <w:vAlign w:val="bottom"/>
            <w:tcBorders>
              <w:right w:val="single" w:sz="8" w:color="auto"/>
            </w:tcBorders>
          </w:tcPr>
          <w:p>
            <w:pPr>
              <w:spacing w:after="0"/>
              <w:rPr>
                <w:sz w:val="15"/>
                <w:szCs w:val="15"/>
                <w:color w:val="auto"/>
              </w:rPr>
            </w:pPr>
          </w:p>
        </w:tc>
        <w:tc>
          <w:tcPr>
            <w:tcW w:w="4760" w:type="dxa"/>
            <w:vAlign w:val="bottom"/>
          </w:tcPr>
          <w:p>
            <w:pPr>
              <w:spacing w:after="0" w:line="176" w:lineRule="exact"/>
              <w:rPr>
                <w:sz w:val="20"/>
                <w:szCs w:val="20"/>
                <w:color w:val="auto"/>
              </w:rPr>
            </w:pPr>
            <w:r>
              <w:rPr>
                <w:rFonts w:ascii="Arial" w:cs="Arial" w:eastAsia="Arial" w:hAnsi="Arial"/>
                <w:sz w:val="16"/>
                <w:szCs w:val="16"/>
                <w:color w:val="auto"/>
                <w:w w:val="92"/>
              </w:rPr>
              <w:t>By Electronic Record (other than publication on a website), to recipient’s</w:t>
            </w:r>
          </w:p>
        </w:tc>
        <w:tc>
          <w:tcPr>
            <w:tcW w:w="30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Within 24 hours after it was sent</w:t>
            </w:r>
          </w:p>
        </w:tc>
        <w:tc>
          <w:tcPr>
            <w:tcW w:w="580" w:type="dxa"/>
            <w:vAlign w:val="bottom"/>
          </w:tcPr>
          <w:p>
            <w:pPr>
              <w:spacing w:after="0"/>
              <w:rPr>
                <w:sz w:val="15"/>
                <w:szCs w:val="15"/>
                <w:color w:val="auto"/>
              </w:rPr>
            </w:pPr>
          </w:p>
        </w:tc>
      </w:tr>
      <w:tr>
        <w:trPr>
          <w:trHeight w:val="200"/>
        </w:trPr>
        <w:tc>
          <w:tcPr>
            <w:tcW w:w="580" w:type="dxa"/>
            <w:vAlign w:val="bottom"/>
            <w:tcBorders>
              <w:right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Electronic address</w:t>
            </w:r>
          </w:p>
        </w:tc>
        <w:tc>
          <w:tcPr>
            <w:tcW w:w="30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r>
      <w:tr>
        <w:trPr>
          <w:trHeight w:val="176"/>
        </w:trPr>
        <w:tc>
          <w:tcPr>
            <w:tcW w:w="580" w:type="dxa"/>
            <w:vAlign w:val="bottom"/>
            <w:tcBorders>
              <w:right w:val="single" w:sz="8" w:color="auto"/>
            </w:tcBorders>
          </w:tcPr>
          <w:p>
            <w:pPr>
              <w:spacing w:after="0"/>
              <w:rPr>
                <w:sz w:val="15"/>
                <w:szCs w:val="15"/>
                <w:color w:val="auto"/>
              </w:rPr>
            </w:pPr>
          </w:p>
        </w:tc>
        <w:tc>
          <w:tcPr>
            <w:tcW w:w="4760" w:type="dxa"/>
            <w:vAlign w:val="bottom"/>
          </w:tcPr>
          <w:p>
            <w:pPr>
              <w:spacing w:after="0" w:line="176" w:lineRule="exact"/>
              <w:rPr>
                <w:sz w:val="20"/>
                <w:szCs w:val="20"/>
                <w:color w:val="auto"/>
              </w:rPr>
            </w:pPr>
            <w:r>
              <w:rPr>
                <w:rFonts w:ascii="Arial" w:cs="Arial" w:eastAsia="Arial" w:hAnsi="Arial"/>
                <w:sz w:val="16"/>
                <w:szCs w:val="16"/>
                <w:color w:val="auto"/>
              </w:rPr>
              <w:t>By publication on a website</w:t>
            </w:r>
          </w:p>
        </w:tc>
        <w:tc>
          <w:tcPr>
            <w:tcW w:w="30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8"/>
              </w:rPr>
              <w:t>See the Articles about the time when notice of a meeting of Members or</w:t>
            </w:r>
          </w:p>
        </w:tc>
        <w:tc>
          <w:tcPr>
            <w:tcW w:w="580" w:type="dxa"/>
            <w:vAlign w:val="bottom"/>
          </w:tcPr>
          <w:p>
            <w:pPr>
              <w:spacing w:after="0"/>
              <w:rPr>
                <w:sz w:val="15"/>
                <w:szCs w:val="15"/>
                <w:color w:val="auto"/>
              </w:rPr>
            </w:pPr>
          </w:p>
        </w:tc>
      </w:tr>
      <w:tr>
        <w:trPr>
          <w:trHeight w:val="200"/>
        </w:trPr>
        <w:tc>
          <w:tcPr>
            <w:tcW w:w="580" w:type="dxa"/>
            <w:vAlign w:val="bottom"/>
            <w:tcBorders>
              <w:right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accounts and reports, as the case may be, are published on a website</w:t>
            </w:r>
          </w:p>
        </w:tc>
        <w:tc>
          <w:tcPr>
            <w:tcW w:w="580" w:type="dxa"/>
            <w:vAlign w:val="bottom"/>
          </w:tcPr>
          <w:p>
            <w:pPr>
              <w:spacing w:after="0"/>
              <w:rPr>
                <w:sz w:val="17"/>
                <w:szCs w:val="17"/>
                <w:color w:val="auto"/>
              </w:rPr>
            </w:pPr>
          </w:p>
        </w:tc>
      </w:tr>
      <w:tr>
        <w:trPr>
          <w:trHeight w:val="370"/>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340" w:type="dxa"/>
            <w:vAlign w:val="bottom"/>
            <w:gridSpan w:val="2"/>
          </w:tcPr>
          <w:p>
            <w:pPr>
              <w:jc w:val="right"/>
              <w:ind w:right="4882"/>
              <w:spacing w:after="0"/>
              <w:rPr>
                <w:sz w:val="20"/>
                <w:szCs w:val="20"/>
                <w:color w:val="auto"/>
              </w:rPr>
            </w:pPr>
            <w:r>
              <w:rPr>
                <w:rFonts w:ascii="Arial" w:cs="Arial" w:eastAsia="Arial" w:hAnsi="Arial"/>
                <w:sz w:val="19"/>
                <w:szCs w:val="19"/>
                <w:color w:val="auto"/>
              </w:rPr>
              <w:t>50</w:t>
            </w:r>
          </w:p>
        </w:tc>
        <w:tc>
          <w:tcPr>
            <w:tcW w:w="580" w:type="dxa"/>
            <w:vAlign w:val="bottom"/>
          </w:tcPr>
          <w:p>
            <w:pPr>
              <w:spacing w:after="0"/>
              <w:rPr>
                <w:sz w:val="24"/>
                <w:szCs w:val="24"/>
                <w:color w:val="auto"/>
              </w:rPr>
            </w:pPr>
          </w:p>
        </w:tc>
      </w:tr>
      <w:tr>
        <w:trPr>
          <w:trHeight w:val="40"/>
        </w:trPr>
        <w:tc>
          <w:tcPr>
            <w:tcW w:w="5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9" w:right="319" w:bottom="1440" w:gutter="0" w:footer="0" w:header="0"/>
        </w:sectPr>
      </w:pPr>
    </w:p>
    <w:bookmarkStart w:id="323" w:name="page324"/>
    <w:bookmarkEnd w:id="323"/>
    <w:p>
      <w:pPr>
        <w:spacing w:after="0"/>
        <w:rPr>
          <w:sz w:val="20"/>
          <w:szCs w:val="20"/>
          <w:color w:val="auto"/>
        </w:rPr>
      </w:pPr>
      <w:r>
        <w:rPr>
          <w:rFonts w:ascii="Arial" w:cs="Arial" w:eastAsia="Arial" w:hAnsi="Arial"/>
          <w:sz w:val="19"/>
          <w:szCs w:val="19"/>
          <w:b w:val="1"/>
          <w:bCs w:val="1"/>
          <w:color w:val="auto"/>
        </w:rPr>
        <w:t>Saving provision</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32.14</w:t>
      </w:r>
      <w:r>
        <w:rPr>
          <w:sz w:val="20"/>
          <w:szCs w:val="20"/>
          <w:color w:val="auto"/>
        </w:rPr>
        <w:tab/>
      </w:r>
      <w:r>
        <w:rPr>
          <w:rFonts w:ascii="Arial" w:cs="Arial" w:eastAsia="Arial" w:hAnsi="Arial"/>
          <w:sz w:val="14"/>
          <w:szCs w:val="14"/>
          <w:color w:val="auto"/>
        </w:rPr>
        <w:t>None of the preceding notice provisions shall derogate from the Articles about the delivery of written resolutions of directors and written resolutions of Members.</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6"/>
          <w:szCs w:val="16"/>
          <w:b w:val="1"/>
          <w:bCs w:val="1"/>
          <w:color w:val="auto"/>
        </w:rPr>
        <w:t>Authentication of Electronic Records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Application of Articles</w:t>
      </w:r>
    </w:p>
    <w:p>
      <w:pPr>
        <w:spacing w:after="0" w:line="213" w:lineRule="exact"/>
        <w:rPr>
          <w:sz w:val="20"/>
          <w:szCs w:val="20"/>
          <w:color w:val="auto"/>
        </w:rPr>
      </w:pPr>
    </w:p>
    <w:p>
      <w:pPr>
        <w:ind w:left="560" w:right="420" w:hanging="558"/>
        <w:spacing w:after="0" w:line="329" w:lineRule="auto"/>
        <w:tabs>
          <w:tab w:leader="none" w:pos="540"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4"/>
          <w:szCs w:val="14"/>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Authentication of documents sent by Members by Electronic means</w:t>
      </w:r>
    </w:p>
    <w:p>
      <w:pPr>
        <w:spacing w:after="0" w:line="213" w:lineRule="exact"/>
        <w:rPr>
          <w:sz w:val="20"/>
          <w:szCs w:val="20"/>
          <w:color w:val="auto"/>
        </w:rPr>
      </w:pPr>
    </w:p>
    <w:p>
      <w:pPr>
        <w:ind w:left="560" w:right="20" w:hanging="558"/>
        <w:spacing w:after="0" w:line="258" w:lineRule="auto"/>
        <w:tabs>
          <w:tab w:leader="none" w:pos="540"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6"/>
          <w:szCs w:val="16"/>
          <w:color w:val="auto"/>
        </w:rPr>
        <w:t>An Electronic Record of a notice, written resolution or other document sent by Electronic means by or on behalf of one or more Members shall be deemed to be authentic if the following conditions are satisfied:</w:t>
      </w:r>
    </w:p>
    <w:p>
      <w:pPr>
        <w:spacing w:after="0" w:line="186" w:lineRule="exact"/>
        <w:rPr>
          <w:sz w:val="20"/>
          <w:szCs w:val="20"/>
          <w:color w:val="auto"/>
        </w:rPr>
      </w:pPr>
    </w:p>
    <w:p>
      <w:pPr>
        <w:ind w:left="1120" w:right="140" w:hanging="568"/>
        <w:spacing w:after="0" w:line="258" w:lineRule="auto"/>
        <w:tabs>
          <w:tab w:leader="none" w:pos="112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Member or each Member, as the case may be, signed the original document, and for this purpose Original Document includes several documents in like form signed by one or more of those Members; and</w:t>
      </w:r>
    </w:p>
    <w:p>
      <w:pPr>
        <w:spacing w:after="0" w:line="186" w:lineRule="exact"/>
        <w:rPr>
          <w:rFonts w:ascii="Arial" w:cs="Arial" w:eastAsia="Arial" w:hAnsi="Arial"/>
          <w:sz w:val="16"/>
          <w:szCs w:val="16"/>
          <w:color w:val="auto"/>
        </w:rPr>
      </w:pPr>
    </w:p>
    <w:p>
      <w:pPr>
        <w:ind w:left="1120" w:right="220" w:hanging="568"/>
        <w:spacing w:after="0" w:line="258" w:lineRule="auto"/>
        <w:tabs>
          <w:tab w:leader="none" w:pos="112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Electronic Record of the Original Document was sent by Electronic means by, or at the direction of, that Member to an address specified in accordance with these Articles for the purpose for which it was sent; and</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Article 33.7 does not apply.</w:t>
      </w:r>
    </w:p>
    <w:p>
      <w:pPr>
        <w:spacing w:after="0" w:line="212" w:lineRule="exact"/>
        <w:rPr>
          <w:sz w:val="20"/>
          <w:szCs w:val="20"/>
          <w:color w:val="auto"/>
        </w:rPr>
      </w:pPr>
    </w:p>
    <w:p>
      <w:pPr>
        <w:jc w:val="center"/>
        <w:ind w:right="300"/>
        <w:spacing w:after="0" w:line="329" w:lineRule="auto"/>
        <w:rPr>
          <w:sz w:val="20"/>
          <w:szCs w:val="20"/>
          <w:color w:val="auto"/>
        </w:rPr>
      </w:pPr>
      <w:r>
        <w:rPr>
          <w:rFonts w:ascii="Arial" w:cs="Arial" w:eastAsia="Arial" w:hAnsi="Arial"/>
          <w:sz w:val="14"/>
          <w:szCs w:val="14"/>
          <w:color w:val="auto"/>
        </w:rPr>
        <w:t>33.3    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Authentication of document sent by the Secretary or Officers of the Company by Electronic means</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33.4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 Company shall be deemed to be authentic if the following conditions are satisfied:</w:t>
      </w:r>
    </w:p>
    <w:p>
      <w:pPr>
        <w:spacing w:after="0" w:line="186" w:lineRule="exact"/>
        <w:rPr>
          <w:sz w:val="20"/>
          <w:szCs w:val="20"/>
          <w:color w:val="auto"/>
        </w:rPr>
      </w:pPr>
    </w:p>
    <w:p>
      <w:pPr>
        <w:ind w:left="1120" w:right="20" w:hanging="568"/>
        <w:spacing w:after="0" w:line="258" w:lineRule="auto"/>
        <w:tabs>
          <w:tab w:leader="none" w:pos="11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Secretary or the Officer or each Officer, as the case may be, signed the original document, and for this purpose Original Document includes several documents in like form signed by the Secretary or one or more of those Officers;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4" w:name="page325"/>
    <w:bookmarkEnd w:id="324"/>
    <w:p>
      <w:pPr>
        <w:ind w:left="1120" w:right="240" w:hanging="568"/>
        <w:spacing w:after="0" w:line="258" w:lineRule="auto"/>
        <w:tabs>
          <w:tab w:leader="none" w:pos="11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Article 33.7 does not apply.</w:t>
      </w:r>
    </w:p>
    <w:p>
      <w:pPr>
        <w:spacing w:after="0" w:line="203" w:lineRule="exact"/>
        <w:rPr>
          <w:sz w:val="20"/>
          <w:szCs w:val="20"/>
          <w:color w:val="auto"/>
        </w:rPr>
      </w:pPr>
    </w:p>
    <w:p>
      <w:pPr>
        <w:ind w:left="560" w:right="420"/>
        <w:spacing w:after="0" w:line="251" w:lineRule="auto"/>
        <w:rPr>
          <w:sz w:val="20"/>
          <w:szCs w:val="20"/>
          <w:color w:val="auto"/>
        </w:rPr>
      </w:pPr>
      <w:r>
        <w:rPr>
          <w:rFonts w:ascii="Arial" w:cs="Arial" w:eastAsia="Arial" w:hAnsi="Arial"/>
          <w:sz w:val="19"/>
          <w:szCs w:val="19"/>
          <w:color w:val="auto"/>
        </w:rPr>
        <w:t>This Article applies whether the document is sent by or on behalf of the Secretary or Officer in his own right or as a representative of the Company.</w:t>
      </w:r>
    </w:p>
    <w:p>
      <w:pPr>
        <w:spacing w:after="0" w:line="180" w:lineRule="exact"/>
        <w:rPr>
          <w:sz w:val="20"/>
          <w:szCs w:val="20"/>
          <w:color w:val="auto"/>
        </w:rPr>
      </w:pPr>
    </w:p>
    <w:p>
      <w:pPr>
        <w:ind w:left="560" w:hanging="558"/>
        <w:spacing w:after="0" w:line="329" w:lineRule="auto"/>
        <w:tabs>
          <w:tab w:leader="none" w:pos="540" w:val="left"/>
        </w:tabs>
        <w:rPr>
          <w:sz w:val="20"/>
          <w:szCs w:val="20"/>
          <w:color w:val="auto"/>
        </w:rPr>
      </w:pPr>
      <w:r>
        <w:rPr>
          <w:rFonts w:ascii="Arial" w:cs="Arial" w:eastAsia="Arial" w:hAnsi="Arial"/>
          <w:sz w:val="16"/>
          <w:szCs w:val="16"/>
          <w:color w:val="auto"/>
        </w:rPr>
        <w:t>33.5</w:t>
      </w:r>
      <w:r>
        <w:rPr>
          <w:sz w:val="20"/>
          <w:szCs w:val="20"/>
          <w:color w:val="auto"/>
        </w:rPr>
        <w:tab/>
      </w:r>
      <w:r>
        <w:rPr>
          <w:rFonts w:ascii="Arial" w:cs="Arial" w:eastAsia="Arial" w:hAnsi="Arial"/>
          <w:sz w:val="14"/>
          <w:szCs w:val="14"/>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Manner of signing</w:t>
      </w:r>
    </w:p>
    <w:p>
      <w:pPr>
        <w:spacing w:after="0" w:line="213" w:lineRule="exact"/>
        <w:rPr>
          <w:sz w:val="20"/>
          <w:szCs w:val="20"/>
          <w:color w:val="auto"/>
        </w:rPr>
      </w:pPr>
    </w:p>
    <w:p>
      <w:pPr>
        <w:ind w:left="560" w:right="260" w:hanging="558"/>
        <w:spacing w:after="0" w:line="258" w:lineRule="auto"/>
        <w:tabs>
          <w:tab w:leader="none" w:pos="540" w:val="left"/>
        </w:tabs>
        <w:rPr>
          <w:sz w:val="20"/>
          <w:szCs w:val="20"/>
          <w:color w:val="auto"/>
        </w:rPr>
      </w:pPr>
      <w:r>
        <w:rPr>
          <w:rFonts w:ascii="Arial" w:cs="Arial" w:eastAsia="Arial" w:hAnsi="Arial"/>
          <w:sz w:val="16"/>
          <w:szCs w:val="16"/>
          <w:color w:val="auto"/>
        </w:rPr>
        <w:t>33.6</w:t>
      </w:r>
      <w:r>
        <w:rPr>
          <w:sz w:val="20"/>
          <w:szCs w:val="20"/>
          <w:color w:val="auto"/>
        </w:rPr>
        <w:tab/>
      </w:r>
      <w:r>
        <w:rPr>
          <w:rFonts w:ascii="Arial" w:cs="Arial" w:eastAsia="Arial" w:hAnsi="Arial"/>
          <w:sz w:val="16"/>
          <w:szCs w:val="16"/>
          <w:color w:val="auto"/>
        </w:rPr>
        <w:t>For the purposes of these Articles about the authentication of Electronic Records, a document will be taken to be signed if it is signed manually or in any other manner permitted by these Articles.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Saving provision</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33.7</w:t>
      </w:r>
      <w:r>
        <w:rPr>
          <w:sz w:val="20"/>
          <w:szCs w:val="20"/>
          <w:color w:val="auto"/>
        </w:rPr>
        <w:tab/>
      </w:r>
      <w:r>
        <w:rPr>
          <w:rFonts w:ascii="Arial" w:cs="Arial" w:eastAsia="Arial" w:hAnsi="Arial"/>
          <w:sz w:val="14"/>
          <w:szCs w:val="14"/>
          <w:color w:val="auto"/>
        </w:rPr>
        <w:t>A notice, written resolution or other document under these Articles will not be deemed to be authentic if the recipient, acting reasonably:</w:t>
      </w:r>
    </w:p>
    <w:p>
      <w:pPr>
        <w:spacing w:after="0" w:line="212" w:lineRule="exact"/>
        <w:rPr>
          <w:sz w:val="20"/>
          <w:szCs w:val="20"/>
          <w:color w:val="auto"/>
        </w:rPr>
      </w:pPr>
    </w:p>
    <w:p>
      <w:pPr>
        <w:ind w:left="1120" w:hanging="568"/>
        <w:spacing w:after="0"/>
        <w:tabs>
          <w:tab w:leader="none" w:pos="112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believes that the signature of the signatory has been altered after the signatory had signed the original document; or</w:t>
      </w:r>
    </w:p>
    <w:p>
      <w:pPr>
        <w:spacing w:after="0" w:line="211" w:lineRule="exact"/>
        <w:rPr>
          <w:rFonts w:ascii="Arial" w:cs="Arial" w:eastAsia="Arial" w:hAnsi="Arial"/>
          <w:sz w:val="16"/>
          <w:szCs w:val="16"/>
          <w:color w:val="auto"/>
        </w:rPr>
      </w:pPr>
    </w:p>
    <w:p>
      <w:pPr>
        <w:ind w:left="1120" w:right="440" w:hanging="568"/>
        <w:spacing w:after="0" w:line="258" w:lineRule="auto"/>
        <w:tabs>
          <w:tab w:leader="none" w:pos="112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believes that the original document, or the Electronic Record of it, was altered, without the approval of the signatory, after the signatory signed the original document; or</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otherwise doubts the authenticity of the Electronic Record of the document</w:t>
      </w:r>
    </w:p>
    <w:p>
      <w:pPr>
        <w:spacing w:after="0" w:line="203" w:lineRule="exact"/>
        <w:rPr>
          <w:sz w:val="20"/>
          <w:szCs w:val="20"/>
          <w:color w:val="auto"/>
        </w:rPr>
      </w:pPr>
    </w:p>
    <w:p>
      <w:pPr>
        <w:ind w:left="560" w:right="120"/>
        <w:spacing w:after="0" w:line="251" w:lineRule="auto"/>
        <w:rPr>
          <w:sz w:val="20"/>
          <w:szCs w:val="20"/>
          <w:color w:val="auto"/>
        </w:rPr>
      </w:pPr>
      <w:r>
        <w:rPr>
          <w:rFonts w:ascii="Arial" w:cs="Arial" w:eastAsia="Arial" w:hAnsi="Arial"/>
          <w:sz w:val="19"/>
          <w:szCs w:val="19"/>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auto"/>
        </w:rPr>
        <w:t>Transfer by way of continuation</w:t>
      </w: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34.1</w:t>
      </w:r>
      <w:r>
        <w:rPr>
          <w:sz w:val="20"/>
          <w:szCs w:val="20"/>
          <w:color w:val="auto"/>
        </w:rPr>
        <w:tab/>
      </w:r>
      <w:r>
        <w:rPr>
          <w:rFonts w:ascii="Arial" w:cs="Arial" w:eastAsia="Arial" w:hAnsi="Arial"/>
          <w:sz w:val="14"/>
          <w:szCs w:val="14"/>
          <w:color w:val="auto"/>
        </w:rPr>
        <w:t>The Company may, by Special Resolution, resolve to be registered by way of continuation in a jurisdiction outside:</w:t>
      </w:r>
    </w:p>
    <w:p>
      <w:pPr>
        <w:spacing w:after="0" w:line="212" w:lineRule="exact"/>
        <w:rPr>
          <w:sz w:val="20"/>
          <w:szCs w:val="20"/>
          <w:color w:val="auto"/>
        </w:rPr>
      </w:pPr>
    </w:p>
    <w:p>
      <w:pPr>
        <w:ind w:left="1120" w:hanging="568"/>
        <w:spacing w:after="0"/>
        <w:tabs>
          <w:tab w:leader="none" w:pos="112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Islands;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such other jurisdiction in which it is, for the time being, incorporated, registered or existing.</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34.2</w:t>
      </w:r>
      <w:r>
        <w:rPr>
          <w:sz w:val="20"/>
          <w:szCs w:val="20"/>
          <w:color w:val="auto"/>
        </w:rPr>
        <w:tab/>
      </w:r>
      <w:r>
        <w:rPr>
          <w:rFonts w:ascii="Arial" w:cs="Arial" w:eastAsia="Arial" w:hAnsi="Arial"/>
          <w:sz w:val="14"/>
          <w:szCs w:val="14"/>
          <w:color w:val="auto"/>
        </w:rPr>
        <w:t>To give effect to any resolution made pursuant to the preceding Article, the directors may cause the following:</w:t>
      </w:r>
    </w:p>
    <w:p>
      <w:pPr>
        <w:spacing w:after="0" w:line="212" w:lineRule="exact"/>
        <w:rPr>
          <w:sz w:val="20"/>
          <w:szCs w:val="20"/>
          <w:color w:val="auto"/>
        </w:rPr>
      </w:pPr>
    </w:p>
    <w:p>
      <w:pPr>
        <w:ind w:left="1120" w:right="520" w:hanging="568"/>
        <w:spacing w:after="0" w:line="258" w:lineRule="auto"/>
        <w:tabs>
          <w:tab w:leader="none" w:pos="112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an application be made to the Registrar of Companies to deregister the Company in the Islands or in the other jurisdiction in which it is for the time being incorporated, registered or existing; and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60"/>
          </w:cols>
          <w:pgMar w:left="320" w:top="128" w:right="419" w:bottom="1440" w:gutter="0" w:footer="0" w:header="0"/>
        </w:sectPr>
      </w:pPr>
    </w:p>
    <w:bookmarkStart w:id="325" w:name="page326"/>
    <w:bookmarkEnd w:id="325"/>
    <w:p>
      <w:pPr>
        <w:ind w:left="1120" w:hanging="568"/>
        <w:spacing w:after="0"/>
        <w:tabs>
          <w:tab w:leader="none" w:pos="11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all such further steps as they consider appropriate to be taken to effect the transfer by way of continuation of the Company.</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6"/>
          <w:szCs w:val="16"/>
          <w:b w:val="1"/>
          <w:bCs w:val="1"/>
          <w:color w:val="auto"/>
        </w:rPr>
        <w:t>Winding up</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 of assets in specie</w:t>
      </w:r>
    </w:p>
    <w:p>
      <w:pPr>
        <w:spacing w:after="0" w:line="213" w:lineRule="exact"/>
        <w:rPr>
          <w:sz w:val="20"/>
          <w:szCs w:val="20"/>
          <w:color w:val="auto"/>
        </w:rPr>
      </w:pPr>
    </w:p>
    <w:p>
      <w:pPr>
        <w:ind w:left="560" w:hanging="558"/>
        <w:spacing w:after="0" w:line="258" w:lineRule="auto"/>
        <w:tabs>
          <w:tab w:leader="none" w:pos="540" w:val="left"/>
        </w:tabs>
        <w:rPr>
          <w:sz w:val="20"/>
          <w:szCs w:val="20"/>
          <w:color w:val="auto"/>
        </w:rPr>
      </w:pPr>
      <w:r>
        <w:rPr>
          <w:rFonts w:ascii="Arial" w:cs="Arial" w:eastAsia="Arial" w:hAnsi="Arial"/>
          <w:sz w:val="16"/>
          <w:szCs w:val="16"/>
          <w:color w:val="auto"/>
        </w:rPr>
        <w:t>35.1</w:t>
      </w:r>
      <w:r>
        <w:rPr>
          <w:sz w:val="20"/>
          <w:szCs w:val="20"/>
          <w:color w:val="auto"/>
        </w:rPr>
        <w:tab/>
      </w:r>
      <w:r>
        <w:rPr>
          <w:rFonts w:ascii="Arial" w:cs="Arial" w:eastAsia="Arial" w:hAnsi="Arial"/>
          <w:sz w:val="16"/>
          <w:szCs w:val="16"/>
          <w:color w:val="auto"/>
        </w:rPr>
        <w:t>If the Company is wound up, the Members may, subject to these Articles and any other sanction required by the Law, pass a Special Resolution allowing the liquidator to do either or both of the following:</w:t>
      </w:r>
    </w:p>
    <w:p>
      <w:pPr>
        <w:spacing w:after="0" w:line="186" w:lineRule="exact"/>
        <w:rPr>
          <w:sz w:val="20"/>
          <w:szCs w:val="20"/>
          <w:color w:val="auto"/>
        </w:rPr>
      </w:pPr>
    </w:p>
    <w:p>
      <w:pPr>
        <w:ind w:left="1120" w:right="340" w:hanging="568"/>
        <w:spacing w:after="0" w:line="258" w:lineRule="auto"/>
        <w:tabs>
          <w:tab w:leader="none" w:pos="11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to vest the whole or any part of the assets in trustees for the benefit of Members and those liable to contribute to the winding up.</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obligation to accept liability</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35.2</w:t>
      </w:r>
      <w:r>
        <w:rPr>
          <w:sz w:val="20"/>
          <w:szCs w:val="20"/>
          <w:color w:val="auto"/>
        </w:rPr>
        <w:tab/>
      </w:r>
      <w:r>
        <w:rPr>
          <w:rFonts w:ascii="Arial" w:cs="Arial" w:eastAsia="Arial" w:hAnsi="Arial"/>
          <w:sz w:val="13"/>
          <w:szCs w:val="13"/>
          <w:color w:val="auto"/>
        </w:rPr>
        <w:t>No Member shall be compelled to accept any assets if an obligation attaches to them.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directors are authorised to present a winding up petition</w:t>
      </w:r>
    </w:p>
    <w:p>
      <w:pPr>
        <w:spacing w:after="0" w:line="213" w:lineRule="exact"/>
        <w:rPr>
          <w:sz w:val="20"/>
          <w:szCs w:val="20"/>
          <w:color w:val="auto"/>
        </w:rPr>
      </w:pPr>
    </w:p>
    <w:p>
      <w:pPr>
        <w:ind w:left="560" w:right="200" w:hanging="558"/>
        <w:spacing w:after="0" w:line="258" w:lineRule="auto"/>
        <w:tabs>
          <w:tab w:leader="none" w:pos="540" w:val="left"/>
        </w:tabs>
        <w:rPr>
          <w:sz w:val="20"/>
          <w:szCs w:val="20"/>
          <w:color w:val="auto"/>
        </w:rPr>
      </w:pPr>
      <w:r>
        <w:rPr>
          <w:rFonts w:ascii="Arial" w:cs="Arial" w:eastAsia="Arial" w:hAnsi="Arial"/>
          <w:sz w:val="16"/>
          <w:szCs w:val="16"/>
          <w:color w:val="auto"/>
        </w:rPr>
        <w:t>35.3</w:t>
      </w:r>
      <w:r>
        <w:rPr>
          <w:sz w:val="20"/>
          <w:szCs w:val="20"/>
          <w:color w:val="auto"/>
        </w:rPr>
        <w:tab/>
      </w:r>
      <w:r>
        <w:rPr>
          <w:rFonts w:ascii="Arial" w:cs="Arial" w:eastAsia="Arial" w:hAnsi="Arial"/>
          <w:sz w:val="16"/>
          <w:szCs w:val="16"/>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auto"/>
        </w:rPr>
        <w:t>Amendment of Memorandum and Articles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change name or amend Memorandum</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36.1</w:t>
      </w:r>
      <w:r>
        <w:rPr>
          <w:sz w:val="20"/>
          <w:szCs w:val="20"/>
          <w:color w:val="auto"/>
        </w:rPr>
        <w:tab/>
      </w:r>
      <w:r>
        <w:rPr>
          <w:rFonts w:ascii="Arial" w:cs="Arial" w:eastAsia="Arial" w:hAnsi="Arial"/>
          <w:sz w:val="14"/>
          <w:szCs w:val="14"/>
          <w:color w:val="auto"/>
        </w:rPr>
        <w:t>Subject to the Law, the Company may, by Special Resolution:</w:t>
      </w:r>
    </w:p>
    <w:p>
      <w:pPr>
        <w:spacing w:after="0" w:line="212" w:lineRule="exact"/>
        <w:rPr>
          <w:sz w:val="20"/>
          <w:szCs w:val="20"/>
          <w:color w:val="auto"/>
        </w:rPr>
      </w:pPr>
    </w:p>
    <w:p>
      <w:pPr>
        <w:ind w:left="1120" w:hanging="568"/>
        <w:spacing w:after="0"/>
        <w:tabs>
          <w:tab w:leader="none" w:pos="11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change its name;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change the provisions of its Memorandum with respect to its objects, powers or any other matter specified in the Memorandum.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to amend these Articles</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36.2</w:t>
      </w:r>
      <w:r>
        <w:rPr>
          <w:sz w:val="20"/>
          <w:szCs w:val="20"/>
          <w:color w:val="auto"/>
        </w:rPr>
        <w:tab/>
      </w:r>
      <w:r>
        <w:rPr>
          <w:rFonts w:ascii="Arial" w:cs="Arial" w:eastAsia="Arial" w:hAnsi="Arial"/>
          <w:sz w:val="14"/>
          <w:szCs w:val="14"/>
          <w:color w:val="auto"/>
        </w:rPr>
        <w:t>Subject to the Law and as provided in these Articles, the Company may, by Special Resolution, amend these Articles in whole or in part.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6" w:name="page327"/>
    <w:bookmarkEnd w:id="326"/>
    <w:p>
      <w:pPr>
        <w:spacing w:after="0"/>
        <w:tabs>
          <w:tab w:leader="none" w:pos="540" w:val="left"/>
        </w:tabs>
        <w:rPr>
          <w:sz w:val="20"/>
          <w:szCs w:val="20"/>
          <w:color w:val="auto"/>
        </w:rPr>
      </w:pPr>
      <w:r>
        <w:rPr>
          <w:rFonts w:ascii="Arial" w:cs="Arial" w:eastAsia="Arial" w:hAnsi="Arial"/>
          <w:sz w:val="16"/>
          <w:szCs w:val="16"/>
          <w:b w:val="1"/>
          <w:bCs w:val="1"/>
          <w:color w:val="auto"/>
        </w:rPr>
        <w:t>37</w:t>
      </w:r>
      <w:r>
        <w:rPr>
          <w:sz w:val="20"/>
          <w:szCs w:val="20"/>
          <w:color w:val="auto"/>
        </w:rPr>
        <w:tab/>
      </w:r>
      <w:r>
        <w:rPr>
          <w:rFonts w:ascii="Arial" w:cs="Arial" w:eastAsia="Arial" w:hAnsi="Arial"/>
          <w:sz w:val="16"/>
          <w:szCs w:val="16"/>
          <w:b w:val="1"/>
          <w:bCs w:val="1"/>
          <w:color w:val="auto"/>
        </w:rPr>
        <w:t>Mergers and Consolidations</w:t>
      </w:r>
    </w:p>
    <w:p>
      <w:pPr>
        <w:spacing w:after="0" w:line="209" w:lineRule="exact"/>
        <w:rPr>
          <w:sz w:val="20"/>
          <w:szCs w:val="20"/>
          <w:color w:val="auto"/>
        </w:rPr>
      </w:pPr>
    </w:p>
    <w:p>
      <w:pPr>
        <w:ind w:left="560" w:right="80"/>
        <w:spacing w:after="0" w:line="278" w:lineRule="auto"/>
        <w:rPr>
          <w:sz w:val="20"/>
          <w:szCs w:val="20"/>
          <w:color w:val="auto"/>
        </w:rPr>
      </w:pPr>
      <w:r>
        <w:rPr>
          <w:rFonts w:ascii="Arial" w:cs="Arial" w:eastAsia="Arial" w:hAnsi="Arial"/>
          <w:sz w:val="18"/>
          <w:szCs w:val="18"/>
          <w:color w:val="auto"/>
        </w:rPr>
        <w:t>The Company shall have the power to merge or consolidate with one or more constituent companies (as defined in the Law) upon such terms as the directors may determine and (to the extent required by the Law) with the approval of a Special Resolution.</w:t>
      </w:r>
    </w:p>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auto"/>
        </w:rPr>
        <w:t>Business Combination</w:t>
      </w:r>
    </w:p>
    <w:p>
      <w:pPr>
        <w:spacing w:after="0" w:line="218" w:lineRule="exact"/>
        <w:rPr>
          <w:sz w:val="20"/>
          <w:szCs w:val="20"/>
          <w:color w:val="auto"/>
        </w:rPr>
      </w:pPr>
    </w:p>
    <w:p>
      <w:pPr>
        <w:jc w:val="both"/>
        <w:ind w:left="560" w:hanging="558"/>
        <w:spacing w:after="0" w:line="248" w:lineRule="auto"/>
        <w:tabs>
          <w:tab w:leader="none" w:pos="540" w:val="left"/>
        </w:tabs>
        <w:rPr>
          <w:sz w:val="20"/>
          <w:szCs w:val="20"/>
          <w:color w:val="auto"/>
        </w:rPr>
      </w:pPr>
      <w:r>
        <w:rPr>
          <w:rFonts w:ascii="Arial" w:cs="Arial" w:eastAsia="Arial" w:hAnsi="Arial"/>
          <w:sz w:val="16"/>
          <w:szCs w:val="16"/>
          <w:color w:val="auto"/>
        </w:rPr>
        <w:t>38.1</w:t>
      </w:r>
      <w:r>
        <w:rPr>
          <w:sz w:val="20"/>
          <w:szCs w:val="20"/>
          <w:color w:val="auto"/>
        </w:rPr>
        <w:tab/>
      </w:r>
      <w:r>
        <w:rPr>
          <w:rFonts w:ascii="Arial" w:cs="Arial" w:eastAsia="Arial" w:hAnsi="Arial"/>
          <w:sz w:val="16"/>
          <w:szCs w:val="16"/>
          <w:color w:val="auto"/>
        </w:rPr>
        <w:t>Notwithstanding any other provision of the Articles, this Article 38 shall apply during the period commencing upon the adoption of the Articles and terminating upon the first to occur of the consummation 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38.2</w:t>
      </w:r>
      <w:r>
        <w:rPr>
          <w:sz w:val="20"/>
          <w:szCs w:val="20"/>
          <w:color w:val="auto"/>
        </w:rPr>
        <w:tab/>
      </w:r>
      <w:r>
        <w:rPr>
          <w:rFonts w:ascii="Arial" w:cs="Arial" w:eastAsia="Arial" w:hAnsi="Arial"/>
          <w:sz w:val="14"/>
          <w:szCs w:val="14"/>
          <w:color w:val="auto"/>
        </w:rPr>
        <w:t>Prior to the consummation of any Business Combination, the Company shall either:</w:t>
      </w:r>
    </w:p>
    <w:p>
      <w:pPr>
        <w:spacing w:after="0" w:line="212" w:lineRule="exact"/>
        <w:rPr>
          <w:sz w:val="20"/>
          <w:szCs w:val="20"/>
          <w:color w:val="auto"/>
        </w:rPr>
      </w:pPr>
    </w:p>
    <w:p>
      <w:pPr>
        <w:ind w:left="1120" w:hanging="568"/>
        <w:spacing w:after="0"/>
        <w:tabs>
          <w:tab w:leader="none" w:pos="11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submit such Business Combination to its Members for approval; or</w:t>
      </w:r>
    </w:p>
    <w:p>
      <w:pPr>
        <w:spacing w:after="0" w:line="205" w:lineRule="exact"/>
        <w:rPr>
          <w:rFonts w:ascii="Arial" w:cs="Arial" w:eastAsia="Arial" w:hAnsi="Arial"/>
          <w:sz w:val="16"/>
          <w:szCs w:val="16"/>
          <w:color w:val="auto"/>
        </w:rPr>
      </w:pPr>
    </w:p>
    <w:p>
      <w:pPr>
        <w:ind w:left="1120" w:right="60" w:hanging="568"/>
        <w:spacing w:after="0" w:line="292" w:lineRule="auto"/>
        <w:tabs>
          <w:tab w:leader="none" w:pos="1120" w:val="left"/>
        </w:tabs>
        <w:numPr>
          <w:ilvl w:val="0"/>
          <w:numId w:val="346"/>
        </w:numPr>
        <w:rPr>
          <w:rFonts w:ascii="Arial" w:cs="Arial" w:eastAsia="Arial" w:hAnsi="Arial"/>
          <w:sz w:val="14"/>
          <w:szCs w:val="14"/>
          <w:color w:val="auto"/>
        </w:rPr>
      </w:pPr>
      <w:r>
        <w:rPr>
          <w:rFonts w:ascii="Arial" w:cs="Arial" w:eastAsia="Arial" w:hAnsi="Arial"/>
          <w:sz w:val="14"/>
          <w:szCs w:val="14"/>
          <w:color w:val="auto"/>
        </w:rPr>
        <w:t xml:space="preserve">provide Members with the opportunity to have their Shares repurchased by means of a tender offer (a </w:t>
      </w:r>
      <w:r>
        <w:rPr>
          <w:rFonts w:ascii="Arial" w:cs="Arial" w:eastAsia="Arial" w:hAnsi="Arial"/>
          <w:sz w:val="14"/>
          <w:szCs w:val="14"/>
          <w:b w:val="1"/>
          <w:bCs w:val="1"/>
          <w:color w:val="auto"/>
        </w:rPr>
        <w:t>Tender Offer</w:t>
      </w:r>
      <w:r>
        <w:rPr>
          <w:rFonts w:ascii="Arial" w:cs="Arial" w:eastAsia="Arial" w:hAnsi="Arial"/>
          <w:sz w:val="14"/>
          <w:szCs w:val="14"/>
          <w:color w:val="auto"/>
        </w:rPr>
        <w:t>)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spacing w:after="0" w:line="167" w:lineRule="exact"/>
        <w:rPr>
          <w:sz w:val="20"/>
          <w:szCs w:val="20"/>
          <w:color w:val="auto"/>
        </w:rPr>
      </w:pPr>
    </w:p>
    <w:p>
      <w:pPr>
        <w:ind w:left="560" w:hanging="558"/>
        <w:spacing w:after="0" w:line="303" w:lineRule="auto"/>
        <w:tabs>
          <w:tab w:leader="none" w:pos="540" w:val="left"/>
        </w:tabs>
        <w:rPr>
          <w:sz w:val="20"/>
          <w:szCs w:val="20"/>
          <w:color w:val="auto"/>
        </w:rPr>
      </w:pPr>
      <w:r>
        <w:rPr>
          <w:rFonts w:ascii="Arial" w:cs="Arial" w:eastAsia="Arial" w:hAnsi="Arial"/>
          <w:sz w:val="16"/>
          <w:szCs w:val="16"/>
          <w:color w:val="auto"/>
        </w:rPr>
        <w:t>38.3</w:t>
      </w:r>
      <w:r>
        <w:rPr>
          <w:sz w:val="20"/>
          <w:szCs w:val="20"/>
          <w:color w:val="auto"/>
        </w:rPr>
        <w:tab/>
      </w:r>
      <w:r>
        <w:rPr>
          <w:rFonts w:ascii="Arial" w:cs="Arial" w:eastAsia="Arial" w:hAnsi="Arial"/>
          <w:sz w:val="14"/>
          <w:szCs w:val="14"/>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158" w:lineRule="exact"/>
        <w:rPr>
          <w:sz w:val="20"/>
          <w:szCs w:val="20"/>
          <w:color w:val="auto"/>
        </w:rPr>
      </w:pPr>
    </w:p>
    <w:p>
      <w:pPr>
        <w:ind w:left="560" w:right="100" w:hanging="558"/>
        <w:spacing w:after="0" w:line="329" w:lineRule="auto"/>
        <w:tabs>
          <w:tab w:leader="none" w:pos="540" w:val="left"/>
        </w:tabs>
        <w:rPr>
          <w:sz w:val="20"/>
          <w:szCs w:val="20"/>
          <w:color w:val="auto"/>
        </w:rPr>
      </w:pPr>
      <w:r>
        <w:rPr>
          <w:rFonts w:ascii="Arial" w:cs="Arial" w:eastAsia="Arial" w:hAnsi="Arial"/>
          <w:sz w:val="16"/>
          <w:szCs w:val="16"/>
          <w:color w:val="auto"/>
        </w:rPr>
        <w:t>38.4</w:t>
      </w:r>
      <w:r>
        <w:rPr>
          <w:sz w:val="20"/>
          <w:szCs w:val="20"/>
          <w:color w:val="auto"/>
        </w:rPr>
        <w:tab/>
      </w:r>
      <w:r>
        <w:rPr>
          <w:rFonts w:ascii="Arial" w:cs="Arial" w:eastAsia="Arial" w:hAnsi="Arial"/>
          <w:sz w:val="14"/>
          <w:szCs w:val="14"/>
          <w:color w:val="auto"/>
        </w:rPr>
        <w:t>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spacing w:after="0" w:line="140" w:lineRule="exact"/>
        <w:rPr>
          <w:sz w:val="20"/>
          <w:szCs w:val="20"/>
          <w:color w:val="auto"/>
        </w:rPr>
      </w:pPr>
    </w:p>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38.5</w:t>
      </w:r>
      <w:r>
        <w:rPr>
          <w:sz w:val="20"/>
          <w:szCs w:val="20"/>
          <w:color w:val="auto"/>
        </w:rPr>
        <w:tab/>
      </w:r>
      <w:r>
        <w:rPr>
          <w:rFonts w:ascii="Arial" w:cs="Arial" w:eastAsia="Arial" w:hAnsi="Arial"/>
          <w:sz w:val="16"/>
          <w:szCs w:val="16"/>
          <w:color w:val="auto"/>
        </w:rPr>
        <w:t>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327" w:name="page328"/>
    <w:bookmarkEnd w:id="327"/>
    <w:p>
      <w:pPr>
        <w:ind w:left="560" w:right="60" w:hanging="558"/>
        <w:spacing w:after="0" w:line="281" w:lineRule="auto"/>
        <w:tabs>
          <w:tab w:leader="none" w:pos="540" w:val="left"/>
        </w:tabs>
        <w:rPr>
          <w:sz w:val="20"/>
          <w:szCs w:val="20"/>
          <w:color w:val="auto"/>
        </w:rPr>
      </w:pPr>
      <w:r>
        <w:rPr>
          <w:rFonts w:ascii="Arial" w:cs="Arial" w:eastAsia="Arial" w:hAnsi="Arial"/>
          <w:sz w:val="16"/>
          <w:szCs w:val="16"/>
          <w:color w:val="auto"/>
        </w:rPr>
        <w:t>38.6</w:t>
      </w:r>
      <w:r>
        <w:rPr>
          <w:sz w:val="20"/>
          <w:szCs w:val="20"/>
          <w:color w:val="auto"/>
        </w:rPr>
        <w:tab/>
      </w:r>
      <w:r>
        <w:rPr>
          <w:rFonts w:ascii="Arial" w:cs="Arial" w:eastAsia="Arial" w:hAnsi="Arial"/>
          <w:sz w:val="14"/>
          <w:szCs w:val="14"/>
          <w:color w:val="auto"/>
        </w:rPr>
        <w:t xml:space="preserve">Any Member holding Public Shares who is not a Founder, officer or director may, contemporaneously with any vote on a Business Combination, elect to have their Public Shares redeemed for cash (the </w:t>
      </w:r>
      <w:r>
        <w:rPr>
          <w:rFonts w:ascii="Arial" w:cs="Arial" w:eastAsia="Arial" w:hAnsi="Arial"/>
          <w:sz w:val="14"/>
          <w:szCs w:val="14"/>
          <w:b w:val="1"/>
          <w:bCs w:val="1"/>
          <w:color w:val="auto"/>
        </w:rPr>
        <w:t>IPO Redemption</w:t>
      </w:r>
      <w:r>
        <w:rPr>
          <w:rFonts w:ascii="Arial" w:cs="Arial" w:eastAsia="Arial" w:hAnsi="Arial"/>
          <w:sz w:val="14"/>
          <w:szCs w:val="14"/>
          <w:color w:val="auto"/>
        </w:rPr>
        <w:t xml:space="preserve">),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w:t>
      </w:r>
      <w:r>
        <w:rPr>
          <w:rFonts w:ascii="Arial" w:cs="Arial" w:eastAsia="Arial" w:hAnsi="Arial"/>
          <w:sz w:val="14"/>
          <w:szCs w:val="14"/>
          <w:b w:val="1"/>
          <w:bCs w:val="1"/>
          <w:color w:val="auto"/>
        </w:rPr>
        <w:t>Redemption Price</w:t>
      </w:r>
      <w:r>
        <w:rPr>
          <w:rFonts w:ascii="Arial" w:cs="Arial" w:eastAsia="Arial" w:hAnsi="Arial"/>
          <w:sz w:val="14"/>
          <w:szCs w:val="14"/>
          <w:color w:val="auto"/>
        </w:rPr>
        <w:t>), provided that the Company shall not repurchase Public Shares in an amount that would cause the Company’s net tangible assets to be less than US$5,000,001.</w:t>
      </w:r>
    </w:p>
    <w:p>
      <w:pPr>
        <w:spacing w:after="0" w:line="179" w:lineRule="exact"/>
        <w:rPr>
          <w:sz w:val="20"/>
          <w:szCs w:val="20"/>
          <w:color w:val="auto"/>
        </w:rPr>
      </w:pPr>
    </w:p>
    <w:p>
      <w:pPr>
        <w:ind w:left="560" w:right="40" w:hanging="558"/>
        <w:spacing w:after="0" w:line="329" w:lineRule="auto"/>
        <w:tabs>
          <w:tab w:leader="none" w:pos="540" w:val="left"/>
        </w:tabs>
        <w:rPr>
          <w:sz w:val="20"/>
          <w:szCs w:val="20"/>
          <w:color w:val="auto"/>
        </w:rPr>
      </w:pPr>
      <w:r>
        <w:rPr>
          <w:rFonts w:ascii="Arial" w:cs="Arial" w:eastAsia="Arial" w:hAnsi="Arial"/>
          <w:sz w:val="16"/>
          <w:szCs w:val="16"/>
          <w:color w:val="auto"/>
        </w:rPr>
        <w:t>38.7</w:t>
      </w:r>
      <w:r>
        <w:rPr>
          <w:sz w:val="20"/>
          <w:szCs w:val="20"/>
          <w:color w:val="auto"/>
        </w:rPr>
        <w:tab/>
      </w:r>
      <w:r>
        <w:rPr>
          <w:rFonts w:ascii="Arial" w:cs="Arial" w:eastAsia="Arial" w:hAnsi="Arial"/>
          <w:sz w:val="14"/>
          <w:szCs w:val="14"/>
          <w:color w:val="auto"/>
        </w:rPr>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spacing w:after="0" w:line="14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38.8</w:t>
      </w:r>
      <w:r>
        <w:rPr>
          <w:sz w:val="20"/>
          <w:szCs w:val="20"/>
          <w:color w:val="auto"/>
        </w:rPr>
        <w:tab/>
      </w:r>
      <w:r>
        <w:rPr>
          <w:rFonts w:ascii="Arial" w:cs="Arial" w:eastAsia="Arial" w:hAnsi="Arial"/>
          <w:sz w:val="14"/>
          <w:szCs w:val="14"/>
          <w:color w:val="auto"/>
        </w:rPr>
        <w:t>In the event that the Company does not consummate a Business Combination by twenty-four months after the closing of the IPO, or such later time as the Members of the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Company may approve in accordance with the Articles, the Company shall: (i) cease all operations except for the purpose of winding up; (ii) as promptly as reasonably</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possible but not more than ten business days thereafter, redeem the Public Shares, at a per-Share price, payable in cash, equal to the aggregate amount then on deposit in the</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Trust Account, including interest earned on the funds held in the Trust Account and not previously released to the Company to pay income taxes, if any (less up to</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US$100,000 of interest to pay dissolution expenses), divided by the number of the then-outstanding Public Shares in issue, which redemption will completely extinguish</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public Members’ rights as Members (including the right to receive further liquidation distributions, if any); and (iii) as promptly as reasonably possible following such</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redemption, subject to the approval of the Company’s remaining Members and the directors, liquidate and dissolve, subject in the case of sub-articles (ii) and (iii), to its</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obligations under Cayman Islands law to provide for claims of creditors and in all cases subject to the other requirements of applicable law. If the Company shall wind up</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any other reason prior to the consummation of a Business Combination, the Company shall, as promptly as reasonably possible but not more than ten business days</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thereafter, follow the foregoing procedures set out in this Article 38.8 with respect to the liquidation of the Trust Account, subject to its obligations under Cayman Islands</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law to provide for claims of creditors and in all cases subject to the other requirements of applicable law.</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28" w:name="page329"/>
    <w:bookmarkEnd w:id="328"/>
    <w:p>
      <w:pPr>
        <w:spacing w:after="0"/>
        <w:tabs>
          <w:tab w:leader="none" w:pos="540" w:val="left"/>
        </w:tabs>
        <w:rPr>
          <w:sz w:val="20"/>
          <w:szCs w:val="20"/>
          <w:color w:val="auto"/>
        </w:rPr>
      </w:pPr>
      <w:r>
        <w:rPr>
          <w:rFonts w:ascii="Arial" w:cs="Arial" w:eastAsia="Arial" w:hAnsi="Arial"/>
          <w:sz w:val="16"/>
          <w:szCs w:val="16"/>
          <w:color w:val="auto"/>
        </w:rPr>
        <w:t>38.9</w:t>
      </w:r>
      <w:r>
        <w:rPr>
          <w:sz w:val="20"/>
          <w:szCs w:val="20"/>
          <w:color w:val="auto"/>
        </w:rPr>
        <w:tab/>
      </w:r>
      <w:r>
        <w:rPr>
          <w:rFonts w:ascii="Arial" w:cs="Arial" w:eastAsia="Arial" w:hAnsi="Arial"/>
          <w:sz w:val="13"/>
          <w:szCs w:val="13"/>
          <w:color w:val="auto"/>
        </w:rPr>
        <w:t>In the event that any amendment is made to these Articles:</w:t>
      </w:r>
    </w:p>
    <w:p>
      <w:pPr>
        <w:spacing w:after="0" w:line="212" w:lineRule="exact"/>
        <w:rPr>
          <w:sz w:val="20"/>
          <w:szCs w:val="20"/>
          <w:color w:val="auto"/>
        </w:rPr>
      </w:pPr>
    </w:p>
    <w:p>
      <w:pPr>
        <w:ind w:left="1120" w:hanging="568"/>
        <w:spacing w:after="0"/>
        <w:tabs>
          <w:tab w:leader="none" w:pos="11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that would modify the substance or timing of the Company’s obligation to provide holders of Public Shares the right to:</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have their shares redeemed or repurchased in connection with a Business Combination pursuant to Articles 38.2(b) or 38.6; or</w:t>
      </w:r>
    </w:p>
    <w:p>
      <w:pPr>
        <w:spacing w:after="0" w:line="211" w:lineRule="exact"/>
        <w:rPr>
          <w:rFonts w:ascii="Arial" w:cs="Arial" w:eastAsia="Arial" w:hAnsi="Arial"/>
          <w:sz w:val="16"/>
          <w:szCs w:val="16"/>
          <w:color w:val="auto"/>
        </w:rPr>
      </w:pPr>
    </w:p>
    <w:p>
      <w:pPr>
        <w:ind w:left="1660" w:right="20" w:hanging="550"/>
        <w:spacing w:after="0" w:line="258" w:lineRule="auto"/>
        <w:tabs>
          <w:tab w:leader="none" w:pos="166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redeem 100% of the Public Shares if the Company has not consummated an initial Business Combination within twenty-four months after the date of the closing of the IPO pursuant to Article 38.8; or</w:t>
      </w:r>
    </w:p>
    <w:p>
      <w:pPr>
        <w:spacing w:after="0" w:line="186" w:lineRule="exact"/>
        <w:rPr>
          <w:rFonts w:ascii="Arial" w:cs="Arial" w:eastAsia="Arial" w:hAnsi="Arial"/>
          <w:sz w:val="16"/>
          <w:szCs w:val="16"/>
          <w:color w:val="auto"/>
        </w:rPr>
      </w:pPr>
    </w:p>
    <w:p>
      <w:pPr>
        <w:ind w:left="1120" w:hanging="568"/>
        <w:spacing w:after="0"/>
        <w:tabs>
          <w:tab w:leader="none" w:pos="11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with respect to any other provision relating to the rights of holders of Public Shares,</w:t>
      </w:r>
    </w:p>
    <w:p>
      <w:pPr>
        <w:spacing w:after="0" w:line="203"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 xml:space="preserve">each holder of Public Shares who is not a Founder, officer or director shall be provided with the opportunity to redeem their Public Shares upon the approval of any such amendment (an </w:t>
      </w:r>
      <w:r>
        <w:rPr>
          <w:rFonts w:ascii="Arial" w:cs="Arial" w:eastAsia="Arial" w:hAnsi="Arial"/>
          <w:sz w:val="18"/>
          <w:szCs w:val="18"/>
          <w:b w:val="1"/>
          <w:bCs w:val="1"/>
          <w:color w:val="auto"/>
        </w:rPr>
        <w:t>Amendment Redemption</w:t>
      </w:r>
      <w:r>
        <w:rPr>
          <w:rFonts w:ascii="Arial" w:cs="Arial" w:eastAsia="Arial" w:hAnsi="Arial"/>
          <w:sz w:val="18"/>
          <w:szCs w:val="18"/>
          <w:color w:val="auto"/>
        </w:rPr>
        <w:t>)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spacing w:after="0" w:line="17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38.10</w:t>
      </w:r>
      <w:r>
        <w:rPr>
          <w:sz w:val="20"/>
          <w:szCs w:val="20"/>
          <w:color w:val="auto"/>
        </w:rPr>
        <w:tab/>
      </w:r>
      <w:r>
        <w:rPr>
          <w:rFonts w:ascii="Arial" w:cs="Arial" w:eastAsia="Arial" w:hAnsi="Arial"/>
          <w:sz w:val="14"/>
          <w:szCs w:val="14"/>
          <w:color w:val="auto"/>
        </w:rPr>
        <w:t>Except for the withdrawal of interest to pay income taxes, if any, none of the funds held in the Trust Account shall be released from the Trust Account:</w:t>
      </w:r>
    </w:p>
    <w:p>
      <w:pPr>
        <w:spacing w:after="0" w:line="212" w:lineRule="exact"/>
        <w:rPr>
          <w:sz w:val="20"/>
          <w:szCs w:val="20"/>
          <w:color w:val="auto"/>
        </w:rPr>
      </w:pPr>
    </w:p>
    <w:p>
      <w:pPr>
        <w:ind w:left="1120" w:hanging="568"/>
        <w:spacing w:after="0"/>
        <w:tabs>
          <w:tab w:leader="none" w:pos="11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to the Company, until completion of any Business Combination; or</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to the Members holding Public Shares, until the earliest of:</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 repurchase of Shares by means of a Tender Offer pursuant to Article 38.2(b);</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an IPO Redemption pursuant to Article 38.6;</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 distribution of the Trust Account pursuant to Article 38.8; or</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an Amendment Redemption pursuant to Article 38.9.</w:t>
      </w:r>
    </w:p>
    <w:p>
      <w:pPr>
        <w:spacing w:after="0" w:line="20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In no other circumstance shall a holder of Public Shares have any right or interest of any kind in the Trust Account.</w:t>
      </w:r>
    </w:p>
    <w:p>
      <w:pPr>
        <w:spacing w:after="0" w:line="209" w:lineRule="exact"/>
        <w:rPr>
          <w:sz w:val="20"/>
          <w:szCs w:val="20"/>
          <w:color w:val="auto"/>
        </w:rPr>
      </w:pPr>
    </w:p>
    <w:p>
      <w:pPr>
        <w:ind w:left="560" w:right="60" w:hanging="558"/>
        <w:spacing w:after="0" w:line="258" w:lineRule="auto"/>
        <w:tabs>
          <w:tab w:leader="none" w:pos="540" w:val="left"/>
        </w:tabs>
        <w:rPr>
          <w:sz w:val="20"/>
          <w:szCs w:val="20"/>
          <w:color w:val="auto"/>
        </w:rPr>
      </w:pPr>
      <w:r>
        <w:rPr>
          <w:rFonts w:ascii="Arial" w:cs="Arial" w:eastAsia="Arial" w:hAnsi="Arial"/>
          <w:sz w:val="16"/>
          <w:szCs w:val="16"/>
          <w:color w:val="auto"/>
        </w:rPr>
        <w:t>38.11</w:t>
        <w:tab/>
        <w:t>After the issue of Public Shares (including pursuant to the Over-allotment Option), and prior to the consummation of a Business Combination, the directors shall not issue additional Shares or any other securities that would entitle the holders thereof to:</w:t>
      </w:r>
    </w:p>
    <w:p>
      <w:pPr>
        <w:spacing w:after="0" w:line="186" w:lineRule="exact"/>
        <w:rPr>
          <w:sz w:val="20"/>
          <w:szCs w:val="20"/>
          <w:color w:val="auto"/>
        </w:rPr>
      </w:pPr>
    </w:p>
    <w:p>
      <w:pPr>
        <w:ind w:left="1120" w:hanging="568"/>
        <w:spacing w:after="0"/>
        <w:tabs>
          <w:tab w:leader="none" w:pos="11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receive funds from the Trust Account; or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329" w:name="page330"/>
    <w:bookmarkEnd w:id="329"/>
    <w:p>
      <w:pPr>
        <w:ind w:left="1120" w:hanging="568"/>
        <w:spacing w:after="0"/>
        <w:tabs>
          <w:tab w:leader="none" w:pos="11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vote as a class with the Public Shares:</w:t>
      </w:r>
    </w:p>
    <w:p>
      <w:pPr>
        <w:spacing w:after="0" w:line="211" w:lineRule="exact"/>
        <w:rPr>
          <w:rFonts w:ascii="Arial" w:cs="Arial" w:eastAsia="Arial" w:hAnsi="Arial"/>
          <w:sz w:val="16"/>
          <w:szCs w:val="16"/>
          <w:color w:val="auto"/>
        </w:rPr>
      </w:pPr>
    </w:p>
    <w:p>
      <w:pPr>
        <w:ind w:left="1660" w:hanging="550"/>
        <w:spacing w:after="0"/>
        <w:tabs>
          <w:tab w:leader="none" w:pos="1660" w:val="left"/>
        </w:tabs>
        <w:numPr>
          <w:ilvl w:val="1"/>
          <w:numId w:val="350"/>
        </w:numPr>
        <w:rPr>
          <w:rFonts w:ascii="Arial" w:cs="Arial" w:eastAsia="Arial" w:hAnsi="Arial"/>
          <w:sz w:val="14"/>
          <w:szCs w:val="14"/>
          <w:color w:val="auto"/>
        </w:rPr>
      </w:pPr>
      <w:r>
        <w:rPr>
          <w:rFonts w:ascii="Arial" w:cs="Arial" w:eastAsia="Arial" w:hAnsi="Arial"/>
          <w:sz w:val="14"/>
          <w:szCs w:val="14"/>
          <w:color w:val="auto"/>
        </w:rPr>
        <w:t>on a Business Combination or on any other proposal presented to Members prior to or in connection with the completion of a Business Combination; or</w:t>
      </w:r>
    </w:p>
    <w:p>
      <w:pPr>
        <w:spacing w:after="0" w:line="234" w:lineRule="exact"/>
        <w:rPr>
          <w:rFonts w:ascii="Arial" w:cs="Arial" w:eastAsia="Arial" w:hAnsi="Arial"/>
          <w:sz w:val="14"/>
          <w:szCs w:val="14"/>
          <w:color w:val="auto"/>
        </w:rPr>
      </w:pPr>
    </w:p>
    <w:p>
      <w:pPr>
        <w:ind w:left="1660" w:hanging="550"/>
        <w:spacing w:after="0"/>
        <w:tabs>
          <w:tab w:leader="none" w:pos="166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to approve an amendment to these Articles to:</w:t>
      </w:r>
    </w:p>
    <w:p>
      <w:pPr>
        <w:spacing w:after="0" w:line="211" w:lineRule="exact"/>
        <w:rPr>
          <w:rFonts w:ascii="Arial" w:cs="Arial" w:eastAsia="Arial" w:hAnsi="Arial"/>
          <w:sz w:val="16"/>
          <w:szCs w:val="16"/>
          <w:color w:val="auto"/>
        </w:rPr>
      </w:pPr>
    </w:p>
    <w:p>
      <w:pPr>
        <w:ind w:left="2220" w:hanging="552"/>
        <w:spacing w:after="0"/>
        <w:tabs>
          <w:tab w:leader="none" w:pos="2220" w:val="left"/>
        </w:tabs>
        <w:numPr>
          <w:ilvl w:val="2"/>
          <w:numId w:val="350"/>
        </w:numPr>
        <w:rPr>
          <w:rFonts w:ascii="Arial" w:cs="Arial" w:eastAsia="Arial" w:hAnsi="Arial"/>
          <w:sz w:val="16"/>
          <w:szCs w:val="16"/>
          <w:color w:val="auto"/>
        </w:rPr>
      </w:pPr>
      <w:r>
        <w:rPr>
          <w:rFonts w:ascii="Arial" w:cs="Arial" w:eastAsia="Arial" w:hAnsi="Arial"/>
          <w:sz w:val="16"/>
          <w:szCs w:val="16"/>
          <w:color w:val="auto"/>
        </w:rPr>
        <w:t>extend the time the Company has to consummate a Business Combination beyond 24 months from the closing of IPO; or</w:t>
      </w:r>
    </w:p>
    <w:p>
      <w:pPr>
        <w:spacing w:after="0" w:line="211" w:lineRule="exact"/>
        <w:rPr>
          <w:rFonts w:ascii="Arial" w:cs="Arial" w:eastAsia="Arial" w:hAnsi="Arial"/>
          <w:sz w:val="16"/>
          <w:szCs w:val="16"/>
          <w:color w:val="auto"/>
        </w:rPr>
      </w:pPr>
    </w:p>
    <w:p>
      <w:pPr>
        <w:ind w:left="2220" w:hanging="552"/>
        <w:spacing w:after="0"/>
        <w:tabs>
          <w:tab w:leader="none" w:pos="2220" w:val="left"/>
        </w:tabs>
        <w:numPr>
          <w:ilvl w:val="2"/>
          <w:numId w:val="350"/>
        </w:numPr>
        <w:rPr>
          <w:rFonts w:ascii="Arial" w:cs="Arial" w:eastAsia="Arial" w:hAnsi="Arial"/>
          <w:sz w:val="16"/>
          <w:szCs w:val="16"/>
          <w:color w:val="auto"/>
        </w:rPr>
      </w:pPr>
      <w:r>
        <w:rPr>
          <w:rFonts w:ascii="Arial" w:cs="Arial" w:eastAsia="Arial" w:hAnsi="Arial"/>
          <w:sz w:val="16"/>
          <w:szCs w:val="16"/>
          <w:color w:val="auto"/>
        </w:rPr>
        <w:t>amend the foregoing provisions of these Articles.</w:t>
      </w:r>
    </w:p>
    <w:p>
      <w:pPr>
        <w:spacing w:after="0" w:line="212" w:lineRule="exact"/>
        <w:rPr>
          <w:sz w:val="20"/>
          <w:szCs w:val="20"/>
          <w:color w:val="auto"/>
        </w:rPr>
      </w:pPr>
    </w:p>
    <w:p>
      <w:pPr>
        <w:ind w:left="560" w:right="440" w:hanging="558"/>
        <w:spacing w:after="0" w:line="248" w:lineRule="auto"/>
        <w:tabs>
          <w:tab w:leader="none" w:pos="540" w:val="left"/>
        </w:tabs>
        <w:rPr>
          <w:sz w:val="20"/>
          <w:szCs w:val="20"/>
          <w:color w:val="auto"/>
        </w:rPr>
      </w:pPr>
      <w:r>
        <w:rPr>
          <w:rFonts w:ascii="Arial" w:cs="Arial" w:eastAsia="Arial" w:hAnsi="Arial"/>
          <w:sz w:val="16"/>
          <w:szCs w:val="16"/>
          <w:color w:val="auto"/>
        </w:rPr>
        <w:t>38.12</w:t>
        <w:tab/>
        <w:t>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38.13</w:t>
      </w:r>
      <w:r>
        <w:rPr>
          <w:sz w:val="20"/>
          <w:szCs w:val="20"/>
          <w:color w:val="auto"/>
        </w:rPr>
        <w:tab/>
      </w:r>
      <w:r>
        <w:rPr>
          <w:rFonts w:ascii="Arial" w:cs="Arial" w:eastAsia="Arial" w:hAnsi="Arial"/>
          <w:sz w:val="14"/>
          <w:szCs w:val="14"/>
          <w:color w:val="auto"/>
        </w:rPr>
        <w:t>The uninterested Independent Directors shall approve any transaction or transactions between the Company and any of the following parties:</w:t>
      </w:r>
    </w:p>
    <w:p>
      <w:pPr>
        <w:spacing w:after="0" w:line="212" w:lineRule="exact"/>
        <w:rPr>
          <w:sz w:val="20"/>
          <w:szCs w:val="20"/>
          <w:color w:val="auto"/>
        </w:rPr>
      </w:pPr>
    </w:p>
    <w:p>
      <w:pPr>
        <w:ind w:left="1120" w:hanging="568"/>
        <w:spacing w:after="0"/>
        <w:tabs>
          <w:tab w:leader="none" w:pos="11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any Member owning an interest in the voting power of the Company that gives such Member a significant influence over the Company; and</w:t>
      </w:r>
    </w:p>
    <w:p>
      <w:pPr>
        <w:spacing w:after="0" w:line="211" w:lineRule="exact"/>
        <w:rPr>
          <w:rFonts w:ascii="Arial" w:cs="Arial" w:eastAsia="Arial" w:hAnsi="Arial"/>
          <w:sz w:val="16"/>
          <w:szCs w:val="16"/>
          <w:color w:val="auto"/>
        </w:rPr>
      </w:pPr>
    </w:p>
    <w:p>
      <w:pPr>
        <w:ind w:left="1120" w:hanging="568"/>
        <w:spacing w:after="0"/>
        <w:tabs>
          <w:tab w:leader="none" w:pos="11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any director or officer of the Company and any affiliate or relative of such director or officer.</w:t>
      </w:r>
    </w:p>
    <w:p>
      <w:pPr>
        <w:spacing w:after="0" w:line="212" w:lineRule="exact"/>
        <w:rPr>
          <w:sz w:val="20"/>
          <w:szCs w:val="20"/>
          <w:color w:val="auto"/>
        </w:rPr>
      </w:pPr>
    </w:p>
    <w:p>
      <w:pPr>
        <w:ind w:left="560" w:right="100" w:hanging="558"/>
        <w:spacing w:after="0" w:line="258" w:lineRule="auto"/>
        <w:tabs>
          <w:tab w:leader="none" w:pos="540" w:val="left"/>
        </w:tabs>
        <w:rPr>
          <w:sz w:val="20"/>
          <w:szCs w:val="20"/>
          <w:color w:val="auto"/>
        </w:rPr>
      </w:pPr>
      <w:r>
        <w:rPr>
          <w:rFonts w:ascii="Arial" w:cs="Arial" w:eastAsia="Arial" w:hAnsi="Arial"/>
          <w:sz w:val="16"/>
          <w:szCs w:val="16"/>
          <w:color w:val="auto"/>
        </w:rPr>
        <w:t>38.14</w:t>
        <w:tab/>
        <w:t>Any payment made to members of the Audit Committee (if one exists) shall require the review and approval of the directors, with any director interested in such payment abstaining from such review and approval.</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38.15</w:t>
      </w:r>
      <w:r>
        <w:rPr>
          <w:sz w:val="20"/>
          <w:szCs w:val="20"/>
          <w:color w:val="auto"/>
        </w:rPr>
        <w:tab/>
      </w:r>
      <w:r>
        <w:rPr>
          <w:rFonts w:ascii="Arial" w:cs="Arial" w:eastAsia="Arial" w:hAnsi="Arial"/>
          <w:sz w:val="14"/>
          <w:szCs w:val="14"/>
          <w:color w:val="auto"/>
        </w:rPr>
        <w:t>A director may vote in respect of any Business Combination in which such director has a conflict of interest with respect to the evaluation of such Business Combination.</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Such director must disclose such interest or conflict to the other directors.</w:t>
      </w:r>
    </w:p>
    <w:p>
      <w:pPr>
        <w:spacing w:after="0" w:line="202" w:lineRule="exact"/>
        <w:rPr>
          <w:sz w:val="20"/>
          <w:szCs w:val="20"/>
          <w:color w:val="auto"/>
        </w:rPr>
      </w:pPr>
    </w:p>
    <w:p>
      <w:pPr>
        <w:ind w:left="560" w:right="580" w:hanging="558"/>
        <w:spacing w:after="0" w:line="329" w:lineRule="auto"/>
        <w:tabs>
          <w:tab w:leader="none" w:pos="540" w:val="left"/>
        </w:tabs>
        <w:rPr>
          <w:sz w:val="20"/>
          <w:szCs w:val="20"/>
          <w:color w:val="auto"/>
        </w:rPr>
      </w:pPr>
      <w:r>
        <w:rPr>
          <w:rFonts w:ascii="Arial" w:cs="Arial" w:eastAsia="Arial" w:hAnsi="Arial"/>
          <w:sz w:val="16"/>
          <w:szCs w:val="16"/>
          <w:color w:val="auto"/>
        </w:rPr>
        <w:t>38.16</w:t>
      </w:r>
      <w:r>
        <w:rPr>
          <w:sz w:val="20"/>
          <w:szCs w:val="20"/>
          <w:color w:val="auto"/>
        </w:rPr>
        <w:tab/>
      </w:r>
      <w:r>
        <w:rPr>
          <w:rFonts w:ascii="Arial" w:cs="Arial" w:eastAsia="Arial" w:hAnsi="Arial"/>
          <w:sz w:val="14"/>
          <w:szCs w:val="14"/>
          <w:color w:val="auto"/>
        </w:rPr>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140" w:lineRule="exact"/>
        <w:rPr>
          <w:sz w:val="20"/>
          <w:szCs w:val="20"/>
          <w:color w:val="auto"/>
        </w:rPr>
      </w:pPr>
    </w:p>
    <w:p>
      <w:pPr>
        <w:ind w:left="560" w:hanging="558"/>
        <w:spacing w:after="0" w:line="294" w:lineRule="auto"/>
        <w:tabs>
          <w:tab w:leader="none" w:pos="540" w:val="left"/>
        </w:tabs>
        <w:rPr>
          <w:sz w:val="20"/>
          <w:szCs w:val="20"/>
          <w:color w:val="auto"/>
        </w:rPr>
      </w:pPr>
      <w:r>
        <w:rPr>
          <w:rFonts w:ascii="Arial" w:cs="Arial" w:eastAsia="Arial" w:hAnsi="Arial"/>
          <w:sz w:val="16"/>
          <w:szCs w:val="16"/>
          <w:color w:val="auto"/>
        </w:rPr>
        <w:t>38.17</w:t>
      </w:r>
      <w:r>
        <w:rPr>
          <w:sz w:val="20"/>
          <w:szCs w:val="20"/>
          <w:color w:val="auto"/>
        </w:rPr>
        <w:tab/>
      </w:r>
      <w:r>
        <w:rPr>
          <w:rFonts w:ascii="Arial" w:cs="Arial" w:eastAsia="Arial" w:hAnsi="Arial"/>
          <w:sz w:val="14"/>
          <w:szCs w:val="14"/>
          <w:color w:val="auto"/>
        </w:rPr>
        <w:t>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330" w:name="page331"/>
    <w:bookmarkEnd w:id="330"/>
    <w:p>
      <w:pPr>
        <w:spacing w:after="0"/>
        <w:tabs>
          <w:tab w:leader="none" w:pos="540" w:val="left"/>
        </w:tabs>
        <w:rPr>
          <w:sz w:val="20"/>
          <w:szCs w:val="20"/>
          <w:color w:val="auto"/>
        </w:rPr>
      </w:pPr>
      <w:r>
        <w:rPr>
          <w:rFonts w:ascii="Arial" w:cs="Arial" w:eastAsia="Arial" w:hAnsi="Arial"/>
          <w:sz w:val="16"/>
          <w:szCs w:val="16"/>
          <w:color w:val="auto"/>
        </w:rPr>
        <w:t>38.18</w:t>
      </w:r>
      <w:r>
        <w:rPr>
          <w:sz w:val="20"/>
          <w:szCs w:val="20"/>
          <w:color w:val="auto"/>
        </w:rPr>
        <w:tab/>
      </w:r>
      <w:r>
        <w:rPr>
          <w:rFonts w:ascii="Arial" w:cs="Arial" w:eastAsia="Arial" w:hAnsi="Arial"/>
          <w:sz w:val="14"/>
          <w:szCs w:val="14"/>
          <w:color w:val="auto"/>
        </w:rPr>
        <w:t>Any Business Combination must be approved by the a majority of the Independent Directors.</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39</w:t>
      </w:r>
      <w:r>
        <w:rPr>
          <w:sz w:val="20"/>
          <w:szCs w:val="20"/>
          <w:color w:val="auto"/>
        </w:rPr>
        <w:tab/>
      </w:r>
      <w:r>
        <w:rPr>
          <w:rFonts w:ascii="Arial" w:cs="Arial" w:eastAsia="Arial" w:hAnsi="Arial"/>
          <w:sz w:val="16"/>
          <w:szCs w:val="16"/>
          <w:b w:val="1"/>
          <w:bCs w:val="1"/>
          <w:color w:val="auto"/>
        </w:rPr>
        <w:t>Certain Tax Filings</w:t>
      </w:r>
    </w:p>
    <w:p>
      <w:pPr>
        <w:spacing w:after="0" w:line="218" w:lineRule="exact"/>
        <w:rPr>
          <w:sz w:val="20"/>
          <w:szCs w:val="20"/>
          <w:color w:val="auto"/>
        </w:rPr>
      </w:pPr>
    </w:p>
    <w:p>
      <w:pPr>
        <w:jc w:val="center"/>
        <w:ind w:right="240"/>
        <w:spacing w:after="0"/>
        <w:tabs>
          <w:tab w:leader="none" w:pos="280" w:val="left"/>
        </w:tabs>
        <w:rPr>
          <w:sz w:val="20"/>
          <w:szCs w:val="20"/>
          <w:color w:val="auto"/>
        </w:rPr>
      </w:pPr>
      <w:r>
        <w:rPr>
          <w:rFonts w:ascii="Arial" w:cs="Arial" w:eastAsia="Arial" w:hAnsi="Arial"/>
          <w:sz w:val="16"/>
          <w:szCs w:val="16"/>
          <w:color w:val="auto"/>
        </w:rPr>
        <w:t>39.1</w:t>
      </w:r>
      <w:r>
        <w:rPr>
          <w:sz w:val="20"/>
          <w:szCs w:val="20"/>
          <w:color w:val="auto"/>
        </w:rPr>
        <w:tab/>
      </w:r>
      <w:r>
        <w:rPr>
          <w:rFonts w:ascii="Arial" w:cs="Arial" w:eastAsia="Arial" w:hAnsi="Arial"/>
          <w:sz w:val="14"/>
          <w:szCs w:val="14"/>
          <w:color w:val="auto"/>
        </w:rPr>
        <w:t>Each Tax Filing Authorised Person and any such other person, acting alone, as any director shall designate from time to time, are authorised to file tax forms SS-4, W-8</w:t>
      </w:r>
    </w:p>
    <w:p>
      <w:pPr>
        <w:spacing w:after="0" w:line="12" w:lineRule="exact"/>
        <w:rPr>
          <w:sz w:val="20"/>
          <w:szCs w:val="20"/>
          <w:color w:val="auto"/>
        </w:rPr>
      </w:pPr>
    </w:p>
    <w:p>
      <w:pPr>
        <w:ind w:left="560" w:right="40"/>
        <w:spacing w:after="0" w:line="243" w:lineRule="auto"/>
        <w:rPr>
          <w:sz w:val="20"/>
          <w:szCs w:val="20"/>
          <w:color w:val="auto"/>
        </w:rPr>
      </w:pPr>
      <w:r>
        <w:rPr>
          <w:rFonts w:ascii="Arial" w:cs="Arial" w:eastAsia="Arial" w:hAnsi="Arial"/>
          <w:sz w:val="16"/>
          <w:szCs w:val="16"/>
          <w:color w:val="auto"/>
        </w:rPr>
        <w:t>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auto"/>
        </w:rPr>
        <w:t>Business Opportunities</w:t>
      </w:r>
    </w:p>
    <w:p>
      <w:pPr>
        <w:spacing w:after="0" w:line="218" w:lineRule="exact"/>
        <w:rPr>
          <w:sz w:val="20"/>
          <w:szCs w:val="20"/>
          <w:color w:val="auto"/>
        </w:rPr>
      </w:pPr>
    </w:p>
    <w:p>
      <w:pPr>
        <w:ind w:left="560" w:hanging="558"/>
        <w:spacing w:after="0" w:line="287" w:lineRule="auto"/>
        <w:tabs>
          <w:tab w:leader="none" w:pos="540" w:val="left"/>
        </w:tabs>
        <w:rPr>
          <w:sz w:val="20"/>
          <w:szCs w:val="20"/>
          <w:color w:val="auto"/>
        </w:rPr>
      </w:pPr>
      <w:r>
        <w:rPr>
          <w:rFonts w:ascii="Arial" w:cs="Arial" w:eastAsia="Arial" w:hAnsi="Arial"/>
          <w:sz w:val="16"/>
          <w:szCs w:val="16"/>
          <w:color w:val="auto"/>
        </w:rPr>
        <w:t>40.1</w:t>
      </w:r>
      <w:r>
        <w:rPr>
          <w:sz w:val="20"/>
          <w:szCs w:val="20"/>
          <w:color w:val="auto"/>
        </w:rPr>
        <w:tab/>
      </w:r>
      <w:r>
        <w:rPr>
          <w:rFonts w:ascii="Arial" w:cs="Arial" w:eastAsia="Arial" w:hAnsi="Arial"/>
          <w:sz w:val="14"/>
          <w:szCs w:val="14"/>
          <w:color w:val="auto"/>
        </w:rPr>
        <w:t>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spacing w:after="0" w:line="171" w:lineRule="exact"/>
        <w:rPr>
          <w:sz w:val="20"/>
          <w:szCs w:val="20"/>
          <w:color w:val="auto"/>
        </w:rPr>
      </w:pPr>
    </w:p>
    <w:p>
      <w:pPr>
        <w:ind w:left="560" w:hanging="558"/>
        <w:spacing w:after="0" w:line="283" w:lineRule="auto"/>
        <w:tabs>
          <w:tab w:leader="none" w:pos="540" w:val="left"/>
        </w:tabs>
        <w:rPr>
          <w:sz w:val="20"/>
          <w:szCs w:val="20"/>
          <w:color w:val="auto"/>
        </w:rPr>
      </w:pPr>
      <w:r>
        <w:rPr>
          <w:rFonts w:ascii="Arial" w:cs="Arial" w:eastAsia="Arial" w:hAnsi="Arial"/>
          <w:sz w:val="16"/>
          <w:szCs w:val="16"/>
          <w:color w:val="auto"/>
        </w:rPr>
        <w:t>40.2</w:t>
      </w:r>
      <w:r>
        <w:rPr>
          <w:sz w:val="20"/>
          <w:szCs w:val="20"/>
          <w:color w:val="auto"/>
        </w:rPr>
        <w:tab/>
      </w:r>
      <w:r>
        <w:rPr>
          <w:rFonts w:ascii="Arial" w:cs="Arial" w:eastAsia="Arial" w:hAnsi="Arial"/>
          <w:sz w:val="14"/>
          <w:szCs w:val="14"/>
          <w:color w:val="auto"/>
        </w:rPr>
        <w:t>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51370" cy="146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20" w:top="128" w:right="379" w:bottom="1440" w:gutter="0" w:footer="0" w:header="0"/>
        </w:sectPr>
      </w:pPr>
    </w:p>
    <w:bookmarkStart w:id="331" w:name="page332"/>
    <w:bookmarkEnd w:id="331"/>
    <w:p>
      <w:pPr>
        <w:ind w:left="560" w:hanging="558"/>
        <w:spacing w:after="0" w:line="250" w:lineRule="auto"/>
        <w:tabs>
          <w:tab w:leader="none" w:pos="540" w:val="left"/>
        </w:tabs>
        <w:rPr>
          <w:sz w:val="20"/>
          <w:szCs w:val="20"/>
          <w:color w:val="auto"/>
        </w:rPr>
      </w:pPr>
      <w:r>
        <w:rPr>
          <w:rFonts w:ascii="Arial" w:cs="Arial" w:eastAsia="Arial" w:hAnsi="Arial"/>
          <w:sz w:val="16"/>
          <w:szCs w:val="16"/>
          <w:color w:val="auto"/>
        </w:rPr>
        <w:t>40.3</w:t>
      </w:r>
      <w:r>
        <w:rPr>
          <w:sz w:val="20"/>
          <w:szCs w:val="20"/>
          <w:color w:val="auto"/>
        </w:rPr>
        <w:tab/>
      </w:r>
      <w:r>
        <w:rPr>
          <w:rFonts w:ascii="Arial" w:cs="Arial" w:eastAsia="Arial" w:hAnsi="Arial"/>
          <w:sz w:val="16"/>
          <w:szCs w:val="16"/>
          <w:color w:val="auto"/>
        </w:rPr>
        <w:t>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spacing w:after="0" w:line="193" w:lineRule="exact"/>
        <w:rPr>
          <w:sz w:val="20"/>
          <w:szCs w:val="20"/>
          <w:color w:val="auto"/>
        </w:rPr>
      </w:pPr>
    </w:p>
    <w:p>
      <w:pPr>
        <w:ind w:left="560" w:right="60" w:hanging="558"/>
        <w:spacing w:after="0" w:line="248" w:lineRule="auto"/>
        <w:tabs>
          <w:tab w:leader="none" w:pos="540" w:val="left"/>
        </w:tabs>
        <w:rPr>
          <w:sz w:val="20"/>
          <w:szCs w:val="20"/>
          <w:color w:val="auto"/>
        </w:rPr>
      </w:pPr>
      <w:r>
        <w:rPr>
          <w:rFonts w:ascii="Arial" w:cs="Arial" w:eastAsia="Arial" w:hAnsi="Arial"/>
          <w:sz w:val="16"/>
          <w:szCs w:val="16"/>
          <w:color w:val="auto"/>
        </w:rPr>
        <w:t>40.4</w:t>
      </w:r>
      <w:r>
        <w:rPr>
          <w:sz w:val="20"/>
          <w:szCs w:val="20"/>
          <w:color w:val="auto"/>
        </w:rPr>
        <w:tab/>
      </w:r>
      <w:r>
        <w:rPr>
          <w:rFonts w:ascii="Arial" w:cs="Arial" w:eastAsia="Arial" w:hAnsi="Arial"/>
          <w:sz w:val="16"/>
          <w:szCs w:val="16"/>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51370" cy="146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4.1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SPECIMEN CLASS A ORDINARY SHARE CERTIFICATE</w:t>
      </w:r>
    </w:p>
    <w:p>
      <w:pPr>
        <w:spacing w:after="0" w:line="213" w:lineRule="exact"/>
        <w:rPr>
          <w:sz w:val="20"/>
          <w:szCs w:val="20"/>
          <w:color w:val="auto"/>
        </w:rPr>
      </w:pPr>
    </w:p>
    <w:p>
      <w:pPr>
        <w:spacing w:after="0"/>
        <w:tabs>
          <w:tab w:leader="none" w:pos="1064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SHARES</w:t>
      </w:r>
    </w:p>
    <w:p>
      <w:pPr>
        <w:spacing w:after="0" w:line="222" w:lineRule="exact"/>
        <w:rPr>
          <w:sz w:val="20"/>
          <w:szCs w:val="20"/>
          <w:color w:val="auto"/>
        </w:rPr>
      </w:pPr>
    </w:p>
    <w:p>
      <w:pPr>
        <w:jc w:val="center"/>
        <w:ind w:right="20"/>
        <w:spacing w:after="0" w:line="242" w:lineRule="auto"/>
        <w:rPr>
          <w:sz w:val="20"/>
          <w:szCs w:val="20"/>
          <w:color w:val="auto"/>
        </w:rPr>
      </w:pPr>
      <w:r>
        <w:rPr>
          <w:rFonts w:ascii="Arial" w:cs="Arial" w:eastAsia="Arial" w:hAnsi="Arial"/>
          <w:sz w:val="19"/>
          <w:szCs w:val="19"/>
          <w:b w:val="1"/>
          <w:bCs w:val="1"/>
          <w:color w:val="auto"/>
        </w:rPr>
        <w:t>ARYA SCIENCES ACQUISITION CORP III INCORPORATED UNDER THE LAWS OF THE CAYMAN ISLANDS CLASS A ORDINARY SHARES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SEE REVERSE FOR</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CERTAIN DEFINITIONS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CUSIP [ ]</w:t>
      </w:r>
    </w:p>
    <w:p>
      <w:pPr>
        <w:spacing w:after="0" w:line="204" w:lineRule="exact"/>
        <w:rPr>
          <w:sz w:val="20"/>
          <w:szCs w:val="20"/>
          <w:color w:val="auto"/>
        </w:rPr>
      </w:pPr>
    </w:p>
    <w:p>
      <w:pPr>
        <w:spacing w:after="0"/>
        <w:tabs>
          <w:tab w:leader="none" w:pos="3260" w:val="left"/>
        </w:tabs>
        <w:rPr>
          <w:sz w:val="20"/>
          <w:szCs w:val="20"/>
          <w:color w:val="auto"/>
        </w:rPr>
      </w:pPr>
      <w:r>
        <w:rPr>
          <w:rFonts w:ascii="Arial" w:cs="Arial" w:eastAsia="Arial" w:hAnsi="Arial"/>
          <w:sz w:val="19"/>
          <w:szCs w:val="19"/>
          <w:b w:val="1"/>
          <w:bCs w:val="1"/>
          <w:i w:val="1"/>
          <w:iCs w:val="1"/>
          <w:color w:val="auto"/>
        </w:rPr>
        <w:t>This Certifies that</w:t>
      </w:r>
      <w:r>
        <w:rPr>
          <w:sz w:val="20"/>
          <w:szCs w:val="20"/>
          <w:color w:val="auto"/>
        </w:rPr>
        <w:tab/>
      </w:r>
      <w:r>
        <w:rPr>
          <w:rFonts w:ascii="Arial" w:cs="Arial" w:eastAsia="Arial" w:hAnsi="Arial"/>
          <w:sz w:val="16"/>
          <w:szCs w:val="16"/>
          <w:b w:val="1"/>
          <w:bCs w:val="1"/>
          <w:i w:val="1"/>
          <w:iCs w:val="1"/>
          <w:color w:val="auto"/>
        </w:rPr>
        <w:t>is the owner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FULLY PAID AND NON-ASSESSABLE CLASS A ORDINARY SHARES OF THE PAR VALUE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 $0.0001 EACH OF ARYA SCIENCES ACQUISITION CORP III (THE “COMPANY”)</w:t>
      </w:r>
    </w:p>
    <w:p>
      <w:pPr>
        <w:spacing w:after="0" w:line="184" w:lineRule="exact"/>
        <w:rPr>
          <w:sz w:val="20"/>
          <w:szCs w:val="20"/>
          <w:color w:val="auto"/>
        </w:rPr>
      </w:pPr>
    </w:p>
    <w:p>
      <w:pPr>
        <w:jc w:val="center"/>
        <w:spacing w:after="0" w:line="309" w:lineRule="auto"/>
        <w:rPr>
          <w:sz w:val="20"/>
          <w:szCs w:val="20"/>
          <w:color w:val="auto"/>
        </w:rPr>
      </w:pPr>
      <w:r>
        <w:rPr>
          <w:rFonts w:ascii="Arial" w:cs="Arial" w:eastAsia="Arial" w:hAnsi="Arial"/>
          <w:sz w:val="17"/>
          <w:szCs w:val="17"/>
          <w:i w:val="1"/>
          <w:iCs w:val="1"/>
          <w:color w:val="auto"/>
        </w:rPr>
        <w:t>subject to the Company’s amended and restated memorandum and articles of association, as the same may be amended from time to time, and transferable on the books of the Company in person or by duly authorized attorney upon surrender of this certificate properly endorsed.</w:t>
      </w:r>
    </w:p>
    <w:p>
      <w:pPr>
        <w:spacing w:after="0" w:line="125" w:lineRule="exact"/>
        <w:rPr>
          <w:sz w:val="20"/>
          <w:szCs w:val="20"/>
          <w:color w:val="auto"/>
        </w:rPr>
      </w:pPr>
    </w:p>
    <w:p>
      <w:pPr>
        <w:jc w:val="center"/>
        <w:ind w:right="20"/>
        <w:spacing w:after="0" w:line="283" w:lineRule="auto"/>
        <w:rPr>
          <w:sz w:val="20"/>
          <w:szCs w:val="20"/>
          <w:color w:val="auto"/>
        </w:rPr>
      </w:pPr>
      <w:r>
        <w:rPr>
          <w:rFonts w:ascii="Arial" w:cs="Arial" w:eastAsia="Arial" w:hAnsi="Arial"/>
          <w:sz w:val="16"/>
          <w:szCs w:val="16"/>
          <w:i w:val="1"/>
          <w:iCs w:val="1"/>
          <w:color w:val="auto"/>
        </w:rPr>
        <w:t>The Company will be forced to redeem all of its Class A ordinary shares if it is unable to complete a business combination within the period set forth in the Company’s amended and restated memorandum and articles of association, as the same may be amended from time to time, all as more fully</w:t>
      </w:r>
    </w:p>
    <w:p>
      <w:pPr>
        <w:spacing w:after="0" w:line="1" w:lineRule="exact"/>
        <w:rPr>
          <w:sz w:val="20"/>
          <w:szCs w:val="20"/>
          <w:color w:val="auto"/>
        </w:rPr>
      </w:pPr>
    </w:p>
    <w:tbl>
      <w:tblPr>
        <w:tblLayout w:type="fixed"/>
        <w:tblInd w:w="310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Arial" w:cs="Arial" w:eastAsia="Arial" w:hAnsi="Arial"/>
                <w:sz w:val="19"/>
                <w:szCs w:val="19"/>
                <w:i w:val="1"/>
                <w:iCs w:val="1"/>
                <w:color w:val="auto"/>
                <w:w w:val="96"/>
              </w:rPr>
              <w:t>described in the Company’s final prospectus dated</w:t>
            </w:r>
          </w:p>
        </w:tc>
        <w:tc>
          <w:tcPr>
            <w:tcW w:w="920" w:type="dxa"/>
            <w:vAlign w:val="bottom"/>
          </w:tcPr>
          <w:p>
            <w:pPr>
              <w:jc w:val="right"/>
              <w:spacing w:after="0"/>
              <w:rPr>
                <w:sz w:val="20"/>
                <w:szCs w:val="20"/>
                <w:color w:val="auto"/>
              </w:rPr>
            </w:pPr>
            <w:r>
              <w:rPr>
                <w:rFonts w:ascii="Arial" w:cs="Arial" w:eastAsia="Arial" w:hAnsi="Arial"/>
                <w:sz w:val="19"/>
                <w:szCs w:val="19"/>
                <w:i w:val="1"/>
                <w:iCs w:val="1"/>
                <w:color w:val="auto"/>
              </w:rPr>
              <w:t>, 2020.</w:t>
            </w: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This certificate is not valid unless countersigned by the Transfer Agent and registered by the Registrar.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Witness the facsimile signatures of its duly authorized officers.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8255</wp:posOffset>
            </wp:positionV>
            <wp:extent cx="2150110" cy="146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2150110" cy="14605"/>
                    </a:xfrm>
                    <a:prstGeom prst="rect">
                      <a:avLst/>
                    </a:prstGeom>
                    <a:noFill/>
                  </pic:spPr>
                </pic:pic>
              </a:graphicData>
            </a:graphic>
          </wp:anchor>
        </w:drawing>
      </w:r>
    </w:p>
    <w:p>
      <w:pPr>
        <w:spacing w:after="0" w:line="192" w:lineRule="exact"/>
        <w:rPr>
          <w:sz w:val="20"/>
          <w:szCs w:val="20"/>
          <w:color w:val="auto"/>
        </w:rPr>
      </w:pPr>
    </w:p>
    <w:p>
      <w:pPr>
        <w:ind w:left="40"/>
        <w:spacing w:after="0"/>
        <w:tabs>
          <w:tab w:leader="none" w:pos="3960" w:val="left"/>
          <w:tab w:leader="none" w:pos="7380" w:val="left"/>
        </w:tabs>
        <w:rPr>
          <w:sz w:val="20"/>
          <w:szCs w:val="20"/>
          <w:color w:val="auto"/>
        </w:rPr>
      </w:pPr>
      <w:r>
        <w:rPr>
          <w:rFonts w:ascii="Arial" w:cs="Arial" w:eastAsia="Arial" w:hAnsi="Arial"/>
          <w:sz w:val="16"/>
          <w:szCs w:val="16"/>
          <w:color w:val="auto"/>
        </w:rPr>
        <w:t>Chief Executive Officer</w:t>
      </w:r>
      <w:r>
        <w:rPr>
          <w:sz w:val="20"/>
          <w:szCs w:val="20"/>
          <w:color w:val="auto"/>
        </w:rPr>
        <w:tab/>
      </w:r>
      <w:r>
        <w:rPr>
          <w:rFonts w:ascii="Arial" w:cs="Arial" w:eastAsia="Arial" w:hAnsi="Arial"/>
          <w:sz w:val="16"/>
          <w:szCs w:val="16"/>
          <w:color w:val="auto"/>
        </w:rPr>
        <w:t>Cayman Islands</w:t>
      </w:r>
      <w:r>
        <w:rPr>
          <w:sz w:val="20"/>
          <w:szCs w:val="20"/>
          <w:color w:val="auto"/>
        </w:rPr>
        <w:tab/>
      </w: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872490</wp:posOffset>
            </wp:positionV>
            <wp:extent cx="7151370" cy="146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1370" cy="14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362585</wp:posOffset>
            </wp:positionV>
            <wp:extent cx="2157095" cy="146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2157095" cy="14605"/>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362585</wp:posOffset>
            </wp:positionV>
            <wp:extent cx="2496820" cy="146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249682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9"/>
          <w:szCs w:val="19"/>
          <w:color w:val="auto"/>
        </w:rPr>
        <w:t>ARYA SCIENCES ACQUISITION CORP III</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memorandum and articles of association, as the same may be amended from time to time, and resolutions of the Board of Directors providing for the issue of Class A ordinary shares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20"/>
                <w:szCs w:val="20"/>
                <w:color w:val="auto"/>
              </w:rPr>
            </w:pPr>
            <w:r>
              <w:rPr>
                <w:rFonts w:ascii="Arial" w:cs="Arial" w:eastAsia="Arial" w:hAnsi="Arial"/>
                <w:sz w:val="16"/>
                <w:szCs w:val="16"/>
                <w:color w:val="auto"/>
              </w:rPr>
              <w:t>TEN COM</w:t>
            </w:r>
          </w:p>
        </w:tc>
        <w:tc>
          <w:tcPr>
            <w:tcW w:w="4540" w:type="dxa"/>
            <w:vAlign w:val="bottom"/>
          </w:tcPr>
          <w:p>
            <w:pPr>
              <w:ind w:left="340"/>
              <w:spacing w:after="0"/>
              <w:rPr>
                <w:sz w:val="20"/>
                <w:szCs w:val="20"/>
                <w:color w:val="auto"/>
              </w:rPr>
            </w:pPr>
            <w:r>
              <w:rPr>
                <w:rFonts w:ascii="Arial" w:cs="Arial" w:eastAsia="Arial" w:hAnsi="Arial"/>
                <w:sz w:val="16"/>
                <w:szCs w:val="16"/>
                <w:color w:val="auto"/>
              </w:rPr>
              <w:t>— as tenants in common</w:t>
            </w:r>
          </w:p>
        </w:tc>
        <w:tc>
          <w:tcPr>
            <w:tcW w:w="1860" w:type="dxa"/>
            <w:vAlign w:val="bottom"/>
          </w:tcPr>
          <w:p>
            <w:pPr>
              <w:ind w:left="240"/>
              <w:spacing w:after="0"/>
              <w:rPr>
                <w:sz w:val="20"/>
                <w:szCs w:val="20"/>
                <w:color w:val="auto"/>
              </w:rPr>
            </w:pPr>
            <w:r>
              <w:rPr>
                <w:rFonts w:ascii="Arial" w:cs="Arial" w:eastAsia="Arial" w:hAnsi="Arial"/>
                <w:sz w:val="16"/>
                <w:szCs w:val="16"/>
                <w:color w:val="auto"/>
                <w:w w:val="99"/>
              </w:rPr>
              <w:t>UNIF GIFT MIN—</w:t>
            </w:r>
          </w:p>
        </w:tc>
        <w:tc>
          <w:tcPr>
            <w:tcW w:w="1280" w:type="dxa"/>
            <w:vAlign w:val="bottom"/>
          </w:tcPr>
          <w:p>
            <w:pPr>
              <w:spacing w:after="0"/>
              <w:rPr>
                <w:sz w:val="16"/>
                <w:szCs w:val="16"/>
                <w:color w:val="auto"/>
              </w:rPr>
            </w:pPr>
          </w:p>
        </w:tc>
        <w:tc>
          <w:tcPr>
            <w:tcW w:w="2560" w:type="dxa"/>
            <w:vAlign w:val="bottom"/>
            <w:gridSpan w:val="2"/>
          </w:tcPr>
          <w:p>
            <w:pPr>
              <w:jc w:val="center"/>
              <w:ind w:right="1222"/>
              <w:spacing w:after="0"/>
              <w:rPr>
                <w:sz w:val="20"/>
                <w:szCs w:val="20"/>
                <w:color w:val="auto"/>
              </w:rPr>
            </w:pPr>
            <w:r>
              <w:rPr>
                <w:rFonts w:ascii="Arial" w:cs="Arial" w:eastAsia="Arial" w:hAnsi="Arial"/>
                <w:sz w:val="16"/>
                <w:szCs w:val="16"/>
                <w:color w:val="auto"/>
                <w:w w:val="86"/>
              </w:rPr>
              <w:t>Custodian</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860" w:type="dxa"/>
            <w:vAlign w:val="bottom"/>
          </w:tcPr>
          <w:p>
            <w:pPr>
              <w:ind w:left="240"/>
              <w:spacing w:after="0"/>
              <w:rPr>
                <w:sz w:val="20"/>
                <w:szCs w:val="20"/>
                <w:color w:val="auto"/>
              </w:rPr>
            </w:pPr>
            <w:r>
              <w:rPr>
                <w:rFonts w:ascii="Arial" w:cs="Arial" w:eastAsia="Arial" w:hAnsi="Arial"/>
                <w:sz w:val="16"/>
                <w:szCs w:val="16"/>
                <w:color w:val="auto"/>
              </w:rPr>
              <w:t>ACT</w:t>
            </w: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80" w:type="dxa"/>
            <w:vAlign w:val="bottom"/>
          </w:tcPr>
          <w:p>
            <w:pPr>
              <w:ind w:left="440"/>
              <w:spacing w:after="0"/>
              <w:rPr>
                <w:sz w:val="20"/>
                <w:szCs w:val="20"/>
                <w:color w:val="auto"/>
              </w:rPr>
            </w:pPr>
            <w:r>
              <w:rPr>
                <w:rFonts w:ascii="Arial" w:cs="Arial" w:eastAsia="Arial" w:hAnsi="Arial"/>
                <w:sz w:val="16"/>
                <w:szCs w:val="16"/>
                <w:color w:val="auto"/>
              </w:rPr>
              <w:t>(Cust)</w:t>
            </w:r>
          </w:p>
        </w:tc>
        <w:tc>
          <w:tcPr>
            <w:tcW w:w="1280" w:type="dxa"/>
            <w:vAlign w:val="bottom"/>
          </w:tcPr>
          <w:p>
            <w:pPr>
              <w:spacing w:after="0"/>
              <w:rPr>
                <w:sz w:val="17"/>
                <w:szCs w:val="17"/>
                <w:color w:val="auto"/>
              </w:rPr>
            </w:pPr>
          </w:p>
        </w:tc>
        <w:tc>
          <w:tcPr>
            <w:tcW w:w="1280" w:type="dxa"/>
            <w:vAlign w:val="bottom"/>
          </w:tcPr>
          <w:p>
            <w:pPr>
              <w:ind w:left="380"/>
              <w:spacing w:after="0"/>
              <w:rPr>
                <w:sz w:val="20"/>
                <w:szCs w:val="20"/>
                <w:color w:val="auto"/>
              </w:rPr>
            </w:pPr>
            <w:r>
              <w:rPr>
                <w:rFonts w:ascii="Arial" w:cs="Arial" w:eastAsia="Arial" w:hAnsi="Arial"/>
                <w:sz w:val="16"/>
                <w:szCs w:val="16"/>
                <w:color w:val="auto"/>
              </w:rPr>
              <w:t>(Minor)</w:t>
            </w:r>
          </w:p>
        </w:tc>
        <w:tc>
          <w:tcPr>
            <w:tcW w:w="0" w:type="dxa"/>
            <w:vAlign w:val="bottom"/>
          </w:tcPr>
          <w:p>
            <w:pPr>
              <w:spacing w:after="0"/>
              <w:rPr>
                <w:sz w:val="1"/>
                <w:szCs w:val="1"/>
                <w:color w:val="auto"/>
              </w:rPr>
            </w:pPr>
          </w:p>
        </w:tc>
      </w:tr>
      <w:tr>
        <w:trPr>
          <w:trHeight w:val="362"/>
        </w:trPr>
        <w:tc>
          <w:tcPr>
            <w:tcW w:w="1020" w:type="dxa"/>
            <w:vAlign w:val="bottom"/>
          </w:tcPr>
          <w:p>
            <w:pPr>
              <w:spacing w:after="0"/>
              <w:rPr>
                <w:sz w:val="20"/>
                <w:szCs w:val="20"/>
                <w:color w:val="auto"/>
              </w:rPr>
            </w:pPr>
            <w:r>
              <w:rPr>
                <w:rFonts w:ascii="Arial" w:cs="Arial" w:eastAsia="Arial" w:hAnsi="Arial"/>
                <w:sz w:val="16"/>
                <w:szCs w:val="16"/>
                <w:color w:val="auto"/>
              </w:rPr>
              <w:t>TEN ENT</w:t>
            </w:r>
          </w:p>
        </w:tc>
        <w:tc>
          <w:tcPr>
            <w:tcW w:w="4540" w:type="dxa"/>
            <w:vAlign w:val="bottom"/>
          </w:tcPr>
          <w:p>
            <w:pPr>
              <w:ind w:left="340"/>
              <w:spacing w:after="0"/>
              <w:rPr>
                <w:sz w:val="20"/>
                <w:szCs w:val="20"/>
                <w:color w:val="auto"/>
              </w:rPr>
            </w:pPr>
            <w:r>
              <w:rPr>
                <w:rFonts w:ascii="Arial" w:cs="Arial" w:eastAsia="Arial" w:hAnsi="Arial"/>
                <w:sz w:val="16"/>
                <w:szCs w:val="16"/>
                <w:color w:val="auto"/>
              </w:rPr>
              <w:t>— as tenants by the entireties</w:t>
            </w:r>
          </w:p>
        </w:tc>
        <w:tc>
          <w:tcPr>
            <w:tcW w:w="186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Arial" w:cs="Arial" w:eastAsia="Arial" w:hAnsi="Arial"/>
                <w:sz w:val="16"/>
                <w:szCs w:val="16"/>
                <w:color w:val="auto"/>
                <w:w w:val="92"/>
              </w:rPr>
              <w:t>under Uniform Gifts to Minors Act</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Arial" w:cs="Arial" w:eastAsia="Arial" w:hAnsi="Arial"/>
                <w:sz w:val="16"/>
                <w:szCs w:val="16"/>
                <w:color w:val="auto"/>
              </w:rPr>
              <w:t>JT TEN</w:t>
            </w:r>
          </w:p>
        </w:tc>
        <w:tc>
          <w:tcPr>
            <w:tcW w:w="4540" w:type="dxa"/>
            <w:vAlign w:val="bottom"/>
            <w:vMerge w:val="restart"/>
          </w:tcPr>
          <w:p>
            <w:pPr>
              <w:ind w:left="340"/>
              <w:spacing w:after="0"/>
              <w:rPr>
                <w:sz w:val="20"/>
                <w:szCs w:val="20"/>
                <w:color w:val="auto"/>
              </w:rPr>
            </w:pPr>
            <w:r>
              <w:rPr>
                <w:rFonts w:ascii="Arial" w:cs="Arial" w:eastAsia="Arial" w:hAnsi="Arial"/>
                <w:sz w:val="16"/>
                <w:szCs w:val="16"/>
                <w:color w:val="auto"/>
                <w:w w:val="94"/>
              </w:rPr>
              <w:t>— as joint tenants with right of survivorship and not as tenants</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60" w:type="dxa"/>
            <w:vAlign w:val="bottom"/>
            <w:gridSpan w:val="2"/>
          </w:tcPr>
          <w:p>
            <w:pPr>
              <w:jc w:val="center"/>
              <w:ind w:right="1222"/>
              <w:spacing w:after="0"/>
              <w:rPr>
                <w:sz w:val="20"/>
                <w:szCs w:val="20"/>
                <w:color w:val="auto"/>
              </w:rPr>
            </w:pPr>
            <w:r>
              <w:rPr>
                <w:rFonts w:ascii="Arial" w:cs="Arial" w:eastAsia="Arial" w:hAnsi="Arial"/>
                <w:sz w:val="16"/>
                <w:szCs w:val="16"/>
                <w:color w:val="auto"/>
                <w:w w:val="87"/>
              </w:rPr>
              <w:t>(State)</w:t>
            </w:r>
          </w:p>
        </w:tc>
        <w:tc>
          <w:tcPr>
            <w:tcW w:w="0" w:type="dxa"/>
            <w:vAlign w:val="bottom"/>
          </w:tcPr>
          <w:p>
            <w:pPr>
              <w:spacing w:after="0"/>
              <w:rPr>
                <w:sz w:val="1"/>
                <w:szCs w:val="1"/>
                <w:color w:val="auto"/>
              </w:rPr>
            </w:pPr>
          </w:p>
        </w:tc>
      </w:tr>
      <w:tr>
        <w:trPr>
          <w:trHeight w:val="166"/>
        </w:trPr>
        <w:tc>
          <w:tcPr>
            <w:tcW w:w="102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40" w:type="dxa"/>
            <w:vAlign w:val="bottom"/>
          </w:tcPr>
          <w:p>
            <w:pPr>
              <w:ind w:left="600"/>
              <w:spacing w:after="0"/>
              <w:rPr>
                <w:sz w:val="20"/>
                <w:szCs w:val="20"/>
                <w:color w:val="auto"/>
              </w:rPr>
            </w:pPr>
            <w:r>
              <w:rPr>
                <w:rFonts w:ascii="Arial" w:cs="Arial" w:eastAsia="Arial" w:hAnsi="Arial"/>
                <w:sz w:val="16"/>
                <w:szCs w:val="16"/>
                <w:color w:val="auto"/>
              </w:rPr>
              <w:t>in common</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7151370" cy="146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34" w:name="page335"/>
    <w:bookmarkEnd w:id="334"/>
    <w:p>
      <w:pPr>
        <w:spacing w:after="0"/>
        <w:rPr>
          <w:sz w:val="20"/>
          <w:szCs w:val="20"/>
          <w:color w:val="auto"/>
        </w:rPr>
      </w:pPr>
      <w:r>
        <w:rPr>
          <w:rFonts w:ascii="Arial" w:cs="Arial" w:eastAsia="Arial" w:hAnsi="Arial"/>
          <w:sz w:val="16"/>
          <w:szCs w:val="16"/>
          <w:color w:val="auto"/>
        </w:rPr>
        <w:t>For value received,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hereby sells, assigns and transfers unto</w:t>
      </w:r>
    </w:p>
    <w:p>
      <w:pPr>
        <w:spacing w:after="0" w:line="200" w:lineRule="exact"/>
        <w:rPr>
          <w:sz w:val="20"/>
          <w:szCs w:val="20"/>
          <w:color w:val="auto"/>
        </w:rPr>
      </w:pPr>
    </w:p>
    <w:p>
      <w:pPr>
        <w:sectPr>
          <w:pgSz w:w="11900" w:h="16838" w:orient="portrait"/>
          <w:cols w:equalWidth="0" w:num="2">
            <w:col w:w="2060" w:space="720"/>
            <w:col w:w="8480"/>
          </w:cols>
          <w:pgMar w:left="320" w:top="120" w:right="319" w:bottom="1440" w:gutter="0" w:footer="0" w:header="0"/>
        </w:sectPr>
      </w:pP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(PLEASE INSERT SOCIAL SECURITY OR OTHER IDENTIFYING NUMBER(S) OF ASSIGNEE(S))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(PLEASE PRINT OR TYPEWRITE NAME(S) AND ADDRESS(ES), INCLUDING ZIP CODE, OF ASSIGNEE(S))</w:t>
      </w:r>
    </w:p>
    <w:p>
      <w:pPr>
        <w:sectPr>
          <w:pgSz w:w="11900" w:h="16838" w:orient="portrait"/>
          <w:cols w:equalWidth="0" w:num="1">
            <w:col w:w="11260"/>
          </w:cols>
          <w:pgMar w:left="320" w:top="120" w:right="319" w:bottom="1440" w:gutter="0" w:footer="0" w:header="0"/>
          <w:type w:val="continuous"/>
        </w:sectPr>
      </w:pP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represented by the within Certificate, and does hereby irrevocably constitute and appoint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Attorney to transfer the said shares</w:t>
      </w:r>
    </w:p>
    <w:p>
      <w:pPr>
        <w:spacing w:after="0" w:line="45" w:lineRule="exact"/>
        <w:rPr>
          <w:sz w:val="20"/>
          <w:szCs w:val="20"/>
          <w:color w:val="auto"/>
        </w:rPr>
      </w:pPr>
    </w:p>
    <w:p>
      <w:pPr>
        <w:sectPr>
          <w:pgSz w:w="11900" w:h="16838" w:orient="portrait"/>
          <w:cols w:equalWidth="0" w:num="2">
            <w:col w:w="7920" w:space="720"/>
            <w:col w:w="2620"/>
          </w:cols>
          <w:pgMar w:left="320" w:top="120" w:right="319" w:bottom="1440" w:gutter="0" w:footer="0" w:header="0"/>
          <w:type w:val="continuous"/>
        </w:sectPr>
      </w:pPr>
    </w:p>
    <w:p>
      <w:pPr>
        <w:spacing w:after="0"/>
        <w:rPr>
          <w:sz w:val="20"/>
          <w:szCs w:val="20"/>
          <w:color w:val="auto"/>
        </w:rPr>
      </w:pPr>
      <w:r>
        <w:rPr>
          <w:rFonts w:ascii="Arial" w:cs="Arial" w:eastAsia="Arial" w:hAnsi="Arial"/>
          <w:sz w:val="19"/>
          <w:szCs w:val="19"/>
          <w:color w:val="auto"/>
        </w:rPr>
        <w:t>on the books of the within named Company with full power of substitution in the premises.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15240</wp:posOffset>
            </wp:positionV>
            <wp:extent cx="6649085" cy="146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6649085" cy="14605"/>
                    </a:xfrm>
                    <a:prstGeom prst="rect">
                      <a:avLst/>
                    </a:prstGeom>
                    <a:noFill/>
                  </pic:spPr>
                </pic:pic>
              </a:graphicData>
            </a:graphic>
          </wp:anchor>
        </w:drawing>
      </w:r>
    </w:p>
    <w:p>
      <w:pPr>
        <w:spacing w:after="0" w:line="17"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Shareholder</w:t>
      </w:r>
    </w:p>
    <w:p>
      <w:pPr>
        <w:spacing w:after="0" w:line="18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NOTICE: THE SIGNATURE(S) TO THIS ASSIGNMENT MUST</w:t>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CORRESPOND WITH THE NAME AS WRITTEN UPON THE FACE OF</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THE CERTIFICATE IN EVERY PARTICULAR, WITHOUT ALTERATION</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OR ENLARGEMENT OR ANY CHANGE WHATEVER.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Signature(s) Guaranteed: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3583305" cy="146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583305" cy="14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252095</wp:posOffset>
            </wp:positionV>
            <wp:extent cx="3583305" cy="146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358330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each case, as more fully described in the Company’s final prospectus dated , 2020, the holder(s) of this certificate shall be entitled to receive a pro-rata portion of certain funds held in the trust account established in connection with its initial public offering only in the event that (i) the Company redeems the Class A ordinary shares sold in its initial public offering and liquidates because it does not consummate an initial business combination within the period of time set forth in the Company’s amended and restated memorandum and articles of association, as the same may be amended from time to time, (ii) the Company redeems the Class A ordinary shares sold in its initial public offering in connection with a shareholder vote to amend the Company’s amended and restated memorandum and articles of association (A) to modify the substance or timing of the Company’s obligation to provide holders of the Class A ordinary shares the right to have their shares redeemed in connection with the Company’s initial business combination or to redeem 100% of the Class A ordinary shares if the Company does not complete its initial business combination within the time period set forth therein or (B) with respect to any other provision relating to the rights of holders of the Class A ordinary shares, or (iii) if the holder(s) seek(s) to redeem for cash his, her, its or their respective Class A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313055</wp:posOffset>
            </wp:positionV>
            <wp:extent cx="7151370" cy="146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type w:val="continuous"/>
        </w:sectPr>
      </w:pPr>
    </w:p>
    <w:bookmarkStart w:id="335" w:name="page336"/>
    <w:bookmarkEnd w:id="33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1530985</wp:posOffset>
            </wp:positionV>
            <wp:extent cx="6141720" cy="28517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6141720" cy="285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4360" w:type="dxa"/>
            <w:vAlign w:val="bottom"/>
          </w:tcPr>
          <w:p>
            <w:pPr>
              <w:spacing w:after="0"/>
              <w:rPr>
                <w:sz w:val="20"/>
                <w:szCs w:val="20"/>
                <w:color w:val="auto"/>
              </w:rPr>
            </w:pPr>
            <w:r>
              <w:rPr>
                <w:rFonts w:ascii="Arial" w:cs="Arial" w:eastAsia="Arial" w:hAnsi="Arial"/>
                <w:sz w:val="16"/>
                <w:szCs w:val="16"/>
                <w:color w:val="auto"/>
              </w:rPr>
              <w:t>ARYA Sciences Acquisition Corp III</w:t>
            </w:r>
          </w:p>
        </w:tc>
        <w:tc>
          <w:tcPr>
            <w:tcW w:w="3960" w:type="dxa"/>
            <w:vAlign w:val="bottom"/>
          </w:tcPr>
          <w:p>
            <w:pPr>
              <w:ind w:left="2060"/>
              <w:spacing w:after="0"/>
              <w:rPr>
                <w:sz w:val="20"/>
                <w:szCs w:val="20"/>
                <w:color w:val="auto"/>
              </w:rPr>
            </w:pPr>
            <w:r>
              <w:rPr>
                <w:rFonts w:ascii="Arial" w:cs="Arial" w:eastAsia="Arial" w:hAnsi="Arial"/>
                <w:sz w:val="16"/>
                <w:szCs w:val="16"/>
                <w:b w:val="1"/>
                <w:bCs w:val="1"/>
                <w:color w:val="auto"/>
              </w:rPr>
              <w:t>D +1 345 815 1788</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6"/>
                <w:szCs w:val="16"/>
                <w:color w:val="auto"/>
              </w:rPr>
              <w:t>89 Nexus Way</w:t>
            </w:r>
          </w:p>
        </w:tc>
        <w:tc>
          <w:tcPr>
            <w:tcW w:w="3960" w:type="dxa"/>
            <w:vAlign w:val="bottom"/>
            <w:vMerge w:val="restart"/>
          </w:tcPr>
          <w:p>
            <w:pPr>
              <w:ind w:left="2060"/>
              <w:spacing w:after="0"/>
              <w:rPr>
                <w:sz w:val="20"/>
                <w:szCs w:val="20"/>
                <w:color w:val="auto"/>
              </w:rPr>
            </w:pPr>
            <w:r>
              <w:rPr>
                <w:rFonts w:ascii="Arial" w:cs="Arial" w:eastAsia="Arial" w:hAnsi="Arial"/>
                <w:sz w:val="16"/>
                <w:szCs w:val="16"/>
                <w:b w:val="1"/>
                <w:bCs w:val="1"/>
                <w:color w:val="auto"/>
                <w:w w:val="85"/>
              </w:rPr>
              <w:t>E angus.davison@ogier.com</w:t>
            </w:r>
          </w:p>
        </w:tc>
        <w:tc>
          <w:tcPr>
            <w:tcW w:w="0" w:type="dxa"/>
            <w:vAlign w:val="bottom"/>
          </w:tcPr>
          <w:p>
            <w:pPr>
              <w:spacing w:after="0"/>
              <w:rPr>
                <w:sz w:val="1"/>
                <w:szCs w:val="1"/>
                <w:color w:val="auto"/>
              </w:rPr>
            </w:pPr>
          </w:p>
        </w:tc>
      </w:tr>
      <w:tr>
        <w:trPr>
          <w:trHeight w:val="80"/>
        </w:trPr>
        <w:tc>
          <w:tcPr>
            <w:tcW w:w="4360" w:type="dxa"/>
            <w:vAlign w:val="bottom"/>
            <w:vMerge w:val="restart"/>
          </w:tcPr>
          <w:p>
            <w:pPr>
              <w:spacing w:after="0"/>
              <w:rPr>
                <w:sz w:val="20"/>
                <w:szCs w:val="20"/>
                <w:color w:val="auto"/>
              </w:rPr>
            </w:pPr>
            <w:r>
              <w:rPr>
                <w:rFonts w:ascii="Arial" w:cs="Arial" w:eastAsia="Arial" w:hAnsi="Arial"/>
                <w:sz w:val="16"/>
                <w:szCs w:val="16"/>
                <w:color w:val="auto"/>
              </w:rPr>
              <w:t>Camana Bay</w:t>
            </w:r>
          </w:p>
        </w:tc>
        <w:tc>
          <w:tcPr>
            <w:tcW w:w="3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360" w:type="dxa"/>
            <w:vAlign w:val="bottom"/>
            <w:vMerge w:val="continue"/>
          </w:tcPr>
          <w:p>
            <w:pPr>
              <w:spacing w:after="0"/>
              <w:rPr>
                <w:sz w:val="9"/>
                <w:szCs w:val="9"/>
                <w:color w:val="auto"/>
              </w:rPr>
            </w:pPr>
          </w:p>
        </w:tc>
        <w:tc>
          <w:tcPr>
            <w:tcW w:w="3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6"/>
                <w:szCs w:val="16"/>
                <w:color w:val="auto"/>
              </w:rPr>
              <w:t>Grand Cayman, KY1-9009</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r>
              <w:rPr>
                <w:rFonts w:ascii="Arial" w:cs="Arial" w:eastAsia="Arial" w:hAnsi="Arial"/>
                <w:sz w:val="16"/>
                <w:szCs w:val="16"/>
                <w:color w:val="auto"/>
              </w:rPr>
              <w:t>Cayman Islands</w:t>
            </w:r>
          </w:p>
        </w:tc>
        <w:tc>
          <w:tcPr>
            <w:tcW w:w="3960" w:type="dxa"/>
            <w:vAlign w:val="bottom"/>
          </w:tcPr>
          <w:p>
            <w:pPr>
              <w:ind w:left="2060"/>
              <w:spacing w:after="0"/>
              <w:rPr>
                <w:sz w:val="20"/>
                <w:szCs w:val="20"/>
                <w:color w:val="auto"/>
              </w:rPr>
            </w:pPr>
            <w:r>
              <w:rPr>
                <w:rFonts w:ascii="Arial" w:cs="Arial" w:eastAsia="Arial" w:hAnsi="Arial"/>
                <w:sz w:val="16"/>
                <w:szCs w:val="16"/>
                <w:color w:val="auto"/>
              </w:rPr>
              <w:t>Reference: 421268.00018</w:t>
            </w:r>
          </w:p>
        </w:tc>
        <w:tc>
          <w:tcPr>
            <w:tcW w:w="0" w:type="dxa"/>
            <w:vAlign w:val="bottom"/>
          </w:tcPr>
          <w:p>
            <w:pPr>
              <w:spacing w:after="0"/>
              <w:rPr>
                <w:sz w:val="1"/>
                <w:szCs w:val="1"/>
                <w:color w:val="auto"/>
              </w:rPr>
            </w:pPr>
          </w:p>
        </w:tc>
      </w:tr>
      <w:tr>
        <w:trPr>
          <w:trHeight w:val="710"/>
        </w:trPr>
        <w:tc>
          <w:tcPr>
            <w:tcW w:w="4360" w:type="dxa"/>
            <w:vAlign w:val="bottom"/>
          </w:tcPr>
          <w:p>
            <w:pPr>
              <w:spacing w:after="0"/>
              <w:rPr>
                <w:sz w:val="24"/>
                <w:szCs w:val="24"/>
                <w:color w:val="auto"/>
              </w:rPr>
            </w:pPr>
          </w:p>
        </w:tc>
        <w:tc>
          <w:tcPr>
            <w:tcW w:w="3960" w:type="dxa"/>
            <w:vAlign w:val="bottom"/>
          </w:tcPr>
          <w:p>
            <w:pPr>
              <w:ind w:left="2060"/>
              <w:spacing w:after="0"/>
              <w:rPr>
                <w:sz w:val="20"/>
                <w:szCs w:val="20"/>
                <w:color w:val="auto"/>
              </w:rPr>
            </w:pPr>
            <w:r>
              <w:rPr>
                <w:rFonts w:ascii="Arial" w:cs="Arial" w:eastAsia="Arial" w:hAnsi="Arial"/>
                <w:sz w:val="16"/>
                <w:szCs w:val="16"/>
                <w:color w:val="auto"/>
              </w:rPr>
              <w:t>29 July 2020</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7"/>
        <w:spacing w:after="0"/>
        <w:rPr>
          <w:sz w:val="20"/>
          <w:szCs w:val="20"/>
          <w:color w:val="auto"/>
        </w:rPr>
      </w:pPr>
      <w:r>
        <w:rPr>
          <w:rFonts w:ascii="Arial" w:cs="Arial" w:eastAsia="Arial" w:hAnsi="Arial"/>
          <w:sz w:val="19"/>
          <w:szCs w:val="19"/>
          <w:color w:val="auto"/>
        </w:rPr>
        <w:t>Dear Sirs</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ARYA Sciences Acquisition Corp III (the Company)</w:t>
      </w:r>
    </w:p>
    <w:p>
      <w:pPr>
        <w:spacing w:after="0" w:line="204"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color w:val="auto"/>
        </w:rPr>
        <w:t xml:space="preserve">We have been requested to provide you with an opinion on matters of Cayman Islands law in connection with the Company’s registration statement on Form S-1, including all amendments or supplements thereto,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of 1933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as amended, (including its exhibits,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related to the offering and sale of up to 14,375,000 Class A Ordinary Shares of the Company with a par value of US$0.0001 each (the </w:t>
      </w:r>
      <w:r>
        <w:rPr>
          <w:rFonts w:ascii="Arial" w:cs="Arial" w:eastAsia="Arial" w:hAnsi="Arial"/>
          <w:sz w:val="18"/>
          <w:szCs w:val="18"/>
          <w:b w:val="1"/>
          <w:bCs w:val="1"/>
          <w:color w:val="auto"/>
        </w:rPr>
        <w:t>Ordinary Shares</w:t>
      </w:r>
      <w:r>
        <w:rPr>
          <w:rFonts w:ascii="Arial" w:cs="Arial" w:eastAsia="Arial" w:hAnsi="Arial"/>
          <w:sz w:val="18"/>
          <w:szCs w:val="18"/>
          <w:color w:val="auto"/>
        </w:rPr>
        <w:t>) which includes 1,875,000 Ordinary Shares, which the several underwriters, for whom Jefferies LLC and Goldman Sachs &amp; Co. LLC are acting as representatives, will have a right to purchase from the Company to cover over-allotments, if any.</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9"/>
          <w:szCs w:val="19"/>
          <w:color w:val="auto"/>
        </w:rPr>
        <w:t>This opinion letter is given in accordance with the terms of the Legal Matters section of the Registration Statement.</w:t>
      </w:r>
    </w:p>
    <w:p>
      <w:pPr>
        <w:spacing w:after="0" w:line="200" w:lineRule="exact"/>
        <w:rPr>
          <w:sz w:val="20"/>
          <w:szCs w:val="20"/>
          <w:color w:val="auto"/>
        </w:rPr>
      </w:pPr>
    </w:p>
    <w:p>
      <w:pPr>
        <w:jc w:val="both"/>
        <w:ind w:left="7"/>
        <w:spacing w:after="0" w:line="251" w:lineRule="auto"/>
        <w:rPr>
          <w:sz w:val="20"/>
          <w:szCs w:val="20"/>
          <w:color w:val="auto"/>
        </w:rPr>
      </w:pPr>
      <w:r>
        <w:rPr>
          <w:rFonts w:ascii="Arial" w:cs="Arial" w:eastAsia="Arial" w:hAnsi="Arial"/>
          <w:sz w:val="19"/>
          <w:szCs w:val="19"/>
          <w:color w:val="auto"/>
        </w:rPr>
        <w:t>A reference to a Schedule is a reference to a schedule to this opinion and the headings herein are for convenience only and do not affect the construction of this opinion.</w:t>
      </w:r>
    </w:p>
    <w:p>
      <w:pPr>
        <w:spacing w:after="0" w:line="174" w:lineRule="exact"/>
        <w:rPr>
          <w:sz w:val="20"/>
          <w:szCs w:val="20"/>
          <w:color w:val="auto"/>
        </w:rPr>
      </w:pPr>
    </w:p>
    <w:p>
      <w:pPr>
        <w:ind w:left="547" w:hanging="547"/>
        <w:spacing w:after="0"/>
        <w:tabs>
          <w:tab w:leader="none" w:pos="547"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examined</w:t>
      </w:r>
    </w:p>
    <w:p>
      <w:pPr>
        <w:sectPr>
          <w:pgSz w:w="11900" w:h="16838" w:orient="portrait"/>
          <w:cols w:equalWidth="0" w:num="1">
            <w:col w:w="11267"/>
          </w:cols>
          <w:pgMar w:left="313" w:top="256" w:right="319" w:bottom="240" w:gutter="0" w:footer="0" w:header="0"/>
        </w:sectPr>
      </w:pPr>
    </w:p>
    <w:p>
      <w:pPr>
        <w:spacing w:after="0" w:line="209" w:lineRule="exact"/>
        <w:rPr>
          <w:sz w:val="20"/>
          <w:szCs w:val="20"/>
          <w:color w:val="auto"/>
        </w:rPr>
      </w:pPr>
    </w:p>
    <w:p>
      <w:pPr>
        <w:jc w:val="both"/>
        <w:ind w:left="547" w:right="20"/>
        <w:spacing w:after="0" w:line="260" w:lineRule="auto"/>
        <w:rPr>
          <w:sz w:val="20"/>
          <w:szCs w:val="20"/>
          <w:color w:val="auto"/>
        </w:rPr>
      </w:pPr>
      <w:r>
        <w:rPr>
          <w:rFonts w:ascii="Arial" w:cs="Arial" w:eastAsia="Arial" w:hAnsi="Arial"/>
          <w:sz w:val="18"/>
          <w:szCs w:val="18"/>
          <w:color w:val="auto"/>
        </w:rPr>
        <w:t>For the purposes of giving this opinion,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sectPr>
          <w:pgSz w:w="11900" w:h="16838" w:orient="portrait"/>
          <w:cols w:equalWidth="0" w:num="1">
            <w:col w:w="11267"/>
          </w:cols>
          <w:pgMar w:left="313" w:top="256" w:right="319" w:bottom="240" w:gutter="0" w:footer="0" w:header="0"/>
          <w:type w:val="continuous"/>
        </w:sectPr>
      </w:pPr>
    </w:p>
    <w:bookmarkStart w:id="336" w:name="page337"/>
    <w:bookmarkEnd w:id="336"/>
    <w:tbl>
      <w:tblPr>
        <w:tblLayout w:type="fixed"/>
        <w:tblInd w:w="0" w:type="dxa"/>
        <w:tblCellMar>
          <w:top w:w="0" w:type="dxa"/>
          <w:left w:w="0" w:type="dxa"/>
          <w:bottom w:w="0" w:type="dxa"/>
          <w:right w:w="0" w:type="dxa"/>
        </w:tblCellMar>
      </w:tblPr>
      <w:tr>
        <w:trPr>
          <w:trHeight w:val="138"/>
        </w:trPr>
        <w:tc>
          <w:tcPr>
            <w:tcW w:w="3620" w:type="dxa"/>
            <w:vAlign w:val="bottom"/>
          </w:tcPr>
          <w:p>
            <w:pPr>
              <w:spacing w:after="0"/>
              <w:rPr>
                <w:sz w:val="20"/>
                <w:szCs w:val="20"/>
                <w:color w:val="auto"/>
              </w:rPr>
            </w:pPr>
            <w:r>
              <w:rPr>
                <w:rFonts w:ascii="Arial" w:cs="Arial" w:eastAsia="Arial" w:hAnsi="Arial"/>
                <w:sz w:val="12"/>
                <w:szCs w:val="12"/>
                <w:color w:val="auto"/>
              </w:rPr>
              <w:t>Ogier</w:t>
            </w:r>
          </w:p>
        </w:tc>
        <w:tc>
          <w:tcPr>
            <w:tcW w:w="7640" w:type="dxa"/>
            <w:vAlign w:val="bottom"/>
          </w:tcPr>
          <w:p>
            <w:pPr>
              <w:ind w:left="2180"/>
              <w:spacing w:after="0"/>
              <w:rPr>
                <w:sz w:val="20"/>
                <w:szCs w:val="20"/>
                <w:color w:val="auto"/>
              </w:rPr>
            </w:pPr>
            <w:r>
              <w:rPr>
                <w:rFonts w:ascii="Arial" w:cs="Arial" w:eastAsia="Arial" w:hAnsi="Arial"/>
                <w:sz w:val="12"/>
                <w:szCs w:val="12"/>
                <w:b w:val="1"/>
                <w:bCs w:val="1"/>
                <w:color w:val="auto"/>
              </w:rPr>
              <w:t>A list of Partners may be inspected on our website</w:t>
            </w:r>
          </w:p>
        </w:tc>
      </w:tr>
      <w:tr>
        <w:trPr>
          <w:trHeight w:val="128"/>
        </w:trPr>
        <w:tc>
          <w:tcPr>
            <w:tcW w:w="3620" w:type="dxa"/>
            <w:vAlign w:val="bottom"/>
          </w:tcPr>
          <w:p>
            <w:pPr>
              <w:spacing w:after="0" w:line="128" w:lineRule="exact"/>
              <w:rPr>
                <w:sz w:val="20"/>
                <w:szCs w:val="20"/>
                <w:color w:val="auto"/>
              </w:rPr>
            </w:pPr>
            <w:r>
              <w:rPr>
                <w:rFonts w:ascii="Arial" w:cs="Arial" w:eastAsia="Arial" w:hAnsi="Arial"/>
                <w:sz w:val="12"/>
                <w:szCs w:val="12"/>
                <w:b w:val="1"/>
                <w:bCs w:val="1"/>
                <w:color w:val="auto"/>
              </w:rPr>
              <w:t>89 Nexus Way</w:t>
            </w:r>
          </w:p>
        </w:tc>
        <w:tc>
          <w:tcPr>
            <w:tcW w:w="7640" w:type="dxa"/>
            <w:vAlign w:val="bottom"/>
          </w:tcPr>
          <w:p>
            <w:pPr>
              <w:spacing w:after="0"/>
              <w:rPr>
                <w:sz w:val="11"/>
                <w:szCs w:val="11"/>
                <w:color w:val="auto"/>
              </w:rPr>
            </w:pPr>
          </w:p>
        </w:tc>
      </w:tr>
      <w:tr>
        <w:trPr>
          <w:trHeight w:val="128"/>
        </w:trPr>
        <w:tc>
          <w:tcPr>
            <w:tcW w:w="3620" w:type="dxa"/>
            <w:vAlign w:val="bottom"/>
          </w:tcPr>
          <w:p>
            <w:pPr>
              <w:spacing w:after="0" w:line="128" w:lineRule="exact"/>
              <w:rPr>
                <w:sz w:val="20"/>
                <w:szCs w:val="20"/>
                <w:color w:val="auto"/>
              </w:rPr>
            </w:pPr>
            <w:r>
              <w:rPr>
                <w:rFonts w:ascii="Arial" w:cs="Arial" w:eastAsia="Arial" w:hAnsi="Arial"/>
                <w:sz w:val="12"/>
                <w:szCs w:val="12"/>
                <w:b w:val="1"/>
                <w:bCs w:val="1"/>
                <w:color w:val="auto"/>
              </w:rPr>
              <w:t>Camana Bay</w:t>
            </w:r>
          </w:p>
        </w:tc>
        <w:tc>
          <w:tcPr>
            <w:tcW w:w="7640" w:type="dxa"/>
            <w:vAlign w:val="bottom"/>
          </w:tcPr>
          <w:p>
            <w:pPr>
              <w:spacing w:after="0"/>
              <w:rPr>
                <w:sz w:val="11"/>
                <w:szCs w:val="11"/>
                <w:color w:val="auto"/>
              </w:rPr>
            </w:pPr>
          </w:p>
        </w:tc>
      </w:tr>
      <w:tr>
        <w:trPr>
          <w:trHeight w:val="128"/>
        </w:trPr>
        <w:tc>
          <w:tcPr>
            <w:tcW w:w="3620" w:type="dxa"/>
            <w:vAlign w:val="bottom"/>
          </w:tcPr>
          <w:p>
            <w:pPr>
              <w:spacing w:after="0" w:line="128" w:lineRule="exact"/>
              <w:rPr>
                <w:sz w:val="20"/>
                <w:szCs w:val="20"/>
                <w:color w:val="auto"/>
              </w:rPr>
            </w:pPr>
            <w:r>
              <w:rPr>
                <w:rFonts w:ascii="Arial" w:cs="Arial" w:eastAsia="Arial" w:hAnsi="Arial"/>
                <w:sz w:val="12"/>
                <w:szCs w:val="12"/>
                <w:b w:val="1"/>
                <w:bCs w:val="1"/>
                <w:color w:val="auto"/>
              </w:rPr>
              <w:t>Grand Cayman, KY1-9009</w:t>
            </w:r>
          </w:p>
        </w:tc>
        <w:tc>
          <w:tcPr>
            <w:tcW w:w="7640" w:type="dxa"/>
            <w:vAlign w:val="bottom"/>
          </w:tcPr>
          <w:p>
            <w:pPr>
              <w:spacing w:after="0"/>
              <w:rPr>
                <w:sz w:val="11"/>
                <w:szCs w:val="11"/>
                <w:color w:val="auto"/>
              </w:rPr>
            </w:pPr>
          </w:p>
        </w:tc>
      </w:tr>
      <w:tr>
        <w:trPr>
          <w:trHeight w:val="161"/>
        </w:trPr>
        <w:tc>
          <w:tcPr>
            <w:tcW w:w="3620" w:type="dxa"/>
            <w:vAlign w:val="bottom"/>
          </w:tcPr>
          <w:p>
            <w:pPr>
              <w:spacing w:after="0"/>
              <w:rPr>
                <w:sz w:val="20"/>
                <w:szCs w:val="20"/>
                <w:color w:val="auto"/>
              </w:rPr>
            </w:pPr>
            <w:r>
              <w:rPr>
                <w:rFonts w:ascii="Arial" w:cs="Arial" w:eastAsia="Arial" w:hAnsi="Arial"/>
                <w:sz w:val="12"/>
                <w:szCs w:val="12"/>
                <w:b w:val="1"/>
                <w:bCs w:val="1"/>
                <w:color w:val="auto"/>
              </w:rPr>
              <w:t>Cayman Islands</w:t>
            </w:r>
          </w:p>
        </w:tc>
        <w:tc>
          <w:tcPr>
            <w:tcW w:w="7640" w:type="dxa"/>
            <w:vAlign w:val="bottom"/>
          </w:tcPr>
          <w:p>
            <w:pPr>
              <w:spacing w:after="0"/>
              <w:rPr>
                <w:sz w:val="13"/>
                <w:szCs w:val="13"/>
                <w:color w:val="auto"/>
              </w:rPr>
            </w:pPr>
          </w:p>
        </w:tc>
      </w:tr>
      <w:tr>
        <w:trPr>
          <w:trHeight w:val="282"/>
        </w:trPr>
        <w:tc>
          <w:tcPr>
            <w:tcW w:w="3620" w:type="dxa"/>
            <w:vAlign w:val="bottom"/>
          </w:tcPr>
          <w:p>
            <w:pPr>
              <w:spacing w:after="0"/>
              <w:rPr>
                <w:sz w:val="20"/>
                <w:szCs w:val="20"/>
                <w:color w:val="auto"/>
              </w:rPr>
            </w:pPr>
            <w:r>
              <w:rPr>
                <w:rFonts w:ascii="Arial" w:cs="Arial" w:eastAsia="Arial" w:hAnsi="Arial"/>
                <w:sz w:val="12"/>
                <w:szCs w:val="12"/>
                <w:b w:val="1"/>
                <w:bCs w:val="1"/>
                <w:color w:val="auto"/>
              </w:rPr>
              <w:t>T +1 345 949 9876</w:t>
            </w:r>
          </w:p>
        </w:tc>
        <w:tc>
          <w:tcPr>
            <w:tcW w:w="7640" w:type="dxa"/>
            <w:vAlign w:val="bottom"/>
          </w:tcPr>
          <w:p>
            <w:pPr>
              <w:spacing w:after="0"/>
              <w:rPr>
                <w:sz w:val="24"/>
                <w:szCs w:val="24"/>
                <w:color w:val="auto"/>
              </w:rPr>
            </w:pPr>
          </w:p>
        </w:tc>
      </w:tr>
      <w:tr>
        <w:trPr>
          <w:trHeight w:val="132"/>
        </w:trPr>
        <w:tc>
          <w:tcPr>
            <w:tcW w:w="3620" w:type="dxa"/>
            <w:vAlign w:val="bottom"/>
          </w:tcPr>
          <w:p>
            <w:pPr>
              <w:spacing w:after="0" w:line="132" w:lineRule="exact"/>
              <w:rPr>
                <w:sz w:val="20"/>
                <w:szCs w:val="20"/>
                <w:color w:val="auto"/>
              </w:rPr>
            </w:pPr>
            <w:r>
              <w:rPr>
                <w:rFonts w:ascii="Arial" w:cs="Arial" w:eastAsia="Arial" w:hAnsi="Arial"/>
                <w:sz w:val="12"/>
                <w:szCs w:val="12"/>
                <w:b w:val="1"/>
                <w:bCs w:val="1"/>
                <w:color w:val="auto"/>
              </w:rPr>
              <w:t>F +1 345 949 9877</w:t>
            </w:r>
          </w:p>
        </w:tc>
        <w:tc>
          <w:tcPr>
            <w:tcW w:w="7640" w:type="dxa"/>
            <w:vAlign w:val="bottom"/>
          </w:tcPr>
          <w:p>
            <w:pPr>
              <w:spacing w:after="0"/>
              <w:rPr>
                <w:sz w:val="11"/>
                <w:szCs w:val="1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2"/>
                <w:szCs w:val="12"/>
                <w:color w:val="auto"/>
              </w:rPr>
              <w:t>ogier.com</w:t>
            </w:r>
          </w:p>
        </w:tc>
        <w:tc>
          <w:tcPr>
            <w:tcW w:w="7640" w:type="dxa"/>
            <w:vAlign w:val="bottom"/>
          </w:tcPr>
          <w:p>
            <w:pPr>
              <w:spacing w:after="0"/>
              <w:rPr>
                <w:sz w:val="13"/>
                <w:szCs w:val="13"/>
                <w:color w:val="auto"/>
              </w:rPr>
            </w:pPr>
          </w:p>
        </w:tc>
      </w:tr>
      <w:tr>
        <w:trPr>
          <w:trHeight w:val="142"/>
        </w:trPr>
        <w:tc>
          <w:tcPr>
            <w:tcW w:w="3620" w:type="dxa"/>
            <w:vAlign w:val="bottom"/>
            <w:tcBorders>
              <w:bottom w:val="single" w:sz="8" w:color="auto"/>
            </w:tcBorders>
          </w:tcPr>
          <w:p>
            <w:pPr>
              <w:spacing w:after="0"/>
              <w:rPr>
                <w:sz w:val="12"/>
                <w:szCs w:val="12"/>
                <w:color w:val="auto"/>
              </w:rPr>
            </w:pPr>
          </w:p>
        </w:tc>
        <w:tc>
          <w:tcPr>
            <w:tcW w:w="7640" w:type="dxa"/>
            <w:vAlign w:val="bottom"/>
            <w:tcBorders>
              <w:bottom w:val="single" w:sz="8" w:color="auto"/>
            </w:tcBorders>
          </w:tcPr>
          <w:p>
            <w:pPr>
              <w:spacing w:after="0"/>
              <w:rPr>
                <w:sz w:val="12"/>
                <w:szCs w:val="12"/>
                <w:color w:val="auto"/>
              </w:rPr>
            </w:pPr>
          </w:p>
        </w:tc>
      </w:tr>
    </w:tbl>
    <w:p>
      <w:pPr>
        <w:sectPr>
          <w:pgSz w:w="11900" w:h="16838" w:orient="portrait"/>
          <w:cols w:equalWidth="0" w:num="1">
            <w:col w:w="11260"/>
          </w:cols>
          <w:pgMar w:left="320" w:top="109" w:right="319" w:bottom="1440" w:gutter="0" w:footer="0" w:header="0"/>
        </w:sectPr>
      </w:pPr>
    </w:p>
    <w:bookmarkStart w:id="337" w:name="page338"/>
    <w:bookmarkEnd w:id="337"/>
    <w:p>
      <w:pPr>
        <w:ind w:left="547" w:hanging="547"/>
        <w:spacing w:after="0"/>
        <w:tabs>
          <w:tab w:leader="none" w:pos="547"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Assumptions</w:t>
      </w:r>
    </w:p>
    <w:p>
      <w:pPr>
        <w:spacing w:after="0" w:line="209" w:lineRule="exact"/>
        <w:rPr>
          <w:sz w:val="20"/>
          <w:szCs w:val="20"/>
          <w:color w:val="auto"/>
        </w:rPr>
      </w:pPr>
    </w:p>
    <w:p>
      <w:pPr>
        <w:ind w:left="547"/>
        <w:spacing w:after="0" w:line="251" w:lineRule="auto"/>
        <w:rPr>
          <w:sz w:val="20"/>
          <w:szCs w:val="20"/>
          <w:color w:val="auto"/>
        </w:rPr>
      </w:pPr>
      <w:r>
        <w:rPr>
          <w:rFonts w:ascii="Arial" w:cs="Arial" w:eastAsia="Arial" w:hAnsi="Arial"/>
          <w:sz w:val="19"/>
          <w:szCs w:val="19"/>
          <w:color w:val="auto"/>
        </w:rPr>
        <w:t>In giving this opinion we have relied upon the assumptions set forth in Schedule 2 without having carried out any independent investigation or verification in respect of those assumptions.</w:t>
      </w:r>
    </w:p>
    <w:p>
      <w:pPr>
        <w:spacing w:after="0" w:line="174" w:lineRule="exact"/>
        <w:rPr>
          <w:sz w:val="20"/>
          <w:szCs w:val="20"/>
          <w:color w:val="auto"/>
        </w:rPr>
      </w:pPr>
    </w:p>
    <w:p>
      <w:pPr>
        <w:ind w:left="547" w:hanging="547"/>
        <w:spacing w:after="0"/>
        <w:tabs>
          <w:tab w:leader="none" w:pos="547"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Opinions</w:t>
      </w:r>
    </w:p>
    <w:p>
      <w:pPr>
        <w:spacing w:after="0" w:line="209" w:lineRule="exact"/>
        <w:rPr>
          <w:sz w:val="20"/>
          <w:szCs w:val="20"/>
          <w:color w:val="auto"/>
        </w:rPr>
      </w:pPr>
    </w:p>
    <w:p>
      <w:pPr>
        <w:ind w:left="547"/>
        <w:spacing w:after="0" w:line="251" w:lineRule="auto"/>
        <w:rPr>
          <w:sz w:val="20"/>
          <w:szCs w:val="20"/>
          <w:color w:val="auto"/>
        </w:rPr>
      </w:pPr>
      <w:r>
        <w:rPr>
          <w:rFonts w:ascii="Arial" w:cs="Arial" w:eastAsia="Arial" w:hAnsi="Arial"/>
          <w:sz w:val="19"/>
          <w:szCs w:val="19"/>
          <w:color w:val="auto"/>
        </w:rPr>
        <w:t>On the basis of the examinations and assumptions referred to above and subject to the qualifications set forth in Schedule 3 and the limitations set forth below, we are of the opinion that:</w:t>
      </w:r>
    </w:p>
    <w:p>
      <w:pPr>
        <w:spacing w:after="0" w:line="167" w:lineRule="exact"/>
        <w:rPr>
          <w:sz w:val="20"/>
          <w:szCs w:val="20"/>
          <w:color w:val="auto"/>
        </w:rPr>
      </w:pPr>
    </w:p>
    <w:p>
      <w:pPr>
        <w:ind w:left="547"/>
        <w:spacing w:after="0"/>
        <w:rPr>
          <w:sz w:val="20"/>
          <w:szCs w:val="20"/>
          <w:color w:val="auto"/>
        </w:rPr>
      </w:pPr>
      <w:r>
        <w:rPr>
          <w:rFonts w:ascii="Arial" w:cs="Arial" w:eastAsia="Arial" w:hAnsi="Arial"/>
          <w:sz w:val="19"/>
          <w:szCs w:val="19"/>
          <w:b w:val="1"/>
          <w:bCs w:val="1"/>
          <w:color w:val="auto"/>
        </w:rPr>
        <w:t>Corporate status</w:t>
      </w:r>
    </w:p>
    <w:p>
      <w:pPr>
        <w:spacing w:after="0" w:line="213" w:lineRule="exact"/>
        <w:rPr>
          <w:sz w:val="20"/>
          <w:szCs w:val="20"/>
          <w:color w:val="auto"/>
        </w:rPr>
      </w:pPr>
    </w:p>
    <w:p>
      <w:pPr>
        <w:ind w:left="1087" w:right="20" w:hanging="540"/>
        <w:spacing w:after="0" w:line="258" w:lineRule="auto"/>
        <w:tabs>
          <w:tab w:leader="none" w:pos="1087"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Company has been duly incorporated as an exempted company with limited liability and is validly existing and in good standing with the Registrar of Companies of the Cayman Islands (</w:t>
      </w:r>
      <w:r>
        <w:rPr>
          <w:rFonts w:ascii="Arial" w:cs="Arial" w:eastAsia="Arial" w:hAnsi="Arial"/>
          <w:sz w:val="16"/>
          <w:szCs w:val="16"/>
          <w:b w:val="1"/>
          <w:bCs w:val="1"/>
          <w:color w:val="auto"/>
        </w:rPr>
        <w:t>Registrar</w:t>
      </w:r>
      <w:r>
        <w:rPr>
          <w:rFonts w:ascii="Arial" w:cs="Arial" w:eastAsia="Arial" w:hAnsi="Arial"/>
          <w:sz w:val="16"/>
          <w:szCs w:val="16"/>
          <w:color w:val="auto"/>
        </w:rPr>
        <w:t>).</w:t>
      </w:r>
    </w:p>
    <w:p>
      <w:pPr>
        <w:spacing w:after="0" w:line="174" w:lineRule="exact"/>
        <w:rPr>
          <w:sz w:val="20"/>
          <w:szCs w:val="20"/>
          <w:color w:val="auto"/>
        </w:rPr>
      </w:pPr>
    </w:p>
    <w:p>
      <w:pPr>
        <w:ind w:left="547"/>
        <w:spacing w:after="0"/>
        <w:rPr>
          <w:sz w:val="20"/>
          <w:szCs w:val="20"/>
          <w:color w:val="auto"/>
        </w:rPr>
      </w:pPr>
      <w:r>
        <w:rPr>
          <w:rFonts w:ascii="Arial" w:cs="Arial" w:eastAsia="Arial" w:hAnsi="Arial"/>
          <w:sz w:val="19"/>
          <w:szCs w:val="19"/>
          <w:b w:val="1"/>
          <w:bCs w:val="1"/>
          <w:color w:val="auto"/>
        </w:rPr>
        <w:t>Corporate power</w:t>
      </w:r>
    </w:p>
    <w:p>
      <w:pPr>
        <w:spacing w:after="0" w:line="213" w:lineRule="exact"/>
        <w:rPr>
          <w:sz w:val="20"/>
          <w:szCs w:val="20"/>
          <w:color w:val="auto"/>
        </w:rPr>
      </w:pPr>
    </w:p>
    <w:p>
      <w:pPr>
        <w:ind w:left="1087" w:right="20" w:hanging="540"/>
        <w:spacing w:after="0" w:line="329" w:lineRule="auto"/>
        <w:tabs>
          <w:tab w:leader="none" w:pos="1087" w:val="left"/>
        </w:tabs>
        <w:numPr>
          <w:ilvl w:val="0"/>
          <w:numId w:val="356"/>
        </w:numPr>
        <w:rPr>
          <w:rFonts w:ascii="Arial" w:cs="Arial" w:eastAsia="Arial" w:hAnsi="Arial"/>
          <w:sz w:val="14"/>
          <w:szCs w:val="14"/>
          <w:color w:val="auto"/>
        </w:rPr>
      </w:pPr>
      <w:r>
        <w:rPr>
          <w:rFonts w:ascii="Arial" w:cs="Arial" w:eastAsia="Arial" w:hAnsi="Arial"/>
          <w:sz w:val="14"/>
          <w:szCs w:val="14"/>
          <w:color w:val="auto"/>
        </w:rPr>
        <w:t>The Company has all requisite power under its Memorandum and Articles of Association (as defined in Schedule 1) to issue the Ordinary Shares, to execute and deliver the Share Certificates (as defined in Schedule 1) and to perform its obligations, and exercise its rights, under such documents.</w:t>
      </w:r>
    </w:p>
    <w:p>
      <w:pPr>
        <w:spacing w:after="0" w:line="128" w:lineRule="exact"/>
        <w:rPr>
          <w:sz w:val="20"/>
          <w:szCs w:val="20"/>
          <w:color w:val="auto"/>
        </w:rPr>
      </w:pPr>
    </w:p>
    <w:p>
      <w:pPr>
        <w:ind w:left="547"/>
        <w:spacing w:after="0"/>
        <w:rPr>
          <w:sz w:val="20"/>
          <w:szCs w:val="20"/>
          <w:color w:val="auto"/>
        </w:rPr>
      </w:pPr>
      <w:r>
        <w:rPr>
          <w:rFonts w:ascii="Arial" w:cs="Arial" w:eastAsia="Arial" w:hAnsi="Arial"/>
          <w:sz w:val="19"/>
          <w:szCs w:val="19"/>
          <w:b w:val="1"/>
          <w:bCs w:val="1"/>
          <w:color w:val="auto"/>
        </w:rPr>
        <w:t>Corporate authorisation</w:t>
      </w:r>
    </w:p>
    <w:p>
      <w:pPr>
        <w:spacing w:after="0" w:line="213" w:lineRule="exact"/>
        <w:rPr>
          <w:sz w:val="20"/>
          <w:szCs w:val="20"/>
          <w:color w:val="auto"/>
        </w:rPr>
      </w:pPr>
    </w:p>
    <w:p>
      <w:pPr>
        <w:ind w:left="1087" w:hanging="540"/>
        <w:spacing w:after="0"/>
        <w:tabs>
          <w:tab w:leader="none" w:pos="108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Company has taken all requisite corporate action to authorise:</w:t>
      </w:r>
    </w:p>
    <w:p>
      <w:pPr>
        <w:spacing w:after="0" w:line="211" w:lineRule="exact"/>
        <w:rPr>
          <w:rFonts w:ascii="Arial" w:cs="Arial" w:eastAsia="Arial" w:hAnsi="Arial"/>
          <w:sz w:val="16"/>
          <w:szCs w:val="16"/>
          <w:color w:val="auto"/>
        </w:rPr>
      </w:pPr>
    </w:p>
    <w:p>
      <w:pPr>
        <w:ind w:left="1647" w:hanging="553"/>
        <w:spacing w:after="0"/>
        <w:tabs>
          <w:tab w:leader="none" w:pos="1647" w:val="left"/>
        </w:tabs>
        <w:numPr>
          <w:ilvl w:val="1"/>
          <w:numId w:val="357"/>
        </w:numPr>
        <w:rPr>
          <w:rFonts w:ascii="Arial" w:cs="Arial" w:eastAsia="Arial" w:hAnsi="Arial"/>
          <w:sz w:val="16"/>
          <w:szCs w:val="16"/>
          <w:color w:val="auto"/>
        </w:rPr>
      </w:pPr>
      <w:r>
        <w:rPr>
          <w:rFonts w:ascii="Arial" w:cs="Arial" w:eastAsia="Arial" w:hAnsi="Arial"/>
          <w:sz w:val="16"/>
          <w:szCs w:val="16"/>
          <w:color w:val="auto"/>
        </w:rPr>
        <w:t>the issue of the Ordinary Shares; and</w:t>
      </w:r>
    </w:p>
    <w:p>
      <w:pPr>
        <w:spacing w:after="0" w:line="211" w:lineRule="exact"/>
        <w:rPr>
          <w:rFonts w:ascii="Arial" w:cs="Arial" w:eastAsia="Arial" w:hAnsi="Arial"/>
          <w:sz w:val="16"/>
          <w:szCs w:val="16"/>
          <w:color w:val="auto"/>
        </w:rPr>
      </w:pPr>
    </w:p>
    <w:p>
      <w:pPr>
        <w:ind w:left="1647" w:hanging="553"/>
        <w:spacing w:after="0"/>
        <w:tabs>
          <w:tab w:leader="none" w:pos="1647" w:val="left"/>
        </w:tabs>
        <w:numPr>
          <w:ilvl w:val="1"/>
          <w:numId w:val="357"/>
        </w:numPr>
        <w:rPr>
          <w:rFonts w:ascii="Arial" w:cs="Arial" w:eastAsia="Arial" w:hAnsi="Arial"/>
          <w:sz w:val="14"/>
          <w:szCs w:val="14"/>
          <w:color w:val="auto"/>
        </w:rPr>
      </w:pPr>
      <w:r>
        <w:rPr>
          <w:rFonts w:ascii="Arial" w:cs="Arial" w:eastAsia="Arial" w:hAnsi="Arial"/>
          <w:sz w:val="14"/>
          <w:szCs w:val="14"/>
          <w:color w:val="auto"/>
        </w:rPr>
        <w:t>the execution and delivery of the Share Certificates and the performance of its obligations, and the exercise of its rights, under such documents.</w:t>
      </w:r>
    </w:p>
    <w:p>
      <w:pPr>
        <w:spacing w:after="0" w:line="222" w:lineRule="exact"/>
        <w:rPr>
          <w:sz w:val="20"/>
          <w:szCs w:val="20"/>
          <w:color w:val="auto"/>
        </w:rPr>
      </w:pPr>
    </w:p>
    <w:p>
      <w:pPr>
        <w:ind w:left="547"/>
        <w:spacing w:after="0"/>
        <w:rPr>
          <w:sz w:val="20"/>
          <w:szCs w:val="20"/>
          <w:color w:val="auto"/>
        </w:rPr>
      </w:pPr>
      <w:r>
        <w:rPr>
          <w:rFonts w:ascii="Arial" w:cs="Arial" w:eastAsia="Arial" w:hAnsi="Arial"/>
          <w:sz w:val="19"/>
          <w:szCs w:val="19"/>
          <w:b w:val="1"/>
          <w:bCs w:val="1"/>
          <w:color w:val="auto"/>
        </w:rPr>
        <w:t>Shares</w:t>
      </w:r>
    </w:p>
    <w:p>
      <w:pPr>
        <w:spacing w:after="0" w:line="213" w:lineRule="exact"/>
        <w:rPr>
          <w:sz w:val="20"/>
          <w:szCs w:val="20"/>
          <w:color w:val="auto"/>
        </w:rPr>
      </w:pPr>
    </w:p>
    <w:p>
      <w:pPr>
        <w:ind w:left="1087" w:hanging="540"/>
        <w:spacing w:after="0"/>
        <w:tabs>
          <w:tab w:leader="none" w:pos="1087"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The Ordinary Shares to be offered and issued by the Company as contemplated by the Registration Statement, when issued by the Company upon:</w:t>
      </w:r>
    </w:p>
    <w:p>
      <w:pPr>
        <w:spacing w:after="0" w:line="234" w:lineRule="exact"/>
        <w:rPr>
          <w:rFonts w:ascii="Arial" w:cs="Arial" w:eastAsia="Arial" w:hAnsi="Arial"/>
          <w:sz w:val="14"/>
          <w:szCs w:val="14"/>
          <w:color w:val="auto"/>
        </w:rPr>
      </w:pPr>
    </w:p>
    <w:p>
      <w:pPr>
        <w:ind w:left="1647" w:right="20" w:hanging="553"/>
        <w:spacing w:after="0" w:line="258" w:lineRule="auto"/>
        <w:tabs>
          <w:tab w:leader="none" w:pos="1647" w:val="left"/>
        </w:tabs>
        <w:numPr>
          <w:ilvl w:val="1"/>
          <w:numId w:val="358"/>
        </w:numPr>
        <w:rPr>
          <w:rFonts w:ascii="Arial" w:cs="Arial" w:eastAsia="Arial" w:hAnsi="Arial"/>
          <w:sz w:val="16"/>
          <w:szCs w:val="16"/>
          <w:color w:val="auto"/>
        </w:rPr>
      </w:pPr>
      <w:r>
        <w:rPr>
          <w:rFonts w:ascii="Arial" w:cs="Arial" w:eastAsia="Arial" w:hAnsi="Arial"/>
          <w:sz w:val="16"/>
          <w:szCs w:val="16"/>
          <w:color w:val="auto"/>
        </w:rPr>
        <w:t>payment in full of the consideration as set out in the Registration Statement and in accordance with the terms set out in the Registration Statement and in accordance with the Memorandum and Articles of Association; and</w:t>
      </w:r>
    </w:p>
    <w:p>
      <w:pPr>
        <w:spacing w:after="0" w:line="200" w:lineRule="exact"/>
        <w:rPr>
          <w:sz w:val="20"/>
          <w:szCs w:val="20"/>
          <w:color w:val="auto"/>
        </w:rPr>
      </w:pPr>
    </w:p>
    <w:p>
      <w:pPr>
        <w:spacing w:after="0" w:line="34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32" w:right="319" w:bottom="1440" w:gutter="0" w:footer="0" w:header="0"/>
        </w:sectPr>
      </w:pPr>
    </w:p>
    <w:bookmarkStart w:id="338" w:name="page339"/>
    <w:bookmarkEnd w:id="338"/>
    <w:p>
      <w:pPr>
        <w:ind w:left="1647" w:hanging="553"/>
        <w:spacing w:after="0"/>
        <w:tabs>
          <w:tab w:leader="none" w:pos="1647"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entry of those Ordinary Shares as fully paid on the register of members of the Company,</w:t>
      </w:r>
    </w:p>
    <w:p>
      <w:pPr>
        <w:spacing w:after="0" w:line="203" w:lineRule="exact"/>
        <w:rPr>
          <w:sz w:val="20"/>
          <w:szCs w:val="20"/>
          <w:color w:val="auto"/>
        </w:rPr>
      </w:pPr>
    </w:p>
    <w:p>
      <w:pPr>
        <w:ind w:left="1107"/>
        <w:spacing w:after="0"/>
        <w:rPr>
          <w:sz w:val="20"/>
          <w:szCs w:val="20"/>
          <w:color w:val="auto"/>
        </w:rPr>
      </w:pPr>
      <w:r>
        <w:rPr>
          <w:rFonts w:ascii="Arial" w:cs="Arial" w:eastAsia="Arial" w:hAnsi="Arial"/>
          <w:sz w:val="19"/>
          <w:szCs w:val="19"/>
          <w:color w:val="auto"/>
        </w:rPr>
        <w:t>shall be validly issued, fully paid and non-assessable.</w:t>
      </w:r>
    </w:p>
    <w:p>
      <w:pPr>
        <w:spacing w:after="0" w:line="203" w:lineRule="exact"/>
        <w:rPr>
          <w:sz w:val="20"/>
          <w:szCs w:val="20"/>
          <w:color w:val="auto"/>
        </w:rPr>
      </w:pPr>
    </w:p>
    <w:p>
      <w:pPr>
        <w:ind w:left="547" w:hanging="547"/>
        <w:spacing w:after="0"/>
        <w:tabs>
          <w:tab w:leader="none" w:pos="547" w:val="left"/>
        </w:tabs>
        <w:numPr>
          <w:ilvl w:val="0"/>
          <w:numId w:val="360"/>
        </w:numPr>
        <w:rPr>
          <w:rFonts w:ascii="Arial" w:cs="Arial" w:eastAsia="Arial" w:hAnsi="Arial"/>
          <w:sz w:val="16"/>
          <w:szCs w:val="16"/>
          <w:b w:val="1"/>
          <w:bCs w:val="1"/>
          <w:color w:val="auto"/>
        </w:rPr>
      </w:pPr>
      <w:r>
        <w:rPr>
          <w:rFonts w:ascii="Arial" w:cs="Arial" w:eastAsia="Arial" w:hAnsi="Arial"/>
          <w:sz w:val="16"/>
          <w:szCs w:val="16"/>
          <w:b w:val="1"/>
          <w:bCs w:val="1"/>
          <w:color w:val="auto"/>
        </w:rPr>
        <w:t>Matters not covered</w:t>
      </w:r>
    </w:p>
    <w:p>
      <w:pPr>
        <w:spacing w:after="0" w:line="209" w:lineRule="exact"/>
        <w:rPr>
          <w:sz w:val="20"/>
          <w:szCs w:val="20"/>
          <w:color w:val="auto"/>
        </w:rPr>
      </w:pPr>
    </w:p>
    <w:p>
      <w:pPr>
        <w:ind w:left="547"/>
        <w:spacing w:after="0"/>
        <w:rPr>
          <w:sz w:val="20"/>
          <w:szCs w:val="20"/>
          <w:color w:val="auto"/>
        </w:rPr>
      </w:pPr>
      <w:r>
        <w:rPr>
          <w:rFonts w:ascii="Arial" w:cs="Arial" w:eastAsia="Arial" w:hAnsi="Arial"/>
          <w:sz w:val="19"/>
          <w:szCs w:val="19"/>
          <w:color w:val="auto"/>
        </w:rPr>
        <w:t>We offer no opinion:</w:t>
      </w:r>
    </w:p>
    <w:p>
      <w:pPr>
        <w:spacing w:after="0" w:line="209" w:lineRule="exact"/>
        <w:rPr>
          <w:sz w:val="20"/>
          <w:szCs w:val="20"/>
          <w:color w:val="auto"/>
        </w:rPr>
      </w:pPr>
    </w:p>
    <w:p>
      <w:pPr>
        <w:jc w:val="both"/>
        <w:ind w:left="1087" w:hanging="540"/>
        <w:spacing w:after="0" w:line="250" w:lineRule="auto"/>
        <w:tabs>
          <w:tab w:leader="none" w:pos="108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as to any laws other than the laws of the Cayman Islands, and we have not, for the purposes of this opinion, made any investigation of the laws of any other jurisdiction, and we express no opinion as to the meaning, validity, or effect of references in the Share Certificates to statutes, rules, regulations, codes or judicial authority of any jurisdiction other than the Cayman Islands;</w:t>
      </w:r>
    </w:p>
    <w:p>
      <w:pPr>
        <w:spacing w:after="0" w:line="192" w:lineRule="exact"/>
        <w:rPr>
          <w:rFonts w:ascii="Arial" w:cs="Arial" w:eastAsia="Arial" w:hAnsi="Arial"/>
          <w:sz w:val="16"/>
          <w:szCs w:val="16"/>
          <w:color w:val="auto"/>
        </w:rPr>
      </w:pPr>
    </w:p>
    <w:p>
      <w:pPr>
        <w:jc w:val="both"/>
        <w:ind w:left="1087" w:hanging="540"/>
        <w:spacing w:after="0" w:line="294" w:lineRule="auto"/>
        <w:tabs>
          <w:tab w:leader="none" w:pos="1087" w:val="left"/>
        </w:tabs>
        <w:numPr>
          <w:ilvl w:val="0"/>
          <w:numId w:val="361"/>
        </w:numPr>
        <w:rPr>
          <w:rFonts w:ascii="Arial" w:cs="Arial" w:eastAsia="Arial" w:hAnsi="Arial"/>
          <w:sz w:val="14"/>
          <w:szCs w:val="14"/>
          <w:color w:val="auto"/>
        </w:rPr>
      </w:pPr>
      <w:r>
        <w:rPr>
          <w:rFonts w:ascii="Arial" w:cs="Arial" w:eastAsia="Arial" w:hAnsi="Arial"/>
          <w:sz w:val="14"/>
          <w:szCs w:val="14"/>
          <w:color w:val="auto"/>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165" w:lineRule="exact"/>
        <w:rPr>
          <w:rFonts w:ascii="Arial" w:cs="Arial" w:eastAsia="Arial" w:hAnsi="Arial"/>
          <w:sz w:val="14"/>
          <w:szCs w:val="14"/>
          <w:color w:val="auto"/>
        </w:rPr>
      </w:pPr>
    </w:p>
    <w:p>
      <w:pPr>
        <w:ind w:left="1087" w:hanging="540"/>
        <w:spacing w:after="0" w:line="329" w:lineRule="auto"/>
        <w:tabs>
          <w:tab w:leader="none" w:pos="1087" w:val="left"/>
        </w:tabs>
        <w:numPr>
          <w:ilvl w:val="0"/>
          <w:numId w:val="361"/>
        </w:numPr>
        <w:rPr>
          <w:rFonts w:ascii="Arial" w:cs="Arial" w:eastAsia="Arial" w:hAnsi="Arial"/>
          <w:sz w:val="14"/>
          <w:szCs w:val="14"/>
          <w:color w:val="auto"/>
        </w:rPr>
      </w:pPr>
      <w:r>
        <w:rPr>
          <w:rFonts w:ascii="Arial" w:cs="Arial" w:eastAsia="Arial" w:hAnsi="Arial"/>
          <w:sz w:val="14"/>
          <w:szCs w:val="14"/>
          <w:color w:val="auto"/>
        </w:rPr>
        <w:t>as to whether the acceptance, execution or performance of the Company’s obligations under the documents reviewed by us will result in the breach of or infringe any other agreement, deed or document (other than the Company’s Memorandum and Articles of Association) entered into by or binding on the Company.</w:t>
      </w:r>
    </w:p>
    <w:p>
      <w:pPr>
        <w:spacing w:after="0" w:line="134" w:lineRule="exact"/>
        <w:rPr>
          <w:sz w:val="20"/>
          <w:szCs w:val="20"/>
          <w:color w:val="auto"/>
        </w:rPr>
      </w:pPr>
    </w:p>
    <w:p>
      <w:pPr>
        <w:ind w:left="547" w:hanging="547"/>
        <w:spacing w:after="0"/>
        <w:tabs>
          <w:tab w:leader="none" w:pos="547"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of this opinion</w:t>
      </w:r>
    </w:p>
    <w:p>
      <w:pPr>
        <w:spacing w:after="0" w:line="218"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color w:val="auto"/>
        </w:rPr>
        <w:t>This opinion is:</w:t>
      </w:r>
    </w:p>
    <w:p>
      <w:pPr>
        <w:spacing w:after="0" w:line="212" w:lineRule="exact"/>
        <w:rPr>
          <w:sz w:val="20"/>
          <w:szCs w:val="20"/>
          <w:color w:val="auto"/>
        </w:rPr>
      </w:pPr>
    </w:p>
    <w:p>
      <w:pPr>
        <w:ind w:left="1087" w:hanging="540"/>
        <w:spacing w:after="0"/>
        <w:tabs>
          <w:tab w:leader="none" w:pos="1087" w:val="left"/>
        </w:tabs>
        <w:numPr>
          <w:ilvl w:val="0"/>
          <w:numId w:val="363"/>
        </w:numPr>
        <w:rPr>
          <w:rFonts w:ascii="Arial" w:cs="Arial" w:eastAsia="Arial" w:hAnsi="Arial"/>
          <w:sz w:val="16"/>
          <w:szCs w:val="16"/>
          <w:color w:val="auto"/>
        </w:rPr>
      </w:pPr>
      <w:r>
        <w:rPr>
          <w:rFonts w:ascii="Arial" w:cs="Arial" w:eastAsia="Arial" w:hAnsi="Arial"/>
          <w:sz w:val="16"/>
          <w:szCs w:val="16"/>
          <w:color w:val="auto"/>
        </w:rPr>
        <w:t>governed by, and shall be construed in accordance with, the laws of the Cayman Islands;</w:t>
      </w:r>
    </w:p>
    <w:p>
      <w:pPr>
        <w:spacing w:after="0" w:line="211" w:lineRule="exact"/>
        <w:rPr>
          <w:rFonts w:ascii="Arial" w:cs="Arial" w:eastAsia="Arial" w:hAnsi="Arial"/>
          <w:sz w:val="16"/>
          <w:szCs w:val="16"/>
          <w:color w:val="auto"/>
        </w:rPr>
      </w:pPr>
    </w:p>
    <w:p>
      <w:pPr>
        <w:ind w:left="1087" w:hanging="540"/>
        <w:spacing w:after="0"/>
        <w:tabs>
          <w:tab w:leader="none" w:pos="1087" w:val="left"/>
        </w:tabs>
        <w:numPr>
          <w:ilvl w:val="0"/>
          <w:numId w:val="363"/>
        </w:numPr>
        <w:rPr>
          <w:rFonts w:ascii="Arial" w:cs="Arial" w:eastAsia="Arial" w:hAnsi="Arial"/>
          <w:sz w:val="16"/>
          <w:szCs w:val="16"/>
          <w:color w:val="auto"/>
        </w:rPr>
      </w:pPr>
      <w:r>
        <w:rPr>
          <w:rFonts w:ascii="Arial" w:cs="Arial" w:eastAsia="Arial" w:hAnsi="Arial"/>
          <w:sz w:val="16"/>
          <w:szCs w:val="16"/>
          <w:color w:val="auto"/>
        </w:rPr>
        <w:t>limited to the matters expressly stated in it; and</w:t>
      </w:r>
    </w:p>
    <w:p>
      <w:pPr>
        <w:spacing w:after="0" w:line="211" w:lineRule="exact"/>
        <w:rPr>
          <w:rFonts w:ascii="Arial" w:cs="Arial" w:eastAsia="Arial" w:hAnsi="Arial"/>
          <w:sz w:val="16"/>
          <w:szCs w:val="16"/>
          <w:color w:val="auto"/>
        </w:rPr>
      </w:pPr>
    </w:p>
    <w:p>
      <w:pPr>
        <w:ind w:left="1087" w:hanging="540"/>
        <w:spacing w:after="0"/>
        <w:tabs>
          <w:tab w:leader="none" w:pos="1087" w:val="left"/>
        </w:tabs>
        <w:numPr>
          <w:ilvl w:val="0"/>
          <w:numId w:val="363"/>
        </w:numPr>
        <w:rPr>
          <w:rFonts w:ascii="Arial" w:cs="Arial" w:eastAsia="Arial" w:hAnsi="Arial"/>
          <w:sz w:val="16"/>
          <w:szCs w:val="16"/>
          <w:color w:val="auto"/>
        </w:rPr>
      </w:pPr>
      <w:r>
        <w:rPr>
          <w:rFonts w:ascii="Arial" w:cs="Arial" w:eastAsia="Arial" w:hAnsi="Arial"/>
          <w:sz w:val="16"/>
          <w:szCs w:val="16"/>
          <w:color w:val="auto"/>
        </w:rPr>
        <w:t>confined to, and given on the basis of, the laws and practice in the Cayman Islands at the date of this opinion.</w:t>
      </w:r>
    </w:p>
    <w:p>
      <w:pPr>
        <w:spacing w:after="0" w:line="212" w:lineRule="exact"/>
        <w:rPr>
          <w:sz w:val="20"/>
          <w:szCs w:val="20"/>
          <w:color w:val="auto"/>
        </w:rPr>
      </w:pPr>
    </w:p>
    <w:p>
      <w:pPr>
        <w:ind w:left="7"/>
        <w:spacing w:after="0"/>
        <w:tabs>
          <w:tab w:leader="none" w:pos="527"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3"/>
          <w:szCs w:val="13"/>
          <w:color w:val="auto"/>
        </w:rPr>
        <w:t>Unless otherwise indicated, a reference to any specific Cayman Islands legislation is a reference to that legislation as amended to, and as in force at, the date of this opinion.</w:t>
      </w: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38" w:right="319" w:bottom="1440" w:gutter="0" w:footer="0" w:header="0"/>
        </w:sectPr>
      </w:pPr>
    </w:p>
    <w:bookmarkStart w:id="339" w:name="page340"/>
    <w:bookmarkEnd w:id="339"/>
    <w:p>
      <w:pPr>
        <w:ind w:left="547" w:hanging="547"/>
        <w:spacing w:after="0"/>
        <w:tabs>
          <w:tab w:leader="none" w:pos="547"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Who can rely on this opinion</w:t>
      </w:r>
    </w:p>
    <w:p>
      <w:pPr>
        <w:spacing w:after="0" w:line="218" w:lineRule="exact"/>
        <w:rPr>
          <w:sz w:val="20"/>
          <w:szCs w:val="20"/>
          <w:color w:val="auto"/>
        </w:rPr>
      </w:pPr>
    </w:p>
    <w:p>
      <w:pPr>
        <w:ind w:left="547" w:hanging="546"/>
        <w:spacing w:after="0" w:line="258" w:lineRule="auto"/>
        <w:tabs>
          <w:tab w:leader="none" w:pos="527"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This opinion is given for your benefit in connection with the Company. With the exception of your professional advisers (acting only in that capacity), it may not be relied upon by any person, other than persons entitled to rely upon it pursuant to the provisions of the Act, without our prior written consent.</w:t>
      </w:r>
    </w:p>
    <w:p>
      <w:pPr>
        <w:spacing w:after="0" w:line="186" w:lineRule="exact"/>
        <w:rPr>
          <w:sz w:val="20"/>
          <w:szCs w:val="20"/>
          <w:color w:val="auto"/>
        </w:rPr>
      </w:pPr>
    </w:p>
    <w:p>
      <w:pPr>
        <w:ind w:left="547" w:hanging="546"/>
        <w:spacing w:after="0" w:line="258" w:lineRule="auto"/>
        <w:tabs>
          <w:tab w:leader="none" w:pos="527"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We hereby consent to the filing of this opinion as an exhibit to the Registration Statement. We also consent to the reference to this firm in the Registration Statement under the heading “Legal Matters”.</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color w:val="auto"/>
        </w:rPr>
        <w:t>/s/ Ogier</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Ogier</w:t>
      </w: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32" w:right="319" w:bottom="1440" w:gutter="0" w:footer="0" w:header="0"/>
        </w:sectPr>
      </w:pPr>
    </w:p>
    <w:bookmarkStart w:id="340" w:name="page341"/>
    <w:bookmarkEnd w:id="340"/>
    <w:p>
      <w:pPr>
        <w:jc w:val="center"/>
        <w:ind w:right="-6"/>
        <w:spacing w:after="0"/>
        <w:rPr>
          <w:sz w:val="20"/>
          <w:szCs w:val="20"/>
          <w:color w:val="auto"/>
        </w:rPr>
      </w:pPr>
      <w:r>
        <w:rPr>
          <w:rFonts w:ascii="Arial" w:cs="Arial" w:eastAsia="Arial" w:hAnsi="Arial"/>
          <w:sz w:val="19"/>
          <w:szCs w:val="19"/>
          <w:b w:val="1"/>
          <w:bCs w:val="1"/>
          <w:color w:val="auto"/>
        </w:rPr>
        <w:t>SCHEDULE 1</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Documents examined</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Corporate and other documents</w:t>
      </w:r>
    </w:p>
    <w:p>
      <w:pPr>
        <w:spacing w:after="0" w:line="209" w:lineRule="exact"/>
        <w:rPr>
          <w:sz w:val="20"/>
          <w:szCs w:val="20"/>
          <w:color w:val="auto"/>
        </w:rPr>
      </w:pPr>
    </w:p>
    <w:p>
      <w:pPr>
        <w:ind w:left="547" w:hanging="547"/>
        <w:spacing w:after="0"/>
        <w:tabs>
          <w:tab w:leader="none" w:pos="547"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Certificate of Incorporation of the Company dated 27 March 2020 issued by the Registrar.</w:t>
      </w:r>
    </w:p>
    <w:p>
      <w:pPr>
        <w:spacing w:after="0" w:line="206" w:lineRule="exact"/>
        <w:rPr>
          <w:sz w:val="20"/>
          <w:szCs w:val="20"/>
          <w:color w:val="auto"/>
        </w:rPr>
      </w:pPr>
    </w:p>
    <w:p>
      <w:pPr>
        <w:ind w:left="547" w:hanging="547"/>
        <w:spacing w:after="0"/>
        <w:tabs>
          <w:tab w:leader="none" w:pos="54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The memorandum of association of the Company filed with the Registrar on 27 March 2020 (the </w:t>
      </w:r>
      <w:r>
        <w:rPr>
          <w:rFonts w:ascii="Arial" w:cs="Arial" w:eastAsia="Arial" w:hAnsi="Arial"/>
          <w:sz w:val="16"/>
          <w:szCs w:val="16"/>
          <w:b w:val="1"/>
          <w:bCs w:val="1"/>
          <w:color w:val="auto"/>
        </w:rPr>
        <w:t>Memorandum</w:t>
      </w:r>
      <w:r>
        <w:rPr>
          <w:rFonts w:ascii="Arial" w:cs="Arial" w:eastAsia="Arial" w:hAnsi="Arial"/>
          <w:sz w:val="16"/>
          <w:szCs w:val="16"/>
          <w:color w:val="auto"/>
        </w:rPr>
        <w:t>).</w:t>
      </w:r>
    </w:p>
    <w:p>
      <w:pPr>
        <w:spacing w:after="0" w:line="211"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6"/>
          <w:szCs w:val="16"/>
          <w:color w:val="auto"/>
        </w:rPr>
        <w:t>3</w:t>
      </w:r>
      <w:r>
        <w:rPr>
          <w:rFonts w:ascii="Arial" w:cs="Arial" w:eastAsia="Arial" w:hAnsi="Arial"/>
          <w:sz w:val="14"/>
          <w:szCs w:val="14"/>
          <w:color w:val="auto"/>
        </w:rPr>
        <w:t>The articles of association of the Company filed with the Registrar on 27 March 2020 (</w:t>
      </w:r>
      <w:r>
        <w:rPr>
          <w:rFonts w:ascii="Arial" w:cs="Arial" w:eastAsia="Arial" w:hAnsi="Arial"/>
          <w:sz w:val="14"/>
          <w:szCs w:val="14"/>
          <w:b w:val="1"/>
          <w:bCs w:val="1"/>
          <w:color w:val="auto"/>
        </w:rPr>
        <w:t>Articles of Association</w:t>
      </w:r>
      <w:r>
        <w:rPr>
          <w:rFonts w:ascii="Arial" w:cs="Arial" w:eastAsia="Arial" w:hAnsi="Arial"/>
          <w:sz w:val="14"/>
          <w:szCs w:val="14"/>
          <w:color w:val="auto"/>
        </w:rPr>
        <w:t>).</w:t>
      </w:r>
    </w:p>
    <w:p>
      <w:pPr>
        <w:spacing w:after="0" w:line="211"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6"/>
          <w:szCs w:val="16"/>
          <w:color w:val="auto"/>
        </w:rPr>
        <w:t>4</w:t>
      </w:r>
      <w:r>
        <w:rPr>
          <w:rFonts w:ascii="Arial" w:cs="Arial" w:eastAsia="Arial" w:hAnsi="Arial"/>
          <w:sz w:val="14"/>
          <w:szCs w:val="14"/>
          <w:color w:val="auto"/>
        </w:rPr>
        <w:t>A Certificate of Good Standing dated 28 July 2020 (</w:t>
      </w:r>
      <w:r>
        <w:rPr>
          <w:rFonts w:ascii="Arial" w:cs="Arial" w:eastAsia="Arial" w:hAnsi="Arial"/>
          <w:sz w:val="14"/>
          <w:szCs w:val="14"/>
          <w:b w:val="1"/>
          <w:bCs w:val="1"/>
          <w:color w:val="auto"/>
        </w:rPr>
        <w:t>Good Standing Certificate</w:t>
      </w:r>
      <w:r>
        <w:rPr>
          <w:rFonts w:ascii="Arial" w:cs="Arial" w:eastAsia="Arial" w:hAnsi="Arial"/>
          <w:sz w:val="14"/>
          <w:szCs w:val="14"/>
          <w:color w:val="auto"/>
        </w:rPr>
        <w:t>) issued by the Registrar in respect of the Company.</w:t>
      </w:r>
    </w:p>
    <w:p>
      <w:pPr>
        <w:spacing w:after="0" w:line="212" w:lineRule="exact"/>
        <w:rPr>
          <w:sz w:val="20"/>
          <w:szCs w:val="20"/>
          <w:color w:val="auto"/>
        </w:rPr>
      </w:pPr>
    </w:p>
    <w:p>
      <w:pPr>
        <w:ind w:left="547" w:hanging="547"/>
        <w:spacing w:after="0" w:line="266" w:lineRule="auto"/>
        <w:tabs>
          <w:tab w:leader="none" w:pos="547"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A certificate dated on the date hereof as to certain matters of fact signed by a director of the Company in the form annexed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 xml:space="preserve">), having attached to it a copy of written resolutions of the directors of the Company passed on 24 July 2020 (the </w:t>
      </w:r>
      <w:r>
        <w:rPr>
          <w:rFonts w:ascii="Arial" w:cs="Arial" w:eastAsia="Arial" w:hAnsi="Arial"/>
          <w:sz w:val="16"/>
          <w:szCs w:val="16"/>
          <w:b w:val="1"/>
          <w:bCs w:val="1"/>
          <w:color w:val="auto"/>
        </w:rPr>
        <w:t>Resolutions</w:t>
      </w:r>
      <w:r>
        <w:rPr>
          <w:rFonts w:ascii="Arial" w:cs="Arial" w:eastAsia="Arial" w:hAnsi="Arial"/>
          <w:sz w:val="16"/>
          <w:szCs w:val="16"/>
          <w:color w:val="auto"/>
        </w:rPr>
        <w:t>).</w:t>
      </w:r>
    </w:p>
    <w:p>
      <w:pPr>
        <w:spacing w:after="0" w:line="174" w:lineRule="exact"/>
        <w:rPr>
          <w:sz w:val="20"/>
          <w:szCs w:val="20"/>
          <w:color w:val="auto"/>
        </w:rPr>
      </w:pPr>
    </w:p>
    <w:p>
      <w:pPr>
        <w:ind w:left="547" w:hanging="547"/>
        <w:spacing w:after="0"/>
        <w:tabs>
          <w:tab w:leader="none" w:pos="547"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Register of Writs at the office of the Clerk of Courts in the Cayman Islands as inspected by us on 28 July 2020 (</w:t>
      </w:r>
      <w:r>
        <w:rPr>
          <w:rFonts w:ascii="Arial" w:cs="Arial" w:eastAsia="Arial" w:hAnsi="Arial"/>
          <w:sz w:val="16"/>
          <w:szCs w:val="16"/>
          <w:b w:val="1"/>
          <w:bCs w:val="1"/>
          <w:color w:val="auto"/>
        </w:rPr>
        <w:t>Register of Writs</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6"/>
          <w:szCs w:val="16"/>
          <w:color w:val="auto"/>
        </w:rPr>
        <w:t>7</w:t>
      </w:r>
      <w:r>
        <w:rPr>
          <w:rFonts w:ascii="Arial" w:cs="Arial" w:eastAsia="Arial" w:hAnsi="Arial"/>
          <w:sz w:val="13"/>
          <w:szCs w:val="13"/>
          <w:color w:val="auto"/>
        </w:rPr>
        <w:t>The Registration Statement.</w:t>
      </w:r>
    </w:p>
    <w:p>
      <w:pPr>
        <w:spacing w:after="0" w:line="205"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6"/>
          <w:szCs w:val="16"/>
          <w:color w:val="auto"/>
        </w:rPr>
        <w:t>8</w:t>
      </w:r>
      <w:r>
        <w:rPr>
          <w:rFonts w:ascii="Arial" w:cs="Arial" w:eastAsia="Arial" w:hAnsi="Arial"/>
          <w:sz w:val="14"/>
          <w:szCs w:val="14"/>
          <w:color w:val="auto"/>
        </w:rPr>
        <w:t xml:space="preserve">A draft specimen certificate for Ordinary Shares (the </w:t>
      </w:r>
      <w:r>
        <w:rPr>
          <w:rFonts w:ascii="Arial" w:cs="Arial" w:eastAsia="Arial" w:hAnsi="Arial"/>
          <w:sz w:val="14"/>
          <w:szCs w:val="14"/>
          <w:b w:val="1"/>
          <w:bCs w:val="1"/>
          <w:color w:val="auto"/>
        </w:rPr>
        <w:t>Share Certificates</w:t>
      </w:r>
      <w:r>
        <w:rPr>
          <w:rFonts w:ascii="Arial" w:cs="Arial" w:eastAsia="Arial" w:hAnsi="Arial"/>
          <w:sz w:val="14"/>
          <w:szCs w:val="14"/>
          <w:color w:val="auto"/>
        </w:rPr>
        <w:t>).</w:t>
      </w:r>
    </w:p>
    <w:p>
      <w:pPr>
        <w:spacing w:after="0" w:line="36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15" w:right="339" w:bottom="1440" w:gutter="0" w:footer="0" w:header="0"/>
        </w:sectPr>
      </w:pPr>
    </w:p>
    <w:bookmarkStart w:id="341" w:name="page342"/>
    <w:bookmarkEnd w:id="341"/>
    <w:p>
      <w:pPr>
        <w:jc w:val="center"/>
        <w:ind w:right="-6"/>
        <w:spacing w:after="0"/>
        <w:rPr>
          <w:sz w:val="20"/>
          <w:szCs w:val="20"/>
          <w:color w:val="auto"/>
        </w:rPr>
      </w:pPr>
      <w:r>
        <w:rPr>
          <w:rFonts w:ascii="Arial" w:cs="Arial" w:eastAsia="Arial" w:hAnsi="Arial"/>
          <w:sz w:val="19"/>
          <w:szCs w:val="19"/>
          <w:b w:val="1"/>
          <w:bCs w:val="1"/>
          <w:color w:val="auto"/>
        </w:rPr>
        <w:t>SCHEDULE 2</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Assumptions</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Assumptions of general application</w:t>
      </w:r>
    </w:p>
    <w:p>
      <w:pPr>
        <w:spacing w:after="0" w:line="213" w:lineRule="exact"/>
        <w:rPr>
          <w:sz w:val="20"/>
          <w:szCs w:val="20"/>
          <w:color w:val="auto"/>
        </w:rPr>
      </w:pPr>
    </w:p>
    <w:p>
      <w:pPr>
        <w:ind w:left="547" w:hanging="547"/>
        <w:spacing w:after="0"/>
        <w:tabs>
          <w:tab w:leader="none" w:pos="54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All original documents examined by us are authentic and complete.</w:t>
      </w:r>
    </w:p>
    <w:p>
      <w:pPr>
        <w:spacing w:after="0" w:line="212" w:lineRule="exact"/>
        <w:rPr>
          <w:sz w:val="20"/>
          <w:szCs w:val="20"/>
          <w:color w:val="auto"/>
        </w:rPr>
      </w:pPr>
    </w:p>
    <w:p>
      <w:pPr>
        <w:ind w:left="547" w:hanging="547"/>
        <w:spacing w:after="0"/>
        <w:tabs>
          <w:tab w:leader="none" w:pos="547" w:val="left"/>
        </w:tabs>
        <w:numPr>
          <w:ilvl w:val="0"/>
          <w:numId w:val="370"/>
        </w:numPr>
        <w:rPr>
          <w:rFonts w:ascii="Arial" w:cs="Arial" w:eastAsia="Arial" w:hAnsi="Arial"/>
          <w:sz w:val="14"/>
          <w:szCs w:val="14"/>
          <w:color w:val="auto"/>
        </w:rPr>
      </w:pPr>
      <w:r>
        <w:rPr>
          <w:rFonts w:ascii="Arial" w:cs="Arial" w:eastAsia="Arial" w:hAnsi="Arial"/>
          <w:sz w:val="14"/>
          <w:szCs w:val="14"/>
          <w:color w:val="auto"/>
        </w:rPr>
        <w:t>All copy documents examined by us (whether in facsimile, electronic or other form) conform to the originals and those originals are authentic and complete.</w:t>
      </w:r>
    </w:p>
    <w:p>
      <w:pPr>
        <w:spacing w:after="0" w:line="2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6"/>
          <w:szCs w:val="16"/>
          <w:color w:val="auto"/>
        </w:rPr>
        <w:t>3</w:t>
      </w:r>
      <w:r>
        <w:rPr>
          <w:rFonts w:ascii="Arial" w:cs="Arial" w:eastAsia="Arial" w:hAnsi="Arial"/>
          <w:sz w:val="13"/>
          <w:szCs w:val="13"/>
          <w:color w:val="auto"/>
        </w:rPr>
        <w:t>All signatures, seals, dates, stamps and markings (whether on original or copy documents) are genuine.</w:t>
      </w:r>
    </w:p>
    <w:p>
      <w:pPr>
        <w:spacing w:after="0" w:line="211"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6"/>
          <w:szCs w:val="16"/>
          <w:color w:val="auto"/>
        </w:rPr>
        <w:t>4</w:t>
      </w:r>
      <w:r>
        <w:rPr>
          <w:rFonts w:ascii="Arial" w:cs="Arial" w:eastAsia="Arial" w:hAnsi="Arial"/>
          <w:sz w:val="14"/>
          <w:szCs w:val="14"/>
          <w:color w:val="auto"/>
        </w:rPr>
        <w:t>Each of the Good Standing Certificate and the Director’s Certificate is accurate and complete as at the date of this opinion.</w:t>
      </w:r>
    </w:p>
    <w:p>
      <w:pPr>
        <w:spacing w:after="0" w:line="212" w:lineRule="exact"/>
        <w:rPr>
          <w:sz w:val="20"/>
          <w:szCs w:val="20"/>
          <w:color w:val="auto"/>
        </w:rPr>
      </w:pPr>
    </w:p>
    <w:p>
      <w:pPr>
        <w:ind w:left="547" w:right="20" w:hanging="547"/>
        <w:spacing w:after="0" w:line="329" w:lineRule="auto"/>
        <w:tabs>
          <w:tab w:leader="none" w:pos="547" w:val="left"/>
        </w:tabs>
        <w:numPr>
          <w:ilvl w:val="0"/>
          <w:numId w:val="371"/>
        </w:numPr>
        <w:rPr>
          <w:rFonts w:ascii="Arial" w:cs="Arial" w:eastAsia="Arial" w:hAnsi="Arial"/>
          <w:sz w:val="14"/>
          <w:szCs w:val="14"/>
          <w:color w:val="auto"/>
        </w:rPr>
      </w:pPr>
      <w:r>
        <w:rPr>
          <w:rFonts w:ascii="Arial" w:cs="Arial" w:eastAsia="Arial" w:hAnsi="Arial"/>
          <w:sz w:val="14"/>
          <w:szCs w:val="14"/>
          <w:color w:val="auto"/>
        </w:rPr>
        <w:t>Where any document has been provided to us in draft or undated form, such document has been executed by all parties in materially the form provided to us and, where we have been provided with successive drafts of the documents marked to show changes from a previous draft, all such changes have been accurately marked.</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Status, authorisation and execution</w:t>
      </w:r>
    </w:p>
    <w:p>
      <w:pPr>
        <w:spacing w:after="0" w:line="213" w:lineRule="exact"/>
        <w:rPr>
          <w:sz w:val="20"/>
          <w:szCs w:val="20"/>
          <w:color w:val="auto"/>
        </w:rPr>
      </w:pPr>
    </w:p>
    <w:p>
      <w:pPr>
        <w:jc w:val="both"/>
        <w:ind w:left="547" w:hanging="547"/>
        <w:spacing w:after="0" w:line="250" w:lineRule="auto"/>
        <w:tabs>
          <w:tab w:leader="none" w:pos="547"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In authorising the execution and delivery of the Share Certificates by the Company, the exercise of its rights and performance of its obligations under the Share Certificates, each of the directors of the Company has acted in good faith with a view to the best interests of the Company and has exercised the standard of care, diligence and skill that is required of him or her.</w:t>
      </w:r>
    </w:p>
    <w:p>
      <w:pPr>
        <w:spacing w:after="0" w:line="193" w:lineRule="exact"/>
        <w:rPr>
          <w:sz w:val="20"/>
          <w:szCs w:val="20"/>
          <w:color w:val="auto"/>
        </w:rPr>
      </w:pPr>
    </w:p>
    <w:p>
      <w:pPr>
        <w:ind w:left="547" w:hanging="547"/>
        <w:spacing w:after="0"/>
        <w:tabs>
          <w:tab w:leader="none" w:pos="54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Share Certificates has or will be duly executed and unconditionally delivered by the Company in the manner authorised in the Resolutions.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Enforceability</w:t>
      </w:r>
    </w:p>
    <w:p>
      <w:pPr>
        <w:spacing w:after="0" w:line="213" w:lineRule="exact"/>
        <w:rPr>
          <w:sz w:val="20"/>
          <w:szCs w:val="20"/>
          <w:color w:val="auto"/>
        </w:rPr>
      </w:pPr>
    </w:p>
    <w:p>
      <w:pPr>
        <w:ind w:left="547" w:right="20" w:hanging="547"/>
        <w:spacing w:after="0" w:line="258" w:lineRule="auto"/>
        <w:tabs>
          <w:tab w:leader="none" w:pos="547" w:val="left"/>
        </w:tabs>
        <w:numPr>
          <w:ilvl w:val="0"/>
          <w:numId w:val="374"/>
        </w:numPr>
        <w:rPr>
          <w:rFonts w:ascii="Arial" w:cs="Arial" w:eastAsia="Arial" w:hAnsi="Arial"/>
          <w:sz w:val="16"/>
          <w:szCs w:val="16"/>
          <w:color w:val="auto"/>
        </w:rPr>
      </w:pPr>
      <w:r>
        <w:rPr>
          <w:rFonts w:ascii="Arial" w:cs="Arial" w:eastAsia="Arial" w:hAnsi="Arial"/>
          <w:sz w:val="16"/>
          <w:szCs w:val="16"/>
          <w:color w:val="auto"/>
        </w:rPr>
        <w:t>None of the opinions expressed herein will be adversely affected by the laws or public policies of any jurisdiction other than the Cayman Islands. In particular, but without limitation to the previous sentence:</w:t>
      </w:r>
    </w:p>
    <w:p>
      <w:pPr>
        <w:spacing w:after="0" w:line="186" w:lineRule="exact"/>
        <w:rPr>
          <w:rFonts w:ascii="Arial" w:cs="Arial" w:eastAsia="Arial" w:hAnsi="Arial"/>
          <w:sz w:val="16"/>
          <w:szCs w:val="16"/>
          <w:color w:val="auto"/>
        </w:rPr>
      </w:pPr>
    </w:p>
    <w:p>
      <w:pPr>
        <w:ind w:left="1087" w:hanging="540"/>
        <w:spacing w:after="0"/>
        <w:tabs>
          <w:tab w:leader="none" w:pos="1087" w:val="left"/>
        </w:tabs>
        <w:numPr>
          <w:ilvl w:val="1"/>
          <w:numId w:val="374"/>
        </w:numPr>
        <w:rPr>
          <w:rFonts w:ascii="Arial" w:cs="Arial" w:eastAsia="Arial" w:hAnsi="Arial"/>
          <w:sz w:val="14"/>
          <w:szCs w:val="14"/>
          <w:color w:val="auto"/>
        </w:rPr>
      </w:pPr>
      <w:r>
        <w:rPr>
          <w:rFonts w:ascii="Arial" w:cs="Arial" w:eastAsia="Arial" w:hAnsi="Arial"/>
          <w:sz w:val="14"/>
          <w:szCs w:val="14"/>
          <w:color w:val="auto"/>
        </w:rPr>
        <w:t>the laws or public policies of any jurisdiction other than the Cayman Islands will not adversely affect the capacity or authority of the Company; and</w:t>
      </w:r>
    </w:p>
    <w:p>
      <w:pPr>
        <w:spacing w:after="0" w:line="234" w:lineRule="exact"/>
        <w:rPr>
          <w:rFonts w:ascii="Arial" w:cs="Arial" w:eastAsia="Arial" w:hAnsi="Arial"/>
          <w:sz w:val="14"/>
          <w:szCs w:val="14"/>
          <w:color w:val="auto"/>
        </w:rPr>
      </w:pPr>
    </w:p>
    <w:p>
      <w:pPr>
        <w:ind w:left="1087" w:hanging="540"/>
        <w:spacing w:after="0" w:line="258" w:lineRule="auto"/>
        <w:tabs>
          <w:tab w:leader="none" w:pos="108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neither the execution or delivery of the Share Certificates nor the exercise by any party of its rights or the performance of its obligations under the Share Certificates contravene those laws or public policies.</w:t>
      </w:r>
    </w:p>
    <w:p>
      <w:pPr>
        <w:spacing w:after="0" w:line="200" w:lineRule="exact"/>
        <w:rPr>
          <w:sz w:val="20"/>
          <w:szCs w:val="20"/>
          <w:color w:val="auto"/>
        </w:rPr>
      </w:pPr>
    </w:p>
    <w:p>
      <w:pPr>
        <w:spacing w:after="0" w:line="34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15" w:right="319" w:bottom="1440" w:gutter="0" w:footer="0" w:header="0"/>
        </w:sectPr>
      </w:pPr>
    </w:p>
    <w:bookmarkStart w:id="342" w:name="page343"/>
    <w:bookmarkEnd w:id="342"/>
    <w:p>
      <w:pPr>
        <w:ind w:left="547" w:hanging="547"/>
        <w:spacing w:after="0" w:line="329" w:lineRule="auto"/>
        <w:tabs>
          <w:tab w:leader="none" w:pos="547" w:val="left"/>
        </w:tabs>
        <w:numPr>
          <w:ilvl w:val="0"/>
          <w:numId w:val="375"/>
        </w:numPr>
        <w:rPr>
          <w:rFonts w:ascii="Arial" w:cs="Arial" w:eastAsia="Arial" w:hAnsi="Arial"/>
          <w:sz w:val="14"/>
          <w:szCs w:val="14"/>
          <w:color w:val="auto"/>
        </w:rPr>
      </w:pPr>
      <w:r>
        <w:rPr>
          <w:rFonts w:ascii="Arial" w:cs="Arial" w:eastAsia="Arial" w:hAnsi="Arial"/>
          <w:sz w:val="14"/>
          <w:szCs w:val="14"/>
          <w:color w:val="auto"/>
        </w:rPr>
        <w:t>There are no agreements, documents or arrangements (other than the documents expressly referred to in this opinion as having been examined by us) that materially affect or modify the Share Certificates or the transactions contemplated by them or restrict the powers and authority of the Company in any way.</w:t>
      </w:r>
    </w:p>
    <w:p>
      <w:pPr>
        <w:spacing w:after="0" w:line="134" w:lineRule="exact"/>
        <w:rPr>
          <w:sz w:val="20"/>
          <w:szCs w:val="20"/>
          <w:color w:val="auto"/>
        </w:rPr>
      </w:pPr>
    </w:p>
    <w:p>
      <w:pPr>
        <w:ind w:left="547" w:right="20" w:hanging="547"/>
        <w:spacing w:after="0" w:line="266" w:lineRule="auto"/>
        <w:tabs>
          <w:tab w:leader="none" w:pos="547" w:val="left"/>
        </w:tabs>
        <w:numPr>
          <w:ilvl w:val="0"/>
          <w:numId w:val="376"/>
        </w:numPr>
        <w:rPr>
          <w:rFonts w:ascii="Arial" w:cs="Arial" w:eastAsia="Arial" w:hAnsi="Arial"/>
          <w:sz w:val="16"/>
          <w:szCs w:val="16"/>
          <w:color w:val="auto"/>
        </w:rPr>
      </w:pPr>
      <w:r>
        <w:rPr>
          <w:rFonts w:ascii="Arial" w:cs="Arial" w:eastAsia="Arial" w:hAnsi="Arial"/>
          <w:sz w:val="16"/>
          <w:szCs w:val="16"/>
          <w:color w:val="auto"/>
        </w:rPr>
        <w:t>None of the transactions contemplated by the Share Certificates relate to any shares, voting rights or other rights (</w:t>
      </w:r>
      <w:r>
        <w:rPr>
          <w:rFonts w:ascii="Arial" w:cs="Arial" w:eastAsia="Arial" w:hAnsi="Arial"/>
          <w:sz w:val="16"/>
          <w:szCs w:val="16"/>
          <w:b w:val="1"/>
          <w:bCs w:val="1"/>
          <w:color w:val="auto"/>
        </w:rPr>
        <w:t>Relevant Interests</w:t>
      </w:r>
      <w:r>
        <w:rPr>
          <w:rFonts w:ascii="Arial" w:cs="Arial" w:eastAsia="Arial" w:hAnsi="Arial"/>
          <w:sz w:val="16"/>
          <w:szCs w:val="16"/>
          <w:color w:val="auto"/>
        </w:rPr>
        <w:t>) that are subject to a restrictions notice issued pursuant to the Companies Law (Revised) (</w:t>
      </w:r>
      <w:r>
        <w:rPr>
          <w:rFonts w:ascii="Arial" w:cs="Arial" w:eastAsia="Arial" w:hAnsi="Arial"/>
          <w:sz w:val="16"/>
          <w:szCs w:val="16"/>
          <w:b w:val="1"/>
          <w:bCs w:val="1"/>
          <w:color w:val="auto"/>
        </w:rPr>
        <w:t>Companies Law</w:t>
      </w:r>
      <w:r>
        <w:rPr>
          <w:rFonts w:ascii="Arial" w:cs="Arial" w:eastAsia="Arial" w:hAnsi="Arial"/>
          <w:sz w:val="16"/>
          <w:szCs w:val="16"/>
          <w:color w:val="auto"/>
        </w:rPr>
        <w:t xml:space="preserve">) of the Cayman Islands (a </w:t>
      </w:r>
      <w:r>
        <w:rPr>
          <w:rFonts w:ascii="Arial" w:cs="Arial" w:eastAsia="Arial" w:hAnsi="Arial"/>
          <w:sz w:val="16"/>
          <w:szCs w:val="16"/>
          <w:b w:val="1"/>
          <w:bCs w:val="1"/>
          <w:color w:val="auto"/>
        </w:rPr>
        <w:t>Restrictions Notice</w:t>
      </w:r>
      <w:r>
        <w:rPr>
          <w:rFonts w:ascii="Arial" w:cs="Arial" w:eastAsia="Arial" w:hAnsi="Arial"/>
          <w:sz w:val="16"/>
          <w:szCs w:val="16"/>
          <w:color w:val="auto"/>
        </w:rPr>
        <w:t>).</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Share Issuance</w:t>
      </w:r>
    </w:p>
    <w:p>
      <w:pPr>
        <w:spacing w:after="0" w:line="213" w:lineRule="exact"/>
        <w:rPr>
          <w:sz w:val="20"/>
          <w:szCs w:val="20"/>
          <w:color w:val="auto"/>
        </w:rPr>
      </w:pPr>
    </w:p>
    <w:p>
      <w:pPr>
        <w:ind w:left="547" w:hanging="547"/>
        <w:spacing w:after="0"/>
        <w:tabs>
          <w:tab w:leader="none" w:pos="54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Ordinary Shares shall be issued at an issue price in excess of the par value thereof.</w:t>
      </w:r>
    </w:p>
    <w:p>
      <w:pPr>
        <w:spacing w:after="0" w:line="211" w:lineRule="exact"/>
        <w:rPr>
          <w:rFonts w:ascii="Arial" w:cs="Arial" w:eastAsia="Arial" w:hAnsi="Arial"/>
          <w:sz w:val="16"/>
          <w:szCs w:val="16"/>
          <w:color w:val="auto"/>
        </w:rPr>
      </w:pPr>
    </w:p>
    <w:p>
      <w:pPr>
        <w:ind w:left="547" w:right="20" w:hanging="547"/>
        <w:spacing w:after="0" w:line="258" w:lineRule="auto"/>
        <w:tabs>
          <w:tab w:leader="none" w:pos="54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draft amended and restated articles of association appended to the Registration Statement will be adopted by the Company in accordance with the Articles of Association prior to the date that any Ordinary Shares are issued by the Company.</w:t>
      </w:r>
    </w:p>
    <w:p>
      <w:pPr>
        <w:spacing w:after="0" w:line="3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547" w:right="319" w:bottom="1440" w:gutter="0" w:footer="0" w:header="0"/>
        </w:sectPr>
      </w:pPr>
    </w:p>
    <w:bookmarkStart w:id="343" w:name="page344"/>
    <w:bookmarkEnd w:id="343"/>
    <w:p>
      <w:pPr>
        <w:jc w:val="center"/>
        <w:ind w:right="-6"/>
        <w:spacing w:after="0"/>
        <w:rPr>
          <w:sz w:val="20"/>
          <w:szCs w:val="20"/>
          <w:color w:val="auto"/>
        </w:rPr>
      </w:pPr>
      <w:r>
        <w:rPr>
          <w:rFonts w:ascii="Arial" w:cs="Arial" w:eastAsia="Arial" w:hAnsi="Arial"/>
          <w:sz w:val="19"/>
          <w:szCs w:val="19"/>
          <w:b w:val="1"/>
          <w:bCs w:val="1"/>
          <w:color w:val="auto"/>
        </w:rPr>
        <w:t>SCHEDULE 3</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Qualifications</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Good Standing</w:t>
      </w:r>
    </w:p>
    <w:p>
      <w:pPr>
        <w:spacing w:after="0" w:line="213" w:lineRule="exact"/>
        <w:rPr>
          <w:sz w:val="20"/>
          <w:szCs w:val="20"/>
          <w:color w:val="auto"/>
        </w:rPr>
      </w:pPr>
    </w:p>
    <w:p>
      <w:pPr>
        <w:jc w:val="both"/>
        <w:ind w:left="547" w:right="20" w:hanging="547"/>
        <w:spacing w:after="0" w:line="303" w:lineRule="auto"/>
        <w:tabs>
          <w:tab w:leader="none" w:pos="547" w:val="left"/>
        </w:tabs>
        <w:numPr>
          <w:ilvl w:val="0"/>
          <w:numId w:val="378"/>
        </w:numPr>
        <w:rPr>
          <w:rFonts w:ascii="Arial" w:cs="Arial" w:eastAsia="Arial" w:hAnsi="Arial"/>
          <w:sz w:val="14"/>
          <w:szCs w:val="14"/>
          <w:color w:val="auto"/>
        </w:rPr>
      </w:pPr>
      <w:r>
        <w:rPr>
          <w:rFonts w:ascii="Arial" w:cs="Arial" w:eastAsia="Arial" w:hAnsi="Arial"/>
          <w:sz w:val="14"/>
          <w:szCs w:val="14"/>
          <w:color w:val="auto"/>
        </w:rPr>
        <w:t>Under the Companies Law (Revised)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52" w:lineRule="exact"/>
        <w:rPr>
          <w:sz w:val="20"/>
          <w:szCs w:val="20"/>
          <w:color w:val="auto"/>
        </w:rPr>
      </w:pPr>
    </w:p>
    <w:p>
      <w:pPr>
        <w:jc w:val="both"/>
        <w:ind w:left="547" w:hanging="547"/>
        <w:spacing w:after="0" w:line="254" w:lineRule="auto"/>
        <w:tabs>
          <w:tab w:leader="none" w:pos="547" w:val="left"/>
        </w:tabs>
        <w:numPr>
          <w:ilvl w:val="0"/>
          <w:numId w:val="379"/>
        </w:numPr>
        <w:rPr>
          <w:rFonts w:ascii="Arial" w:cs="Arial" w:eastAsia="Arial" w:hAnsi="Arial"/>
          <w:sz w:val="16"/>
          <w:szCs w:val="16"/>
          <w:color w:val="auto"/>
        </w:rPr>
      </w:pPr>
      <w:r>
        <w:rPr>
          <w:rFonts w:ascii="Arial" w:cs="Arial" w:eastAsia="Arial" w:hAnsi="Arial"/>
          <w:sz w:val="16"/>
          <w:szCs w:val="16"/>
          <w:b w:val="1"/>
          <w:bCs w:val="1"/>
          <w:color w:val="auto"/>
        </w:rPr>
        <w:t xml:space="preserve">In good standing </w:t>
      </w:r>
      <w:r>
        <w:rPr>
          <w:rFonts w:ascii="Arial" w:cs="Arial" w:eastAsia="Arial" w:hAnsi="Arial"/>
          <w:sz w:val="16"/>
          <w:szCs w:val="16"/>
          <w:color w:val="auto"/>
        </w:rPr>
        <w:t>means only that as of the date of the Good Standing Certificate the Company is up-to-date with the filing of its annual returns and payment of annual fees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Registrar. We have made no enquiries into the Company's good standing with respect to any filings or payment of fees, or both, that it may be required to make under the laws of the Cayman Islands other than the Companies Law.</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Limited liability</w:t>
      </w:r>
    </w:p>
    <w:p>
      <w:pPr>
        <w:spacing w:after="0" w:line="213" w:lineRule="exact"/>
        <w:rPr>
          <w:sz w:val="20"/>
          <w:szCs w:val="20"/>
          <w:color w:val="auto"/>
        </w:rPr>
      </w:pPr>
    </w:p>
    <w:p>
      <w:pPr>
        <w:jc w:val="both"/>
        <w:ind w:left="547" w:hanging="547"/>
        <w:spacing w:after="0" w:line="287" w:lineRule="auto"/>
        <w:tabs>
          <w:tab w:leader="none" w:pos="547" w:val="left"/>
        </w:tabs>
        <w:numPr>
          <w:ilvl w:val="0"/>
          <w:numId w:val="380"/>
        </w:numPr>
        <w:rPr>
          <w:rFonts w:ascii="Arial" w:cs="Arial" w:eastAsia="Arial" w:hAnsi="Arial"/>
          <w:sz w:val="14"/>
          <w:szCs w:val="14"/>
          <w:color w:val="auto"/>
        </w:rPr>
      </w:pPr>
      <w:r>
        <w:rPr>
          <w:rFonts w:ascii="Arial" w:cs="Arial" w:eastAsia="Arial" w:hAnsi="Arial"/>
          <w:sz w:val="14"/>
          <w:szCs w:val="14"/>
          <w:color w:val="auto"/>
        </w:rPr>
        <w:t>We are not aware of any Cayman Islands authority as to when the courts would set aside the limited liability of a shareholder in a Cayman Islands company. Our opinion on the subject is based on the Companies Law of the Cayman Islands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Non-Assessable</w:t>
      </w:r>
    </w:p>
    <w:p>
      <w:pPr>
        <w:spacing w:after="0" w:line="213" w:lineRule="exact"/>
        <w:rPr>
          <w:sz w:val="20"/>
          <w:szCs w:val="20"/>
          <w:color w:val="auto"/>
        </w:rPr>
      </w:pPr>
    </w:p>
    <w:p>
      <w:pPr>
        <w:jc w:val="both"/>
        <w:ind w:left="547" w:hanging="547"/>
        <w:spacing w:after="0" w:line="248" w:lineRule="auto"/>
        <w:tabs>
          <w:tab w:leader="none" w:pos="54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 this opinion letter, the phrase “non-assessable” means, with respect to the Ordinary Shares in the Company, that a shareholder shall not, solely by virtue of its status as a shareholder, be liable for additional assessments or calls on the Ordinary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15" w:right="319" w:bottom="1440" w:gutter="0" w:footer="0" w:header="0"/>
        </w:sectPr>
      </w:pPr>
    </w:p>
    <w:bookmarkStart w:id="344" w:name="page345"/>
    <w:bookmarkEnd w:id="344"/>
    <w:p>
      <w:pPr>
        <w:ind w:left="7"/>
        <w:spacing w:after="0"/>
        <w:rPr>
          <w:sz w:val="20"/>
          <w:szCs w:val="20"/>
          <w:color w:val="auto"/>
        </w:rPr>
      </w:pPr>
      <w:r>
        <w:rPr>
          <w:rFonts w:ascii="Arial" w:cs="Arial" w:eastAsia="Arial" w:hAnsi="Arial"/>
          <w:sz w:val="19"/>
          <w:szCs w:val="19"/>
          <w:b w:val="1"/>
          <w:bCs w:val="1"/>
          <w:color w:val="auto"/>
        </w:rPr>
        <w:t>Register of Writs</w:t>
      </w:r>
    </w:p>
    <w:p>
      <w:pPr>
        <w:spacing w:after="0" w:line="213" w:lineRule="exact"/>
        <w:rPr>
          <w:sz w:val="20"/>
          <w:szCs w:val="20"/>
          <w:color w:val="auto"/>
        </w:rPr>
      </w:pPr>
    </w:p>
    <w:p>
      <w:pPr>
        <w:ind w:left="547" w:hanging="547"/>
        <w:spacing w:after="0"/>
        <w:tabs>
          <w:tab w:leader="none" w:pos="547" w:val="left"/>
        </w:tabs>
        <w:numPr>
          <w:ilvl w:val="0"/>
          <w:numId w:val="382"/>
        </w:numPr>
        <w:rPr>
          <w:rFonts w:ascii="Arial" w:cs="Arial" w:eastAsia="Arial" w:hAnsi="Arial"/>
          <w:sz w:val="16"/>
          <w:szCs w:val="16"/>
          <w:color w:val="auto"/>
        </w:rPr>
      </w:pPr>
      <w:r>
        <w:rPr>
          <w:rFonts w:ascii="Arial" w:cs="Arial" w:eastAsia="Arial" w:hAnsi="Arial"/>
          <w:sz w:val="16"/>
          <w:szCs w:val="16"/>
          <w:color w:val="auto"/>
        </w:rPr>
        <w:t>Our examination of the Register of Writs cannot conclusively reveal whether or not there is:</w:t>
      </w:r>
    </w:p>
    <w:p>
      <w:pPr>
        <w:spacing w:after="0" w:line="211" w:lineRule="exact"/>
        <w:rPr>
          <w:rFonts w:ascii="Arial" w:cs="Arial" w:eastAsia="Arial" w:hAnsi="Arial"/>
          <w:sz w:val="16"/>
          <w:szCs w:val="16"/>
          <w:color w:val="auto"/>
        </w:rPr>
      </w:pPr>
    </w:p>
    <w:p>
      <w:pPr>
        <w:ind w:left="1087" w:hanging="540"/>
        <w:spacing w:after="0"/>
        <w:tabs>
          <w:tab w:leader="none" w:pos="1087" w:val="left"/>
        </w:tabs>
        <w:numPr>
          <w:ilvl w:val="1"/>
          <w:numId w:val="382"/>
        </w:numPr>
        <w:rPr>
          <w:rFonts w:ascii="Arial" w:cs="Arial" w:eastAsia="Arial" w:hAnsi="Arial"/>
          <w:sz w:val="16"/>
          <w:szCs w:val="16"/>
          <w:color w:val="auto"/>
        </w:rPr>
      </w:pPr>
      <w:r>
        <w:rPr>
          <w:rFonts w:ascii="Arial" w:cs="Arial" w:eastAsia="Arial" w:hAnsi="Arial"/>
          <w:sz w:val="16"/>
          <w:szCs w:val="16"/>
          <w:color w:val="auto"/>
        </w:rPr>
        <w:t>any current or pending litigation in the Cayman Islands against the Company; or</w:t>
      </w:r>
    </w:p>
    <w:p>
      <w:pPr>
        <w:spacing w:after="0" w:line="211" w:lineRule="exact"/>
        <w:rPr>
          <w:rFonts w:ascii="Arial" w:cs="Arial" w:eastAsia="Arial" w:hAnsi="Arial"/>
          <w:sz w:val="16"/>
          <w:szCs w:val="16"/>
          <w:color w:val="auto"/>
        </w:rPr>
      </w:pPr>
    </w:p>
    <w:p>
      <w:pPr>
        <w:ind w:left="1087" w:right="20" w:hanging="540"/>
        <w:spacing w:after="0" w:line="258" w:lineRule="auto"/>
        <w:tabs>
          <w:tab w:leader="none" w:pos="1087" w:val="left"/>
        </w:tabs>
        <w:numPr>
          <w:ilvl w:val="1"/>
          <w:numId w:val="382"/>
        </w:numPr>
        <w:rPr>
          <w:rFonts w:ascii="Arial" w:cs="Arial" w:eastAsia="Arial" w:hAnsi="Arial"/>
          <w:sz w:val="16"/>
          <w:szCs w:val="16"/>
          <w:color w:val="auto"/>
        </w:rPr>
      </w:pPr>
      <w:r>
        <w:rPr>
          <w:rFonts w:ascii="Arial" w:cs="Arial" w:eastAsia="Arial" w:hAnsi="Arial"/>
          <w:sz w:val="16"/>
          <w:szCs w:val="16"/>
          <w:color w:val="auto"/>
        </w:rPr>
        <w:t>any application for the winding up or dissolution of the Company or the appointment of any liquidator or trustee in bankruptcy in respect of the Company or any of its assets,</w:t>
      </w:r>
    </w:p>
    <w:p>
      <w:pPr>
        <w:spacing w:after="0" w:line="186" w:lineRule="exact"/>
        <w:rPr>
          <w:sz w:val="20"/>
          <w:szCs w:val="20"/>
          <w:color w:val="auto"/>
        </w:rPr>
      </w:pPr>
    </w:p>
    <w:p>
      <w:pPr>
        <w:jc w:val="both"/>
        <w:ind w:left="547"/>
        <w:spacing w:after="0" w:line="250" w:lineRule="auto"/>
        <w:rPr>
          <w:sz w:val="20"/>
          <w:szCs w:val="20"/>
          <w:color w:val="auto"/>
        </w:rPr>
      </w:pPr>
      <w:r>
        <w:rPr>
          <w:rFonts w:ascii="Arial" w:cs="Arial" w:eastAsia="Arial" w:hAnsi="Arial"/>
          <w:sz w:val="16"/>
          <w:szCs w:val="16"/>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51370" cy="146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26" w:right="319" w:bottom="1440" w:gutter="0" w:footer="0" w:header="0"/>
        </w:sectPr>
      </w:pPr>
    </w:p>
    <w:bookmarkStart w:id="345" w:name="page346"/>
    <w:bookmarkEnd w:id="34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INVESTMENT MANAGEMENT TRUST AGREEMENT</w:t>
      </w:r>
    </w:p>
    <w:p>
      <w:pPr>
        <w:spacing w:after="0" w:line="204" w:lineRule="exact"/>
        <w:rPr>
          <w:sz w:val="20"/>
          <w:szCs w:val="20"/>
          <w:color w:val="auto"/>
        </w:rPr>
      </w:pPr>
    </w:p>
    <w:p>
      <w:pPr>
        <w:jc w:val="both"/>
        <w:ind w:right="20" w:firstLine="559"/>
        <w:spacing w:after="0"/>
        <w:rPr>
          <w:sz w:val="20"/>
          <w:szCs w:val="20"/>
          <w:color w:val="auto"/>
        </w:rPr>
      </w:pPr>
      <w:r>
        <w:rPr>
          <w:rFonts w:ascii="Arial" w:cs="Arial" w:eastAsia="Arial" w:hAnsi="Arial"/>
          <w:sz w:val="19"/>
          <w:szCs w:val="19"/>
          <w:color w:val="auto"/>
        </w:rPr>
        <w:t>This Investment Management Trust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effective as of August [●], 2020 by and between ARYA Sciences Acquisition Corp III, a Cayman Islands exempted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Continental Stock Transfer &amp; Trust Company, a New York corporation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w:t>
      </w:r>
    </w:p>
    <w:p>
      <w:pPr>
        <w:spacing w:after="0" w:line="182" w:lineRule="exact"/>
        <w:rPr>
          <w:sz w:val="20"/>
          <w:szCs w:val="20"/>
          <w:color w:val="auto"/>
        </w:rPr>
      </w:pPr>
    </w:p>
    <w:p>
      <w:pPr>
        <w:jc w:val="both"/>
        <w:ind w:firstLine="559"/>
        <w:spacing w:after="0" w:line="237" w:lineRule="auto"/>
        <w:rPr>
          <w:sz w:val="20"/>
          <w:szCs w:val="20"/>
          <w:color w:val="auto"/>
        </w:rPr>
      </w:pPr>
      <w:r>
        <w:rPr>
          <w:rFonts w:ascii="Arial" w:cs="Arial" w:eastAsia="Arial" w:hAnsi="Arial"/>
          <w:sz w:val="19"/>
          <w:szCs w:val="19"/>
          <w:color w:val="auto"/>
        </w:rPr>
        <w:t>WHEREAS, the Company’s registration statement on Form S-1, File No. 333-239986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and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for the initial public offering of the Company’s Class A ordinary shares, par value $0.0001 per share (“</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 (such initial public offering hereinafter referred to as the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has been declared effective as of the date hereof by the U.S. Securities and Exchange Commission; and</w:t>
      </w:r>
    </w:p>
    <w:p>
      <w:pPr>
        <w:spacing w:after="0" w:line="184" w:lineRule="exact"/>
        <w:rPr>
          <w:sz w:val="20"/>
          <w:szCs w:val="20"/>
          <w:color w:val="auto"/>
        </w:rPr>
      </w:pPr>
    </w:p>
    <w:p>
      <w:pPr>
        <w:jc w:val="both"/>
        <w:ind w:right="20" w:firstLine="559"/>
        <w:spacing w:after="0" w:line="278"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Jefferies LLC and Goldman Sachs &amp; Co. LLC, as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to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 and</w:t>
      </w:r>
    </w:p>
    <w:p>
      <w:pPr>
        <w:spacing w:after="0" w:line="149" w:lineRule="exact"/>
        <w:rPr>
          <w:sz w:val="20"/>
          <w:szCs w:val="20"/>
          <w:color w:val="auto"/>
        </w:rPr>
      </w:pPr>
    </w:p>
    <w:p>
      <w:pPr>
        <w:jc w:val="both"/>
        <w:ind w:firstLine="559"/>
        <w:spacing w:after="0" w:line="234" w:lineRule="auto"/>
        <w:rPr>
          <w:sz w:val="20"/>
          <w:szCs w:val="20"/>
          <w:color w:val="auto"/>
        </w:rPr>
      </w:pPr>
      <w:r>
        <w:rPr>
          <w:rFonts w:ascii="Arial" w:cs="Arial" w:eastAsia="Arial" w:hAnsi="Arial"/>
          <w:sz w:val="19"/>
          <w:szCs w:val="19"/>
          <w:color w:val="auto"/>
        </w:rPr>
        <w:t>WHEREAS, as described in the Prospectus, $125,000,000 of the gross proceeds of the Offering and sale of the Sponsor Shares (as defined in the Underwriting Agreement) (or $143,750,000 if the Underwriters’ option to purchase additional Ordinary Shares is exercised in full) will be delivered to the Trustee to be deposited and held in a segregated trust account located at all times in the United States (the “</w:t>
      </w:r>
      <w:r>
        <w:rPr>
          <w:rFonts w:ascii="Arial" w:cs="Arial" w:eastAsia="Arial" w:hAnsi="Arial"/>
          <w:sz w:val="19"/>
          <w:szCs w:val="19"/>
          <w:b w:val="1"/>
          <w:bCs w:val="1"/>
          <w:i w:val="1"/>
          <w:iCs w:val="1"/>
          <w:color w:val="auto"/>
        </w:rPr>
        <w:t>Trust Account</w:t>
      </w:r>
      <w:r>
        <w:rPr>
          <w:rFonts w:ascii="Arial" w:cs="Arial" w:eastAsia="Arial" w:hAnsi="Arial"/>
          <w:sz w:val="19"/>
          <w:szCs w:val="19"/>
          <w:color w:val="auto"/>
        </w:rPr>
        <w:t>”) for the benefit of the Company and the holders of the Ordinary Shares issued in the Offering as hereinafter provided (the amount to be delivered to the Trustee (and any interest subsequently earned thereon) is referred to herein as the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the shareholders for whose benefit the Trustee shall hold the Property will be referred to as the “</w:t>
      </w:r>
      <w:r>
        <w:rPr>
          <w:rFonts w:ascii="Arial" w:cs="Arial" w:eastAsia="Arial" w:hAnsi="Arial"/>
          <w:sz w:val="19"/>
          <w:szCs w:val="19"/>
          <w:b w:val="1"/>
          <w:bCs w:val="1"/>
          <w:i w:val="1"/>
          <w:iCs w:val="1"/>
          <w:color w:val="auto"/>
        </w:rPr>
        <w:t>Public Shareholders,</w:t>
      </w:r>
      <w:r>
        <w:rPr>
          <w:rFonts w:ascii="Arial" w:cs="Arial" w:eastAsia="Arial" w:hAnsi="Arial"/>
          <w:sz w:val="19"/>
          <w:szCs w:val="19"/>
          <w:color w:val="auto"/>
        </w:rPr>
        <w:t>” and the Public Shareholders and the Company will be referred to together as the “</w:t>
      </w:r>
      <w:r>
        <w:rPr>
          <w:rFonts w:ascii="Arial" w:cs="Arial" w:eastAsia="Arial" w:hAnsi="Arial"/>
          <w:sz w:val="19"/>
          <w:szCs w:val="19"/>
          <w:b w:val="1"/>
          <w:bCs w:val="1"/>
          <w:i w:val="1"/>
          <w:iCs w:val="1"/>
          <w:color w:val="auto"/>
        </w:rPr>
        <w:t>Beneficiaries</w:t>
      </w:r>
      <w:r>
        <w:rPr>
          <w:rFonts w:ascii="Arial" w:cs="Arial" w:eastAsia="Arial" w:hAnsi="Arial"/>
          <w:sz w:val="19"/>
          <w:szCs w:val="19"/>
          <w:color w:val="auto"/>
        </w:rPr>
        <w:t>”); and</w:t>
      </w:r>
    </w:p>
    <w:p>
      <w:pPr>
        <w:spacing w:after="0" w:line="184" w:lineRule="exact"/>
        <w:rPr>
          <w:sz w:val="20"/>
          <w:szCs w:val="20"/>
          <w:color w:val="auto"/>
        </w:rPr>
      </w:pPr>
    </w:p>
    <w:p>
      <w:pPr>
        <w:jc w:val="both"/>
        <w:ind w:right="20" w:firstLine="559"/>
        <w:spacing w:after="0" w:line="283" w:lineRule="auto"/>
        <w:rPr>
          <w:sz w:val="20"/>
          <w:szCs w:val="20"/>
          <w:color w:val="auto"/>
        </w:rPr>
      </w:pPr>
      <w:r>
        <w:rPr>
          <w:rFonts w:ascii="Arial" w:cs="Arial" w:eastAsia="Arial" w:hAnsi="Arial"/>
          <w:sz w:val="17"/>
          <w:szCs w:val="17"/>
          <w:color w:val="auto"/>
        </w:rPr>
        <w:t>WHEREAS, pursuant to the Underwriting Agreement, a portion of the Property equal to $4,375,000, or $5,031,250 if the Underwriters’ option to purchase additional Ordinary Shares is exercised in full, is attributable to deferred underwriting discounts and commissions that will be payable by the Company to the Underwriter upon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46" w:lineRule="exact"/>
        <w:rPr>
          <w:sz w:val="20"/>
          <w:szCs w:val="20"/>
          <w:color w:val="auto"/>
        </w:rPr>
      </w:pPr>
    </w:p>
    <w:p>
      <w:pPr>
        <w:jc w:val="both"/>
        <w:ind w:right="20" w:firstLine="559"/>
        <w:spacing w:after="0" w:line="251" w:lineRule="auto"/>
        <w:rPr>
          <w:sz w:val="20"/>
          <w:szCs w:val="20"/>
          <w:color w:val="auto"/>
        </w:rPr>
      </w:pPr>
      <w:r>
        <w:rPr>
          <w:rFonts w:ascii="Arial" w:cs="Arial" w:eastAsia="Arial" w:hAnsi="Arial"/>
          <w:sz w:val="19"/>
          <w:szCs w:val="19"/>
          <w:color w:val="auto"/>
        </w:rPr>
        <w:t>WHEREAS, the Company and the Trustee desire to enter into this Agreement to set forth the terms and conditions pursuant to which the Trustee shall hold the Property.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NOW THEREFORE, IT IS AGREED:</w:t>
      </w:r>
    </w:p>
    <w:p>
      <w:pPr>
        <w:spacing w:after="0" w:line="200" w:lineRule="exact"/>
        <w:rPr>
          <w:sz w:val="20"/>
          <w:szCs w:val="20"/>
          <w:color w:val="auto"/>
        </w:rPr>
      </w:pPr>
    </w:p>
    <w:p>
      <w:pPr>
        <w:ind w:left="1160" w:hanging="608"/>
        <w:spacing w:after="0"/>
        <w:tabs>
          <w:tab w:leader="none" w:pos="1160" w:val="left"/>
        </w:tabs>
        <w:numPr>
          <w:ilvl w:val="0"/>
          <w:numId w:val="383"/>
        </w:numPr>
        <w:rPr>
          <w:rFonts w:ascii="Arial" w:cs="Arial" w:eastAsia="Arial" w:hAnsi="Arial"/>
          <w:sz w:val="19"/>
          <w:szCs w:val="19"/>
          <w:color w:val="auto"/>
        </w:rPr>
      </w:pPr>
      <w:r>
        <w:rPr>
          <w:rFonts w:ascii="Arial" w:cs="Arial" w:eastAsia="Arial" w:hAnsi="Arial"/>
          <w:sz w:val="19"/>
          <w:szCs w:val="19"/>
          <w:u w:val="single" w:color="auto"/>
          <w:color w:val="auto"/>
        </w:rPr>
        <w:t>Agreements and Covenants of Trustee</w:t>
      </w:r>
      <w:r>
        <w:rPr>
          <w:rFonts w:ascii="Arial" w:cs="Arial" w:eastAsia="Arial" w:hAnsi="Arial"/>
          <w:sz w:val="19"/>
          <w:szCs w:val="19"/>
          <w:color w:val="auto"/>
        </w:rPr>
        <w:t>. The Trustee hereby agrees and covenants to:</w:t>
      </w:r>
    </w:p>
    <w:p>
      <w:pPr>
        <w:spacing w:after="0" w:line="200" w:lineRule="exact"/>
        <w:rPr>
          <w:rFonts w:ascii="Arial" w:cs="Arial" w:eastAsia="Arial" w:hAnsi="Arial"/>
          <w:sz w:val="19"/>
          <w:szCs w:val="19"/>
          <w:color w:val="auto"/>
        </w:rPr>
      </w:pPr>
    </w:p>
    <w:p>
      <w:pPr>
        <w:jc w:val="both"/>
        <w:ind w:firstLine="1110"/>
        <w:spacing w:after="0" w:line="237" w:lineRule="auto"/>
        <w:tabs>
          <w:tab w:leader="none" w:pos="2082" w:val="left"/>
        </w:tabs>
        <w:numPr>
          <w:ilvl w:val="1"/>
          <w:numId w:val="383"/>
        </w:numPr>
        <w:rPr>
          <w:rFonts w:ascii="Arial" w:cs="Arial" w:eastAsia="Arial" w:hAnsi="Arial"/>
          <w:sz w:val="19"/>
          <w:szCs w:val="19"/>
          <w:color w:val="auto"/>
        </w:rPr>
      </w:pPr>
      <w:r>
        <w:rPr>
          <w:rFonts w:ascii="Arial" w:cs="Arial" w:eastAsia="Arial" w:hAnsi="Arial"/>
          <w:sz w:val="19"/>
          <w:szCs w:val="19"/>
          <w:color w:val="auto"/>
        </w:rPr>
        <w:t>Hold the Property in trust for the Beneficiaries in accordance with the terms of this Agreement in the Trust Account established by the Trustee located in the United States at J.P. Morgan Chase Bank, N.A. (or at another U.S. chartered commercial bank with consolidated assets of $100 billion or more) in the United States, maintained by Trustee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224790</wp:posOffset>
            </wp:positionV>
            <wp:extent cx="7151370" cy="146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346" w:name="page347"/>
    <w:bookmarkEnd w:id="346"/>
    <w:p>
      <w:pPr>
        <w:ind w:left="1800" w:hanging="690"/>
        <w:spacing w:after="0"/>
        <w:tabs>
          <w:tab w:leader="none" w:pos="180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Manage, supervise and administer the Trust Account subject to the terms and conditions set forth herein;</w:t>
      </w:r>
    </w:p>
    <w:p>
      <w:pPr>
        <w:spacing w:after="0" w:line="199" w:lineRule="exact"/>
        <w:rPr>
          <w:rFonts w:ascii="Arial" w:cs="Arial" w:eastAsia="Arial" w:hAnsi="Arial"/>
          <w:sz w:val="19"/>
          <w:szCs w:val="19"/>
          <w:color w:val="auto"/>
        </w:rPr>
      </w:pPr>
    </w:p>
    <w:p>
      <w:pPr>
        <w:jc w:val="both"/>
        <w:ind w:firstLine="1110"/>
        <w:spacing w:after="0" w:line="267" w:lineRule="auto"/>
        <w:tabs>
          <w:tab w:leader="none" w:pos="180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credits or other consideration;</w:t>
      </w:r>
    </w:p>
    <w:p>
      <w:pPr>
        <w:spacing w:after="0" w:line="161" w:lineRule="exact"/>
        <w:rPr>
          <w:rFonts w:ascii="Arial" w:cs="Arial" w:eastAsia="Arial" w:hAnsi="Arial"/>
          <w:sz w:val="17"/>
          <w:szCs w:val="17"/>
          <w:color w:val="auto"/>
        </w:rPr>
      </w:pPr>
    </w:p>
    <w:p>
      <w:pPr>
        <w:ind w:right="20" w:firstLine="1110"/>
        <w:spacing w:after="0" w:line="251" w:lineRule="auto"/>
        <w:tabs>
          <w:tab w:leader="none" w:pos="1819" w:val="left"/>
        </w:tabs>
        <w:numPr>
          <w:ilvl w:val="0"/>
          <w:numId w:val="384"/>
        </w:numPr>
        <w:rPr>
          <w:rFonts w:ascii="Arial" w:cs="Arial" w:eastAsia="Arial" w:hAnsi="Arial"/>
          <w:sz w:val="19"/>
          <w:szCs w:val="19"/>
          <w:color w:val="auto"/>
        </w:rPr>
      </w:pPr>
      <w:r>
        <w:rPr>
          <w:rFonts w:ascii="Arial" w:cs="Arial" w:eastAsia="Arial" w:hAnsi="Arial"/>
          <w:sz w:val="19"/>
          <w:szCs w:val="19"/>
          <w:color w:val="auto"/>
        </w:rPr>
        <w:t>Collect and receive, when due, all principal, interest or other income arising from the Property, which shall become part of the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as such term is used herein;</w:t>
      </w:r>
    </w:p>
    <w:p>
      <w:pPr>
        <w:spacing w:after="0" w:line="171" w:lineRule="exact"/>
        <w:rPr>
          <w:rFonts w:ascii="Arial" w:cs="Arial" w:eastAsia="Arial" w:hAnsi="Arial"/>
          <w:sz w:val="19"/>
          <w:szCs w:val="19"/>
          <w:color w:val="auto"/>
        </w:rPr>
      </w:pPr>
    </w:p>
    <w:p>
      <w:pPr>
        <w:ind w:firstLine="1110"/>
        <w:spacing w:after="0" w:line="251" w:lineRule="auto"/>
        <w:tabs>
          <w:tab w:leader="none" w:pos="1966" w:val="left"/>
        </w:tabs>
        <w:numPr>
          <w:ilvl w:val="0"/>
          <w:numId w:val="384"/>
        </w:numPr>
        <w:rPr>
          <w:rFonts w:ascii="Arial" w:cs="Arial" w:eastAsia="Arial" w:hAnsi="Arial"/>
          <w:sz w:val="19"/>
          <w:szCs w:val="19"/>
          <w:color w:val="auto"/>
        </w:rPr>
      </w:pPr>
      <w:r>
        <w:rPr>
          <w:rFonts w:ascii="Arial" w:cs="Arial" w:eastAsia="Arial" w:hAnsi="Arial"/>
          <w:sz w:val="19"/>
          <w:szCs w:val="19"/>
          <w:color w:val="auto"/>
        </w:rPr>
        <w:t>Promptly notify the Company and the Representatives of all communications received by the Trustee with respect to any Property requiring action by the Company;</w:t>
      </w:r>
    </w:p>
    <w:p>
      <w:pPr>
        <w:spacing w:after="0" w:line="171" w:lineRule="exact"/>
        <w:rPr>
          <w:rFonts w:ascii="Arial" w:cs="Arial" w:eastAsia="Arial" w:hAnsi="Arial"/>
          <w:sz w:val="19"/>
          <w:szCs w:val="19"/>
          <w:color w:val="auto"/>
        </w:rPr>
      </w:pPr>
    </w:p>
    <w:p>
      <w:pPr>
        <w:ind w:firstLine="1110"/>
        <w:spacing w:after="0" w:line="251" w:lineRule="auto"/>
        <w:tabs>
          <w:tab w:leader="none" w:pos="181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Supply any necessary information or documents as may be requested by the Company (or its authorized agents) in connection with the Company’s preparation of the tax returns relating to assets held in the Trust Account;</w:t>
      </w:r>
    </w:p>
    <w:p>
      <w:pPr>
        <w:spacing w:after="0" w:line="171" w:lineRule="exact"/>
        <w:rPr>
          <w:rFonts w:ascii="Arial" w:cs="Arial" w:eastAsia="Arial" w:hAnsi="Arial"/>
          <w:sz w:val="19"/>
          <w:szCs w:val="19"/>
          <w:color w:val="auto"/>
        </w:rPr>
      </w:pPr>
    </w:p>
    <w:p>
      <w:pPr>
        <w:ind w:firstLine="1110"/>
        <w:spacing w:after="0" w:line="251" w:lineRule="auto"/>
        <w:tabs>
          <w:tab w:leader="none" w:pos="1826" w:val="left"/>
        </w:tabs>
        <w:numPr>
          <w:ilvl w:val="0"/>
          <w:numId w:val="384"/>
        </w:numPr>
        <w:rPr>
          <w:rFonts w:ascii="Arial" w:cs="Arial" w:eastAsia="Arial" w:hAnsi="Arial"/>
          <w:sz w:val="19"/>
          <w:szCs w:val="19"/>
          <w:color w:val="auto"/>
        </w:rPr>
      </w:pPr>
      <w:r>
        <w:rPr>
          <w:rFonts w:ascii="Arial" w:cs="Arial" w:eastAsia="Arial" w:hAnsi="Arial"/>
          <w:sz w:val="19"/>
          <w:szCs w:val="19"/>
          <w:color w:val="auto"/>
        </w:rPr>
        <w:t>Participate in any plan or proceeding for protecting or enforcing any right or interest arising from the Property if, as and when instructed by the Company to do so;</w:t>
      </w:r>
    </w:p>
    <w:p>
      <w:pPr>
        <w:spacing w:after="0" w:line="171" w:lineRule="exact"/>
        <w:rPr>
          <w:rFonts w:ascii="Arial" w:cs="Arial" w:eastAsia="Arial" w:hAnsi="Arial"/>
          <w:sz w:val="19"/>
          <w:szCs w:val="19"/>
          <w:color w:val="auto"/>
        </w:rPr>
      </w:pPr>
    </w:p>
    <w:p>
      <w:pPr>
        <w:ind w:right="20" w:firstLine="1110"/>
        <w:spacing w:after="0" w:line="251" w:lineRule="auto"/>
        <w:tabs>
          <w:tab w:leader="none" w:pos="1999" w:val="left"/>
        </w:tabs>
        <w:numPr>
          <w:ilvl w:val="0"/>
          <w:numId w:val="384"/>
        </w:numPr>
        <w:rPr>
          <w:rFonts w:ascii="Arial" w:cs="Arial" w:eastAsia="Arial" w:hAnsi="Arial"/>
          <w:sz w:val="19"/>
          <w:szCs w:val="19"/>
          <w:color w:val="auto"/>
        </w:rPr>
      </w:pPr>
      <w:r>
        <w:rPr>
          <w:rFonts w:ascii="Arial" w:cs="Arial" w:eastAsia="Arial" w:hAnsi="Arial"/>
          <w:sz w:val="19"/>
          <w:szCs w:val="19"/>
          <w:color w:val="auto"/>
        </w:rPr>
        <w:t>Render to the Company monthly written statements of the activities of, and amounts in, the Trust Account reflecting all receipts and disbursements of the Trust Account;</w:t>
      </w:r>
    </w:p>
    <w:p>
      <w:pPr>
        <w:spacing w:after="0" w:line="171" w:lineRule="exact"/>
        <w:rPr>
          <w:rFonts w:ascii="Arial" w:cs="Arial" w:eastAsia="Arial" w:hAnsi="Arial"/>
          <w:sz w:val="19"/>
          <w:szCs w:val="19"/>
          <w:color w:val="auto"/>
        </w:rPr>
      </w:pPr>
    </w:p>
    <w:p>
      <w:pPr>
        <w:jc w:val="both"/>
        <w:ind w:firstLine="1110"/>
        <w:spacing w:after="0" w:line="261" w:lineRule="auto"/>
        <w:tabs>
          <w:tab w:leader="none" w:pos="179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following (x) receipt of, and only in accordance with, the terms of a letter from the Company (“</w:t>
      </w:r>
      <w:r>
        <w:rPr>
          <w:rFonts w:ascii="Arial" w:cs="Arial" w:eastAsia="Arial" w:hAnsi="Arial"/>
          <w:sz w:val="17"/>
          <w:szCs w:val="17"/>
          <w:b w:val="1"/>
          <w:bCs w:val="1"/>
          <w:i w:val="1"/>
          <w:iCs w:val="1"/>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as applicable, signed on behalf of the Company by its Chief Executive Officer, Chief Financial Officer or other authorized officer of the Company, and complete the liquidation of the Trust Account and distribute the Property in the Trust Account, including interest earned on the funds held in the Trust Account and not previously released to the Company to pay its income taxes, if any, (less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the Property in the Trust Account, including interest earned on the funds held in the Trust Account and not previously released to the Company to pay its income taxes, if any, (less up to $100,000 of interest to pay dissolution expenses), shall be distributed to the Public Shareholders of record as of such date. It is acknowledged and agreed that there should be no reduction in the principal amount per share initially deposited in the Trust Account;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47" w:name="page348"/>
    <w:bookmarkEnd w:id="347"/>
    <w:p>
      <w:pPr>
        <w:jc w:val="both"/>
        <w:ind w:firstLine="1110"/>
        <w:spacing w:after="0" w:line="246" w:lineRule="auto"/>
        <w:tabs>
          <w:tab w:leader="none" w:pos="178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Tax Payment Withdrawal Instruction</w:t>
      </w:r>
      <w:r>
        <w:rPr>
          <w:rFonts w:ascii="Arial" w:cs="Arial" w:eastAsia="Arial" w:hAnsi="Arial"/>
          <w:sz w:val="18"/>
          <w:szCs w:val="18"/>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initially deposited in the Trust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initially deposited in the Trust Account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79" w:lineRule="exact"/>
        <w:rPr>
          <w:rFonts w:ascii="Arial" w:cs="Arial" w:eastAsia="Arial" w:hAnsi="Arial"/>
          <w:sz w:val="18"/>
          <w:szCs w:val="18"/>
          <w:color w:val="auto"/>
        </w:rPr>
      </w:pPr>
    </w:p>
    <w:p>
      <w:pPr>
        <w:jc w:val="both"/>
        <w:ind w:firstLine="1110"/>
        <w:spacing w:after="0" w:line="237" w:lineRule="auto"/>
        <w:tabs>
          <w:tab w:leader="none" w:pos="1811" w:val="left"/>
        </w:tabs>
        <w:numPr>
          <w:ilvl w:val="1"/>
          <w:numId w:val="385"/>
        </w:numPr>
        <w:rPr>
          <w:rFonts w:ascii="Arial" w:cs="Arial" w:eastAsia="Arial" w:hAnsi="Arial"/>
          <w:sz w:val="19"/>
          <w:szCs w:val="19"/>
          <w:color w:val="auto"/>
        </w:rPr>
      </w:pPr>
      <w:r>
        <w:rPr>
          <w:rFonts w:ascii="Arial" w:cs="Arial" w:eastAsia="Arial" w:hAnsi="Arial"/>
          <w:sz w:val="19"/>
          <w:szCs w:val="19"/>
          <w:color w:val="auto"/>
        </w:rPr>
        <w:t xml:space="preserve">Upon written request from the Company, which may be given from time to time in a form substantially similar to that attached hereto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Shareholder Redemption Withdrawal Instruction</w:t>
      </w:r>
      <w:r>
        <w:rPr>
          <w:rFonts w:ascii="Arial" w:cs="Arial" w:eastAsia="Arial" w:hAnsi="Arial"/>
          <w:sz w:val="19"/>
          <w:szCs w:val="19"/>
          <w:color w:val="auto"/>
        </w:rPr>
        <w:t>”), the Trustee shall distribute to the remitting brokers on behalf of Public Shareholders redeeming Ordinary Shares the amount required to pay redeemed Ordinary Shares from Public Shareholders pursuant to the Company’s amended and restated memorandum and articles of association; and</w:t>
      </w:r>
    </w:p>
    <w:p>
      <w:pPr>
        <w:spacing w:after="0" w:line="184" w:lineRule="exact"/>
        <w:rPr>
          <w:rFonts w:ascii="Arial" w:cs="Arial" w:eastAsia="Arial" w:hAnsi="Arial"/>
          <w:sz w:val="19"/>
          <w:szCs w:val="19"/>
          <w:color w:val="auto"/>
        </w:rPr>
      </w:pPr>
    </w:p>
    <w:p>
      <w:pPr>
        <w:ind w:left="1760" w:hanging="650"/>
        <w:spacing w:after="0"/>
        <w:tabs>
          <w:tab w:leader="none" w:pos="17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11" w:lineRule="exact"/>
        <w:rPr>
          <w:rFonts w:ascii="Arial" w:cs="Arial" w:eastAsia="Arial" w:hAnsi="Arial"/>
          <w:sz w:val="18"/>
          <w:szCs w:val="18"/>
          <w:color w:val="auto"/>
        </w:rPr>
      </w:pPr>
    </w:p>
    <w:p>
      <w:pPr>
        <w:ind w:left="1160" w:hanging="608"/>
        <w:spacing w:after="0"/>
        <w:tabs>
          <w:tab w:leader="none" w:pos="1160" w:val="left"/>
        </w:tabs>
        <w:numPr>
          <w:ilvl w:val="0"/>
          <w:numId w:val="386"/>
        </w:numPr>
        <w:rPr>
          <w:rFonts w:ascii="Arial" w:cs="Arial" w:eastAsia="Arial" w:hAnsi="Arial"/>
          <w:sz w:val="19"/>
          <w:szCs w:val="19"/>
          <w:color w:val="auto"/>
        </w:rPr>
      </w:pPr>
      <w:r>
        <w:rPr>
          <w:rFonts w:ascii="Arial" w:cs="Arial" w:eastAsia="Arial" w:hAnsi="Arial"/>
          <w:sz w:val="19"/>
          <w:szCs w:val="19"/>
          <w:u w:val="single" w:color="auto"/>
          <w:color w:val="auto"/>
        </w:rPr>
        <w:t>Agreements and Covenants of the Company</w:t>
      </w:r>
      <w:r>
        <w:rPr>
          <w:rFonts w:ascii="Arial" w:cs="Arial" w:eastAsia="Arial" w:hAnsi="Arial"/>
          <w:sz w:val="19"/>
          <w:szCs w:val="19"/>
          <w:color w:val="auto"/>
        </w:rPr>
        <w:t>. The Company hereby agrees and covenants to:</w:t>
      </w:r>
    </w:p>
    <w:p>
      <w:pPr>
        <w:spacing w:after="0" w:line="200" w:lineRule="exact"/>
        <w:rPr>
          <w:rFonts w:ascii="Arial" w:cs="Arial" w:eastAsia="Arial" w:hAnsi="Arial"/>
          <w:sz w:val="19"/>
          <w:szCs w:val="19"/>
          <w:color w:val="auto"/>
        </w:rPr>
      </w:pPr>
    </w:p>
    <w:p>
      <w:pPr>
        <w:jc w:val="both"/>
        <w:ind w:firstLine="1110"/>
        <w:spacing w:after="0" w:line="236" w:lineRule="auto"/>
        <w:tabs>
          <w:tab w:leader="none" w:pos="1892" w:val="left"/>
        </w:tabs>
        <w:numPr>
          <w:ilvl w:val="1"/>
          <w:numId w:val="386"/>
        </w:numPr>
        <w:rPr>
          <w:rFonts w:ascii="Arial" w:cs="Arial" w:eastAsia="Arial" w:hAnsi="Arial"/>
          <w:sz w:val="19"/>
          <w:szCs w:val="19"/>
          <w:color w:val="auto"/>
        </w:rPr>
      </w:pPr>
      <w:r>
        <w:rPr>
          <w:rFonts w:ascii="Arial" w:cs="Arial" w:eastAsia="Arial" w:hAnsi="Arial"/>
          <w:sz w:val="19"/>
          <w:szCs w:val="19"/>
          <w:color w:val="auto"/>
        </w:rPr>
        <w:t xml:space="preserve">Give all instructions to the Trustee hereunder in writing, signed by the Company’s Chief Executive Officer, Chief Financial Officer or other authorized officer of the Company. In addition, except with respect to its duties under </w:t>
      </w:r>
      <w:r>
        <w:rPr>
          <w:rFonts w:ascii="Arial" w:cs="Arial" w:eastAsia="Arial" w:hAnsi="Arial"/>
          <w:sz w:val="19"/>
          <w:szCs w:val="19"/>
          <w:u w:val="single" w:color="auto"/>
          <w:color w:val="auto"/>
        </w:rPr>
        <w:t>Sections 1(i)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promptly confirm such instructions in writing;</w:t>
      </w:r>
    </w:p>
    <w:p>
      <w:pPr>
        <w:spacing w:after="0" w:line="182" w:lineRule="exact"/>
        <w:rPr>
          <w:rFonts w:ascii="Arial" w:cs="Arial" w:eastAsia="Arial" w:hAnsi="Arial"/>
          <w:sz w:val="19"/>
          <w:szCs w:val="19"/>
          <w:color w:val="auto"/>
        </w:rPr>
      </w:pPr>
    </w:p>
    <w:p>
      <w:pPr>
        <w:jc w:val="both"/>
        <w:ind w:firstLine="1110"/>
        <w:spacing w:after="0" w:line="262" w:lineRule="auto"/>
        <w:tabs>
          <w:tab w:leader="none" w:pos="1838" w:val="left"/>
        </w:tabs>
        <w:numPr>
          <w:ilvl w:val="1"/>
          <w:numId w:val="38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hold the Trustee harmless and indemnify the Trustee from and against any and all reasonable and documented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7"/>
          <w:szCs w:val="17"/>
          <w:u w:val="single" w:color="auto"/>
          <w:color w:val="auto"/>
        </w:rPr>
        <w:t>Section 2(b)</w:t>
      </w:r>
      <w:r>
        <w:rPr>
          <w:rFonts w:ascii="Arial" w:cs="Arial" w:eastAsia="Arial" w:hAnsi="Arial"/>
          <w:sz w:val="17"/>
          <w:szCs w:val="17"/>
          <w:color w:val="auto"/>
        </w:rPr>
        <w:t>, it shall notify the Company in writing of such claim (hereinafter referred to as the “</w:t>
      </w:r>
      <w:r>
        <w:rPr>
          <w:rFonts w:ascii="Arial" w:cs="Arial" w:eastAsia="Arial" w:hAnsi="Arial"/>
          <w:sz w:val="17"/>
          <w:szCs w:val="17"/>
          <w:b w:val="1"/>
          <w:bCs w:val="1"/>
          <w:i w:val="1"/>
          <w:iCs w:val="1"/>
          <w:color w:val="auto"/>
        </w:rPr>
        <w:t>Indemnified Claim</w:t>
      </w:r>
      <w:r>
        <w:rPr>
          <w:rFonts w:ascii="Arial" w:cs="Arial" w:eastAsia="Arial" w:hAnsi="Arial"/>
          <w:sz w:val="17"/>
          <w:szCs w:val="17"/>
          <w:color w:val="auto"/>
        </w:rPr>
        <w:t xml:space="preserve">”). The Trustee shall have the right to conduct and manage the defense against such Indemnified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48" w:name="page349"/>
    <w:bookmarkEnd w:id="348"/>
    <w:p>
      <w:pPr>
        <w:jc w:val="both"/>
        <w:ind w:firstLine="1110"/>
        <w:spacing w:after="0" w:line="267" w:lineRule="auto"/>
        <w:tabs>
          <w:tab w:leader="none" w:pos="192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Pay the Trustee the fees set forth on Schedule A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1(k)</w:t>
      </w:r>
      <w:r>
        <w:rPr>
          <w:rFonts w:ascii="Arial" w:cs="Arial" w:eastAsia="Arial" w:hAnsi="Arial"/>
          <w:sz w:val="17"/>
          <w:szCs w:val="17"/>
          <w:color w:val="auto"/>
        </w:rPr>
        <w:t xml:space="preserve"> hereof.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as may be provided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w:t>
      </w:r>
    </w:p>
    <w:p>
      <w:pPr>
        <w:spacing w:after="0" w:line="161" w:lineRule="exact"/>
        <w:rPr>
          <w:rFonts w:ascii="Arial" w:cs="Arial" w:eastAsia="Arial" w:hAnsi="Arial"/>
          <w:sz w:val="17"/>
          <w:szCs w:val="17"/>
          <w:color w:val="auto"/>
        </w:rPr>
      </w:pPr>
    </w:p>
    <w:p>
      <w:pPr>
        <w:jc w:val="both"/>
        <w:ind w:firstLine="1110"/>
        <w:spacing w:after="0" w:line="237" w:lineRule="auto"/>
        <w:tabs>
          <w:tab w:leader="none" w:pos="2005" w:val="left"/>
        </w:tabs>
        <w:numPr>
          <w:ilvl w:val="0"/>
          <w:numId w:val="387"/>
        </w:numPr>
        <w:rPr>
          <w:rFonts w:ascii="Arial" w:cs="Arial" w:eastAsia="Arial" w:hAnsi="Arial"/>
          <w:sz w:val="19"/>
          <w:szCs w:val="19"/>
          <w:color w:val="auto"/>
        </w:rPr>
      </w:pPr>
      <w:r>
        <w:rPr>
          <w:rFonts w:ascii="Arial" w:cs="Arial" w:eastAsia="Arial" w:hAnsi="Arial"/>
          <w:sz w:val="19"/>
          <w:szCs w:val="19"/>
          <w:color w:val="auto"/>
        </w:rPr>
        <w:t>In connection with any vote of the Company’s shareholders regarding a merger, share exchange, asset acquisition, share purchase, reorganization or similar business combination involving the Company and one or more businesses (the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provide to the Trustee an affidavit or certificate of the inspector of elections for the shareholder meeting verifying the vote of such shareholders regarding such Business Combination;</w:t>
      </w:r>
    </w:p>
    <w:p>
      <w:pPr>
        <w:spacing w:after="0" w:line="184" w:lineRule="exact"/>
        <w:rPr>
          <w:rFonts w:ascii="Arial" w:cs="Arial" w:eastAsia="Arial" w:hAnsi="Arial"/>
          <w:sz w:val="19"/>
          <w:szCs w:val="19"/>
          <w:color w:val="auto"/>
        </w:rPr>
      </w:pPr>
    </w:p>
    <w:p>
      <w:pPr>
        <w:ind w:right="20" w:firstLine="1110"/>
        <w:spacing w:after="0" w:line="251" w:lineRule="auto"/>
        <w:tabs>
          <w:tab w:leader="none" w:pos="1976" w:val="left"/>
        </w:tabs>
        <w:numPr>
          <w:ilvl w:val="0"/>
          <w:numId w:val="387"/>
        </w:numPr>
        <w:rPr>
          <w:rFonts w:ascii="Arial" w:cs="Arial" w:eastAsia="Arial" w:hAnsi="Arial"/>
          <w:sz w:val="19"/>
          <w:szCs w:val="19"/>
          <w:color w:val="auto"/>
        </w:rPr>
      </w:pPr>
      <w:r>
        <w:rPr>
          <w:rFonts w:ascii="Arial" w:cs="Arial" w:eastAsia="Arial" w:hAnsi="Arial"/>
          <w:sz w:val="19"/>
          <w:szCs w:val="19"/>
          <w:color w:val="auto"/>
        </w:rPr>
        <w:t>Provide the Representatives with a copy of any Termination Letter(s) and/or any other correspondence that is sent to the Trustee with respect to any proposed withdrawal from the Trust Account promptly after it issues the same;</w:t>
      </w:r>
    </w:p>
    <w:p>
      <w:pPr>
        <w:spacing w:after="0" w:line="171" w:lineRule="exact"/>
        <w:rPr>
          <w:rFonts w:ascii="Arial" w:cs="Arial" w:eastAsia="Arial" w:hAnsi="Arial"/>
          <w:sz w:val="19"/>
          <w:szCs w:val="19"/>
          <w:color w:val="auto"/>
        </w:rPr>
      </w:pPr>
    </w:p>
    <w:p>
      <w:pPr>
        <w:jc w:val="both"/>
        <w:ind w:firstLine="1110"/>
        <w:spacing w:after="0" w:line="237" w:lineRule="auto"/>
        <w:tabs>
          <w:tab w:leader="none" w:pos="197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Unless otherwise agreed between the Company and the Representatives, ensure that any Instruction Letter (as defined in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delivered in connection with a Termination Letter in the form of</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provides that the Deferred Discount is paid 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to the account or accounts directed by the Representatives on behalf of the Underwriters prior to any transfer of the funds held in the Trust Account to the Company or any other person;</w:t>
      </w:r>
    </w:p>
    <w:p>
      <w:pPr>
        <w:spacing w:after="0" w:line="184" w:lineRule="exact"/>
        <w:rPr>
          <w:rFonts w:ascii="Arial" w:cs="Arial" w:eastAsia="Arial" w:hAnsi="Arial"/>
          <w:sz w:val="19"/>
          <w:szCs w:val="19"/>
          <w:color w:val="auto"/>
        </w:rPr>
      </w:pPr>
    </w:p>
    <w:p>
      <w:pPr>
        <w:ind w:right="20" w:firstLine="1110"/>
        <w:spacing w:after="0" w:line="251" w:lineRule="auto"/>
        <w:tabs>
          <w:tab w:leader="none" w:pos="1845" w:val="left"/>
        </w:tabs>
        <w:numPr>
          <w:ilvl w:val="0"/>
          <w:numId w:val="387"/>
        </w:numPr>
        <w:rPr>
          <w:rFonts w:ascii="Arial" w:cs="Arial" w:eastAsia="Arial" w:hAnsi="Arial"/>
          <w:sz w:val="19"/>
          <w:szCs w:val="19"/>
          <w:color w:val="auto"/>
        </w:rPr>
      </w:pPr>
      <w:r>
        <w:rPr>
          <w:rFonts w:ascii="Arial" w:cs="Arial" w:eastAsia="Arial" w:hAnsi="Arial"/>
          <w:sz w:val="19"/>
          <w:szCs w:val="19"/>
          <w:color w:val="auto"/>
        </w:rPr>
        <w:t>Instruct the Trustee to make only those distributions that are permitted under this Agreement, and refrain from instructing the Trustee to make any distributions that are not permitted under this Agreement;</w:t>
      </w:r>
    </w:p>
    <w:p>
      <w:pPr>
        <w:spacing w:after="0" w:line="171" w:lineRule="exact"/>
        <w:rPr>
          <w:rFonts w:ascii="Arial" w:cs="Arial" w:eastAsia="Arial" w:hAnsi="Arial"/>
          <w:sz w:val="19"/>
          <w:szCs w:val="19"/>
          <w:color w:val="auto"/>
        </w:rPr>
      </w:pPr>
    </w:p>
    <w:p>
      <w:pPr>
        <w:jc w:val="both"/>
        <w:ind w:firstLine="1110"/>
        <w:spacing w:after="0" w:line="248" w:lineRule="auto"/>
        <w:tabs>
          <w:tab w:leader="none" w:pos="191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the Company seeks to amend any provisions of its amended and restated memorandum and articles of association (A) to modify the substance or timing of the Company’s obligation to provide holders of the Ordinary Shares the right to have their shares redeemed in connection with the Company’s initial Business Combination or to redeem 100% of the Ordinary Shares if the Company does not complete its initial Business Combination within the time period set forth therein or (B) with respect to any other provision relating to the rights of holders of the Ordinary Shares (in each case, an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the Company will provide the Trustee with a letter (an “</w:t>
      </w:r>
      <w:r>
        <w:rPr>
          <w:rFonts w:ascii="Arial" w:cs="Arial" w:eastAsia="Arial" w:hAnsi="Arial"/>
          <w:sz w:val="18"/>
          <w:szCs w:val="18"/>
          <w:b w:val="1"/>
          <w:bCs w:val="1"/>
          <w:i w:val="1"/>
          <w:iCs w:val="1"/>
          <w:color w:val="auto"/>
        </w:rPr>
        <w:t>Amendment Notification Letter</w:t>
      </w:r>
      <w:r>
        <w:rPr>
          <w:rFonts w:ascii="Arial" w:cs="Arial" w:eastAsia="Arial" w:hAnsi="Arial"/>
          <w:sz w:val="18"/>
          <w:szCs w:val="18"/>
          <w:color w:val="auto"/>
        </w:rPr>
        <w:t xml:space="preserve">”) in the form of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providing instructions for the distribution of funds to Public Shareholders who exercise their redemption option and properly tender their shares in connection with such Amendment;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49" w:name="page350"/>
    <w:bookmarkEnd w:id="349"/>
    <w:p>
      <w:pPr>
        <w:jc w:val="both"/>
        <w:ind w:right="20" w:firstLine="1110"/>
        <w:spacing w:after="0"/>
        <w:tabs>
          <w:tab w:leader="none" w:pos="1953" w:val="left"/>
        </w:tabs>
        <w:numPr>
          <w:ilvl w:val="1"/>
          <w:numId w:val="388"/>
        </w:numPr>
        <w:rPr>
          <w:rFonts w:ascii="Arial" w:cs="Arial" w:eastAsia="Arial" w:hAnsi="Arial"/>
          <w:sz w:val="19"/>
          <w:szCs w:val="19"/>
          <w:color w:val="auto"/>
        </w:rPr>
      </w:pPr>
      <w:r>
        <w:rPr>
          <w:rFonts w:ascii="Arial" w:cs="Arial" w:eastAsia="Arial" w:hAnsi="Arial"/>
          <w:sz w:val="19"/>
          <w:szCs w:val="19"/>
          <w:color w:val="auto"/>
        </w:rPr>
        <w:t>Within five (5) business days after the Underwriters exercise their option to purchase additional Ordinary Shares (or any unexercised portion thereof) or such option to purchase additional Ordinary Shares expires, provide the Trustee with a notice in writing of the total amount of the Deferred Discount.</w:t>
      </w:r>
    </w:p>
    <w:p>
      <w:pPr>
        <w:spacing w:after="0" w:line="182" w:lineRule="exact"/>
        <w:rPr>
          <w:rFonts w:ascii="Arial" w:cs="Arial" w:eastAsia="Arial" w:hAnsi="Arial"/>
          <w:sz w:val="19"/>
          <w:szCs w:val="19"/>
          <w:color w:val="auto"/>
        </w:rPr>
      </w:pPr>
    </w:p>
    <w:p>
      <w:pPr>
        <w:ind w:left="1160" w:hanging="608"/>
        <w:spacing w:after="0"/>
        <w:tabs>
          <w:tab w:leader="none" w:pos="1160" w:val="left"/>
        </w:tabs>
        <w:numPr>
          <w:ilvl w:val="0"/>
          <w:numId w:val="389"/>
        </w:numPr>
        <w:rPr>
          <w:rFonts w:ascii="Arial" w:cs="Arial" w:eastAsia="Arial" w:hAnsi="Arial"/>
          <w:sz w:val="19"/>
          <w:szCs w:val="19"/>
          <w:color w:val="auto"/>
        </w:rPr>
      </w:pPr>
      <w:r>
        <w:rPr>
          <w:rFonts w:ascii="Arial" w:cs="Arial" w:eastAsia="Arial" w:hAnsi="Arial"/>
          <w:sz w:val="19"/>
          <w:szCs w:val="19"/>
          <w:u w:val="single" w:color="auto"/>
          <w:color w:val="auto"/>
        </w:rPr>
        <w:t>Limitations of Liability</w:t>
      </w:r>
      <w:r>
        <w:rPr>
          <w:rFonts w:ascii="Arial" w:cs="Arial" w:eastAsia="Arial" w:hAnsi="Arial"/>
          <w:sz w:val="19"/>
          <w:szCs w:val="19"/>
          <w:color w:val="auto"/>
        </w:rPr>
        <w:t>. The Trustee shall have no responsibility or liability to:</w:t>
      </w:r>
    </w:p>
    <w:p>
      <w:pPr>
        <w:spacing w:after="0" w:line="200" w:lineRule="exact"/>
        <w:rPr>
          <w:rFonts w:ascii="Arial" w:cs="Arial" w:eastAsia="Arial" w:hAnsi="Arial"/>
          <w:sz w:val="19"/>
          <w:szCs w:val="19"/>
          <w:color w:val="auto"/>
        </w:rPr>
      </w:pPr>
    </w:p>
    <w:p>
      <w:pPr>
        <w:ind w:firstLine="1110"/>
        <w:spacing w:after="0" w:line="251" w:lineRule="auto"/>
        <w:tabs>
          <w:tab w:leader="none" w:pos="1851" w:val="left"/>
        </w:tabs>
        <w:numPr>
          <w:ilvl w:val="1"/>
          <w:numId w:val="389"/>
        </w:numPr>
        <w:rPr>
          <w:rFonts w:ascii="Arial" w:cs="Arial" w:eastAsia="Arial" w:hAnsi="Arial"/>
          <w:sz w:val="19"/>
          <w:szCs w:val="19"/>
          <w:color w:val="auto"/>
        </w:rPr>
      </w:pPr>
      <w:r>
        <w:rPr>
          <w:rFonts w:ascii="Arial" w:cs="Arial" w:eastAsia="Arial" w:hAnsi="Arial"/>
          <w:sz w:val="19"/>
          <w:szCs w:val="19"/>
          <w:color w:val="auto"/>
        </w:rPr>
        <w:t>Imply obligations, perform duties, inquire or otherwise be subject to the provisions of any agreement or document other than this Agreement and that which is expressly set forth herein;</w:t>
      </w:r>
    </w:p>
    <w:p>
      <w:pPr>
        <w:spacing w:after="0" w:line="171" w:lineRule="exact"/>
        <w:rPr>
          <w:rFonts w:ascii="Arial" w:cs="Arial" w:eastAsia="Arial" w:hAnsi="Arial"/>
          <w:sz w:val="19"/>
          <w:szCs w:val="19"/>
          <w:color w:val="auto"/>
        </w:rPr>
      </w:pPr>
    </w:p>
    <w:p>
      <w:pPr>
        <w:ind w:right="20" w:firstLine="1110"/>
        <w:spacing w:after="0" w:line="251" w:lineRule="auto"/>
        <w:tabs>
          <w:tab w:leader="none" w:pos="1847" w:val="left"/>
        </w:tabs>
        <w:numPr>
          <w:ilvl w:val="1"/>
          <w:numId w:val="389"/>
        </w:numPr>
        <w:rPr>
          <w:rFonts w:ascii="Arial" w:cs="Arial" w:eastAsia="Arial" w:hAnsi="Arial"/>
          <w:sz w:val="19"/>
          <w:szCs w:val="19"/>
          <w:color w:val="auto"/>
        </w:rPr>
      </w:pPr>
      <w:r>
        <w:rPr>
          <w:rFonts w:ascii="Arial" w:cs="Arial" w:eastAsia="Arial" w:hAnsi="Arial"/>
          <w:sz w:val="19"/>
          <w:szCs w:val="19"/>
          <w:color w:val="auto"/>
        </w:rPr>
        <w:t xml:space="preserve">Take any action with respect to the Property, other than as directed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and the Trustee shall have no liability to any third party except for liability arising out of the Trustee’s gross negligence, fraud or willful misconduct;</w:t>
      </w:r>
    </w:p>
    <w:p>
      <w:pPr>
        <w:spacing w:after="0" w:line="171" w:lineRule="exact"/>
        <w:rPr>
          <w:rFonts w:ascii="Arial" w:cs="Arial" w:eastAsia="Arial" w:hAnsi="Arial"/>
          <w:sz w:val="19"/>
          <w:szCs w:val="19"/>
          <w:color w:val="auto"/>
        </w:rPr>
      </w:pPr>
    </w:p>
    <w:p>
      <w:pPr>
        <w:jc w:val="both"/>
        <w:ind w:firstLine="1110"/>
        <w:spacing w:after="0" w:line="283" w:lineRule="auto"/>
        <w:tabs>
          <w:tab w:leader="none" w:pos="1965" w:val="left"/>
        </w:tabs>
        <w:numPr>
          <w:ilvl w:val="1"/>
          <w:numId w:val="389"/>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it shall have received written instructions from the Company given as provided herein to do so and the Company shall have advanced or guaranteed to it funds sufficient to pay any expenses incident thereto;</w:t>
      </w:r>
    </w:p>
    <w:p>
      <w:pPr>
        <w:spacing w:after="0" w:line="146" w:lineRule="exact"/>
        <w:rPr>
          <w:rFonts w:ascii="Arial" w:cs="Arial" w:eastAsia="Arial" w:hAnsi="Arial"/>
          <w:sz w:val="17"/>
          <w:szCs w:val="17"/>
          <w:color w:val="auto"/>
        </w:rPr>
      </w:pPr>
    </w:p>
    <w:p>
      <w:pPr>
        <w:ind w:left="1800" w:hanging="690"/>
        <w:spacing w:after="0"/>
        <w:tabs>
          <w:tab w:leader="none" w:pos="1800" w:val="left"/>
        </w:tabs>
        <w:numPr>
          <w:ilvl w:val="1"/>
          <w:numId w:val="389"/>
        </w:numPr>
        <w:rPr>
          <w:rFonts w:ascii="Arial" w:cs="Arial" w:eastAsia="Arial" w:hAnsi="Arial"/>
          <w:sz w:val="19"/>
          <w:szCs w:val="19"/>
          <w:color w:val="auto"/>
        </w:rPr>
      </w:pPr>
      <w:r>
        <w:rPr>
          <w:rFonts w:ascii="Arial" w:cs="Arial" w:eastAsia="Arial" w:hAnsi="Arial"/>
          <w:sz w:val="19"/>
          <w:szCs w:val="19"/>
          <w:color w:val="auto"/>
        </w:rPr>
        <w:t xml:space="preserve">Change the investment of any Property, other than in compliance with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w:t>
      </w:r>
    </w:p>
    <w:p>
      <w:pPr>
        <w:spacing w:after="0" w:line="200" w:lineRule="exact"/>
        <w:rPr>
          <w:rFonts w:ascii="Arial" w:cs="Arial" w:eastAsia="Arial" w:hAnsi="Arial"/>
          <w:sz w:val="19"/>
          <w:szCs w:val="19"/>
          <w:color w:val="auto"/>
        </w:rPr>
      </w:pPr>
    </w:p>
    <w:p>
      <w:pPr>
        <w:ind w:left="1780" w:hanging="670"/>
        <w:spacing w:after="0"/>
        <w:tabs>
          <w:tab w:leader="none" w:pos="1780" w:val="left"/>
        </w:tabs>
        <w:numPr>
          <w:ilvl w:val="1"/>
          <w:numId w:val="389"/>
        </w:numPr>
        <w:rPr>
          <w:rFonts w:ascii="Arial" w:cs="Arial" w:eastAsia="Arial" w:hAnsi="Arial"/>
          <w:sz w:val="19"/>
          <w:szCs w:val="19"/>
          <w:color w:val="auto"/>
        </w:rPr>
      </w:pPr>
      <w:r>
        <w:rPr>
          <w:rFonts w:ascii="Arial" w:cs="Arial" w:eastAsia="Arial" w:hAnsi="Arial"/>
          <w:sz w:val="19"/>
          <w:szCs w:val="19"/>
          <w:color w:val="auto"/>
        </w:rPr>
        <w:t>Refund any depreciation in principal of any Property;</w:t>
      </w:r>
    </w:p>
    <w:p>
      <w:pPr>
        <w:spacing w:after="0" w:line="200" w:lineRule="exact"/>
        <w:rPr>
          <w:rFonts w:ascii="Arial" w:cs="Arial" w:eastAsia="Arial" w:hAnsi="Arial"/>
          <w:sz w:val="19"/>
          <w:szCs w:val="19"/>
          <w:color w:val="auto"/>
        </w:rPr>
      </w:pPr>
    </w:p>
    <w:p>
      <w:pPr>
        <w:ind w:right="20" w:firstLine="1110"/>
        <w:spacing w:after="0" w:line="309" w:lineRule="auto"/>
        <w:tabs>
          <w:tab w:leader="none" w:pos="1895" w:val="left"/>
        </w:tabs>
        <w:numPr>
          <w:ilvl w:val="1"/>
          <w:numId w:val="389"/>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24" w:lineRule="exact"/>
        <w:rPr>
          <w:rFonts w:ascii="Arial" w:cs="Arial" w:eastAsia="Arial" w:hAnsi="Arial"/>
          <w:sz w:val="17"/>
          <w:szCs w:val="17"/>
          <w:color w:val="auto"/>
        </w:rPr>
      </w:pPr>
    </w:p>
    <w:p>
      <w:pPr>
        <w:jc w:val="both"/>
        <w:ind w:right="20" w:firstLine="1110"/>
        <w:spacing w:after="0" w:line="263" w:lineRule="auto"/>
        <w:tabs>
          <w:tab w:leader="none" w:pos="1932"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with written notification to the Company,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50" w:name="page351"/>
    <w:bookmarkEnd w:id="350"/>
    <w:p>
      <w:pPr>
        <w:ind w:left="1780" w:hanging="670"/>
        <w:spacing w:after="0"/>
        <w:tabs>
          <w:tab w:leader="none" w:pos="1780" w:val="left"/>
        </w:tabs>
        <w:numPr>
          <w:ilvl w:val="1"/>
          <w:numId w:val="390"/>
        </w:numPr>
        <w:rPr>
          <w:rFonts w:ascii="Arial" w:cs="Arial" w:eastAsia="Arial" w:hAnsi="Arial"/>
          <w:sz w:val="19"/>
          <w:szCs w:val="19"/>
          <w:color w:val="auto"/>
        </w:rPr>
      </w:pPr>
      <w:r>
        <w:rPr>
          <w:rFonts w:ascii="Arial" w:cs="Arial" w:eastAsia="Arial" w:hAnsi="Arial"/>
          <w:sz w:val="19"/>
          <w:szCs w:val="19"/>
          <w:color w:val="auto"/>
        </w:rPr>
        <w:t>Verify the accuracy of the information contained in the Registration Statements;</w:t>
      </w:r>
    </w:p>
    <w:p>
      <w:pPr>
        <w:spacing w:after="0" w:line="200" w:lineRule="exact"/>
        <w:rPr>
          <w:rFonts w:ascii="Arial" w:cs="Arial" w:eastAsia="Arial" w:hAnsi="Arial"/>
          <w:sz w:val="19"/>
          <w:szCs w:val="19"/>
          <w:color w:val="auto"/>
        </w:rPr>
      </w:pPr>
    </w:p>
    <w:p>
      <w:pPr>
        <w:ind w:right="20" w:firstLine="1110"/>
        <w:spacing w:after="0" w:line="251" w:lineRule="auto"/>
        <w:tabs>
          <w:tab w:leader="none" w:pos="1786" w:val="left"/>
        </w:tabs>
        <w:numPr>
          <w:ilvl w:val="1"/>
          <w:numId w:val="390"/>
        </w:numPr>
        <w:rPr>
          <w:rFonts w:ascii="Arial" w:cs="Arial" w:eastAsia="Arial" w:hAnsi="Arial"/>
          <w:sz w:val="19"/>
          <w:szCs w:val="19"/>
          <w:color w:val="auto"/>
        </w:rPr>
      </w:pPr>
      <w:r>
        <w:rPr>
          <w:rFonts w:ascii="Arial" w:cs="Arial" w:eastAsia="Arial" w:hAnsi="Arial"/>
          <w:sz w:val="19"/>
          <w:szCs w:val="19"/>
          <w:color w:val="auto"/>
        </w:rPr>
        <w:t>Provide any assurance that any Business Combination entered into by the Company or any other action taken by the Company is as contemplated by the Registration Statements;</w:t>
      </w:r>
    </w:p>
    <w:p>
      <w:pPr>
        <w:spacing w:after="0" w:line="171" w:lineRule="exact"/>
        <w:rPr>
          <w:rFonts w:ascii="Arial" w:cs="Arial" w:eastAsia="Arial" w:hAnsi="Arial"/>
          <w:sz w:val="19"/>
          <w:szCs w:val="19"/>
          <w:color w:val="auto"/>
        </w:rPr>
      </w:pPr>
    </w:p>
    <w:p>
      <w:pPr>
        <w:ind w:right="20" w:firstLine="1110"/>
        <w:spacing w:after="0" w:line="309" w:lineRule="auto"/>
        <w:tabs>
          <w:tab w:leader="none" w:pos="1822" w:val="left"/>
        </w:tabs>
        <w:numPr>
          <w:ilvl w:val="1"/>
          <w:numId w:val="390"/>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24" w:lineRule="exact"/>
        <w:rPr>
          <w:rFonts w:ascii="Arial" w:cs="Arial" w:eastAsia="Arial" w:hAnsi="Arial"/>
          <w:sz w:val="17"/>
          <w:szCs w:val="17"/>
          <w:color w:val="auto"/>
        </w:rPr>
      </w:pPr>
    </w:p>
    <w:p>
      <w:pPr>
        <w:jc w:val="both"/>
        <w:ind w:firstLine="1110"/>
        <w:spacing w:after="0"/>
        <w:tabs>
          <w:tab w:leader="none" w:pos="1867" w:val="left"/>
        </w:tabs>
        <w:numPr>
          <w:ilvl w:val="1"/>
          <w:numId w:val="390"/>
        </w:numPr>
        <w:rPr>
          <w:rFonts w:ascii="Arial" w:cs="Arial" w:eastAsia="Arial" w:hAnsi="Arial"/>
          <w:sz w:val="19"/>
          <w:szCs w:val="19"/>
          <w:color w:val="auto"/>
        </w:rPr>
      </w:pPr>
      <w:r>
        <w:rPr>
          <w:rFonts w:ascii="Arial" w:cs="Arial" w:eastAsia="Arial" w:hAnsi="Arial"/>
          <w:sz w:val="19"/>
          <w:szCs w:val="19"/>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income tax obligations, except pursuant to </w:t>
      </w:r>
      <w:r>
        <w:rPr>
          <w:rFonts w:ascii="Arial" w:cs="Arial" w:eastAsia="Arial" w:hAnsi="Arial"/>
          <w:sz w:val="19"/>
          <w:szCs w:val="19"/>
          <w:u w:val="single" w:color="auto"/>
          <w:color w:val="auto"/>
        </w:rPr>
        <w:t>Section 1(j)</w:t>
      </w:r>
      <w:r>
        <w:rPr>
          <w:rFonts w:ascii="Arial" w:cs="Arial" w:eastAsia="Arial" w:hAnsi="Arial"/>
          <w:sz w:val="19"/>
          <w:szCs w:val="19"/>
          <w:color w:val="auto"/>
        </w:rPr>
        <w:t xml:space="preserve"> hereof; or</w:t>
      </w:r>
    </w:p>
    <w:p>
      <w:pPr>
        <w:spacing w:after="0" w:line="182" w:lineRule="exact"/>
        <w:rPr>
          <w:rFonts w:ascii="Arial" w:cs="Arial" w:eastAsia="Arial" w:hAnsi="Arial"/>
          <w:sz w:val="19"/>
          <w:szCs w:val="19"/>
          <w:color w:val="auto"/>
        </w:rPr>
      </w:pPr>
    </w:p>
    <w:p>
      <w:pPr>
        <w:ind w:left="1860" w:hanging="750"/>
        <w:spacing w:after="0"/>
        <w:tabs>
          <w:tab w:leader="none" w:pos="186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 xml:space="preserve">Verify calculations, qualify or otherwise approve the Company’s written requests for distributions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u w:val="single" w:color="auto"/>
          <w:color w:val="auto"/>
        </w:rPr>
        <w:t>1(j)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1(k)</w:t>
      </w:r>
      <w:r>
        <w:rPr>
          <w:rFonts w:ascii="Arial" w:cs="Arial" w:eastAsia="Arial" w:hAnsi="Arial"/>
          <w:sz w:val="19"/>
          <w:szCs w:val="19"/>
          <w:color w:val="auto"/>
        </w:rPr>
        <w:t xml:space="preserve"> hereof.</w:t>
      </w:r>
    </w:p>
    <w:p>
      <w:pPr>
        <w:spacing w:after="0" w:line="184" w:lineRule="exact"/>
        <w:rPr>
          <w:rFonts w:ascii="Arial" w:cs="Arial" w:eastAsia="Arial" w:hAnsi="Arial"/>
          <w:sz w:val="17"/>
          <w:szCs w:val="17"/>
          <w:color w:val="auto"/>
        </w:rPr>
      </w:pPr>
    </w:p>
    <w:p>
      <w:pPr>
        <w:jc w:val="both"/>
        <w:ind w:firstLine="552"/>
        <w:spacing w:after="0" w:line="236" w:lineRule="auto"/>
        <w:tabs>
          <w:tab w:leader="none" w:pos="1326" w:val="left"/>
        </w:tabs>
        <w:numPr>
          <w:ilvl w:val="0"/>
          <w:numId w:val="391"/>
        </w:numPr>
        <w:rPr>
          <w:rFonts w:ascii="Arial" w:cs="Arial" w:eastAsia="Arial" w:hAnsi="Arial"/>
          <w:sz w:val="19"/>
          <w:szCs w:val="19"/>
          <w:color w:val="auto"/>
        </w:rPr>
      </w:pPr>
      <w:r>
        <w:rPr>
          <w:rFonts w:ascii="Arial" w:cs="Arial" w:eastAsia="Arial" w:hAnsi="Arial"/>
          <w:sz w:val="19"/>
          <w:szCs w:val="19"/>
          <w:u w:val="single" w:color="auto"/>
          <w:color w:val="auto"/>
        </w:rPr>
        <w:t>Trust Account Waiver</w:t>
      </w:r>
      <w:r>
        <w:rPr>
          <w:rFonts w:ascii="Arial" w:cs="Arial" w:eastAsia="Arial" w:hAnsi="Arial"/>
          <w:sz w:val="19"/>
          <w:szCs w:val="19"/>
          <w:color w:val="auto"/>
        </w:rPr>
        <w:t>. The Trustee has no right of set-off or any right, title, interest or claim of any kind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2(b) or Section 2(c) hereof, the Trustee shall pursue such Claim solely against the Company and its assets outside the Trust Account and not against the Property or any monies in the Trust Account.</w:t>
      </w:r>
    </w:p>
    <w:p>
      <w:pPr>
        <w:spacing w:after="0" w:line="182" w:lineRule="exact"/>
        <w:rPr>
          <w:rFonts w:ascii="Arial" w:cs="Arial" w:eastAsia="Arial" w:hAnsi="Arial"/>
          <w:sz w:val="19"/>
          <w:szCs w:val="19"/>
          <w:color w:val="auto"/>
        </w:rPr>
      </w:pPr>
    </w:p>
    <w:p>
      <w:pPr>
        <w:ind w:left="1160" w:hanging="608"/>
        <w:spacing w:after="0"/>
        <w:tabs>
          <w:tab w:leader="none" w:pos="1160" w:val="left"/>
        </w:tabs>
        <w:numPr>
          <w:ilvl w:val="0"/>
          <w:numId w:val="391"/>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as follows:</w:t>
      </w:r>
    </w:p>
    <w:p>
      <w:pPr>
        <w:spacing w:after="0" w:line="200" w:lineRule="exact"/>
        <w:rPr>
          <w:rFonts w:ascii="Arial" w:cs="Arial" w:eastAsia="Arial" w:hAnsi="Arial"/>
          <w:sz w:val="19"/>
          <w:szCs w:val="19"/>
          <w:color w:val="auto"/>
        </w:rPr>
      </w:pPr>
    </w:p>
    <w:p>
      <w:pPr>
        <w:jc w:val="both"/>
        <w:ind w:firstLine="1110"/>
        <w:spacing w:after="0" w:line="264" w:lineRule="auto"/>
        <w:tabs>
          <w:tab w:leader="none" w:pos="1894" w:val="left"/>
        </w:tabs>
        <w:numPr>
          <w:ilvl w:val="1"/>
          <w:numId w:val="391"/>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64" w:lineRule="exact"/>
        <w:rPr>
          <w:rFonts w:ascii="Arial" w:cs="Arial" w:eastAsia="Arial" w:hAnsi="Arial"/>
          <w:sz w:val="17"/>
          <w:szCs w:val="17"/>
          <w:color w:val="auto"/>
        </w:rPr>
      </w:pPr>
    </w:p>
    <w:p>
      <w:pPr>
        <w:jc w:val="both"/>
        <w:ind w:firstLine="1110"/>
        <w:spacing w:after="0"/>
        <w:tabs>
          <w:tab w:leader="none" w:pos="1905" w:val="left"/>
        </w:tabs>
        <w:numPr>
          <w:ilvl w:val="1"/>
          <w:numId w:val="391"/>
        </w:numPr>
        <w:rPr>
          <w:rFonts w:ascii="Arial" w:cs="Arial" w:eastAsia="Arial" w:hAnsi="Arial"/>
          <w:sz w:val="19"/>
          <w:szCs w:val="19"/>
          <w:color w:val="auto"/>
        </w:rPr>
      </w:pPr>
      <w:r>
        <w:rPr>
          <w:rFonts w:ascii="Arial" w:cs="Arial" w:eastAsia="Arial" w:hAnsi="Arial"/>
          <w:sz w:val="19"/>
          <w:szCs w:val="19"/>
          <w:color w:val="auto"/>
        </w:rPr>
        <w:t xml:space="preserve">At such time that the Trustee has completed the liquidation of the Trust Account and its obligations in accordance with the provisions of </w:t>
      </w:r>
      <w:r>
        <w:rPr>
          <w:rFonts w:ascii="Arial" w:cs="Arial" w:eastAsia="Arial" w:hAnsi="Arial"/>
          <w:sz w:val="19"/>
          <w:szCs w:val="19"/>
          <w:u w:val="single" w:color="auto"/>
          <w:color w:val="auto"/>
        </w:rPr>
        <w:t>Section 1(i)</w:t>
      </w:r>
      <w:r>
        <w:rPr>
          <w:rFonts w:ascii="Arial" w:cs="Arial" w:eastAsia="Arial" w:hAnsi="Arial"/>
          <w:sz w:val="19"/>
          <w:szCs w:val="19"/>
          <w:color w:val="auto"/>
        </w:rPr>
        <w:t xml:space="preserve"> hereof and distributed the Property in accordance with the provisions of the Termination Letter, this Agreement shall terminate except with respect to </w:t>
      </w:r>
      <w:r>
        <w:rPr>
          <w:rFonts w:ascii="Arial" w:cs="Arial" w:eastAsia="Arial" w:hAnsi="Arial"/>
          <w:sz w:val="19"/>
          <w:szCs w:val="19"/>
          <w:u w:val="single" w:color="auto"/>
          <w:color w:val="auto"/>
        </w:rPr>
        <w:t>Section 2(b)</w:t>
      </w:r>
      <w:r>
        <w:rPr>
          <w:rFonts w:ascii="Arial" w:cs="Arial" w:eastAsia="Arial" w:hAnsi="Arial"/>
          <w:sz w:val="19"/>
          <w:szCs w:val="19"/>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51" w:name="page352"/>
    <w:bookmarkEnd w:id="351"/>
    <w:p>
      <w:pPr>
        <w:ind w:left="1160" w:hanging="608"/>
        <w:spacing w:after="0"/>
        <w:tabs>
          <w:tab w:leader="none" w:pos="1160"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1110"/>
        <w:spacing w:after="0" w:line="265" w:lineRule="auto"/>
        <w:tabs>
          <w:tab w:leader="none" w:pos="1935" w:val="left"/>
        </w:tabs>
        <w:numPr>
          <w:ilvl w:val="1"/>
          <w:numId w:val="392"/>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herein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64" w:lineRule="exact"/>
        <w:rPr>
          <w:rFonts w:ascii="Arial" w:cs="Arial" w:eastAsia="Arial" w:hAnsi="Arial"/>
          <w:sz w:val="17"/>
          <w:szCs w:val="17"/>
          <w:color w:val="auto"/>
        </w:rPr>
      </w:pPr>
    </w:p>
    <w:p>
      <w:pPr>
        <w:jc w:val="both"/>
        <w:ind w:firstLine="1110"/>
        <w:spacing w:after="0" w:line="237" w:lineRule="auto"/>
        <w:tabs>
          <w:tab w:leader="none" w:pos="1963" w:val="left"/>
        </w:tabs>
        <w:numPr>
          <w:ilvl w:val="1"/>
          <w:numId w:val="392"/>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184" w:lineRule="exact"/>
        <w:rPr>
          <w:rFonts w:ascii="Arial" w:cs="Arial" w:eastAsia="Arial" w:hAnsi="Arial"/>
          <w:sz w:val="19"/>
          <w:szCs w:val="19"/>
          <w:color w:val="auto"/>
        </w:rPr>
      </w:pPr>
    </w:p>
    <w:p>
      <w:pPr>
        <w:jc w:val="both"/>
        <w:ind w:firstLine="1110"/>
        <w:spacing w:after="0" w:line="249" w:lineRule="auto"/>
        <w:tabs>
          <w:tab w:leader="none" w:pos="179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This Agreement contains the entire agreement and understanding of the parties hereto with respect to the subject matter hereof. Except for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will affect any Public Shareholder who has properly elected to redeem his or her Ordinary Shares in connection with a shareholder vote for an Amendment, this Agreement or any provision hereof may only be changed, amended or modified (other than to correct a typographical error) by a writing signed by each of the parties hereto.</w:t>
      </w:r>
    </w:p>
    <w:p>
      <w:pPr>
        <w:spacing w:after="0" w:line="177" w:lineRule="exact"/>
        <w:rPr>
          <w:rFonts w:ascii="Arial" w:cs="Arial" w:eastAsia="Arial" w:hAnsi="Arial"/>
          <w:sz w:val="18"/>
          <w:szCs w:val="18"/>
          <w:color w:val="auto"/>
        </w:rPr>
      </w:pPr>
    </w:p>
    <w:p>
      <w:pPr>
        <w:jc w:val="both"/>
        <w:ind w:firstLine="1110"/>
        <w:spacing w:after="0"/>
        <w:tabs>
          <w:tab w:leader="none" w:pos="1838" w:val="left"/>
        </w:tabs>
        <w:numPr>
          <w:ilvl w:val="1"/>
          <w:numId w:val="392"/>
        </w:numPr>
        <w:rPr>
          <w:rFonts w:ascii="Arial" w:cs="Arial" w:eastAsia="Arial" w:hAnsi="Arial"/>
          <w:sz w:val="19"/>
          <w:szCs w:val="19"/>
          <w:color w:val="auto"/>
        </w:rPr>
      </w:pPr>
      <w:r>
        <w:rPr>
          <w:rFonts w:ascii="Arial" w:cs="Arial" w:eastAsia="Arial" w:hAnsi="Arial"/>
          <w:sz w:val="19"/>
          <w:szCs w:val="19"/>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2" w:lineRule="exact"/>
        <w:rPr>
          <w:rFonts w:ascii="Arial" w:cs="Arial" w:eastAsia="Arial" w:hAnsi="Arial"/>
          <w:sz w:val="19"/>
          <w:szCs w:val="19"/>
          <w:color w:val="auto"/>
        </w:rPr>
      </w:pPr>
    </w:p>
    <w:p>
      <w:pPr>
        <w:jc w:val="both"/>
        <w:ind w:firstLine="1110"/>
        <w:spacing w:after="0"/>
        <w:tabs>
          <w:tab w:leader="none" w:pos="1913" w:val="left"/>
        </w:tabs>
        <w:numPr>
          <w:ilvl w:val="1"/>
          <w:numId w:val="392"/>
        </w:numPr>
        <w:rPr>
          <w:rFonts w:ascii="Arial" w:cs="Arial" w:eastAsia="Arial" w:hAnsi="Arial"/>
          <w:sz w:val="19"/>
          <w:szCs w:val="19"/>
          <w:color w:val="auto"/>
        </w:rPr>
      </w:pPr>
      <w:r>
        <w:rPr>
          <w:rFonts w:ascii="Arial" w:cs="Arial" w:eastAsia="Arial" w:hAnsi="Arial"/>
          <w:sz w:val="19"/>
          <w:szCs w:val="19"/>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 or facsimile transmission: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if to the Trustee, to:</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Continental Stock Transfer &amp; Trust Company</w:t>
      </w:r>
    </w:p>
    <w:p>
      <w:pPr>
        <w:ind w:left="1120"/>
        <w:spacing w:after="0" w:line="237" w:lineRule="auto"/>
        <w:rPr>
          <w:sz w:val="20"/>
          <w:szCs w:val="20"/>
          <w:color w:val="auto"/>
        </w:rPr>
      </w:pPr>
      <w:r>
        <w:rPr>
          <w:rFonts w:ascii="Arial" w:cs="Arial" w:eastAsia="Arial" w:hAnsi="Arial"/>
          <w:sz w:val="19"/>
          <w:szCs w:val="19"/>
          <w:color w:val="auto"/>
        </w:rPr>
        <w:t>1 State Street, 30th Floor</w:t>
      </w:r>
    </w:p>
    <w:p>
      <w:pPr>
        <w:ind w:left="1120"/>
        <w:spacing w:after="0" w:line="230" w:lineRule="auto"/>
        <w:rPr>
          <w:sz w:val="20"/>
          <w:szCs w:val="20"/>
          <w:color w:val="auto"/>
        </w:rPr>
      </w:pPr>
      <w:r>
        <w:rPr>
          <w:rFonts w:ascii="Arial" w:cs="Arial" w:eastAsia="Arial" w:hAnsi="Arial"/>
          <w:sz w:val="19"/>
          <w:szCs w:val="19"/>
          <w:color w:val="auto"/>
        </w:rPr>
        <w:t>New York, New York 10004</w:t>
      </w:r>
    </w:p>
    <w:p>
      <w:pPr>
        <w:ind w:left="1120"/>
        <w:spacing w:after="0" w:line="230" w:lineRule="auto"/>
        <w:tabs>
          <w:tab w:leader="none" w:pos="1760" w:val="left"/>
        </w:tabs>
        <w:rPr>
          <w:sz w:val="20"/>
          <w:szCs w:val="20"/>
          <w:color w:val="auto"/>
        </w:rPr>
      </w:pPr>
      <w:r>
        <w:rPr>
          <w:rFonts w:ascii="Arial" w:cs="Arial" w:eastAsia="Arial" w:hAnsi="Arial"/>
          <w:sz w:val="19"/>
          <w:szCs w:val="19"/>
          <w:color w:val="auto"/>
        </w:rPr>
        <w:t>Attn:</w:t>
        <w:tab/>
        <w:t>Francis E. Wolf, Jr. &amp; Celeste Gonzalez</w:t>
      </w:r>
    </w:p>
    <w:p>
      <w:pPr>
        <w:ind w:left="1120"/>
        <w:spacing w:after="0"/>
        <w:tabs>
          <w:tab w:leader="none" w:pos="17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fwolf@continentalstock.com</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cgonzalez@continentalstock.com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52" w:name="page353"/>
    <w:bookmarkEnd w:id="352"/>
    <w:p>
      <w:pPr>
        <w:spacing w:after="0"/>
        <w:rPr>
          <w:sz w:val="20"/>
          <w:szCs w:val="20"/>
          <w:color w:val="auto"/>
        </w:rPr>
      </w:pPr>
      <w:r>
        <w:rPr>
          <w:rFonts w:ascii="Arial" w:cs="Arial" w:eastAsia="Arial" w:hAnsi="Arial"/>
          <w:sz w:val="19"/>
          <w:szCs w:val="19"/>
          <w:color w:val="auto"/>
        </w:rPr>
        <w:t>if to the Company, to:</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ARYA Sciences Acquisition Corp III</w:t>
      </w:r>
    </w:p>
    <w:p>
      <w:pPr>
        <w:ind w:left="560"/>
        <w:spacing w:after="0" w:line="237" w:lineRule="auto"/>
        <w:rPr>
          <w:sz w:val="20"/>
          <w:szCs w:val="20"/>
          <w:color w:val="auto"/>
        </w:rPr>
      </w:pPr>
      <w:r>
        <w:rPr>
          <w:rFonts w:ascii="Arial" w:cs="Arial" w:eastAsia="Arial" w:hAnsi="Arial"/>
          <w:sz w:val="19"/>
          <w:szCs w:val="19"/>
          <w:color w:val="auto"/>
        </w:rPr>
        <w:t>51 Astor Place, 10th Floor</w:t>
      </w:r>
    </w:p>
    <w:p>
      <w:pPr>
        <w:ind w:left="560"/>
        <w:spacing w:after="0" w:line="230" w:lineRule="auto"/>
        <w:rPr>
          <w:sz w:val="20"/>
          <w:szCs w:val="20"/>
          <w:color w:val="auto"/>
        </w:rPr>
      </w:pPr>
      <w:r>
        <w:rPr>
          <w:rFonts w:ascii="Arial" w:cs="Arial" w:eastAsia="Arial" w:hAnsi="Arial"/>
          <w:sz w:val="19"/>
          <w:szCs w:val="19"/>
          <w:color w:val="auto"/>
        </w:rPr>
        <w:t>New York, NY 10004</w:t>
      </w:r>
    </w:p>
    <w:p>
      <w:pPr>
        <w:ind w:left="560"/>
        <w:spacing w:after="0" w:line="230" w:lineRule="auto"/>
        <w:tabs>
          <w:tab w:leader="none" w:pos="1200" w:val="left"/>
        </w:tabs>
        <w:rPr>
          <w:sz w:val="20"/>
          <w:szCs w:val="20"/>
          <w:color w:val="auto"/>
        </w:rPr>
      </w:pPr>
      <w:r>
        <w:rPr>
          <w:rFonts w:ascii="Arial" w:cs="Arial" w:eastAsia="Arial" w:hAnsi="Arial"/>
          <w:sz w:val="19"/>
          <w:szCs w:val="19"/>
          <w:color w:val="auto"/>
        </w:rPr>
        <w:t>Attn:</w:t>
        <w:tab/>
        <w:t>Samuel M. Cohn</w:t>
      </w:r>
    </w:p>
    <w:p>
      <w:pPr>
        <w:spacing w:after="0" w:line="1"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Cohn@perceptivelife.com</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in each case, with copies to:</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Kirkland &amp; Ellis LLP</w:t>
      </w:r>
    </w:p>
    <w:p>
      <w:pPr>
        <w:ind w:left="560"/>
        <w:spacing w:after="0" w:line="237" w:lineRule="auto"/>
        <w:rPr>
          <w:sz w:val="20"/>
          <w:szCs w:val="20"/>
          <w:color w:val="auto"/>
        </w:rPr>
      </w:pPr>
      <w:r>
        <w:rPr>
          <w:rFonts w:ascii="Arial" w:cs="Arial" w:eastAsia="Arial" w:hAnsi="Arial"/>
          <w:sz w:val="19"/>
          <w:szCs w:val="19"/>
          <w:color w:val="auto"/>
        </w:rPr>
        <w:t>601 Lexington Avenue</w:t>
      </w:r>
    </w:p>
    <w:p>
      <w:pPr>
        <w:ind w:left="560"/>
        <w:spacing w:after="0" w:line="230" w:lineRule="auto"/>
        <w:rPr>
          <w:sz w:val="20"/>
          <w:szCs w:val="20"/>
          <w:color w:val="auto"/>
        </w:rPr>
      </w:pPr>
      <w:r>
        <w:rPr>
          <w:rFonts w:ascii="Arial" w:cs="Arial" w:eastAsia="Arial" w:hAnsi="Arial"/>
          <w:sz w:val="19"/>
          <w:szCs w:val="19"/>
          <w:color w:val="auto"/>
        </w:rPr>
        <w:t>New York, New York 10022</w:t>
      </w:r>
    </w:p>
    <w:p>
      <w:pPr>
        <w:ind w:left="560"/>
        <w:spacing w:after="0" w:line="230" w:lineRule="auto"/>
        <w:tabs>
          <w:tab w:leader="none" w:pos="1200" w:val="left"/>
        </w:tabs>
        <w:rPr>
          <w:sz w:val="20"/>
          <w:szCs w:val="20"/>
          <w:color w:val="auto"/>
        </w:rPr>
      </w:pPr>
      <w:r>
        <w:rPr>
          <w:rFonts w:ascii="Arial" w:cs="Arial" w:eastAsia="Arial" w:hAnsi="Arial"/>
          <w:sz w:val="19"/>
          <w:szCs w:val="19"/>
          <w:color w:val="auto"/>
        </w:rPr>
        <w:t>Attn:</w:t>
        <w:tab/>
        <w:t>Christian O. Nagler</w:t>
      </w:r>
    </w:p>
    <w:p>
      <w:pPr>
        <w:ind w:left="1100"/>
        <w:spacing w:after="0" w:line="230" w:lineRule="auto"/>
        <w:rPr>
          <w:sz w:val="20"/>
          <w:szCs w:val="20"/>
          <w:color w:val="auto"/>
        </w:rPr>
      </w:pPr>
      <w:r>
        <w:rPr>
          <w:rFonts w:ascii="Arial" w:cs="Arial" w:eastAsia="Arial" w:hAnsi="Arial"/>
          <w:sz w:val="19"/>
          <w:szCs w:val="19"/>
          <w:color w:val="auto"/>
        </w:rPr>
        <w:t>Ross M. Leff</w:t>
      </w:r>
    </w:p>
    <w:p>
      <w:pPr>
        <w:ind w:left="560"/>
        <w:spacing w:after="0"/>
        <w:tabs>
          <w:tab w:leader="none" w:pos="122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cnagler@kirkland.com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ross.leff@kirkland.com</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Jefferies LLC</w:t>
      </w:r>
    </w:p>
    <w:p>
      <w:pPr>
        <w:ind w:left="560"/>
        <w:spacing w:after="0" w:line="237" w:lineRule="auto"/>
        <w:rPr>
          <w:sz w:val="20"/>
          <w:szCs w:val="20"/>
          <w:color w:val="auto"/>
        </w:rPr>
      </w:pPr>
      <w:r>
        <w:rPr>
          <w:rFonts w:ascii="Arial" w:cs="Arial" w:eastAsia="Arial" w:hAnsi="Arial"/>
          <w:sz w:val="19"/>
          <w:szCs w:val="19"/>
          <w:color w:val="auto"/>
        </w:rPr>
        <w:t>520 Madison Avenue</w:t>
      </w:r>
    </w:p>
    <w:p>
      <w:pPr>
        <w:ind w:left="560"/>
        <w:spacing w:after="0" w:line="230" w:lineRule="auto"/>
        <w:rPr>
          <w:sz w:val="20"/>
          <w:szCs w:val="20"/>
          <w:color w:val="auto"/>
        </w:rPr>
      </w:pPr>
      <w:r>
        <w:rPr>
          <w:rFonts w:ascii="Arial" w:cs="Arial" w:eastAsia="Arial" w:hAnsi="Arial"/>
          <w:sz w:val="19"/>
          <w:szCs w:val="19"/>
          <w:color w:val="auto"/>
        </w:rPr>
        <w:t>New York, New York 10022</w:t>
      </w:r>
    </w:p>
    <w:p>
      <w:pPr>
        <w:ind w:left="560"/>
        <w:spacing w:after="0" w:line="230" w:lineRule="auto"/>
        <w:tabs>
          <w:tab w:leader="none" w:pos="1200" w:val="left"/>
        </w:tabs>
        <w:rPr>
          <w:sz w:val="20"/>
          <w:szCs w:val="20"/>
          <w:color w:val="auto"/>
        </w:rPr>
      </w:pPr>
      <w:r>
        <w:rPr>
          <w:rFonts w:ascii="Arial" w:cs="Arial" w:eastAsia="Arial" w:hAnsi="Arial"/>
          <w:sz w:val="19"/>
          <w:szCs w:val="19"/>
          <w:color w:val="auto"/>
        </w:rPr>
        <w:t>Attn:</w:t>
        <w:tab/>
        <w:t>General Counsel</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Facsimile: (646) 619-4437</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Goldman Sachs &amp; Co. LLC</w:t>
      </w:r>
    </w:p>
    <w:p>
      <w:pPr>
        <w:ind w:left="560"/>
        <w:spacing w:after="0" w:line="237" w:lineRule="auto"/>
        <w:rPr>
          <w:sz w:val="20"/>
          <w:szCs w:val="20"/>
          <w:color w:val="auto"/>
        </w:rPr>
      </w:pPr>
      <w:r>
        <w:rPr>
          <w:rFonts w:ascii="Arial" w:cs="Arial" w:eastAsia="Arial" w:hAnsi="Arial"/>
          <w:sz w:val="19"/>
          <w:szCs w:val="19"/>
          <w:color w:val="auto"/>
        </w:rPr>
        <w:t>200 West Street</w:t>
      </w:r>
    </w:p>
    <w:p>
      <w:pPr>
        <w:ind w:left="560"/>
        <w:spacing w:after="0" w:line="230" w:lineRule="auto"/>
        <w:rPr>
          <w:sz w:val="20"/>
          <w:szCs w:val="20"/>
          <w:color w:val="auto"/>
        </w:rPr>
      </w:pPr>
      <w:r>
        <w:rPr>
          <w:rFonts w:ascii="Arial" w:cs="Arial" w:eastAsia="Arial" w:hAnsi="Arial"/>
          <w:sz w:val="19"/>
          <w:szCs w:val="19"/>
          <w:color w:val="auto"/>
        </w:rPr>
        <w:t>New York, NY 10282</w:t>
      </w:r>
    </w:p>
    <w:p>
      <w:pPr>
        <w:spacing w:after="0" w:line="1"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9"/>
          <w:szCs w:val="19"/>
          <w:color w:val="auto"/>
        </w:rPr>
        <w:t>Attn:</w:t>
        <w:tab/>
        <w:t>Registration Department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Skadden, Arps, Slate, Meagher &amp; Flom LLP</w:t>
      </w:r>
    </w:p>
    <w:p>
      <w:pPr>
        <w:ind w:left="560"/>
        <w:spacing w:after="0" w:line="237" w:lineRule="auto"/>
        <w:rPr>
          <w:sz w:val="20"/>
          <w:szCs w:val="20"/>
          <w:color w:val="auto"/>
        </w:rPr>
      </w:pPr>
      <w:r>
        <w:rPr>
          <w:rFonts w:ascii="Arial" w:cs="Arial" w:eastAsia="Arial" w:hAnsi="Arial"/>
          <w:sz w:val="19"/>
          <w:szCs w:val="19"/>
          <w:color w:val="auto"/>
        </w:rPr>
        <w:t>525 University Avenue, Suite 1400</w:t>
      </w:r>
    </w:p>
    <w:p>
      <w:pPr>
        <w:ind w:left="560"/>
        <w:spacing w:after="0" w:line="230" w:lineRule="auto"/>
        <w:rPr>
          <w:sz w:val="20"/>
          <w:szCs w:val="20"/>
          <w:color w:val="auto"/>
        </w:rPr>
      </w:pPr>
      <w:r>
        <w:rPr>
          <w:rFonts w:ascii="Arial" w:cs="Arial" w:eastAsia="Arial" w:hAnsi="Arial"/>
          <w:sz w:val="19"/>
          <w:szCs w:val="19"/>
          <w:color w:val="auto"/>
        </w:rPr>
        <w:t>Palo Alto, California 94301</w:t>
      </w:r>
    </w:p>
    <w:p>
      <w:pPr>
        <w:ind w:left="560"/>
        <w:spacing w:after="0" w:line="230" w:lineRule="auto"/>
        <w:tabs>
          <w:tab w:leader="none" w:pos="1200" w:val="left"/>
        </w:tabs>
        <w:rPr>
          <w:sz w:val="20"/>
          <w:szCs w:val="20"/>
          <w:color w:val="auto"/>
        </w:rPr>
      </w:pPr>
      <w:r>
        <w:rPr>
          <w:rFonts w:ascii="Arial" w:cs="Arial" w:eastAsia="Arial" w:hAnsi="Arial"/>
          <w:sz w:val="19"/>
          <w:szCs w:val="19"/>
          <w:color w:val="auto"/>
        </w:rPr>
        <w:t>Attn.:</w:t>
        <w:tab/>
        <w:t>Gregg A. Noel</w:t>
      </w:r>
    </w:p>
    <w:p>
      <w:pPr>
        <w:ind w:left="1100"/>
        <w:spacing w:after="0" w:line="230" w:lineRule="auto"/>
        <w:rPr>
          <w:sz w:val="20"/>
          <w:szCs w:val="20"/>
          <w:color w:val="auto"/>
        </w:rPr>
      </w:pPr>
      <w:r>
        <w:rPr>
          <w:rFonts w:ascii="Arial" w:cs="Arial" w:eastAsia="Arial" w:hAnsi="Arial"/>
          <w:sz w:val="19"/>
          <w:szCs w:val="19"/>
          <w:color w:val="auto"/>
        </w:rPr>
        <w:t>Michael J. Mies</w:t>
      </w:r>
    </w:p>
    <w:p>
      <w:pPr>
        <w:ind w:left="560"/>
        <w:spacing w:after="0"/>
        <w:tabs>
          <w:tab w:leader="none" w:pos="122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6"/>
          <w:szCs w:val="16"/>
          <w:color w:val="auto"/>
        </w:rPr>
        <w:t>gregg.noel@skadden.com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michael.mies@skadden.com</w:t>
      </w:r>
    </w:p>
    <w:p>
      <w:pPr>
        <w:spacing w:after="0" w:line="339"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33020</wp:posOffset>
            </wp:positionV>
            <wp:extent cx="7151370" cy="146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579"/>
          </w:cols>
          <w:pgMar w:left="880" w:top="330" w:right="1440" w:bottom="1440" w:gutter="0" w:footer="0" w:header="0"/>
        </w:sectPr>
      </w:pPr>
    </w:p>
    <w:bookmarkStart w:id="353" w:name="page354"/>
    <w:bookmarkEnd w:id="353"/>
    <w:p>
      <w:pPr>
        <w:jc w:val="both"/>
        <w:ind w:firstLine="1110"/>
        <w:spacing w:after="0" w:line="237" w:lineRule="auto"/>
        <w:tabs>
          <w:tab w:leader="none" w:pos="1877" w:val="left"/>
        </w:tabs>
        <w:numPr>
          <w:ilvl w:val="0"/>
          <w:numId w:val="393"/>
        </w:numPr>
        <w:rPr>
          <w:rFonts w:ascii="Arial" w:cs="Arial" w:eastAsia="Arial" w:hAnsi="Arial"/>
          <w:sz w:val="19"/>
          <w:szCs w:val="19"/>
          <w:color w:val="auto"/>
        </w:rPr>
      </w:pPr>
      <w:r>
        <w:rPr>
          <w:rFonts w:ascii="Arial" w:cs="Arial" w:eastAsia="Arial" w:hAnsi="Arial"/>
          <w:sz w:val="19"/>
          <w:szCs w:val="19"/>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4" w:lineRule="exact"/>
        <w:rPr>
          <w:rFonts w:ascii="Arial" w:cs="Arial" w:eastAsia="Arial" w:hAnsi="Arial"/>
          <w:sz w:val="19"/>
          <w:szCs w:val="19"/>
          <w:color w:val="auto"/>
        </w:rPr>
      </w:pPr>
    </w:p>
    <w:p>
      <w:pPr>
        <w:ind w:right="20" w:firstLine="1110"/>
        <w:spacing w:after="0" w:line="278" w:lineRule="auto"/>
        <w:tabs>
          <w:tab w:leader="none" w:pos="183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48" w:lineRule="exact"/>
        <w:rPr>
          <w:rFonts w:ascii="Arial" w:cs="Arial" w:eastAsia="Arial" w:hAnsi="Arial"/>
          <w:sz w:val="18"/>
          <w:szCs w:val="18"/>
          <w:color w:val="auto"/>
        </w:rPr>
      </w:pPr>
    </w:p>
    <w:p>
      <w:pPr>
        <w:jc w:val="both"/>
        <w:ind w:firstLine="1110"/>
        <w:spacing w:after="0"/>
        <w:tabs>
          <w:tab w:leader="none" w:pos="1818" w:val="left"/>
        </w:tabs>
        <w:numPr>
          <w:ilvl w:val="0"/>
          <w:numId w:val="393"/>
        </w:numPr>
        <w:rPr>
          <w:rFonts w:ascii="Arial" w:cs="Arial" w:eastAsia="Arial" w:hAnsi="Arial"/>
          <w:sz w:val="19"/>
          <w:szCs w:val="19"/>
          <w:color w:val="auto"/>
        </w:rPr>
      </w:pPr>
      <w:r>
        <w:rPr>
          <w:rFonts w:ascii="Arial" w:cs="Arial" w:eastAsia="Arial" w:hAnsi="Arial"/>
          <w:sz w:val="19"/>
          <w:szCs w:val="19"/>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2" w:lineRule="exact"/>
        <w:rPr>
          <w:rFonts w:ascii="Arial" w:cs="Arial" w:eastAsia="Arial" w:hAnsi="Arial"/>
          <w:sz w:val="19"/>
          <w:szCs w:val="19"/>
          <w:color w:val="auto"/>
        </w:rPr>
      </w:pPr>
    </w:p>
    <w:p>
      <w:pPr>
        <w:ind w:right="20" w:firstLine="1110"/>
        <w:spacing w:after="0" w:line="251" w:lineRule="auto"/>
        <w:tabs>
          <w:tab w:leader="none" w:pos="1804" w:val="left"/>
        </w:tabs>
        <w:numPr>
          <w:ilvl w:val="0"/>
          <w:numId w:val="393"/>
        </w:numPr>
        <w:rPr>
          <w:rFonts w:ascii="Arial" w:cs="Arial" w:eastAsia="Arial" w:hAnsi="Arial"/>
          <w:sz w:val="19"/>
          <w:szCs w:val="19"/>
          <w:color w:val="auto"/>
        </w:rPr>
      </w:pPr>
      <w:r>
        <w:rPr>
          <w:rFonts w:ascii="Arial" w:cs="Arial" w:eastAsia="Arial" w:hAnsi="Arial"/>
          <w:sz w:val="19"/>
          <w:szCs w:val="19"/>
          <w:color w:val="auto"/>
        </w:rPr>
        <w:t>Each of the Company and the Trustee hereby acknowledges and agrees that the Representatives on behalf of the Underwriters are third-party beneficiaries of this Agreement.</w:t>
      </w:r>
    </w:p>
    <w:p>
      <w:pPr>
        <w:spacing w:after="0" w:line="171" w:lineRule="exact"/>
        <w:rPr>
          <w:rFonts w:ascii="Arial" w:cs="Arial" w:eastAsia="Arial" w:hAnsi="Arial"/>
          <w:sz w:val="19"/>
          <w:szCs w:val="19"/>
          <w:color w:val="auto"/>
        </w:rPr>
      </w:pPr>
    </w:p>
    <w:p>
      <w:pPr>
        <w:ind w:left="1820" w:hanging="710"/>
        <w:spacing w:after="0"/>
        <w:tabs>
          <w:tab w:leader="none" w:pos="18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Except as specified herein, no party to this Agreement may assign its rights or delegate its obligations hereunder to any other</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person or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54" w:name="page355"/>
    <w:bookmarkEnd w:id="354"/>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00" w:lineRule="exact"/>
        <w:rPr>
          <w:sz w:val="20"/>
          <w:szCs w:val="20"/>
          <w:color w:val="auto"/>
        </w:rPr>
      </w:pPr>
    </w:p>
    <w:p>
      <w:pPr>
        <w:spacing w:after="0" w:line="247"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CONTINENTAL STOCK TRANSFER &amp;</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TRUST COMPANY</w:t>
      </w:r>
      <w:r>
        <w:rPr>
          <w:rFonts w:ascii="Arial" w:cs="Arial" w:eastAsia="Arial" w:hAnsi="Arial"/>
          <w:sz w:val="16"/>
          <w:szCs w:val="16"/>
          <w:color w:val="auto"/>
        </w:rPr>
        <w:t>,</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as Trustee</w:t>
      </w:r>
    </w:p>
    <w:p>
      <w:pPr>
        <w:spacing w:after="0" w:line="178"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8255</wp:posOffset>
            </wp:positionV>
            <wp:extent cx="3213735" cy="146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Francis Wolf</w:t>
      </w:r>
    </w:p>
    <w:p>
      <w:pPr>
        <w:spacing w:after="0" w:line="12"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Title:</w:t>
        <w:tab/>
        <w:t>Vice President</w:t>
      </w:r>
    </w:p>
    <w:p>
      <w:pPr>
        <w:spacing w:after="0" w:line="35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8255</wp:posOffset>
            </wp:positionV>
            <wp:extent cx="3213735" cy="146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Samuel M. Cohn</w:t>
      </w:r>
    </w:p>
    <w:p>
      <w:pPr>
        <w:spacing w:after="0" w:line="12"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496570</wp:posOffset>
            </wp:positionV>
            <wp:extent cx="7151370" cy="146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320"/>
          </w:cols>
          <w:pgMar w:left="880" w:top="330" w:right="699" w:bottom="1440" w:gutter="0" w:footer="0" w:header="0"/>
        </w:sectPr>
      </w:pPr>
    </w:p>
    <w:bookmarkStart w:id="355" w:name="page356"/>
    <w:bookmarkEnd w:id="355"/>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2504440" cy="146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2504440" cy="1460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Initial acceptance fee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Annual fee</w:t>
      </w:r>
    </w:p>
    <w:p>
      <w:pPr>
        <w:spacing w:after="0" w:line="374"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Transaction processing fee for disbursements to Company under Sections 1(i),(j), and (k)</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Paying Agent services as required pursuant to Section 1(i) and 1(k)</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Arial" w:cs="Arial" w:eastAsia="Arial" w:hAnsi="Arial"/>
          <w:sz w:val="19"/>
          <w:szCs w:val="19"/>
          <w:b w:val="1"/>
          <w:bCs w:val="1"/>
          <w:color w:val="auto"/>
        </w:rPr>
        <w:t>SCHEDULE 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Time and method of payment</w:t>
            </w:r>
          </w:p>
        </w:tc>
        <w:tc>
          <w:tcPr>
            <w:tcW w:w="620" w:type="dxa"/>
            <w:vAlign w:val="bottom"/>
          </w:tcPr>
          <w:p>
            <w:pPr>
              <w:spacing w:after="0"/>
              <w:rPr>
                <w:sz w:val="20"/>
                <w:szCs w:val="20"/>
                <w:color w:val="auto"/>
              </w:rPr>
            </w:pPr>
            <w:r>
              <w:rPr>
                <w:rFonts w:ascii="Arial" w:cs="Arial" w:eastAsia="Arial" w:hAnsi="Arial"/>
                <w:sz w:val="16"/>
                <w:szCs w:val="16"/>
                <w:b w:val="1"/>
                <w:bCs w:val="1"/>
                <w:color w:val="auto"/>
                <w:w w:val="99"/>
              </w:rPr>
              <w:t>Amount</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5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Initial closing of the Offering by wire transfer</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20" w:type="dxa"/>
            <w:vAlign w:val="bottom"/>
          </w:tcPr>
          <w:p>
            <w:pPr>
              <w:spacing w:after="0"/>
              <w:rPr>
                <w:sz w:val="17"/>
                <w:szCs w:val="17"/>
                <w:color w:val="auto"/>
              </w:rPr>
            </w:pPr>
          </w:p>
        </w:tc>
      </w:tr>
      <w:tr>
        <w:trPr>
          <w:trHeight w:val="352"/>
        </w:trPr>
        <w:tc>
          <w:tcPr>
            <w:tcW w:w="5420" w:type="dxa"/>
            <w:vAlign w:val="bottom"/>
            <w:gridSpan w:val="2"/>
          </w:tcPr>
          <w:p>
            <w:pPr>
              <w:spacing w:after="0"/>
              <w:rPr>
                <w:sz w:val="20"/>
                <w:szCs w:val="20"/>
                <w:color w:val="auto"/>
              </w:rPr>
            </w:pPr>
            <w:r>
              <w:rPr>
                <w:rFonts w:ascii="Arial" w:cs="Arial" w:eastAsia="Arial" w:hAnsi="Arial"/>
                <w:sz w:val="16"/>
                <w:szCs w:val="16"/>
                <w:color w:val="auto"/>
              </w:rPr>
              <w:t>First year, initial closing of the Offering by wire transfer; thereafter on the</w:t>
            </w:r>
          </w:p>
        </w:tc>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10,000.00</w:t>
            </w:r>
          </w:p>
        </w:tc>
      </w:tr>
      <w:tr>
        <w:trPr>
          <w:trHeight w:val="196"/>
        </w:trPr>
        <w:tc>
          <w:tcPr>
            <w:tcW w:w="5420" w:type="dxa"/>
            <w:vAlign w:val="bottom"/>
            <w:gridSpan w:val="2"/>
          </w:tcPr>
          <w:p>
            <w:pPr>
              <w:spacing w:after="0"/>
              <w:rPr>
                <w:sz w:val="20"/>
                <w:szCs w:val="20"/>
                <w:color w:val="auto"/>
              </w:rPr>
            </w:pPr>
            <w:r>
              <w:rPr>
                <w:rFonts w:ascii="Arial" w:cs="Arial" w:eastAsia="Arial" w:hAnsi="Arial"/>
                <w:sz w:val="16"/>
                <w:szCs w:val="16"/>
                <w:color w:val="auto"/>
              </w:rPr>
              <w:t>anniversary of the effective date of the Offering by wire transfer or check</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5420" w:type="dxa"/>
            <w:vAlign w:val="bottom"/>
            <w:gridSpan w:val="2"/>
          </w:tcPr>
          <w:p>
            <w:pPr>
              <w:spacing w:after="0"/>
              <w:rPr>
                <w:sz w:val="20"/>
                <w:szCs w:val="20"/>
                <w:color w:val="auto"/>
              </w:rPr>
            </w:pPr>
            <w:r>
              <w:rPr>
                <w:rFonts w:ascii="Arial" w:cs="Arial" w:eastAsia="Arial" w:hAnsi="Arial"/>
                <w:sz w:val="16"/>
                <w:szCs w:val="16"/>
                <w:color w:val="auto"/>
              </w:rPr>
              <w:t>Billed by Trustee to Company under Section 1</w:t>
            </w:r>
          </w:p>
        </w:tc>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250.00</w:t>
            </w:r>
          </w:p>
        </w:tc>
      </w:tr>
      <w:tr>
        <w:trPr>
          <w:trHeight w:val="558"/>
        </w:trPr>
        <w:tc>
          <w:tcPr>
            <w:tcW w:w="5420" w:type="dxa"/>
            <w:vAlign w:val="bottom"/>
            <w:gridSpan w:val="2"/>
          </w:tcPr>
          <w:p>
            <w:pPr>
              <w:spacing w:after="0"/>
              <w:rPr>
                <w:sz w:val="20"/>
                <w:szCs w:val="20"/>
                <w:color w:val="auto"/>
              </w:rPr>
            </w:pPr>
            <w:r>
              <w:rPr>
                <w:rFonts w:ascii="Arial" w:cs="Arial" w:eastAsia="Arial" w:hAnsi="Arial"/>
                <w:sz w:val="16"/>
                <w:szCs w:val="16"/>
                <w:color w:val="auto"/>
              </w:rPr>
              <w:t>Billed to Company upon delivery of service pursuant to Section 1(i) and 1(k)</w:t>
            </w:r>
          </w:p>
        </w:tc>
        <w:tc>
          <w:tcPr>
            <w:tcW w:w="62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w w:val="88"/>
              </w:rPr>
              <w:t>Prevailing rates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480695</wp:posOffset>
            </wp:positionV>
            <wp:extent cx="7151370" cy="146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2">
            <w:col w:w="3860" w:space="300"/>
            <w:col w:w="7100"/>
          </w:cols>
          <w:pgMar w:left="320" w:top="326" w:right="31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9"/>
          <w:szCs w:val="19"/>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[Letterhead of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[Insert date]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Continental Stock Transfer &amp; Trust Company</w:t>
      </w:r>
    </w:p>
    <w:p>
      <w:pPr>
        <w:spacing w:after="0" w:line="237" w:lineRule="auto"/>
        <w:rPr>
          <w:sz w:val="20"/>
          <w:szCs w:val="20"/>
          <w:color w:val="auto"/>
        </w:rPr>
      </w:pPr>
      <w:r>
        <w:rPr>
          <w:rFonts w:ascii="Arial" w:cs="Arial" w:eastAsia="Arial" w:hAnsi="Arial"/>
          <w:sz w:val="19"/>
          <w:szCs w:val="19"/>
          <w:color w:val="auto"/>
        </w:rPr>
        <w:t>1 State Street, 30th Floor</w:t>
      </w:r>
    </w:p>
    <w:p>
      <w:pPr>
        <w:spacing w:after="0" w:line="230" w:lineRule="auto"/>
        <w:rPr>
          <w:sz w:val="20"/>
          <w:szCs w:val="20"/>
          <w:color w:val="auto"/>
        </w:rPr>
      </w:pPr>
      <w:r>
        <w:rPr>
          <w:rFonts w:ascii="Arial" w:cs="Arial" w:eastAsia="Arial" w:hAnsi="Arial"/>
          <w:sz w:val="19"/>
          <w:szCs w:val="19"/>
          <w:color w:val="auto"/>
        </w:rPr>
        <w:t>New York, New York 10004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Francis E. Wolf, Jr. &amp; Celeste Gonzalez</w:t>
      </w:r>
    </w:p>
    <w:p>
      <w:pPr>
        <w:spacing w:after="0" w:line="184" w:lineRule="exact"/>
        <w:rPr>
          <w:sz w:val="20"/>
          <w:szCs w:val="20"/>
          <w:color w:val="auto"/>
        </w:rPr>
      </w:pPr>
    </w:p>
    <w:p>
      <w:pPr>
        <w:ind w:left="560"/>
        <w:spacing w:after="0"/>
        <w:tabs>
          <w:tab w:leader="none" w:pos="126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Trust Account - Termination Letter</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of the Investment Management Trust Agreement between ARYA Sciences Acquisition Corp III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August [●],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this is to advise you that the Company has entered into 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on or about [insert date]. The Company shall notify you at least seventy-two (72) hours in advance of the actual date (or such shorter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period as you may agree) of the 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77" w:lineRule="exact"/>
        <w:rPr>
          <w:sz w:val="20"/>
          <w:szCs w:val="20"/>
          <w:color w:val="auto"/>
        </w:rPr>
      </w:pPr>
    </w:p>
    <w:p>
      <w:pPr>
        <w:jc w:val="both"/>
        <w:ind w:firstLine="559"/>
        <w:spacing w:after="0" w:line="235" w:lineRule="auto"/>
        <w:rPr>
          <w:sz w:val="20"/>
          <w:szCs w:val="20"/>
          <w:color w:val="auto"/>
        </w:rPr>
      </w:pPr>
      <w:r>
        <w:rPr>
          <w:rFonts w:ascii="Arial" w:cs="Arial" w:eastAsia="Arial" w:hAnsi="Arial"/>
          <w:sz w:val="19"/>
          <w:szCs w:val="19"/>
          <w:color w:val="auto"/>
        </w:rPr>
        <w:t>In accordance with the terms of the Trust Agreement, we hereby authorize you to commence to liquidate all of the assets of the Trust Account, and to transfer the proceeds into the trust operating account at J.P. Morgan Chase Bank, N.A. to the effect that, on the Consummation Date, all of the funds held in the Trust Account will be immediately available for transfer to the account or accounts that the Representatives (with respect to the Deferred Discount) and the Company shall direct on the Consummation Date. It is acknowledged and agreed that while the funds are on deposit in said trust operating account at J.P. Morgan Chase Bank, N.A. awaiting distribution, neither the Company nor the Representatives will earn any interest or dividends.</w:t>
      </w:r>
    </w:p>
    <w:p>
      <w:pPr>
        <w:spacing w:after="0" w:line="182"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substantially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 (ii) the Company shall deliver to you (a) a certificate of the Chief Executive Officer, Chief Financial Officer or other authorized officer of the Company, which verifies that the Business Combination has been approved by a vote of the Company’s shareholders, if a vote is held and (b) joint written instruction signed by the Company and the Representatives with respect to the transfer of the funds held in the Trust Account, including payment of the Deferred Discount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7151370" cy="146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357" w:name="page358"/>
    <w:bookmarkEnd w:id="357"/>
    <w:p>
      <w:pPr>
        <w:jc w:val="both"/>
        <w:ind w:left="7" w:firstLine="559"/>
        <w:spacing w:after="0" w:line="254" w:lineRule="auto"/>
        <w:rPr>
          <w:sz w:val="20"/>
          <w:szCs w:val="20"/>
          <w:color w:val="auto"/>
        </w:rPr>
      </w:pPr>
      <w:r>
        <w:rPr>
          <w:rFonts w:ascii="Arial" w:cs="Arial" w:eastAsia="Arial" w:hAnsi="Arial"/>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Trust Agreement on the business day immediately following the Consummation Date as set forth in such notice as soon thereafter as possible.</w:t>
      </w:r>
    </w:p>
    <w:p>
      <w:pPr>
        <w:spacing w:after="0" w:line="389"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Very truly yours,</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ARYA Sciences Acquisition Corp III</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8255</wp:posOffset>
            </wp:positionV>
            <wp:extent cx="3213735" cy="146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9" w:lineRule="exact"/>
        <w:rPr>
          <w:sz w:val="20"/>
          <w:szCs w:val="20"/>
          <w:color w:val="auto"/>
        </w:rPr>
      </w:pPr>
    </w:p>
    <w:p>
      <w:pPr>
        <w:ind w:left="687" w:hanging="687"/>
        <w:spacing w:after="0"/>
        <w:tabs>
          <w:tab w:leader="none" w:pos="687" w:val="left"/>
        </w:tabs>
        <w:numPr>
          <w:ilvl w:val="0"/>
          <w:numId w:val="394"/>
        </w:numPr>
        <w:rPr>
          <w:rFonts w:ascii="Arial" w:cs="Arial" w:eastAsia="Arial" w:hAnsi="Arial"/>
          <w:sz w:val="19"/>
          <w:szCs w:val="19"/>
          <w:color w:val="auto"/>
        </w:rPr>
      </w:pPr>
      <w:r>
        <w:rPr>
          <w:rFonts w:ascii="Arial" w:cs="Arial" w:eastAsia="Arial" w:hAnsi="Arial"/>
          <w:sz w:val="19"/>
          <w:szCs w:val="19"/>
          <w:color w:val="auto"/>
        </w:rPr>
        <w:t>Jefferies LLC</w:t>
      </w:r>
    </w:p>
    <w:p>
      <w:pPr>
        <w:spacing w:after="0" w:line="7" w:lineRule="exact"/>
        <w:rPr>
          <w:sz w:val="20"/>
          <w:szCs w:val="20"/>
          <w:color w:val="auto"/>
        </w:rPr>
      </w:pPr>
    </w:p>
    <w:p>
      <w:pPr>
        <w:ind w:left="567"/>
        <w:spacing w:after="0"/>
        <w:rPr>
          <w:sz w:val="20"/>
          <w:szCs w:val="20"/>
          <w:color w:val="auto"/>
        </w:rPr>
      </w:pPr>
      <w:r>
        <w:rPr>
          <w:rFonts w:ascii="Arial" w:cs="Arial" w:eastAsia="Arial" w:hAnsi="Arial"/>
          <w:sz w:val="19"/>
          <w:szCs w:val="19"/>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51370" cy="146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58" w:name="page359"/>
    <w:bookmarkEnd w:id="358"/>
    <w:p>
      <w:pPr>
        <w:jc w:val="center"/>
        <w:ind w:right="-6"/>
        <w:spacing w:after="0"/>
        <w:rPr>
          <w:sz w:val="20"/>
          <w:szCs w:val="20"/>
          <w:color w:val="auto"/>
        </w:rPr>
      </w:pPr>
      <w:r>
        <w:rPr>
          <w:rFonts w:ascii="Arial" w:cs="Arial" w:eastAsia="Arial" w:hAnsi="Arial"/>
          <w:sz w:val="19"/>
          <w:szCs w:val="19"/>
          <w:b w:val="1"/>
          <w:bCs w:val="1"/>
          <w:color w:val="auto"/>
        </w:rPr>
        <w:t>EXHIBIT B</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[Letterhead of Company]</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[Insert date]</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9"/>
          <w:szCs w:val="19"/>
          <w:color w:val="auto"/>
        </w:rPr>
        <w:t>Continental Stock Transfer &amp; Trust Company</w:t>
      </w:r>
    </w:p>
    <w:p>
      <w:pPr>
        <w:ind w:left="7"/>
        <w:spacing w:after="0" w:line="237" w:lineRule="auto"/>
        <w:rPr>
          <w:sz w:val="20"/>
          <w:szCs w:val="20"/>
          <w:color w:val="auto"/>
        </w:rPr>
      </w:pPr>
      <w:r>
        <w:rPr>
          <w:rFonts w:ascii="Arial" w:cs="Arial" w:eastAsia="Arial" w:hAnsi="Arial"/>
          <w:sz w:val="19"/>
          <w:szCs w:val="19"/>
          <w:color w:val="auto"/>
        </w:rPr>
        <w:t>1 State Street, 30th Floor</w:t>
      </w:r>
    </w:p>
    <w:p>
      <w:pPr>
        <w:ind w:left="7"/>
        <w:spacing w:after="0" w:line="230" w:lineRule="auto"/>
        <w:rPr>
          <w:sz w:val="20"/>
          <w:szCs w:val="20"/>
          <w:color w:val="auto"/>
        </w:rPr>
      </w:pPr>
      <w:r>
        <w:rPr>
          <w:rFonts w:ascii="Arial" w:cs="Arial" w:eastAsia="Arial" w:hAnsi="Arial"/>
          <w:sz w:val="19"/>
          <w:szCs w:val="19"/>
          <w:color w:val="auto"/>
        </w:rPr>
        <w:t>New York, New York 10004</w:t>
      </w:r>
    </w:p>
    <w:p>
      <w:pPr>
        <w:spacing w:after="0" w:line="1" w:lineRule="exact"/>
        <w:rPr>
          <w:sz w:val="20"/>
          <w:szCs w:val="20"/>
          <w:color w:val="auto"/>
        </w:rPr>
      </w:pPr>
    </w:p>
    <w:p>
      <w:pPr>
        <w:ind w:left="7"/>
        <w:spacing w:after="0"/>
        <w:rPr>
          <w:sz w:val="20"/>
          <w:szCs w:val="20"/>
          <w:color w:val="auto"/>
        </w:rPr>
      </w:pPr>
      <w:r>
        <w:rPr>
          <w:rFonts w:ascii="Arial" w:cs="Arial" w:eastAsia="Arial" w:hAnsi="Arial"/>
          <w:sz w:val="19"/>
          <w:szCs w:val="19"/>
          <w:color w:val="auto"/>
        </w:rPr>
        <w:t>Attn: Francis E. Wolf, Jr. &amp; Celeste Gonzalez</w:t>
      </w:r>
    </w:p>
    <w:p>
      <w:pPr>
        <w:spacing w:after="0" w:line="184" w:lineRule="exact"/>
        <w:rPr>
          <w:sz w:val="20"/>
          <w:szCs w:val="20"/>
          <w:color w:val="auto"/>
        </w:rPr>
      </w:pPr>
    </w:p>
    <w:p>
      <w:pPr>
        <w:ind w:left="567"/>
        <w:spacing w:after="0"/>
        <w:tabs>
          <w:tab w:leader="none" w:pos="1267"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Trust Account - Termination Letter</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left="7" w:firstLine="559"/>
        <w:spacing w:after="0" w:line="270"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of the Investment Management Trust Agreement between ARYA Sciences Acquisition Corp III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August [●], 2020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this is to advise you that the Company has been unable to effect a business combination with a Target Business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32" w:lineRule="exact"/>
        <w:rPr>
          <w:sz w:val="20"/>
          <w:szCs w:val="20"/>
          <w:color w:val="auto"/>
        </w:rPr>
      </w:pPr>
    </w:p>
    <w:tbl>
      <w:tblPr>
        <w:tblLayout w:type="fixed"/>
        <w:tblInd w:w="7" w:type="dxa"/>
        <w:tblCellMar>
          <w:top w:w="0" w:type="dxa"/>
          <w:left w:w="0" w:type="dxa"/>
          <w:bottom w:w="0" w:type="dxa"/>
          <w:right w:w="0" w:type="dxa"/>
        </w:tblCellMar>
      </w:tblPr>
      <w:tr>
        <w:trPr>
          <w:trHeight w:val="218"/>
        </w:trPr>
        <w:tc>
          <w:tcPr>
            <w:tcW w:w="260" w:type="dxa"/>
            <w:vAlign w:val="bottom"/>
            <w:vMerge w:val="restart"/>
          </w:tcPr>
          <w:p>
            <w:pPr>
              <w:spacing w:after="0"/>
              <w:rPr>
                <w:sz w:val="20"/>
                <w:szCs w:val="20"/>
                <w:color w:val="auto"/>
              </w:rPr>
            </w:pPr>
            <w:r>
              <w:rPr>
                <w:rFonts w:ascii="Arial" w:cs="Arial" w:eastAsia="Arial" w:hAnsi="Arial"/>
                <w:sz w:val="19"/>
                <w:szCs w:val="19"/>
                <w:color w:val="auto"/>
              </w:rPr>
              <w:t>20</w:t>
            </w:r>
          </w:p>
        </w:tc>
        <w:tc>
          <w:tcPr>
            <w:tcW w:w="10180" w:type="dxa"/>
            <w:vAlign w:val="bottom"/>
            <w:gridSpan w:val="4"/>
          </w:tcPr>
          <w:p>
            <w:pPr>
              <w:ind w:left="300"/>
              <w:spacing w:after="0"/>
              <w:rPr>
                <w:sz w:val="20"/>
                <w:szCs w:val="20"/>
                <w:color w:val="auto"/>
              </w:rPr>
            </w:pPr>
            <w:r>
              <w:rPr>
                <w:rFonts w:ascii="Arial" w:cs="Arial" w:eastAsia="Arial" w:hAnsi="Arial"/>
                <w:sz w:val="19"/>
                <w:szCs w:val="19"/>
                <w:color w:val="auto"/>
                <w:w w:val="90"/>
              </w:rPr>
              <w:t>In accordance with the terms of the Trust Agreement, we hereby authorize you to liquidate all of the assets in the Trust Account on</w:t>
            </w:r>
          </w:p>
        </w:tc>
        <w:tc>
          <w:tcPr>
            <w:tcW w:w="76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0" w:type="dxa"/>
            <w:vAlign w:val="bottom"/>
          </w:tcPr>
          <w:p>
            <w:pPr>
              <w:spacing w:after="0"/>
              <w:rPr>
                <w:sz w:val="1"/>
                <w:szCs w:val="1"/>
                <w:color w:val="auto"/>
              </w:rPr>
            </w:pPr>
          </w:p>
        </w:tc>
      </w:tr>
      <w:tr>
        <w:trPr>
          <w:trHeight w:val="189"/>
        </w:trPr>
        <w:tc>
          <w:tcPr>
            <w:tcW w:w="2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80" w:type="dxa"/>
            <w:vAlign w:val="bottom"/>
            <w:gridSpan w:val="5"/>
          </w:tcPr>
          <w:p>
            <w:pPr>
              <w:jc w:val="right"/>
              <w:spacing w:after="0" w:line="190" w:lineRule="exact"/>
              <w:rPr>
                <w:sz w:val="20"/>
                <w:szCs w:val="20"/>
                <w:color w:val="auto"/>
              </w:rPr>
            </w:pPr>
            <w:r>
              <w:rPr>
                <w:rFonts w:ascii="Arial" w:cs="Arial" w:eastAsia="Arial" w:hAnsi="Arial"/>
                <w:sz w:val="19"/>
                <w:szCs w:val="19"/>
                <w:color w:val="auto"/>
                <w:w w:val="96"/>
              </w:rPr>
              <w:t>and to transfer the total proceeds into the trust operating account at J.P. Morgan Chase Bank, N.A. to await distribution to the Public</w:t>
            </w:r>
          </w:p>
        </w:tc>
        <w:tc>
          <w:tcPr>
            <w:tcW w:w="0" w:type="dxa"/>
            <w:vAlign w:val="bottom"/>
          </w:tcPr>
          <w:p>
            <w:pPr>
              <w:spacing w:after="0"/>
              <w:rPr>
                <w:sz w:val="1"/>
                <w:szCs w:val="1"/>
                <w:color w:val="auto"/>
              </w:rPr>
            </w:pPr>
          </w:p>
        </w:tc>
      </w:tr>
      <w:tr>
        <w:trPr>
          <w:trHeight w:val="189"/>
        </w:trPr>
        <w:tc>
          <w:tcPr>
            <w:tcW w:w="3100" w:type="dxa"/>
            <w:vAlign w:val="bottom"/>
            <w:gridSpan w:val="3"/>
          </w:tcPr>
          <w:p>
            <w:pPr>
              <w:spacing w:after="0" w:line="190" w:lineRule="exact"/>
              <w:rPr>
                <w:sz w:val="20"/>
                <w:szCs w:val="20"/>
                <w:color w:val="auto"/>
              </w:rPr>
            </w:pPr>
            <w:r>
              <w:rPr>
                <w:rFonts w:ascii="Arial" w:cs="Arial" w:eastAsia="Arial" w:hAnsi="Arial"/>
                <w:sz w:val="19"/>
                <w:szCs w:val="19"/>
                <w:color w:val="auto"/>
                <w:w w:val="86"/>
              </w:rPr>
              <w:t>Shareholders. The Company has selected</w:t>
            </w:r>
          </w:p>
        </w:tc>
        <w:tc>
          <w:tcPr>
            <w:tcW w:w="720" w:type="dxa"/>
            <w:vAlign w:val="bottom"/>
            <w:tcBorders>
              <w:bottom w:val="single" w:sz="8" w:color="auto"/>
            </w:tcBorders>
          </w:tcPr>
          <w:p>
            <w:pPr>
              <w:spacing w:after="0"/>
              <w:rPr>
                <w:sz w:val="16"/>
                <w:szCs w:val="16"/>
                <w:color w:val="auto"/>
              </w:rPr>
            </w:pPr>
          </w:p>
        </w:tc>
        <w:tc>
          <w:tcPr>
            <w:tcW w:w="7440" w:type="dxa"/>
            <w:vAlign w:val="bottom"/>
            <w:gridSpan w:val="3"/>
          </w:tcPr>
          <w:p>
            <w:pPr>
              <w:jc w:val="right"/>
              <w:spacing w:after="0" w:line="190" w:lineRule="exact"/>
              <w:rPr>
                <w:sz w:val="20"/>
                <w:szCs w:val="20"/>
                <w:color w:val="auto"/>
              </w:rPr>
            </w:pPr>
            <w:r>
              <w:rPr>
                <w:rFonts w:ascii="Arial" w:cs="Arial" w:eastAsia="Arial" w:hAnsi="Arial"/>
                <w:sz w:val="19"/>
                <w:szCs w:val="19"/>
                <w:color w:val="auto"/>
                <w:w w:val="88"/>
              </w:rPr>
              <w:t>as the effective date for the purpose of determining when the Public Shareholders will be entitled to</w:t>
            </w: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color w:val="auto"/>
        </w:rPr>
        <w:t xml:space="preserve">receive their share of the liquidation proceeds. It is acknowledged that no interest will be earned by the Company on the liquidation proceeds while on deposit in the trust operating account.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of the Trust Agreement.</w:t>
      </w:r>
    </w:p>
    <w:p>
      <w:pPr>
        <w:spacing w:after="0" w:line="395"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Very truly yours,</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ARYA Sciences Acquisition Corp III</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8255</wp:posOffset>
            </wp:positionV>
            <wp:extent cx="3213735" cy="146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9" w:lineRule="exact"/>
        <w:rPr>
          <w:sz w:val="20"/>
          <w:szCs w:val="20"/>
          <w:color w:val="auto"/>
        </w:rPr>
      </w:pPr>
    </w:p>
    <w:p>
      <w:pPr>
        <w:ind w:left="687" w:hanging="687"/>
        <w:spacing w:after="0"/>
        <w:tabs>
          <w:tab w:leader="none" w:pos="687" w:val="left"/>
        </w:tabs>
        <w:numPr>
          <w:ilvl w:val="0"/>
          <w:numId w:val="395"/>
        </w:numPr>
        <w:rPr>
          <w:rFonts w:ascii="Arial" w:cs="Arial" w:eastAsia="Arial" w:hAnsi="Arial"/>
          <w:sz w:val="19"/>
          <w:szCs w:val="19"/>
          <w:color w:val="auto"/>
        </w:rPr>
      </w:pPr>
      <w:r>
        <w:rPr>
          <w:rFonts w:ascii="Arial" w:cs="Arial" w:eastAsia="Arial" w:hAnsi="Arial"/>
          <w:sz w:val="19"/>
          <w:szCs w:val="19"/>
          <w:color w:val="auto"/>
        </w:rPr>
        <w:t>Jefferies LLC</w:t>
      </w:r>
    </w:p>
    <w:p>
      <w:pPr>
        <w:spacing w:after="0" w:line="7" w:lineRule="exact"/>
        <w:rPr>
          <w:sz w:val="20"/>
          <w:szCs w:val="20"/>
          <w:color w:val="auto"/>
        </w:rPr>
      </w:pPr>
    </w:p>
    <w:p>
      <w:pPr>
        <w:ind w:left="567"/>
        <w:spacing w:after="0"/>
        <w:rPr>
          <w:sz w:val="20"/>
          <w:szCs w:val="20"/>
          <w:color w:val="auto"/>
        </w:rPr>
      </w:pPr>
      <w:r>
        <w:rPr>
          <w:rFonts w:ascii="Arial" w:cs="Arial" w:eastAsia="Arial" w:hAnsi="Arial"/>
          <w:sz w:val="19"/>
          <w:szCs w:val="19"/>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51370" cy="146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26" w:right="319" w:bottom="1440" w:gutter="0" w:footer="0" w:header="0"/>
        </w:sectPr>
      </w:pPr>
    </w:p>
    <w:bookmarkStart w:id="359" w:name="page360"/>
    <w:bookmarkEnd w:id="359"/>
    <w:p>
      <w:pPr>
        <w:jc w:val="center"/>
        <w:ind w:right="-6"/>
        <w:spacing w:after="0"/>
        <w:rPr>
          <w:sz w:val="20"/>
          <w:szCs w:val="20"/>
          <w:color w:val="auto"/>
        </w:rPr>
      </w:pPr>
      <w:r>
        <w:rPr>
          <w:rFonts w:ascii="Arial" w:cs="Arial" w:eastAsia="Arial" w:hAnsi="Arial"/>
          <w:sz w:val="19"/>
          <w:szCs w:val="19"/>
          <w:b w:val="1"/>
          <w:bCs w:val="1"/>
          <w:color w:val="auto"/>
        </w:rPr>
        <w:t>EXHIBIT C</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[Letterhead of Company]</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[Insert date]</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9"/>
          <w:szCs w:val="19"/>
          <w:color w:val="auto"/>
        </w:rPr>
        <w:t>Continental Stock Transfer &amp; Trust Company</w:t>
      </w:r>
    </w:p>
    <w:p>
      <w:pPr>
        <w:ind w:left="7"/>
        <w:spacing w:after="0" w:line="237" w:lineRule="auto"/>
        <w:rPr>
          <w:sz w:val="20"/>
          <w:szCs w:val="20"/>
          <w:color w:val="auto"/>
        </w:rPr>
      </w:pPr>
      <w:r>
        <w:rPr>
          <w:rFonts w:ascii="Arial" w:cs="Arial" w:eastAsia="Arial" w:hAnsi="Arial"/>
          <w:sz w:val="19"/>
          <w:szCs w:val="19"/>
          <w:color w:val="auto"/>
        </w:rPr>
        <w:t>1 State Street, 30th Floor</w:t>
      </w:r>
    </w:p>
    <w:p>
      <w:pPr>
        <w:ind w:left="7"/>
        <w:spacing w:after="0" w:line="230" w:lineRule="auto"/>
        <w:rPr>
          <w:sz w:val="20"/>
          <w:szCs w:val="20"/>
          <w:color w:val="auto"/>
        </w:rPr>
      </w:pPr>
      <w:r>
        <w:rPr>
          <w:rFonts w:ascii="Arial" w:cs="Arial" w:eastAsia="Arial" w:hAnsi="Arial"/>
          <w:sz w:val="19"/>
          <w:szCs w:val="19"/>
          <w:color w:val="auto"/>
        </w:rPr>
        <w:t>New York, New York 10004</w:t>
      </w:r>
    </w:p>
    <w:p>
      <w:pPr>
        <w:spacing w:after="0" w:line="1" w:lineRule="exact"/>
        <w:rPr>
          <w:sz w:val="20"/>
          <w:szCs w:val="20"/>
          <w:color w:val="auto"/>
        </w:rPr>
      </w:pPr>
    </w:p>
    <w:p>
      <w:pPr>
        <w:ind w:left="7"/>
        <w:spacing w:after="0"/>
        <w:rPr>
          <w:sz w:val="20"/>
          <w:szCs w:val="20"/>
          <w:color w:val="auto"/>
        </w:rPr>
      </w:pPr>
      <w:r>
        <w:rPr>
          <w:rFonts w:ascii="Arial" w:cs="Arial" w:eastAsia="Arial" w:hAnsi="Arial"/>
          <w:sz w:val="19"/>
          <w:szCs w:val="19"/>
          <w:color w:val="auto"/>
        </w:rPr>
        <w:t>Attn: Francis E. Wolf, Jr. &amp; Celeste Gonzalez</w:t>
      </w:r>
    </w:p>
    <w:p>
      <w:pPr>
        <w:spacing w:after="0" w:line="184" w:lineRule="exact"/>
        <w:rPr>
          <w:sz w:val="20"/>
          <w:szCs w:val="20"/>
          <w:color w:val="auto"/>
        </w:rPr>
      </w:pPr>
    </w:p>
    <w:p>
      <w:pPr>
        <w:ind w:left="567"/>
        <w:spacing w:after="0"/>
        <w:tabs>
          <w:tab w:leader="none" w:pos="1267"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Trust Account - Tax Payment Withdrawal Instruction</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left="7" w:firstLine="559"/>
        <w:spacing w:after="0" w:line="266"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1(j)</w:t>
      </w:r>
      <w:r>
        <w:rPr>
          <w:rFonts w:ascii="Arial" w:cs="Arial" w:eastAsia="Arial" w:hAnsi="Arial"/>
          <w:sz w:val="17"/>
          <w:szCs w:val="17"/>
          <w:color w:val="auto"/>
        </w:rPr>
        <w:t xml:space="preserve"> of the Investment Management Trust Agreement between ARYA Sciences Acquisition Corp III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August [●], 2020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the Company hereby requests</w:t>
      </w:r>
    </w:p>
    <w:p>
      <w:pPr>
        <w:spacing w:after="0" w:line="2" w:lineRule="exact"/>
        <w:rPr>
          <w:sz w:val="20"/>
          <w:szCs w:val="20"/>
          <w:color w:val="auto"/>
        </w:rPr>
      </w:pPr>
    </w:p>
    <w:p>
      <w:pPr>
        <w:jc w:val="both"/>
        <w:ind w:left="7"/>
        <w:spacing w:after="0" w:line="236" w:lineRule="auto"/>
        <w:rPr>
          <w:sz w:val="20"/>
          <w:szCs w:val="20"/>
          <w:color w:val="auto"/>
        </w:rPr>
      </w:pPr>
      <w:r>
        <w:rPr>
          <w:rFonts w:ascii="Arial" w:cs="Arial" w:eastAsia="Arial" w:hAnsi="Arial"/>
          <w:sz w:val="19"/>
          <w:szCs w:val="19"/>
          <w:color w:val="auto"/>
        </w:rPr>
        <w:t>that you deliver to the Company $ of the interest income earned on the Property as of the date hereof. Capitalized terms used but not defined herein shall have the meanings set forth in the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-159385</wp:posOffset>
            </wp:positionV>
            <wp:extent cx="48006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163" w:lineRule="exact"/>
        <w:rPr>
          <w:sz w:val="20"/>
          <w:szCs w:val="20"/>
          <w:color w:val="auto"/>
        </w:rPr>
      </w:pPr>
    </w:p>
    <w:p>
      <w:pPr>
        <w:jc w:val="both"/>
        <w:ind w:left="7" w:firstLine="559"/>
        <w:spacing w:after="0"/>
        <w:rPr>
          <w:sz w:val="20"/>
          <w:szCs w:val="20"/>
          <w:color w:val="auto"/>
        </w:rPr>
      </w:pPr>
      <w:r>
        <w:rPr>
          <w:rFonts w:ascii="Arial" w:cs="Arial" w:eastAsia="Arial" w:hAnsi="Arial"/>
          <w:sz w:val="19"/>
          <w:szCs w:val="19"/>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[WIRE INSTRUCTION INFORMATION]</w:t>
      </w:r>
    </w:p>
    <w:p>
      <w:pPr>
        <w:spacing w:after="0" w:line="200" w:lineRule="exact"/>
        <w:rPr>
          <w:sz w:val="20"/>
          <w:szCs w:val="20"/>
          <w:color w:val="auto"/>
        </w:rPr>
      </w:pPr>
    </w:p>
    <w:p>
      <w:pPr>
        <w:spacing w:after="0" w:line="222"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Very truly yours,</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ARYA Sciences Acquisition Corp III</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8255</wp:posOffset>
            </wp:positionV>
            <wp:extent cx="3213735" cy="146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Title:</w:t>
      </w:r>
    </w:p>
    <w:p>
      <w:pPr>
        <w:spacing w:after="0" w:line="379" w:lineRule="exact"/>
        <w:rPr>
          <w:sz w:val="20"/>
          <w:szCs w:val="20"/>
          <w:color w:val="auto"/>
        </w:rPr>
      </w:pPr>
    </w:p>
    <w:p>
      <w:pPr>
        <w:ind w:left="687" w:hanging="687"/>
        <w:spacing w:after="0"/>
        <w:tabs>
          <w:tab w:leader="none" w:pos="687" w:val="left"/>
        </w:tabs>
        <w:numPr>
          <w:ilvl w:val="0"/>
          <w:numId w:val="396"/>
        </w:numPr>
        <w:rPr>
          <w:rFonts w:ascii="Arial" w:cs="Arial" w:eastAsia="Arial" w:hAnsi="Arial"/>
          <w:sz w:val="19"/>
          <w:szCs w:val="19"/>
          <w:color w:val="auto"/>
        </w:rPr>
      </w:pPr>
      <w:r>
        <w:rPr>
          <w:rFonts w:ascii="Arial" w:cs="Arial" w:eastAsia="Arial" w:hAnsi="Arial"/>
          <w:sz w:val="19"/>
          <w:szCs w:val="19"/>
          <w:color w:val="auto"/>
        </w:rPr>
        <w:t>Jefferies LLC</w:t>
      </w:r>
    </w:p>
    <w:p>
      <w:pPr>
        <w:spacing w:after="0" w:line="7" w:lineRule="exact"/>
        <w:rPr>
          <w:sz w:val="20"/>
          <w:szCs w:val="20"/>
          <w:color w:val="auto"/>
        </w:rPr>
      </w:pPr>
    </w:p>
    <w:p>
      <w:pPr>
        <w:ind w:left="567"/>
        <w:spacing w:after="0"/>
        <w:rPr>
          <w:sz w:val="20"/>
          <w:szCs w:val="20"/>
          <w:color w:val="auto"/>
        </w:rPr>
      </w:pPr>
      <w:r>
        <w:rPr>
          <w:rFonts w:ascii="Arial" w:cs="Arial" w:eastAsia="Arial" w:hAnsi="Arial"/>
          <w:sz w:val="19"/>
          <w:szCs w:val="19"/>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51370" cy="146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326" w:right="339" w:bottom="1440" w:gutter="0" w:footer="0" w:header="0"/>
        </w:sectPr>
      </w:pPr>
    </w:p>
    <w:bookmarkStart w:id="360" w:name="page361"/>
    <w:bookmarkEnd w:id="360"/>
    <w:p>
      <w:pPr>
        <w:jc w:val="center"/>
        <w:ind w:right="-6"/>
        <w:spacing w:after="0"/>
        <w:rPr>
          <w:sz w:val="20"/>
          <w:szCs w:val="20"/>
          <w:color w:val="auto"/>
        </w:rPr>
      </w:pPr>
      <w:r>
        <w:rPr>
          <w:rFonts w:ascii="Arial" w:cs="Arial" w:eastAsia="Arial" w:hAnsi="Arial"/>
          <w:sz w:val="19"/>
          <w:szCs w:val="19"/>
          <w:b w:val="1"/>
          <w:bCs w:val="1"/>
          <w:color w:val="auto"/>
        </w:rPr>
        <w:t>EXHIBIT D</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[Letterhead of Company]</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[Insert date]</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9"/>
          <w:szCs w:val="19"/>
          <w:color w:val="auto"/>
        </w:rPr>
        <w:t>Continental Stock Transfer &amp; Trust Company</w:t>
      </w:r>
    </w:p>
    <w:p>
      <w:pPr>
        <w:ind w:left="7"/>
        <w:spacing w:after="0" w:line="237" w:lineRule="auto"/>
        <w:rPr>
          <w:sz w:val="20"/>
          <w:szCs w:val="20"/>
          <w:color w:val="auto"/>
        </w:rPr>
      </w:pPr>
      <w:r>
        <w:rPr>
          <w:rFonts w:ascii="Arial" w:cs="Arial" w:eastAsia="Arial" w:hAnsi="Arial"/>
          <w:sz w:val="19"/>
          <w:szCs w:val="19"/>
          <w:color w:val="auto"/>
        </w:rPr>
        <w:t>1 State Street, 30th Floor</w:t>
      </w:r>
    </w:p>
    <w:p>
      <w:pPr>
        <w:ind w:left="7"/>
        <w:spacing w:after="0" w:line="230" w:lineRule="auto"/>
        <w:rPr>
          <w:sz w:val="20"/>
          <w:szCs w:val="20"/>
          <w:color w:val="auto"/>
        </w:rPr>
      </w:pPr>
      <w:r>
        <w:rPr>
          <w:rFonts w:ascii="Arial" w:cs="Arial" w:eastAsia="Arial" w:hAnsi="Arial"/>
          <w:sz w:val="19"/>
          <w:szCs w:val="19"/>
          <w:color w:val="auto"/>
        </w:rPr>
        <w:t>New York, New York 10004</w:t>
      </w:r>
    </w:p>
    <w:p>
      <w:pPr>
        <w:spacing w:after="0" w:line="1" w:lineRule="exact"/>
        <w:rPr>
          <w:sz w:val="20"/>
          <w:szCs w:val="20"/>
          <w:color w:val="auto"/>
        </w:rPr>
      </w:pPr>
    </w:p>
    <w:p>
      <w:pPr>
        <w:ind w:left="7"/>
        <w:spacing w:after="0"/>
        <w:rPr>
          <w:sz w:val="20"/>
          <w:szCs w:val="20"/>
          <w:color w:val="auto"/>
        </w:rPr>
      </w:pPr>
      <w:r>
        <w:rPr>
          <w:rFonts w:ascii="Arial" w:cs="Arial" w:eastAsia="Arial" w:hAnsi="Arial"/>
          <w:sz w:val="19"/>
          <w:szCs w:val="19"/>
          <w:color w:val="auto"/>
        </w:rPr>
        <w:t>Attn: Francis E. Wolf, Jr. &amp; Celeste Gonzalez</w:t>
      </w:r>
    </w:p>
    <w:p>
      <w:pPr>
        <w:spacing w:after="0" w:line="184" w:lineRule="exact"/>
        <w:rPr>
          <w:sz w:val="20"/>
          <w:szCs w:val="20"/>
          <w:color w:val="auto"/>
        </w:rPr>
      </w:pPr>
    </w:p>
    <w:p>
      <w:pPr>
        <w:ind w:left="567"/>
        <w:spacing w:after="0"/>
        <w:tabs>
          <w:tab w:leader="none" w:pos="1267"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Trust Account - Shareholder Redemption Withdrawal Instruction</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left="7" w:right="20" w:firstLine="559"/>
        <w:spacing w:after="0" w:line="266"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1(k)</w:t>
      </w:r>
      <w:r>
        <w:rPr>
          <w:rFonts w:ascii="Arial" w:cs="Arial" w:eastAsia="Arial" w:hAnsi="Arial"/>
          <w:sz w:val="17"/>
          <w:szCs w:val="17"/>
          <w:color w:val="auto"/>
        </w:rPr>
        <w:t xml:space="preserve"> of the Investment Management Trust Agreement between ARYA Sciences Acquisition Corp III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August [●], 2020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the Company hereby requests</w:t>
      </w:r>
    </w:p>
    <w:p>
      <w:pPr>
        <w:spacing w:after="0" w:line="2" w:lineRule="exact"/>
        <w:rPr>
          <w:sz w:val="20"/>
          <w:szCs w:val="20"/>
          <w:color w:val="auto"/>
        </w:rPr>
      </w:pPr>
    </w:p>
    <w:p>
      <w:pPr>
        <w:jc w:val="both"/>
        <w:ind w:left="7"/>
        <w:spacing w:after="0" w:line="260" w:lineRule="auto"/>
        <w:rPr>
          <w:sz w:val="20"/>
          <w:szCs w:val="20"/>
          <w:color w:val="auto"/>
        </w:rPr>
      </w:pPr>
      <w:r>
        <w:rPr>
          <w:rFonts w:ascii="Arial" w:cs="Arial" w:eastAsia="Arial" w:hAnsi="Arial"/>
          <w:sz w:val="18"/>
          <w:szCs w:val="18"/>
          <w:color w:val="auto"/>
        </w:rPr>
        <w:t>that you deliver to the redeeming Public Shareholders on behalf of the Company $ of the principal and interest income earned on the Property as of the date hereof. Capitalized terms used but not defined herein shall have the meanings set forth in the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-171450</wp:posOffset>
            </wp:positionV>
            <wp:extent cx="45783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457835" cy="7620"/>
                    </a:xfrm>
                    <a:prstGeom prst="rect">
                      <a:avLst/>
                    </a:prstGeom>
                    <a:noFill/>
                  </pic:spPr>
                </pic:pic>
              </a:graphicData>
            </a:graphic>
          </wp:anchor>
        </w:drawing>
      </w:r>
    </w:p>
    <w:p>
      <w:pPr>
        <w:spacing w:after="0" w:line="144" w:lineRule="exact"/>
        <w:rPr>
          <w:sz w:val="20"/>
          <w:szCs w:val="20"/>
          <w:color w:val="auto"/>
        </w:rPr>
      </w:pPr>
    </w:p>
    <w:p>
      <w:pPr>
        <w:jc w:val="both"/>
        <w:ind w:left="7" w:firstLine="559"/>
        <w:spacing w:after="0" w:line="237"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1(k)</w:t>
      </w:r>
      <w:r>
        <w:rPr>
          <w:rFonts w:ascii="Arial" w:cs="Arial" w:eastAsia="Arial" w:hAnsi="Arial"/>
          <w:sz w:val="19"/>
          <w:szCs w:val="19"/>
          <w:color w:val="auto"/>
        </w:rPr>
        <w:t xml:space="preserve"> of the Trust Agreement, this is to advise you that the Company has sought an Amendment. Accordingly, in accordance with the terms of the Trust Agreement, we hereby authorize you to liquidate a sufficient portion of the Trust Account and to transfer $[●] of the proceeds of the Trust Account to the trust operating account at J.P. Morgan Chase Bank, N.A. for distribution to the shareholders that have requested redemption of their shares in connection with such Amendment.</w:t>
      </w:r>
    </w:p>
    <w:p>
      <w:pPr>
        <w:spacing w:after="0" w:line="192"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Very truly yours,</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ARYA Sciences Acquisition Corp III</w:t>
      </w:r>
    </w:p>
    <w:p>
      <w:pPr>
        <w:spacing w:after="0" w:line="188"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8255</wp:posOffset>
            </wp:positionV>
            <wp:extent cx="3213735" cy="146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647"/>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9" w:lineRule="exact"/>
        <w:rPr>
          <w:sz w:val="20"/>
          <w:szCs w:val="20"/>
          <w:color w:val="auto"/>
        </w:rPr>
      </w:pPr>
    </w:p>
    <w:p>
      <w:pPr>
        <w:ind w:left="687" w:hanging="687"/>
        <w:spacing w:after="0"/>
        <w:tabs>
          <w:tab w:leader="none" w:pos="687" w:val="left"/>
        </w:tabs>
        <w:numPr>
          <w:ilvl w:val="0"/>
          <w:numId w:val="397"/>
        </w:numPr>
        <w:rPr>
          <w:rFonts w:ascii="Arial" w:cs="Arial" w:eastAsia="Arial" w:hAnsi="Arial"/>
          <w:sz w:val="19"/>
          <w:szCs w:val="19"/>
          <w:color w:val="auto"/>
        </w:rPr>
      </w:pPr>
      <w:r>
        <w:rPr>
          <w:rFonts w:ascii="Arial" w:cs="Arial" w:eastAsia="Arial" w:hAnsi="Arial"/>
          <w:sz w:val="19"/>
          <w:szCs w:val="19"/>
          <w:color w:val="auto"/>
        </w:rPr>
        <w:t>Jefferies LLC</w:t>
      </w:r>
    </w:p>
    <w:p>
      <w:pPr>
        <w:spacing w:after="0" w:line="7" w:lineRule="exact"/>
        <w:rPr>
          <w:sz w:val="20"/>
          <w:szCs w:val="20"/>
          <w:color w:val="auto"/>
        </w:rPr>
      </w:pPr>
    </w:p>
    <w:p>
      <w:pPr>
        <w:ind w:left="567"/>
        <w:spacing w:after="0"/>
        <w:rPr>
          <w:sz w:val="20"/>
          <w:szCs w:val="20"/>
          <w:color w:val="auto"/>
        </w:rPr>
      </w:pPr>
      <w:r>
        <w:rPr>
          <w:rFonts w:ascii="Arial" w:cs="Arial" w:eastAsia="Arial" w:hAnsi="Arial"/>
          <w:sz w:val="19"/>
          <w:szCs w:val="19"/>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7151370" cy="146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26" w:right="319" w:bottom="1440" w:gutter="0" w:footer="0" w:header="0"/>
        </w:sectPr>
      </w:pPr>
    </w:p>
    <w:bookmarkStart w:id="361" w:name="page362"/>
    <w:bookmarkEnd w:id="361"/>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REGISTRATION AND SHAREHOLDER RIGHTS AGREEMENT</w:t>
      </w:r>
    </w:p>
    <w:p>
      <w:pPr>
        <w:spacing w:after="0" w:line="204" w:lineRule="exact"/>
        <w:rPr>
          <w:sz w:val="20"/>
          <w:szCs w:val="20"/>
          <w:color w:val="auto"/>
        </w:rPr>
      </w:pPr>
    </w:p>
    <w:p>
      <w:pPr>
        <w:jc w:val="both"/>
        <w:ind w:firstLine="559"/>
        <w:spacing w:after="0" w:line="236" w:lineRule="auto"/>
        <w:rPr>
          <w:sz w:val="20"/>
          <w:szCs w:val="20"/>
          <w:color w:val="auto"/>
        </w:rPr>
      </w:pPr>
      <w:r>
        <w:rPr>
          <w:rFonts w:ascii="Arial" w:cs="Arial" w:eastAsia="Arial" w:hAnsi="Arial"/>
          <w:sz w:val="19"/>
          <w:szCs w:val="19"/>
          <w:color w:val="auto"/>
        </w:rPr>
        <w:t>THIS REGISTRATION AND SHAREHOLDER RIGHTS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August [●], 2020, is made and entered into by and among ARYA Sciences Acquisition Corp III, a Cayman Islands exempted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ARYA Sciences Holdings III, a Cayman Island exempted limited company (the “</w:t>
      </w:r>
      <w:r>
        <w:rPr>
          <w:rFonts w:ascii="Arial" w:cs="Arial" w:eastAsia="Arial" w:hAnsi="Arial"/>
          <w:sz w:val="19"/>
          <w:szCs w:val="19"/>
          <w:b w:val="1"/>
          <w:bCs w:val="1"/>
          <w:i w:val="1"/>
          <w:iCs w:val="1"/>
          <w:color w:val="auto"/>
        </w:rPr>
        <w:t>Sponsor</w:t>
      </w:r>
      <w:r>
        <w:rPr>
          <w:rFonts w:ascii="Arial" w:cs="Arial" w:eastAsia="Arial" w:hAnsi="Arial"/>
          <w:sz w:val="19"/>
          <w:szCs w:val="19"/>
          <w:color w:val="auto"/>
        </w:rPr>
        <w:t xml:space="preserve">”), and the undersigned parties listed under Holder on the signature page hereto (each such party, including the Sponsor and any person or entity who hereafter becomes a party to this Agreement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of this Agreement, a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Holders</w:t>
      </w:r>
      <w:r>
        <w:rPr>
          <w:rFonts w:ascii="Arial" w:cs="Arial" w:eastAsia="Arial" w:hAnsi="Arial"/>
          <w:sz w:val="19"/>
          <w:szCs w:val="19"/>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00" w:lineRule="exact"/>
        <w:rPr>
          <w:sz w:val="20"/>
          <w:szCs w:val="20"/>
          <w:color w:val="auto"/>
        </w:rPr>
      </w:pPr>
    </w:p>
    <w:p>
      <w:pPr>
        <w:jc w:val="both"/>
        <w:ind w:right="20" w:firstLine="559"/>
        <w:spacing w:after="0" w:line="34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Sponsor currently owns 3,503,750 shares of the Company’s Class B ordinary shares, par value $0.0001 per share (the “</w:t>
      </w:r>
      <w:r>
        <w:rPr>
          <w:rFonts w:ascii="Arial" w:cs="Arial" w:eastAsia="Arial" w:hAnsi="Arial"/>
          <w:sz w:val="16"/>
          <w:szCs w:val="16"/>
          <w:b w:val="1"/>
          <w:bCs w:val="1"/>
          <w:i w:val="1"/>
          <w:iCs w:val="1"/>
          <w:color w:val="auto"/>
        </w:rPr>
        <w:t>Class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 Ordinary Shares</w:t>
      </w:r>
      <w:r>
        <w:rPr>
          <w:rFonts w:ascii="Arial" w:cs="Arial" w:eastAsia="Arial" w:hAnsi="Arial"/>
          <w:sz w:val="16"/>
          <w:szCs w:val="16"/>
          <w:color w:val="auto"/>
        </w:rPr>
        <w:t>”), and the other Holders currently own an aggregate of 90,000 Class B Ordinary Shares, which were received from the Sponsor;</w:t>
      </w:r>
    </w:p>
    <w:p>
      <w:pPr>
        <w:spacing w:after="0" w:line="95" w:lineRule="exact"/>
        <w:rPr>
          <w:sz w:val="20"/>
          <w:szCs w:val="20"/>
          <w:color w:val="auto"/>
        </w:rPr>
      </w:pPr>
    </w:p>
    <w:p>
      <w:pPr>
        <w:jc w:val="both"/>
        <w:ind w:firstLine="559"/>
        <w:spacing w:after="0" w:line="28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Class B Ordinary Shares are convertible into the Company’s Class A ordinary shares, par value $0.0001 per share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Ordinary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the time of the initial Business Combination on a one-for-one basis, subject to adjustment, on the terms and conditions provided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amended and restated memorandum and articles of association, as may be amended from time to time;</w:t>
      </w:r>
    </w:p>
    <w:p>
      <w:pPr>
        <w:spacing w:after="0" w:line="141" w:lineRule="exact"/>
        <w:rPr>
          <w:sz w:val="20"/>
          <w:szCs w:val="20"/>
          <w:color w:val="auto"/>
        </w:rPr>
      </w:pPr>
    </w:p>
    <w:p>
      <w:pPr>
        <w:jc w:val="both"/>
        <w:ind w:right="20" w:firstLine="559"/>
        <w:spacing w:after="0" w:line="27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 2020, the Company and the Sponsor entered into that certain Private Placement Shares Purchase Agreement,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Sponsor agreed to purchase 450,000 Ordinary Shares (or up to 487,500 Ordinary Shares if the Underwriters’ (as defined below) option to purchase additional Ordinary Shares in connection with the Company’s initial public offering is exercised in full) (the “</w:t>
      </w:r>
      <w:r>
        <w:rPr>
          <w:rFonts w:ascii="Arial" w:cs="Arial" w:eastAsia="Arial" w:hAnsi="Arial"/>
          <w:sz w:val="17"/>
          <w:szCs w:val="17"/>
          <w:b w:val="1"/>
          <w:bCs w:val="1"/>
          <w:i w:val="1"/>
          <w:iCs w:val="1"/>
          <w:color w:val="auto"/>
        </w:rPr>
        <w:t>Private Placement Shares</w:t>
      </w:r>
      <w:r>
        <w:rPr>
          <w:rFonts w:ascii="Arial" w:cs="Arial" w:eastAsia="Arial" w:hAnsi="Arial"/>
          <w:sz w:val="17"/>
          <w:szCs w:val="17"/>
          <w:color w:val="auto"/>
        </w:rPr>
        <w:t>”), in a private placement transaction occurring simultaneously with the closing of the Company’s initial public offering;</w:t>
      </w:r>
    </w:p>
    <w:p>
      <w:pPr>
        <w:spacing w:after="0" w:line="148" w:lineRule="exact"/>
        <w:rPr>
          <w:sz w:val="20"/>
          <w:szCs w:val="20"/>
          <w:color w:val="auto"/>
        </w:rPr>
      </w:pPr>
    </w:p>
    <w:p>
      <w:pPr>
        <w:jc w:val="both"/>
        <w:ind w:firstLine="559"/>
        <w:spacing w:after="0" w:line="23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order to finance the Company’s transaction costs in connection with an intended Business Combination (as defined below), the</w:t>
      </w:r>
      <w:r>
        <w:rPr>
          <w:rFonts w:ascii="Arial" w:cs="Arial" w:eastAsia="Arial" w:hAnsi="Arial"/>
          <w:sz w:val="19"/>
          <w:szCs w:val="19"/>
          <w:b w:val="1"/>
          <w:bCs w:val="1"/>
          <w:color w:val="auto"/>
        </w:rPr>
        <w:t xml:space="preserve"> </w:t>
      </w:r>
      <w:r>
        <w:rPr>
          <w:rFonts w:ascii="Arial" w:cs="Arial" w:eastAsia="Arial" w:hAnsi="Arial"/>
          <w:sz w:val="19"/>
          <w:szCs w:val="19"/>
          <w:color w:val="auto"/>
        </w:rPr>
        <w:t>Sponsor, an affiliate of the Sponsor or certain of the Company’s officers or directors may, but are not obligated to, loan the Company funds as the Company may require, of which up to $1,500,000 of such loans may be convertible into shares of the post-Business Combination company at a price of $10.00 per share at the option of the lender (the “</w:t>
      </w:r>
      <w:r>
        <w:rPr>
          <w:rFonts w:ascii="Arial" w:cs="Arial" w:eastAsia="Arial" w:hAnsi="Arial"/>
          <w:sz w:val="19"/>
          <w:szCs w:val="19"/>
          <w:b w:val="1"/>
          <w:bCs w:val="1"/>
          <w:i w:val="1"/>
          <w:iCs w:val="1"/>
          <w:color w:val="auto"/>
        </w:rPr>
        <w:t>Working Capital Shares</w:t>
      </w:r>
      <w:r>
        <w:rPr>
          <w:rFonts w:ascii="Arial" w:cs="Arial" w:eastAsia="Arial" w:hAnsi="Arial"/>
          <w:sz w:val="19"/>
          <w:szCs w:val="19"/>
          <w:color w:val="auto"/>
        </w:rPr>
        <w:t>”); and</w:t>
      </w:r>
    </w:p>
    <w:p>
      <w:pPr>
        <w:spacing w:after="0" w:line="180"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Holders desire to enter into this Agreement, pursuant to which the Company shall grant the Holders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rights with respect to certain securities of the Company, as set forth in this Agreement.</w:t>
      </w:r>
    </w:p>
    <w:p>
      <w:pPr>
        <w:spacing w:after="0" w:line="164" w:lineRule="exact"/>
        <w:rPr>
          <w:sz w:val="20"/>
          <w:szCs w:val="20"/>
          <w:color w:val="auto"/>
        </w:rPr>
      </w:pPr>
    </w:p>
    <w:p>
      <w:pPr>
        <w:jc w:val="both"/>
        <w:ind w:firstLine="559"/>
        <w:spacing w:after="0" w:line="242"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mutual representations, covenants and agreements contained herein, and certain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7151370" cy="146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5" w:right="31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9"/>
          <w:szCs w:val="19"/>
          <w:b w:val="1"/>
          <w:bCs w:val="1"/>
          <w:color w:val="auto"/>
        </w:rPr>
        <w:t>ARTICLE 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9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The terms defined in this</w:t>
      </w:r>
      <w:r>
        <w:rPr>
          <w:rFonts w:ascii="Arial" w:cs="Arial" w:eastAsia="Arial" w:hAnsi="Arial"/>
          <w:sz w:val="14"/>
          <w:szCs w:val="14"/>
          <w:u w:val="single" w:color="auto"/>
          <w:color w:val="auto"/>
        </w:rPr>
        <w:t xml:space="preserve"> </w:t>
      </w:r>
      <w:r>
        <w:rPr>
          <w:rFonts w:ascii="Arial" w:cs="Arial" w:eastAsia="Arial" w:hAnsi="Arial"/>
          <w:sz w:val="14"/>
          <w:szCs w:val="14"/>
          <w:i w:val="1"/>
          <w:iCs w:val="1"/>
          <w:color w:val="auto"/>
        </w:rPr>
        <w:t>Article I</w:t>
      </w:r>
      <w:r>
        <w:rPr>
          <w:rFonts w:ascii="Arial" w:cs="Arial" w:eastAsia="Arial" w:hAnsi="Arial"/>
          <w:sz w:val="14"/>
          <w:szCs w:val="14"/>
          <w:u w:val="single" w:color="auto"/>
          <w:color w:val="auto"/>
        </w:rPr>
        <w:t xml:space="preserve"> </w:t>
      </w:r>
      <w:r>
        <w:rPr>
          <w:rFonts w:ascii="Arial" w:cs="Arial" w:eastAsia="Arial" w:hAnsi="Arial"/>
          <w:sz w:val="14"/>
          <w:szCs w:val="14"/>
          <w:color w:val="auto"/>
        </w:rPr>
        <w:t>shall, for all purposes of this Agreement, have the respective meanings set forth below:</w:t>
      </w:r>
    </w:p>
    <w:p>
      <w:pPr>
        <w:spacing w:after="0" w:line="203"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shall have the meaning given in the Preamble.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shall mean the Board of Directors of the Company.</w:t>
      </w:r>
    </w:p>
    <w:p>
      <w:pPr>
        <w:spacing w:after="0" w:line="200" w:lineRule="exact"/>
        <w:rPr>
          <w:sz w:val="20"/>
          <w:szCs w:val="20"/>
          <w:color w:val="auto"/>
        </w:rPr>
      </w:pPr>
    </w:p>
    <w:p>
      <w:pPr>
        <w:jc w:val="both"/>
        <w:ind w:right="20"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shall mean any merger, share exchange, asset acquisition, share purchase, reorganization or other similar business combination with one or more businesses, involving the Company.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shall mean the U.S. Securities and Exchange Commission.</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have the meaning given in the Preamble.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Demand Registration</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2.1.1</w:t>
      </w:r>
      <w:r>
        <w:rPr>
          <w:rFonts w:ascii="Arial" w:cs="Arial" w:eastAsia="Arial" w:hAnsi="Arial"/>
          <w:sz w:val="19"/>
          <w:szCs w:val="19"/>
          <w:color w:val="auto"/>
        </w:rPr>
        <w:t>.</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Demanding Holder</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2.1.1</w:t>
      </w:r>
      <w:r>
        <w:rPr>
          <w:rFonts w:ascii="Arial" w:cs="Arial" w:eastAsia="Arial" w:hAnsi="Arial"/>
          <w:sz w:val="19"/>
          <w:szCs w:val="19"/>
          <w:color w:val="auto"/>
        </w:rPr>
        <w:t>.</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shall mean the Securities Exchange Act of 1934, as it may be amended from time to time.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Form S-1</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2.1.1</w:t>
      </w:r>
      <w:r>
        <w:rPr>
          <w:rFonts w:ascii="Arial" w:cs="Arial" w:eastAsia="Arial" w:hAnsi="Arial"/>
          <w:sz w:val="19"/>
          <w:szCs w:val="19"/>
          <w:color w:val="auto"/>
        </w:rPr>
        <w:t>.</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Form S-3</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2.3.1</w:t>
      </w:r>
      <w:r>
        <w:rPr>
          <w:rFonts w:ascii="Arial" w:cs="Arial" w:eastAsia="Arial" w:hAnsi="Arial"/>
          <w:sz w:val="19"/>
          <w:szCs w:val="19"/>
          <w:color w:val="auto"/>
        </w:rPr>
        <w:t>.</w:t>
      </w:r>
    </w:p>
    <w:p>
      <w:pPr>
        <w:spacing w:after="0" w:line="200"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Founder Shares</w:t>
      </w:r>
      <w:r>
        <w:rPr>
          <w:rFonts w:ascii="Arial" w:cs="Arial" w:eastAsia="Arial" w:hAnsi="Arial"/>
          <w:sz w:val="19"/>
          <w:szCs w:val="19"/>
          <w:color w:val="auto"/>
        </w:rPr>
        <w:t>” shall mean the Class B Ordinary Shares and shall be deemed to include the Ordinary Shares issuable upon conversion thereof.</w:t>
      </w:r>
    </w:p>
    <w:p>
      <w:pPr>
        <w:spacing w:after="0" w:line="171" w:lineRule="exact"/>
        <w:rPr>
          <w:sz w:val="20"/>
          <w:szCs w:val="20"/>
          <w:color w:val="auto"/>
        </w:rPr>
      </w:pPr>
    </w:p>
    <w:p>
      <w:pPr>
        <w:jc w:val="both"/>
        <w:ind w:firstLine="55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Company’s initial Business Combination, (x) if the last reported sales price of the Ordinary Shares equals or exceeds $12.00 per share (as adjusted for share splits, share capitalizations, reorganizations, recapitalizations and the like) for any twenty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363" w:name="page364"/>
    <w:bookmarkEnd w:id="363"/>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Holders</w:t>
      </w:r>
      <w:r>
        <w:rPr>
          <w:rFonts w:ascii="Arial" w:cs="Arial" w:eastAsia="Arial" w:hAnsi="Arial"/>
          <w:sz w:val="19"/>
          <w:szCs w:val="19"/>
          <w:color w:val="auto"/>
        </w:rPr>
        <w:t>” shall have the meaning given in the Preamble.</w:t>
      </w:r>
    </w:p>
    <w:p>
      <w:pPr>
        <w:spacing w:after="0" w:line="200" w:lineRule="exact"/>
        <w:rPr>
          <w:sz w:val="20"/>
          <w:szCs w:val="20"/>
          <w:color w:val="auto"/>
        </w:rPr>
      </w:pPr>
    </w:p>
    <w:p>
      <w:pPr>
        <w:jc w:val="both"/>
        <w:ind w:left="7" w:right="20"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Insider Letter</w:t>
      </w:r>
      <w:r>
        <w:rPr>
          <w:rFonts w:ascii="Arial" w:cs="Arial" w:eastAsia="Arial" w:hAnsi="Arial"/>
          <w:sz w:val="19"/>
          <w:szCs w:val="19"/>
          <w:color w:val="auto"/>
        </w:rPr>
        <w:t>” shall mean that certain letter agreement, dated as of the date hereof, by and among the Company, the Sponsor and each of the Company’s officers, directors and director nominees.</w:t>
      </w:r>
    </w:p>
    <w:p>
      <w:pPr>
        <w:spacing w:after="0" w:line="171"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Maximum Number of Securities</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2.1.4</w:t>
      </w:r>
      <w:r>
        <w:rPr>
          <w:rFonts w:ascii="Arial" w:cs="Arial" w:eastAsia="Arial" w:hAnsi="Arial"/>
          <w:sz w:val="19"/>
          <w:szCs w:val="19"/>
          <w:color w:val="auto"/>
        </w:rPr>
        <w:t>.</w:t>
      </w:r>
    </w:p>
    <w:p>
      <w:pPr>
        <w:spacing w:after="0" w:line="200" w:lineRule="exact"/>
        <w:rPr>
          <w:sz w:val="20"/>
          <w:szCs w:val="20"/>
          <w:color w:val="auto"/>
        </w:rPr>
      </w:pPr>
    </w:p>
    <w:p>
      <w:pPr>
        <w:jc w:val="both"/>
        <w:ind w:left="7" w:firstLine="5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Misstatement</w:t>
      </w:r>
      <w:r>
        <w:rPr>
          <w:rFonts w:ascii="Arial" w:cs="Arial" w:eastAsia="Arial" w:hAnsi="Arial"/>
          <w:sz w:val="19"/>
          <w:szCs w:val="19"/>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2"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Nominee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0"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 shall have the meaning given in the Recitals hereto.</w:t>
      </w:r>
    </w:p>
    <w:p>
      <w:pPr>
        <w:spacing w:after="0" w:line="200" w:lineRule="exact"/>
        <w:rPr>
          <w:sz w:val="20"/>
          <w:szCs w:val="20"/>
          <w:color w:val="auto"/>
        </w:rPr>
      </w:pPr>
    </w:p>
    <w:p>
      <w:pPr>
        <w:jc w:val="both"/>
        <w:ind w:left="7" w:firstLine="559"/>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Transferees</w:t>
      </w:r>
      <w:r>
        <w:rPr>
          <w:rFonts w:ascii="Arial" w:cs="Arial" w:eastAsia="Arial" w:hAnsi="Arial"/>
          <w:sz w:val="19"/>
          <w:szCs w:val="19"/>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the Private Placement Shares Purchase Agreement and any other applicable agreement between such Holder and the Company, and to any transferee thereafter.</w:t>
      </w:r>
    </w:p>
    <w:p>
      <w:pPr>
        <w:spacing w:after="0" w:line="184"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Piggyback Registration</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2.2.1</w:t>
      </w:r>
      <w:r>
        <w:rPr>
          <w:rFonts w:ascii="Arial" w:cs="Arial" w:eastAsia="Arial" w:hAnsi="Arial"/>
          <w:sz w:val="19"/>
          <w:szCs w:val="19"/>
          <w:color w:val="auto"/>
        </w:rPr>
        <w:t>.</w:t>
      </w:r>
    </w:p>
    <w:p>
      <w:pPr>
        <w:spacing w:after="0" w:line="200" w:lineRule="exact"/>
        <w:rPr>
          <w:sz w:val="20"/>
          <w:szCs w:val="20"/>
          <w:color w:val="auto"/>
        </w:rPr>
      </w:pPr>
    </w:p>
    <w:p>
      <w:pPr>
        <w:jc w:val="both"/>
        <w:ind w:left="7" w:right="20" w:firstLine="55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the Private Placement Shares that are held by the initial purchasers or their Permitted Transferees, the period ending thirty (30) days after the completion of the Company’s initial Business Combination.</w:t>
      </w:r>
    </w:p>
    <w:p>
      <w:pPr>
        <w:spacing w:after="0" w:line="14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Private Placement Shares</w:t>
      </w:r>
      <w:r>
        <w:rPr>
          <w:rFonts w:ascii="Arial" w:cs="Arial" w:eastAsia="Arial" w:hAnsi="Arial"/>
          <w:sz w:val="19"/>
          <w:szCs w:val="19"/>
          <w:color w:val="auto"/>
        </w:rPr>
        <w:t>” shall have the meaning given in the Recitals hereto.</w:t>
      </w:r>
    </w:p>
    <w:p>
      <w:pPr>
        <w:spacing w:after="0" w:line="200" w:lineRule="exact"/>
        <w:rPr>
          <w:sz w:val="20"/>
          <w:szCs w:val="20"/>
          <w:color w:val="auto"/>
        </w:rPr>
      </w:pPr>
    </w:p>
    <w:p>
      <w:pPr>
        <w:jc w:val="both"/>
        <w:ind w:left="7" w:right="20" w:firstLine="559"/>
        <w:spacing w:after="0" w:line="30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5" w:lineRule="exact"/>
        <w:rPr>
          <w:sz w:val="20"/>
          <w:szCs w:val="20"/>
          <w:color w:val="auto"/>
        </w:rPr>
      </w:pPr>
    </w:p>
    <w:p>
      <w:pPr>
        <w:jc w:val="both"/>
        <w:ind w:left="7" w:firstLine="55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shall mean (a) the Founder Shares (including any Ordinary Shares or other equivalent equity security issued or issuable upon the conversion of any such Founder Shares or exercisable for Ordinary Shares), (b) the Private Placement Shares, (c) the Working Capital Shares,</w:t>
      </w:r>
    </w:p>
    <w:p>
      <w:pPr>
        <w:spacing w:after="0" w:line="1" w:lineRule="exact"/>
        <w:rPr>
          <w:sz w:val="20"/>
          <w:szCs w:val="20"/>
          <w:color w:val="auto"/>
        </w:rPr>
      </w:pPr>
    </w:p>
    <w:p>
      <w:pPr>
        <w:jc w:val="both"/>
        <w:ind w:left="7" w:hanging="7"/>
        <w:spacing w:after="0" w:line="244" w:lineRule="auto"/>
        <w:tabs>
          <w:tab w:leader="none" w:pos="29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capitalization or share split or in connection with a combination of shares, recapitalization, merger, consolidation or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29" w:right="319" w:bottom="1440" w:gutter="0" w:footer="0" w:header="0"/>
        </w:sectPr>
      </w:pPr>
    </w:p>
    <w:bookmarkStart w:id="364" w:name="page365"/>
    <w:bookmarkEnd w:id="364"/>
    <w:p>
      <w:pPr>
        <w:jc w:val="both"/>
        <w:ind w:firstLine="5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w:t>
      </w:r>
      <w:r>
        <w:rPr>
          <w:rFonts w:ascii="Arial" w:cs="Arial" w:eastAsia="Arial" w:hAnsi="Arial"/>
          <w:sz w:val="19"/>
          <w:szCs w:val="19"/>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 Expenses</w:t>
      </w:r>
      <w:r>
        <w:rPr>
          <w:rFonts w:ascii="Arial" w:cs="Arial" w:eastAsia="Arial" w:hAnsi="Arial"/>
          <w:sz w:val="19"/>
          <w:szCs w:val="19"/>
          <w:color w:val="auto"/>
        </w:rPr>
        <w:t>” shall mean the out-of-pocket expenses of a Registration, including, without limitation, the following:</w:t>
      </w:r>
    </w:p>
    <w:p>
      <w:pPr>
        <w:spacing w:after="0" w:line="200" w:lineRule="exact"/>
        <w:rPr>
          <w:sz w:val="20"/>
          <w:szCs w:val="20"/>
          <w:color w:val="auto"/>
        </w:rPr>
      </w:pPr>
    </w:p>
    <w:p>
      <w:pPr>
        <w:ind w:firstLine="552"/>
        <w:spacing w:after="0" w:line="251" w:lineRule="auto"/>
        <w:tabs>
          <w:tab w:leader="none" w:pos="1452" w:val="left"/>
        </w:tabs>
        <w:numPr>
          <w:ilvl w:val="0"/>
          <w:numId w:val="399"/>
        </w:numPr>
        <w:rPr>
          <w:rFonts w:ascii="Arial" w:cs="Arial" w:eastAsia="Arial" w:hAnsi="Arial"/>
          <w:sz w:val="19"/>
          <w:szCs w:val="19"/>
          <w:color w:val="auto"/>
        </w:rPr>
      </w:pPr>
      <w:r>
        <w:rPr>
          <w:rFonts w:ascii="Arial" w:cs="Arial" w:eastAsia="Arial" w:hAnsi="Arial"/>
          <w:sz w:val="19"/>
          <w:szCs w:val="19"/>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71" w:lineRule="exact"/>
        <w:rPr>
          <w:rFonts w:ascii="Arial" w:cs="Arial" w:eastAsia="Arial" w:hAnsi="Arial"/>
          <w:sz w:val="19"/>
          <w:szCs w:val="19"/>
          <w:color w:val="auto"/>
        </w:rPr>
      </w:pPr>
    </w:p>
    <w:p>
      <w:pPr>
        <w:ind w:right="20" w:firstLine="552"/>
        <w:spacing w:after="0" w:line="251" w:lineRule="auto"/>
        <w:tabs>
          <w:tab w:leader="none" w:pos="1397" w:val="left"/>
        </w:tabs>
        <w:numPr>
          <w:ilvl w:val="0"/>
          <w:numId w:val="399"/>
        </w:numPr>
        <w:rPr>
          <w:rFonts w:ascii="Arial" w:cs="Arial" w:eastAsia="Arial" w:hAnsi="Arial"/>
          <w:sz w:val="19"/>
          <w:szCs w:val="19"/>
          <w:color w:val="auto"/>
        </w:rPr>
      </w:pPr>
      <w:r>
        <w:rPr>
          <w:rFonts w:ascii="Arial" w:cs="Arial" w:eastAsia="Arial" w:hAnsi="Arial"/>
          <w:sz w:val="19"/>
          <w:szCs w:val="19"/>
          <w:color w:val="auto"/>
        </w:rPr>
        <w:t>fees and expenses of compliance with securities or blue sky laws (including reasonable fees and disbursements of counsel for the Underwriters in connection with blue sky qualifications of Registrable Securities);</w:t>
      </w:r>
    </w:p>
    <w:p>
      <w:pPr>
        <w:spacing w:after="0" w:line="171" w:lineRule="exact"/>
        <w:rPr>
          <w:rFonts w:ascii="Arial" w:cs="Arial" w:eastAsia="Arial" w:hAnsi="Arial"/>
          <w:sz w:val="19"/>
          <w:szCs w:val="19"/>
          <w:color w:val="auto"/>
        </w:rPr>
      </w:pPr>
    </w:p>
    <w:p>
      <w:pPr>
        <w:ind w:left="1260" w:hanging="708"/>
        <w:spacing w:after="0"/>
        <w:tabs>
          <w:tab w:leader="none" w:pos="126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printing, messenger, telephone and delivery expenses;</w:t>
      </w:r>
    </w:p>
    <w:p>
      <w:pPr>
        <w:spacing w:after="0" w:line="200" w:lineRule="exact"/>
        <w:rPr>
          <w:rFonts w:ascii="Arial" w:cs="Arial" w:eastAsia="Arial" w:hAnsi="Arial"/>
          <w:sz w:val="19"/>
          <w:szCs w:val="19"/>
          <w:color w:val="auto"/>
        </w:rPr>
      </w:pPr>
    </w:p>
    <w:p>
      <w:pPr>
        <w:ind w:left="1280" w:hanging="728"/>
        <w:spacing w:after="0"/>
        <w:tabs>
          <w:tab w:leader="none" w:pos="128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reasonable fees and disbursements of counsel for the Company;</w:t>
      </w:r>
    </w:p>
    <w:p>
      <w:pPr>
        <w:spacing w:after="0" w:line="200" w:lineRule="exact"/>
        <w:rPr>
          <w:rFonts w:ascii="Arial" w:cs="Arial" w:eastAsia="Arial" w:hAnsi="Arial"/>
          <w:sz w:val="19"/>
          <w:szCs w:val="19"/>
          <w:color w:val="auto"/>
        </w:rPr>
      </w:pPr>
    </w:p>
    <w:p>
      <w:pPr>
        <w:ind w:firstLine="552"/>
        <w:spacing w:after="0" w:line="251" w:lineRule="auto"/>
        <w:tabs>
          <w:tab w:leader="none" w:pos="1584" w:val="left"/>
        </w:tabs>
        <w:numPr>
          <w:ilvl w:val="0"/>
          <w:numId w:val="399"/>
        </w:numPr>
        <w:rPr>
          <w:rFonts w:ascii="Arial" w:cs="Arial" w:eastAsia="Arial" w:hAnsi="Arial"/>
          <w:sz w:val="19"/>
          <w:szCs w:val="19"/>
          <w:color w:val="auto"/>
        </w:rPr>
      </w:pPr>
      <w:r>
        <w:rPr>
          <w:rFonts w:ascii="Arial" w:cs="Arial" w:eastAsia="Arial" w:hAnsi="Arial"/>
          <w:sz w:val="19"/>
          <w:szCs w:val="19"/>
          <w:color w:val="auto"/>
        </w:rPr>
        <w:t>reasonable fees and disbursements of all independent registered public accountants of the Company incurred specifically in connection with such Registration; and</w:t>
      </w:r>
    </w:p>
    <w:p>
      <w:pPr>
        <w:spacing w:after="0" w:line="171" w:lineRule="exact"/>
        <w:rPr>
          <w:rFonts w:ascii="Arial" w:cs="Arial" w:eastAsia="Arial" w:hAnsi="Arial"/>
          <w:sz w:val="19"/>
          <w:szCs w:val="19"/>
          <w:color w:val="auto"/>
        </w:rPr>
      </w:pPr>
    </w:p>
    <w:p>
      <w:pPr>
        <w:jc w:val="both"/>
        <w:ind w:right="20" w:firstLine="552"/>
        <w:spacing w:after="0"/>
        <w:tabs>
          <w:tab w:leader="none" w:pos="143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w:t>
      </w:r>
    </w:p>
    <w:p>
      <w:pPr>
        <w:spacing w:after="0" w:line="182" w:lineRule="exact"/>
        <w:rPr>
          <w:sz w:val="20"/>
          <w:szCs w:val="20"/>
          <w:color w:val="auto"/>
        </w:rPr>
      </w:pPr>
    </w:p>
    <w:p>
      <w:pPr>
        <w:jc w:val="both"/>
        <w:ind w:right="20" w:firstLine="55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Requesting Holder</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2.1.1</w:t>
      </w:r>
      <w:r>
        <w:rPr>
          <w:rFonts w:ascii="Arial" w:cs="Arial" w:eastAsia="Arial" w:hAnsi="Arial"/>
          <w:sz w:val="19"/>
          <w:szCs w:val="19"/>
          <w:color w:val="auto"/>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65" w:name="page366"/>
    <w:bookmarkEnd w:id="365"/>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shall mean the Securities Act of 1933, as amended from time to time.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Shelf</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2.3.1</w:t>
      </w:r>
      <w:r>
        <w:rPr>
          <w:rFonts w:ascii="Arial" w:cs="Arial" w:eastAsia="Arial" w:hAnsi="Arial"/>
          <w:sz w:val="19"/>
          <w:szCs w:val="19"/>
          <w:color w:val="auto"/>
        </w:rPr>
        <w:t>.</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Sponsor</w:t>
      </w:r>
      <w:r>
        <w:rPr>
          <w:rFonts w:ascii="Arial" w:cs="Arial" w:eastAsia="Arial" w:hAnsi="Arial"/>
          <w:sz w:val="19"/>
          <w:szCs w:val="19"/>
          <w:color w:val="auto"/>
        </w:rPr>
        <w:t>” shall have the meaning given in the Recitals hereto.</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Director</w:t>
      </w:r>
      <w:r>
        <w:rPr>
          <w:rFonts w:ascii="Arial" w:cs="Arial" w:eastAsia="Arial" w:hAnsi="Arial"/>
          <w:sz w:val="18"/>
          <w:szCs w:val="18"/>
          <w:color w:val="auto"/>
        </w:rPr>
        <w:t>” means an individual elected to the Board that has been nominated by the Sponsor pursuant to this Agreement.</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Subsequent Shelf Registration</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2.3.2</w:t>
      </w:r>
      <w:r>
        <w:rPr>
          <w:rFonts w:ascii="Arial" w:cs="Arial" w:eastAsia="Arial" w:hAnsi="Arial"/>
          <w:sz w:val="19"/>
          <w:szCs w:val="19"/>
          <w:color w:val="auto"/>
        </w:rPr>
        <w:t>.</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Takedown Requesting Holder</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2.3.3</w:t>
      </w:r>
      <w:r>
        <w:rPr>
          <w:rFonts w:ascii="Arial" w:cs="Arial" w:eastAsia="Arial" w:hAnsi="Arial"/>
          <w:sz w:val="19"/>
          <w:szCs w:val="19"/>
          <w:color w:val="auto"/>
        </w:rPr>
        <w:t>.</w:t>
      </w:r>
    </w:p>
    <w:p>
      <w:pPr>
        <w:spacing w:after="0" w:line="200"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Underwriter</w:t>
      </w:r>
      <w:r>
        <w:rPr>
          <w:rFonts w:ascii="Arial" w:cs="Arial" w:eastAsia="Arial" w:hAnsi="Arial"/>
          <w:sz w:val="19"/>
          <w:szCs w:val="19"/>
          <w:color w:val="auto"/>
        </w:rPr>
        <w:t>” shall mean a securities dealer who purchases any Registrable Securities as principal in an Underwritten Offering and not as part of such dealer’s market-making activities.</w:t>
      </w:r>
    </w:p>
    <w:p>
      <w:pPr>
        <w:spacing w:after="0" w:line="171" w:lineRule="exact"/>
        <w:rPr>
          <w:sz w:val="20"/>
          <w:szCs w:val="20"/>
          <w:color w:val="auto"/>
        </w:rPr>
      </w:pPr>
    </w:p>
    <w:p>
      <w:pPr>
        <w:jc w:val="both"/>
        <w:ind w:right="20"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Underwritten Registration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Underwritten Offering</w:t>
      </w:r>
      <w:r>
        <w:rPr>
          <w:rFonts w:ascii="Arial" w:cs="Arial" w:eastAsia="Arial" w:hAnsi="Arial"/>
          <w:sz w:val="19"/>
          <w:szCs w:val="19"/>
          <w:color w:val="auto"/>
        </w:rPr>
        <w:t>” shall mean a Registration in which securities of the Company are sold to an Underwriter in a firm commitment underwriting for distribution to the public.</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Underwritten Shelf Takedown</w:t>
      </w:r>
      <w:r>
        <w:rPr>
          <w:rFonts w:ascii="Arial" w:cs="Arial" w:eastAsia="Arial" w:hAnsi="Arial"/>
          <w:sz w:val="19"/>
          <w:szCs w:val="19"/>
          <w:color w:val="auto"/>
        </w:rPr>
        <w:t xml:space="preserve">” shall have the meaning given in </w:t>
      </w:r>
      <w:r>
        <w:rPr>
          <w:rFonts w:ascii="Arial" w:cs="Arial" w:eastAsia="Arial" w:hAnsi="Arial"/>
          <w:sz w:val="19"/>
          <w:szCs w:val="19"/>
          <w:u w:val="single" w:color="auto"/>
          <w:color w:val="auto"/>
        </w:rPr>
        <w:t>subsection 2.3.3</w:t>
      </w:r>
      <w:r>
        <w:rPr>
          <w:rFonts w:ascii="Arial" w:cs="Arial" w:eastAsia="Arial" w:hAnsi="Arial"/>
          <w:sz w:val="19"/>
          <w:szCs w:val="19"/>
          <w:color w:val="auto"/>
        </w:rPr>
        <w:t>.</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Working Capital Shares</w:t>
      </w:r>
      <w:r>
        <w:rPr>
          <w:rFonts w:ascii="Arial" w:cs="Arial" w:eastAsia="Arial" w:hAnsi="Arial"/>
          <w:sz w:val="19"/>
          <w:szCs w:val="19"/>
          <w:color w:val="auto"/>
        </w:rPr>
        <w:t>” shall have the meaning given in the Recitals hereto.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REGISTRATIONS</w:t>
      </w:r>
    </w:p>
    <w:p>
      <w:pPr>
        <w:spacing w:after="0" w:line="19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Demand Registration</w:t>
      </w:r>
      <w:r>
        <w:rPr>
          <w:rFonts w:ascii="Arial" w:cs="Arial" w:eastAsia="Arial" w:hAnsi="Arial"/>
          <w:sz w:val="14"/>
          <w:szCs w:val="14"/>
          <w:color w:val="auto"/>
        </w:rPr>
        <w:t>.</w:t>
      </w:r>
    </w:p>
    <w:p>
      <w:pPr>
        <w:spacing w:after="0" w:line="203" w:lineRule="exact"/>
        <w:rPr>
          <w:sz w:val="20"/>
          <w:szCs w:val="20"/>
          <w:color w:val="auto"/>
        </w:rPr>
      </w:pPr>
    </w:p>
    <w:p>
      <w:pPr>
        <w:jc w:val="both"/>
        <w:ind w:firstLine="1117"/>
        <w:spacing w:after="0" w:line="26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at any time and from time to time on or after the date the Company consummates the initial Business Combination, the Holders of at least a majority in interest of the then-outstanding number of Registrable Securities (the “</w:t>
      </w:r>
      <w:r>
        <w:rPr>
          <w:rFonts w:ascii="Arial" w:cs="Arial" w:eastAsia="Arial" w:hAnsi="Arial"/>
          <w:sz w:val="17"/>
          <w:szCs w:val="17"/>
          <w:b w:val="1"/>
          <w:bCs w:val="1"/>
          <w:i w:val="1"/>
          <w:iCs w:val="1"/>
          <w:color w:val="auto"/>
        </w:rPr>
        <w:t>Demanding Holders</w:t>
      </w:r>
      <w:r>
        <w:rPr>
          <w:rFonts w:ascii="Arial" w:cs="Arial" w:eastAsia="Arial" w:hAnsi="Arial"/>
          <w:sz w:val="17"/>
          <w:szCs w:val="17"/>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7"/>
          <w:szCs w:val="17"/>
          <w:b w:val="1"/>
          <w:bCs w:val="1"/>
          <w:i w:val="1"/>
          <w:iCs w:val="1"/>
          <w:color w:val="auto"/>
        </w:rPr>
        <w:t>Demand Registration</w:t>
      </w:r>
      <w:r>
        <w:rPr>
          <w:rFonts w:ascii="Arial" w:cs="Arial" w:eastAsia="Arial" w:hAnsi="Arial"/>
          <w:sz w:val="17"/>
          <w:szCs w:val="17"/>
          <w:color w:val="auto"/>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7"/>
          <w:szCs w:val="17"/>
          <w:b w:val="1"/>
          <w:bCs w:val="1"/>
          <w:i w:val="1"/>
          <w:iCs w:val="1"/>
          <w:color w:val="auto"/>
        </w:rPr>
        <w:t>Requesting Holder</w:t>
      </w:r>
      <w:r>
        <w:rPr>
          <w:rFonts w:ascii="Arial" w:cs="Arial" w:eastAsia="Arial" w:hAnsi="Arial"/>
          <w:sz w:val="17"/>
          <w:szCs w:val="17"/>
          <w:color w:val="auto"/>
        </w:rPr>
        <w:t xml:space="preserve">”)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Form S-1 or any similar long-form registration statement that may be available at such time (“</w:t>
      </w:r>
      <w:r>
        <w:rPr>
          <w:rFonts w:ascii="Arial" w:cs="Arial" w:eastAsia="Arial" w:hAnsi="Arial"/>
          <w:sz w:val="17"/>
          <w:szCs w:val="17"/>
          <w:b w:val="1"/>
          <w:bCs w:val="1"/>
          <w:i w:val="1"/>
          <w:iCs w:val="1"/>
          <w:color w:val="auto"/>
        </w:rPr>
        <w:t>Form S-1</w:t>
      </w:r>
      <w:r>
        <w:rPr>
          <w:rFonts w:ascii="Arial" w:cs="Arial" w:eastAsia="Arial" w:hAnsi="Arial"/>
          <w:sz w:val="17"/>
          <w:szCs w:val="17"/>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 Underwritten Shelf Takedown shall not count as a Demand Registration.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66" w:name="page367"/>
    <w:bookmarkEnd w:id="366"/>
    <w:p>
      <w:pPr>
        <w:jc w:val="both"/>
        <w:ind w:firstLine="1117"/>
        <w:spacing w:after="0" w:line="26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66" w:lineRule="exact"/>
        <w:rPr>
          <w:sz w:val="20"/>
          <w:szCs w:val="20"/>
          <w:color w:val="auto"/>
        </w:rPr>
      </w:pPr>
    </w:p>
    <w:p>
      <w:pPr>
        <w:jc w:val="both"/>
        <w:ind w:firstLine="1117"/>
        <w:spacing w:after="0" w:line="233"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Underwritten Offering</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subsection 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9"/>
          <w:szCs w:val="19"/>
          <w:u w:val="single" w:color="auto"/>
          <w:color w:val="auto"/>
        </w:rPr>
        <w:t>subsection 2.1.3</w:t>
      </w:r>
      <w:r>
        <w:rPr>
          <w:rFonts w:ascii="Arial" w:cs="Arial" w:eastAsia="Arial" w:hAnsi="Arial"/>
          <w:sz w:val="19"/>
          <w:szCs w:val="19"/>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88" w:lineRule="exact"/>
        <w:rPr>
          <w:sz w:val="20"/>
          <w:szCs w:val="20"/>
          <w:color w:val="auto"/>
        </w:rPr>
      </w:pPr>
    </w:p>
    <w:p>
      <w:pPr>
        <w:jc w:val="both"/>
        <w:ind w:firstLine="1117"/>
        <w:spacing w:after="0" w:line="260"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67" w:name="page368"/>
    <w:bookmarkEnd w:id="367"/>
    <w:p>
      <w:pPr>
        <w:jc w:val="both"/>
        <w:ind w:left="7" w:firstLine="1117"/>
        <w:spacing w:after="0" w:line="24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87" w:lineRule="exact"/>
        <w:rPr>
          <w:sz w:val="20"/>
          <w:szCs w:val="20"/>
          <w:color w:val="auto"/>
        </w:rPr>
      </w:pPr>
    </w:p>
    <w:p>
      <w:pPr>
        <w:ind w:left="567"/>
        <w:spacing w:after="0"/>
        <w:tabs>
          <w:tab w:leader="none" w:pos="1107"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Piggyback Registration.</w:t>
      </w:r>
    </w:p>
    <w:p>
      <w:pPr>
        <w:spacing w:after="0" w:line="203" w:lineRule="exact"/>
        <w:rPr>
          <w:sz w:val="20"/>
          <w:szCs w:val="20"/>
          <w:color w:val="auto"/>
        </w:rPr>
      </w:pPr>
    </w:p>
    <w:p>
      <w:pPr>
        <w:jc w:val="both"/>
        <w:ind w:left="7" w:firstLine="1117"/>
        <w:spacing w:after="0" w:line="26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other than a Registration Statement</w:t>
      </w:r>
    </w:p>
    <w:p>
      <w:pPr>
        <w:jc w:val="both"/>
        <w:ind w:left="7" w:hanging="7"/>
        <w:spacing w:after="0" w:line="259" w:lineRule="auto"/>
        <w:tabs>
          <w:tab w:leader="none" w:pos="231" w:val="left"/>
        </w:tabs>
        <w:numPr>
          <w:ilvl w:val="0"/>
          <w:numId w:val="400"/>
        </w:numPr>
        <w:rPr>
          <w:rFonts w:ascii="Arial" w:cs="Arial" w:eastAsia="Arial" w:hAnsi="Arial"/>
          <w:sz w:val="17"/>
          <w:szCs w:val="17"/>
          <w:color w:val="auto"/>
        </w:rPr>
      </w:pPr>
      <w:r>
        <w:rPr>
          <w:rFonts w:ascii="Arial" w:cs="Arial" w:eastAsia="Arial" w:hAnsi="Arial"/>
          <w:sz w:val="17"/>
          <w:szCs w:val="17"/>
          <w:color w:val="auto"/>
        </w:rPr>
        <w:t>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7"/>
          <w:szCs w:val="17"/>
          <w:b w:val="1"/>
          <w:bCs w:val="1"/>
          <w:i w:val="1"/>
          <w:iCs w:val="1"/>
          <w:color w:val="auto"/>
        </w:rPr>
        <w:t>Piggyback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The Company shall, in good faith, cause such Registrable Securities to be included in such Piggyback Registration and shall use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 The notice periods set forth in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not apply to an Underwritten Shelf Takedown conducted in accordance with </w:t>
      </w:r>
      <w:r>
        <w:rPr>
          <w:rFonts w:ascii="Arial" w:cs="Arial" w:eastAsia="Arial" w:hAnsi="Arial"/>
          <w:sz w:val="17"/>
          <w:szCs w:val="17"/>
          <w:u w:val="single" w:color="auto"/>
          <w:color w:val="auto"/>
        </w:rPr>
        <w:t>subsection 2.3.3</w:t>
      </w:r>
      <w:r>
        <w:rPr>
          <w:rFonts w:ascii="Arial" w:cs="Arial" w:eastAsia="Arial" w:hAnsi="Arial"/>
          <w:sz w:val="17"/>
          <w:szCs w:val="17"/>
          <w:color w:val="auto"/>
        </w:rPr>
        <w:t>.</w:t>
      </w: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0" w:right="319" w:bottom="1440" w:gutter="0" w:footer="0" w:header="0"/>
        </w:sectPr>
      </w:pPr>
    </w:p>
    <w:bookmarkStart w:id="368" w:name="page369"/>
    <w:bookmarkEnd w:id="368"/>
    <w:p>
      <w:pPr>
        <w:jc w:val="both"/>
        <w:ind w:firstLine="1117"/>
        <w:spacing w:after="0" w:line="265"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164" w:lineRule="exact"/>
        <w:rPr>
          <w:sz w:val="20"/>
          <w:szCs w:val="20"/>
          <w:color w:val="auto"/>
        </w:rPr>
      </w:pPr>
    </w:p>
    <w:p>
      <w:pPr>
        <w:jc w:val="both"/>
        <w:ind w:firstLine="1668"/>
        <w:spacing w:after="0" w:line="247" w:lineRule="auto"/>
        <w:tabs>
          <w:tab w:leader="none" w:pos="242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If the Registration is undertaken for the Company’s account, the Company shall include in any such Registration (A) first, the Ordinary Shares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Pro Rata based on the respective number of Registrable Securities that each Holder has so requested exercising its rights to register its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176" w:lineRule="exact"/>
        <w:rPr>
          <w:rFonts w:ascii="Arial" w:cs="Arial" w:eastAsia="Arial" w:hAnsi="Arial"/>
          <w:sz w:val="18"/>
          <w:szCs w:val="18"/>
          <w:color w:val="auto"/>
        </w:rPr>
      </w:pPr>
    </w:p>
    <w:p>
      <w:pPr>
        <w:jc w:val="both"/>
        <w:ind w:firstLine="1668"/>
        <w:spacing w:after="0" w:line="262" w:lineRule="auto"/>
        <w:tabs>
          <w:tab w:leader="none" w:pos="240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69" w:name="page370"/>
    <w:bookmarkEnd w:id="369"/>
    <w:p>
      <w:pPr>
        <w:jc w:val="both"/>
        <w:ind w:firstLine="1117"/>
        <w:spacing w:after="0" w:line="233"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u w:val="single" w:color="auto"/>
          <w:color w:val="auto"/>
        </w:rPr>
        <w:t>Piggyback Registration Withdrawal</w:t>
      </w:r>
      <w:r>
        <w:rPr>
          <w:rFonts w:ascii="Arial" w:cs="Arial" w:eastAsia="Arial" w:hAnsi="Arial"/>
          <w:sz w:val="19"/>
          <w:szCs w:val="19"/>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9"/>
          <w:szCs w:val="19"/>
          <w:u w:val="single" w:color="auto"/>
          <w:color w:val="auto"/>
        </w:rPr>
        <w:t>subsection 2.2.3</w:t>
      </w:r>
      <w:r>
        <w:rPr>
          <w:rFonts w:ascii="Arial" w:cs="Arial" w:eastAsia="Arial" w:hAnsi="Arial"/>
          <w:sz w:val="19"/>
          <w:szCs w:val="19"/>
          <w:color w:val="auto"/>
        </w:rPr>
        <w:t>.</w:t>
      </w:r>
    </w:p>
    <w:p>
      <w:pPr>
        <w:spacing w:after="0" w:line="188" w:lineRule="exact"/>
        <w:rPr>
          <w:sz w:val="20"/>
          <w:szCs w:val="20"/>
          <w:color w:val="auto"/>
        </w:rPr>
      </w:pPr>
    </w:p>
    <w:p>
      <w:pPr>
        <w:jc w:val="both"/>
        <w:ind w:firstLine="1117"/>
        <w:spacing w:after="0" w:line="251" w:lineRule="auto"/>
        <w:rPr>
          <w:sz w:val="20"/>
          <w:szCs w:val="20"/>
          <w:color w:val="auto"/>
        </w:rPr>
      </w:pPr>
      <w:r>
        <w:rPr>
          <w:rFonts w:ascii="Arial" w:cs="Arial" w:eastAsia="Arial" w:hAnsi="Arial"/>
          <w:sz w:val="19"/>
          <w:szCs w:val="19"/>
          <w:color w:val="auto"/>
        </w:rPr>
        <w:t xml:space="preserve">2.2.4 </w:t>
      </w:r>
      <w:r>
        <w:rPr>
          <w:rFonts w:ascii="Arial" w:cs="Arial" w:eastAsia="Arial" w:hAnsi="Arial"/>
          <w:sz w:val="19"/>
          <w:szCs w:val="19"/>
          <w:u w:val="single" w:color="auto"/>
          <w:color w:val="auto"/>
        </w:rPr>
        <w:t>Unlimited Piggyback Registration Rights</w:t>
      </w:r>
      <w:r>
        <w:rPr>
          <w:rFonts w:ascii="Arial" w:cs="Arial" w:eastAsia="Arial" w:hAnsi="Arial"/>
          <w:sz w:val="19"/>
          <w:szCs w:val="19"/>
          <w:color w:val="auto"/>
        </w:rPr>
        <w:t xml:space="preserve">. For purposes of clarity, any Registration effected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shall not be counted as a Registration pursuant to a Demand Registration effected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w:t>
      </w:r>
    </w:p>
    <w:p>
      <w:pPr>
        <w:spacing w:after="0" w:line="18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Shelf Registrations</w:t>
      </w:r>
      <w:r>
        <w:rPr>
          <w:rFonts w:ascii="Arial" w:cs="Arial" w:eastAsia="Arial" w:hAnsi="Arial"/>
          <w:sz w:val="14"/>
          <w:szCs w:val="14"/>
          <w:color w:val="auto"/>
        </w:rPr>
        <w:t>.</w:t>
      </w:r>
    </w:p>
    <w:p>
      <w:pPr>
        <w:spacing w:after="0" w:line="203" w:lineRule="exact"/>
        <w:rPr>
          <w:sz w:val="20"/>
          <w:szCs w:val="20"/>
          <w:color w:val="auto"/>
        </w:rPr>
      </w:pPr>
    </w:p>
    <w:p>
      <w:pPr>
        <w:jc w:val="both"/>
        <w:ind w:firstLine="1117"/>
        <w:spacing w:after="0" w:line="259" w:lineRule="auto"/>
        <w:rPr>
          <w:sz w:val="20"/>
          <w:szCs w:val="20"/>
          <w:color w:val="auto"/>
        </w:rPr>
      </w:pPr>
      <w:r>
        <w:rPr>
          <w:rFonts w:ascii="Arial" w:cs="Arial" w:eastAsia="Arial" w:hAnsi="Arial"/>
          <w:sz w:val="17"/>
          <w:szCs w:val="17"/>
          <w:color w:val="auto"/>
        </w:rPr>
        <w:t>2.3.1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xml:space="preserve">”), or if the Company is ineligible to use Form S-3, on Form S-1; a registration statement filed pursuant to this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Shelf</w:t>
      </w:r>
      <w:r>
        <w:rPr>
          <w:rFonts w:ascii="Arial" w:cs="Arial" w:eastAsia="Arial" w:hAnsi="Arial"/>
          <w:sz w:val="17"/>
          <w:szCs w:val="17"/>
          <w:color w:val="auto"/>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Commission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70" w:name="page371"/>
    <w:bookmarkEnd w:id="370"/>
    <w:p>
      <w:pPr>
        <w:jc w:val="both"/>
        <w:ind w:firstLine="1117"/>
        <w:spacing w:after="0" w:line="277" w:lineRule="auto"/>
        <w:rPr>
          <w:sz w:val="20"/>
          <w:szCs w:val="20"/>
          <w:color w:val="auto"/>
        </w:rPr>
      </w:pPr>
      <w:r>
        <w:rPr>
          <w:rFonts w:ascii="Arial" w:cs="Arial" w:eastAsia="Arial" w:hAnsi="Arial"/>
          <w:sz w:val="16"/>
          <w:szCs w:val="16"/>
          <w:color w:val="auto"/>
        </w:rPr>
        <w:t>2.3.2 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6"/>
          <w:szCs w:val="16"/>
          <w:b w:val="1"/>
          <w:bCs w:val="1"/>
          <w:i w:val="1"/>
          <w:iCs w:val="1"/>
          <w:color w:val="auto"/>
        </w:rPr>
        <w:t>Subsequent Shelf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registering the resale of all Registrable Securities including on such Shelf, and pursuant to any method or combination of methods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only be required to cause such Registrable Securities to be so covered once annually after inquiry of the Holders.</w:t>
      </w:r>
    </w:p>
    <w:p>
      <w:pPr>
        <w:spacing w:after="0" w:line="372" w:lineRule="exact"/>
        <w:rPr>
          <w:sz w:val="20"/>
          <w:szCs w:val="20"/>
          <w:color w:val="auto"/>
        </w:rPr>
      </w:pPr>
    </w:p>
    <w:p>
      <w:pPr>
        <w:jc w:val="both"/>
        <w:ind w:firstLine="1117"/>
        <w:spacing w:after="0" w:line="279" w:lineRule="auto"/>
        <w:rPr>
          <w:sz w:val="20"/>
          <w:szCs w:val="20"/>
          <w:color w:val="auto"/>
        </w:rPr>
      </w:pPr>
      <w:r>
        <w:rPr>
          <w:rFonts w:ascii="Arial" w:cs="Arial" w:eastAsia="Arial" w:hAnsi="Arial"/>
          <w:sz w:val="16"/>
          <w:szCs w:val="16"/>
          <w:color w:val="auto"/>
        </w:rPr>
        <w:t>2.3.3 At any time and from time to time after a Shelf has been declared effective by the Commission, the Sponsor may request to sell all or any portion of its Registrable Securities in an underwritten offering that is registered pursuant to the Shelf (each, an “</w:t>
      </w:r>
      <w:r>
        <w:rPr>
          <w:rFonts w:ascii="Arial" w:cs="Arial" w:eastAsia="Arial" w:hAnsi="Arial"/>
          <w:sz w:val="16"/>
          <w:szCs w:val="16"/>
          <w:b w:val="1"/>
          <w:bCs w:val="1"/>
          <w:i w:val="1"/>
          <w:iCs w:val="1"/>
          <w:color w:val="auto"/>
        </w:rPr>
        <w:t>Underwritten Shelf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Takedown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Company shall only be obligated to effect an Underwritten Shelf Takedown if such offering shall include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Arial" w:cs="Arial" w:eastAsia="Arial" w:hAnsi="Arial"/>
          <w:sz w:val="16"/>
          <w:szCs w:val="16"/>
          <w:b w:val="1"/>
          <w:bCs w:val="1"/>
          <w:i w:val="1"/>
          <w:iCs w:val="1"/>
          <w:color w:val="auto"/>
        </w:rPr>
        <w:t>Takedown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at least 24 hours prior to the public announcement of such Underwritten Shelf Takedown pursuant to written contractual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piggyback registration rights of such holder (including to those set forth herein). The Sponsor and the Takedown Requesting Holders (if any)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Arial" w:cs="Arial" w:eastAsia="Arial" w:hAnsi="Arial"/>
          <w:sz w:val="16"/>
          <w:szCs w:val="16"/>
          <w:u w:val="single" w:color="auto"/>
          <w:color w:val="auto"/>
        </w:rPr>
        <w:t>subsection 2.3.3</w:t>
      </w:r>
      <w:r>
        <w:rPr>
          <w:rFonts w:ascii="Arial" w:cs="Arial" w:eastAsia="Arial" w:hAnsi="Arial"/>
          <w:sz w:val="16"/>
          <w:szCs w:val="16"/>
          <w:color w:val="auto"/>
        </w:rPr>
        <w:t xml:space="preserve"> shall not be counted as a Registration pursuant to a Demand Registration effected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71" w:name="page372"/>
    <w:bookmarkEnd w:id="371"/>
    <w:p>
      <w:pPr>
        <w:jc w:val="both"/>
        <w:ind w:firstLine="1117"/>
        <w:spacing w:after="0" w:line="262" w:lineRule="auto"/>
        <w:rPr>
          <w:sz w:val="20"/>
          <w:szCs w:val="20"/>
          <w:color w:val="auto"/>
        </w:rPr>
      </w:pPr>
      <w:r>
        <w:rPr>
          <w:rFonts w:ascii="Arial" w:cs="Arial" w:eastAsia="Arial" w:hAnsi="Arial"/>
          <w:sz w:val="17"/>
          <w:szCs w:val="17"/>
          <w:color w:val="auto"/>
        </w:rPr>
        <w:t>2.3.4 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 based on the respective number of Registrable Securities that each Takedown Requesting Holder has so requested to be included in such Underwritten Shelf Takedown.</w:t>
      </w:r>
    </w:p>
    <w:p>
      <w:pPr>
        <w:spacing w:after="0" w:line="170" w:lineRule="exact"/>
        <w:rPr>
          <w:sz w:val="20"/>
          <w:szCs w:val="20"/>
          <w:color w:val="auto"/>
        </w:rPr>
      </w:pPr>
    </w:p>
    <w:p>
      <w:pPr>
        <w:jc w:val="both"/>
        <w:ind w:firstLine="1117"/>
        <w:spacing w:after="0" w:line="236" w:lineRule="auto"/>
        <w:rPr>
          <w:sz w:val="20"/>
          <w:szCs w:val="20"/>
          <w:color w:val="auto"/>
        </w:rPr>
      </w:pPr>
      <w:r>
        <w:rPr>
          <w:rFonts w:ascii="Arial" w:cs="Arial" w:eastAsia="Arial" w:hAnsi="Arial"/>
          <w:sz w:val="19"/>
          <w:szCs w:val="19"/>
          <w:color w:val="auto"/>
        </w:rPr>
        <w:t xml:space="preserve">2.3.5 The Sponsor and the Takedown Requesting Holders (if any) shall have the right to withdraw from an Underwritten Shelf Takedown for any or no reason whatsoever upon written notification to the Company and the Underwriter or Underwriters (if any) of its intention to 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19"/>
          <w:szCs w:val="19"/>
          <w:u w:val="single" w:color="auto"/>
          <w:color w:val="auto"/>
        </w:rPr>
        <w:t>subsection 2.3.5</w:t>
      </w:r>
      <w:r>
        <w:rPr>
          <w:rFonts w:ascii="Arial" w:cs="Arial" w:eastAsia="Arial" w:hAnsi="Arial"/>
          <w:sz w:val="19"/>
          <w:szCs w:val="19"/>
          <w:color w:val="auto"/>
        </w:rPr>
        <w:t>.</w:t>
      </w:r>
    </w:p>
    <w:p>
      <w:pPr>
        <w:spacing w:after="0" w:line="182" w:lineRule="exact"/>
        <w:rPr>
          <w:sz w:val="20"/>
          <w:szCs w:val="20"/>
          <w:color w:val="auto"/>
        </w:rPr>
      </w:pPr>
    </w:p>
    <w:p>
      <w:pPr>
        <w:jc w:val="both"/>
        <w:ind w:firstLine="559"/>
        <w:spacing w:after="0" w:line="24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Restrictions on Registration Rights</w:t>
      </w:r>
      <w:r>
        <w:rPr>
          <w:rFonts w:ascii="Arial" w:cs="Arial" w:eastAsia="Arial" w:hAnsi="Arial"/>
          <w:sz w:val="18"/>
          <w:szCs w:val="18"/>
          <w:color w:val="auto"/>
        </w:rPr>
        <w:t>.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9"/>
          <w:szCs w:val="19"/>
          <w:b w:val="1"/>
          <w:bCs w:val="1"/>
          <w:color w:val="auto"/>
        </w:rPr>
        <w:t>ARTICLE 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COMPANY PROCEDURES</w:t>
      </w:r>
    </w:p>
    <w:p>
      <w:pPr>
        <w:spacing w:after="0" w:line="184" w:lineRule="exact"/>
        <w:rPr>
          <w:sz w:val="20"/>
          <w:szCs w:val="20"/>
          <w:color w:val="auto"/>
        </w:rPr>
      </w:pPr>
    </w:p>
    <w:p>
      <w:pPr>
        <w:jc w:val="both"/>
        <w:ind w:firstLine="559"/>
        <w:spacing w:after="0" w:line="23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General Procedures</w:t>
      </w:r>
      <w:r>
        <w:rPr>
          <w:rFonts w:ascii="Arial" w:cs="Arial" w:eastAsia="Arial" w:hAnsi="Arial"/>
          <w:sz w:val="19"/>
          <w:szCs w:val="19"/>
          <w:color w:val="auto"/>
        </w:rPr>
        <w:t>. If at any time on or after the date the Company consummates an initial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84" w:lineRule="exact"/>
        <w:rPr>
          <w:sz w:val="20"/>
          <w:szCs w:val="20"/>
          <w:color w:val="auto"/>
        </w:rPr>
      </w:pPr>
    </w:p>
    <w:p>
      <w:pPr>
        <w:jc w:val="both"/>
        <w:ind w:right="20" w:firstLine="1117"/>
        <w:spacing w:after="0"/>
        <w:rPr>
          <w:sz w:val="20"/>
          <w:szCs w:val="20"/>
          <w:color w:val="auto"/>
        </w:rPr>
      </w:pPr>
      <w:r>
        <w:rPr>
          <w:rFonts w:ascii="Arial" w:cs="Arial" w:eastAsia="Arial" w:hAnsi="Arial"/>
          <w:sz w:val="19"/>
          <w:szCs w:val="19"/>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2" w:lineRule="exact"/>
        <w:rPr>
          <w:sz w:val="20"/>
          <w:szCs w:val="20"/>
          <w:color w:val="auto"/>
        </w:rPr>
      </w:pPr>
    </w:p>
    <w:p>
      <w:pPr>
        <w:jc w:val="both"/>
        <w:ind w:right="20" w:firstLine="1117"/>
        <w:spacing w:after="0" w:line="251"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4" w:lineRule="exact"/>
        <w:rPr>
          <w:sz w:val="20"/>
          <w:szCs w:val="20"/>
          <w:color w:val="auto"/>
        </w:rPr>
      </w:pPr>
    </w:p>
    <w:p>
      <w:pPr>
        <w:jc w:val="both"/>
        <w:ind w:firstLine="1117"/>
        <w:spacing w:after="0" w:line="267"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73" w:name="page374"/>
    <w:bookmarkEnd w:id="373"/>
    <w:p>
      <w:pPr>
        <w:jc w:val="both"/>
        <w:ind w:firstLine="1117"/>
        <w:spacing w:after="0" w:line="247"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7" w:lineRule="exact"/>
        <w:rPr>
          <w:sz w:val="20"/>
          <w:szCs w:val="20"/>
          <w:color w:val="auto"/>
        </w:rPr>
      </w:pPr>
    </w:p>
    <w:p>
      <w:pPr>
        <w:jc w:val="both"/>
        <w:ind w:right="20" w:firstLine="1117"/>
        <w:spacing w:after="0" w:line="251" w:lineRule="auto"/>
        <w:rPr>
          <w:sz w:val="20"/>
          <w:szCs w:val="20"/>
          <w:color w:val="auto"/>
        </w:rPr>
      </w:pPr>
      <w:r>
        <w:rPr>
          <w:rFonts w:ascii="Arial" w:cs="Arial" w:eastAsia="Arial" w:hAnsi="Arial"/>
          <w:sz w:val="19"/>
          <w:szCs w:val="19"/>
          <w:color w:val="auto"/>
        </w:rPr>
        <w:t>3.1.5 cause all such Registrable Securities to be listed on each securities exchange or automated quotation system on which similar securities issued by the Company are then listed;</w:t>
      </w:r>
    </w:p>
    <w:p>
      <w:pPr>
        <w:spacing w:after="0" w:line="171" w:lineRule="exact"/>
        <w:rPr>
          <w:sz w:val="20"/>
          <w:szCs w:val="20"/>
          <w:color w:val="auto"/>
        </w:rPr>
      </w:pPr>
    </w:p>
    <w:p>
      <w:pPr>
        <w:jc w:val="both"/>
        <w:ind w:firstLine="1117"/>
        <w:spacing w:after="0" w:line="251" w:lineRule="auto"/>
        <w:rPr>
          <w:sz w:val="20"/>
          <w:szCs w:val="20"/>
          <w:color w:val="auto"/>
        </w:rPr>
      </w:pPr>
      <w:r>
        <w:rPr>
          <w:rFonts w:ascii="Arial" w:cs="Arial" w:eastAsia="Arial" w:hAnsi="Arial"/>
          <w:sz w:val="19"/>
          <w:szCs w:val="19"/>
          <w:color w:val="auto"/>
        </w:rPr>
        <w:t>3.1.6 provide for a transfer agent and registrar for all such Registrable Securities no later than the effective date of such Registration Statement;</w:t>
      </w:r>
    </w:p>
    <w:p>
      <w:pPr>
        <w:spacing w:after="0" w:line="171" w:lineRule="exact"/>
        <w:rPr>
          <w:sz w:val="20"/>
          <w:szCs w:val="20"/>
          <w:color w:val="auto"/>
        </w:rPr>
      </w:pPr>
    </w:p>
    <w:p>
      <w:pPr>
        <w:jc w:val="both"/>
        <w:ind w:firstLine="1117"/>
        <w:spacing w:after="0" w:line="237" w:lineRule="auto"/>
        <w:rPr>
          <w:sz w:val="20"/>
          <w:szCs w:val="20"/>
          <w:color w:val="auto"/>
        </w:rPr>
      </w:pPr>
      <w:r>
        <w:rPr>
          <w:rFonts w:ascii="Arial" w:cs="Arial" w:eastAsia="Arial" w:hAnsi="Arial"/>
          <w:sz w:val="19"/>
          <w:szCs w:val="19"/>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4" w:lineRule="exact"/>
        <w:rPr>
          <w:sz w:val="20"/>
          <w:szCs w:val="20"/>
          <w:color w:val="auto"/>
        </w:rPr>
      </w:pPr>
    </w:p>
    <w:p>
      <w:pPr>
        <w:jc w:val="both"/>
        <w:ind w:firstLine="1117"/>
        <w:spacing w:after="0"/>
        <w:rPr>
          <w:sz w:val="20"/>
          <w:szCs w:val="20"/>
          <w:color w:val="auto"/>
        </w:rPr>
      </w:pPr>
      <w:r>
        <w:rPr>
          <w:rFonts w:ascii="Arial" w:cs="Arial" w:eastAsia="Arial" w:hAnsi="Arial"/>
          <w:sz w:val="19"/>
          <w:szCs w:val="19"/>
          <w:color w:val="auto"/>
        </w:rPr>
        <w:t>3.1.8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w:t>
      </w:r>
    </w:p>
    <w:p>
      <w:pPr>
        <w:spacing w:after="0" w:line="182" w:lineRule="exact"/>
        <w:rPr>
          <w:sz w:val="20"/>
          <w:szCs w:val="20"/>
          <w:color w:val="auto"/>
        </w:rPr>
      </w:pPr>
    </w:p>
    <w:p>
      <w:pPr>
        <w:jc w:val="both"/>
        <w:ind w:firstLine="1117"/>
        <w:spacing w:after="0"/>
        <w:rPr>
          <w:sz w:val="20"/>
          <w:szCs w:val="20"/>
          <w:color w:val="auto"/>
        </w:rPr>
      </w:pPr>
      <w:r>
        <w:rPr>
          <w:rFonts w:ascii="Arial" w:cs="Arial" w:eastAsia="Arial" w:hAnsi="Arial"/>
          <w:sz w:val="19"/>
          <w:szCs w:val="19"/>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hereof;</w:t>
      </w:r>
    </w:p>
    <w:p>
      <w:pPr>
        <w:spacing w:after="0" w:line="182" w:lineRule="exact"/>
        <w:rPr>
          <w:sz w:val="20"/>
          <w:szCs w:val="20"/>
          <w:color w:val="auto"/>
        </w:rPr>
      </w:pPr>
    </w:p>
    <w:p>
      <w:pPr>
        <w:jc w:val="both"/>
        <w:ind w:firstLine="1117"/>
        <w:spacing w:after="0" w:line="251" w:lineRule="auto"/>
        <w:rPr>
          <w:sz w:val="20"/>
          <w:szCs w:val="20"/>
          <w:color w:val="auto"/>
        </w:rPr>
      </w:pPr>
      <w:r>
        <w:rPr>
          <w:rFonts w:ascii="Arial" w:cs="Arial" w:eastAsia="Arial" w:hAnsi="Arial"/>
          <w:sz w:val="18"/>
          <w:szCs w:val="18"/>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74" w:name="page375"/>
    <w:bookmarkEnd w:id="374"/>
    <w:p>
      <w:pPr>
        <w:jc w:val="both"/>
        <w:ind w:right="20" w:firstLine="1117"/>
        <w:spacing w:after="0"/>
        <w:rPr>
          <w:sz w:val="20"/>
          <w:szCs w:val="20"/>
          <w:color w:val="auto"/>
        </w:rPr>
      </w:pPr>
      <w:r>
        <w:rPr>
          <w:rFonts w:ascii="Arial" w:cs="Arial" w:eastAsia="Arial" w:hAnsi="Arial"/>
          <w:sz w:val="19"/>
          <w:szCs w:val="19"/>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2" w:lineRule="exact"/>
        <w:rPr>
          <w:sz w:val="20"/>
          <w:szCs w:val="20"/>
          <w:color w:val="auto"/>
        </w:rPr>
      </w:pPr>
    </w:p>
    <w:p>
      <w:pPr>
        <w:jc w:val="both"/>
        <w:ind w:right="20" w:firstLine="1117"/>
        <w:spacing w:after="0" w:line="251"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74" w:lineRule="exact"/>
        <w:rPr>
          <w:sz w:val="20"/>
          <w:szCs w:val="20"/>
          <w:color w:val="auto"/>
        </w:rPr>
      </w:pPr>
    </w:p>
    <w:p>
      <w:pPr>
        <w:jc w:val="both"/>
        <w:ind w:firstLine="1117"/>
        <w:spacing w:after="0" w:line="251" w:lineRule="auto"/>
        <w:rPr>
          <w:sz w:val="20"/>
          <w:szCs w:val="20"/>
          <w:color w:val="auto"/>
        </w:rPr>
      </w:pPr>
      <w:r>
        <w:rPr>
          <w:rFonts w:ascii="Arial" w:cs="Arial" w:eastAsia="Arial" w:hAnsi="Arial"/>
          <w:sz w:val="19"/>
          <w:szCs w:val="19"/>
          <w:color w:val="auto"/>
        </w:rPr>
        <w:t>3.1.13 in the event of any Underwritten Offering, enter into and perform its obligations under an underwriting agreement, in usual and customary form, with the managing Underwriter of such offering;</w:t>
      </w:r>
    </w:p>
    <w:p>
      <w:pPr>
        <w:spacing w:after="0" w:line="171" w:lineRule="exact"/>
        <w:rPr>
          <w:sz w:val="20"/>
          <w:szCs w:val="20"/>
          <w:color w:val="auto"/>
        </w:rPr>
      </w:pPr>
    </w:p>
    <w:p>
      <w:pPr>
        <w:jc w:val="both"/>
        <w:ind w:firstLine="1117"/>
        <w:spacing w:after="0" w:line="237" w:lineRule="auto"/>
        <w:rPr>
          <w:sz w:val="20"/>
          <w:szCs w:val="20"/>
          <w:color w:val="auto"/>
        </w:rPr>
      </w:pPr>
      <w:r>
        <w:rPr>
          <w:rFonts w:ascii="Arial" w:cs="Arial" w:eastAsia="Arial" w:hAnsi="Arial"/>
          <w:sz w:val="19"/>
          <w:szCs w:val="19"/>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84" w:lineRule="exact"/>
        <w:rPr>
          <w:sz w:val="20"/>
          <w:szCs w:val="20"/>
          <w:color w:val="auto"/>
        </w:rPr>
      </w:pPr>
    </w:p>
    <w:p>
      <w:pPr>
        <w:jc w:val="both"/>
        <w:ind w:right="20" w:firstLine="1117"/>
        <w:spacing w:after="0"/>
        <w:rPr>
          <w:sz w:val="20"/>
          <w:szCs w:val="20"/>
          <w:color w:val="auto"/>
        </w:rPr>
      </w:pPr>
      <w:r>
        <w:rPr>
          <w:rFonts w:ascii="Arial" w:cs="Arial" w:eastAsia="Arial" w:hAnsi="Arial"/>
          <w:sz w:val="19"/>
          <w:szCs w:val="19"/>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w:t>
      </w:r>
    </w:p>
    <w:p>
      <w:pPr>
        <w:spacing w:after="0" w:line="182" w:lineRule="exact"/>
        <w:rPr>
          <w:sz w:val="20"/>
          <w:szCs w:val="20"/>
          <w:color w:val="auto"/>
        </w:rPr>
      </w:pPr>
    </w:p>
    <w:p>
      <w:pPr>
        <w:jc w:val="both"/>
        <w:ind w:right="20" w:firstLine="1117"/>
        <w:spacing w:after="0" w:line="251" w:lineRule="auto"/>
        <w:rPr>
          <w:sz w:val="20"/>
          <w:szCs w:val="20"/>
          <w:color w:val="auto"/>
        </w:rPr>
      </w:pPr>
      <w:r>
        <w:rPr>
          <w:rFonts w:ascii="Arial" w:cs="Arial" w:eastAsia="Arial" w:hAnsi="Arial"/>
          <w:sz w:val="19"/>
          <w:szCs w:val="19"/>
          <w:color w:val="auto"/>
        </w:rPr>
        <w:t>3.1.16 otherwise, in good faith, cooperate reasonably with, and take such customary actions as may reasonably be requested by the Holders, in connection with such Registration.</w:t>
      </w:r>
    </w:p>
    <w:p>
      <w:pPr>
        <w:spacing w:after="0" w:line="171" w:lineRule="exact"/>
        <w:rPr>
          <w:sz w:val="20"/>
          <w:szCs w:val="20"/>
          <w:color w:val="auto"/>
        </w:rPr>
      </w:pPr>
    </w:p>
    <w:p>
      <w:pPr>
        <w:jc w:val="both"/>
        <w:ind w:firstLine="559"/>
        <w:spacing w:after="0" w:line="23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4" w:lineRule="exact"/>
        <w:rPr>
          <w:sz w:val="20"/>
          <w:szCs w:val="20"/>
          <w:color w:val="auto"/>
        </w:rPr>
      </w:pPr>
    </w:p>
    <w:p>
      <w:pPr>
        <w:jc w:val="both"/>
        <w:ind w:firstLine="559"/>
        <w:spacing w:after="0" w:line="236"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Requirements for Participation in Underwritten Offerings</w:t>
      </w:r>
      <w:r>
        <w:rPr>
          <w:rFonts w:ascii="Arial" w:cs="Arial" w:eastAsia="Arial" w:hAnsi="Arial"/>
          <w:sz w:val="19"/>
          <w:szCs w:val="19"/>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75" w:name="page376"/>
    <w:bookmarkEnd w:id="375"/>
    <w:p>
      <w:pPr>
        <w:jc w:val="both"/>
        <w:ind w:firstLine="559"/>
        <w:spacing w:after="0" w:line="26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w:t>
      </w:r>
    </w:p>
    <w:p>
      <w:pPr>
        <w:spacing w:after="0" w:line="171"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 AND CONTRIBUTION</w:t>
      </w:r>
    </w:p>
    <w:p>
      <w:pPr>
        <w:spacing w:after="0" w:line="19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Indemnification</w:t>
      </w:r>
      <w:r>
        <w:rPr>
          <w:rFonts w:ascii="Arial" w:cs="Arial" w:eastAsia="Arial" w:hAnsi="Arial"/>
          <w:sz w:val="14"/>
          <w:szCs w:val="14"/>
          <w:color w:val="auto"/>
        </w:rPr>
        <w:t>.</w:t>
      </w:r>
    </w:p>
    <w:p>
      <w:pPr>
        <w:spacing w:after="0" w:line="203" w:lineRule="exact"/>
        <w:rPr>
          <w:sz w:val="20"/>
          <w:szCs w:val="20"/>
          <w:color w:val="auto"/>
        </w:rPr>
      </w:pPr>
    </w:p>
    <w:p>
      <w:pPr>
        <w:jc w:val="both"/>
        <w:ind w:firstLine="1117"/>
        <w:spacing w:after="0" w:line="247"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76" w:name="page377"/>
    <w:bookmarkEnd w:id="376"/>
    <w:p>
      <w:pPr>
        <w:jc w:val="both"/>
        <w:ind w:firstLine="1117"/>
        <w:spacing w:after="0" w:line="245" w:lineRule="auto"/>
        <w:rPr>
          <w:sz w:val="20"/>
          <w:szCs w:val="20"/>
          <w:color w:val="auto"/>
        </w:rPr>
      </w:pPr>
      <w:r>
        <w:rPr>
          <w:rFonts w:ascii="Arial" w:cs="Arial" w:eastAsia="Arial" w:hAnsi="Arial"/>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85" w:lineRule="exact"/>
        <w:rPr>
          <w:sz w:val="20"/>
          <w:szCs w:val="20"/>
          <w:color w:val="auto"/>
        </w:rPr>
      </w:pPr>
    </w:p>
    <w:p>
      <w:pPr>
        <w:jc w:val="both"/>
        <w:ind w:firstLine="1117"/>
        <w:spacing w:after="0" w:line="261"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he, she or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77" w:name="page378"/>
    <w:bookmarkEnd w:id="377"/>
    <w:p>
      <w:pPr>
        <w:jc w:val="both"/>
        <w:ind w:right="20" w:firstLine="1117"/>
        <w:spacing w:after="0" w:line="236" w:lineRule="auto"/>
        <w:rPr>
          <w:sz w:val="20"/>
          <w:szCs w:val="20"/>
          <w:color w:val="auto"/>
        </w:rPr>
      </w:pPr>
      <w:r>
        <w:rPr>
          <w:rFonts w:ascii="Arial" w:cs="Arial" w:eastAsia="Arial" w:hAnsi="Arial"/>
          <w:sz w:val="19"/>
          <w:szCs w:val="19"/>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2" w:lineRule="exact"/>
        <w:rPr>
          <w:sz w:val="20"/>
          <w:szCs w:val="20"/>
          <w:color w:val="auto"/>
        </w:rPr>
      </w:pPr>
    </w:p>
    <w:p>
      <w:pPr>
        <w:jc w:val="both"/>
        <w:ind w:firstLine="1117"/>
        <w:spacing w:after="0" w:line="245" w:lineRule="auto"/>
        <w:rPr>
          <w:sz w:val="20"/>
          <w:szCs w:val="20"/>
          <w:color w:val="auto"/>
        </w:rPr>
      </w:pPr>
      <w:r>
        <w:rPr>
          <w:rFonts w:ascii="Arial" w:cs="Arial" w:eastAsia="Arial" w:hAnsi="Arial"/>
          <w:sz w:val="18"/>
          <w:szCs w:val="18"/>
          <w:color w:val="auto"/>
        </w:rPr>
        <w:t xml:space="preserve">4.1.5 If the indemnification provided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liability of any Holder under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8"/>
          <w:szCs w:val="18"/>
          <w:u w:val="single" w:color="auto"/>
          <w:color w:val="auto"/>
        </w:rPr>
        <w:t>subsections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were determined by pro rata allocation or by any other method of allocation, which does not take account of the equitable considerations referred to in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from any person who was not guilty of such fraudulent misrepresentation.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SHAREHOLDER RIGHTS</w:t>
      </w:r>
    </w:p>
    <w:p>
      <w:pPr>
        <w:spacing w:after="0" w:line="184" w:lineRule="exact"/>
        <w:rPr>
          <w:sz w:val="20"/>
          <w:szCs w:val="20"/>
          <w:color w:val="auto"/>
        </w:rPr>
      </w:pPr>
    </w:p>
    <w:p>
      <w:pPr>
        <w:jc w:val="both"/>
        <w:ind w:right="20" w:firstLine="559"/>
        <w:spacing w:after="0" w:line="251" w:lineRule="auto"/>
        <w:rPr>
          <w:sz w:val="20"/>
          <w:szCs w:val="20"/>
          <w:color w:val="auto"/>
        </w:rPr>
      </w:pPr>
      <w:r>
        <w:rPr>
          <w:rFonts w:ascii="Arial" w:cs="Arial" w:eastAsia="Arial" w:hAnsi="Arial"/>
          <w:sz w:val="19"/>
          <w:szCs w:val="19"/>
          <w:color w:val="auto"/>
        </w:rPr>
        <w:t>Subject to the terms and conditions of this Agreement, at any time and from time to time on or after the date that the Company consummates an initial Business Combination and for so long as the Sponsor holds any Registrable Securities:</w:t>
      </w:r>
    </w:p>
    <w:p>
      <w:pPr>
        <w:spacing w:after="0" w:line="171" w:lineRule="exact"/>
        <w:rPr>
          <w:sz w:val="20"/>
          <w:szCs w:val="20"/>
          <w:color w:val="auto"/>
        </w:rPr>
      </w:pPr>
    </w:p>
    <w:p>
      <w:pPr>
        <w:jc w:val="both"/>
        <w:ind w:firstLine="1117"/>
        <w:spacing w:after="0" w:line="237" w:lineRule="auto"/>
        <w:rPr>
          <w:sz w:val="20"/>
          <w:szCs w:val="20"/>
          <w:color w:val="auto"/>
        </w:rPr>
      </w:pPr>
      <w:r>
        <w:rPr>
          <w:rFonts w:ascii="Arial" w:cs="Arial" w:eastAsia="Arial" w:hAnsi="Arial"/>
          <w:sz w:val="19"/>
          <w:szCs w:val="19"/>
          <w:color w:val="auto"/>
        </w:rPr>
        <w:t>5.1.1 The Sponsor shall have the right, but not the obligation, to designate three individuals to be appointed or nominated, as the case may be, for election to the Board (including any successor, each, a “</w:t>
      </w:r>
      <w:r>
        <w:rPr>
          <w:rFonts w:ascii="Arial" w:cs="Arial" w:eastAsia="Arial" w:hAnsi="Arial"/>
          <w:sz w:val="19"/>
          <w:szCs w:val="19"/>
          <w:b w:val="1"/>
          <w:bCs w:val="1"/>
          <w:i w:val="1"/>
          <w:iCs w:val="1"/>
          <w:color w:val="auto"/>
        </w:rPr>
        <w:t>Nominee</w:t>
      </w:r>
      <w:r>
        <w:rPr>
          <w:rFonts w:ascii="Arial" w:cs="Arial" w:eastAsia="Arial" w:hAnsi="Arial"/>
          <w:sz w:val="19"/>
          <w:szCs w:val="19"/>
          <w:color w:val="auto"/>
        </w:rPr>
        <w:t>”) by giving written notice to the Company on or before the time such information is reasonably requested by the Board or the Nominating Committee of the Board, as applicable, for inclusion in a proxy statement for a meeting of shareholders provided to the Sponsor.</w:t>
      </w:r>
    </w:p>
    <w:p>
      <w:pPr>
        <w:spacing w:after="0" w:line="184" w:lineRule="exact"/>
        <w:rPr>
          <w:sz w:val="20"/>
          <w:szCs w:val="20"/>
          <w:color w:val="auto"/>
        </w:rPr>
      </w:pPr>
    </w:p>
    <w:p>
      <w:pPr>
        <w:jc w:val="both"/>
        <w:ind w:firstLine="1117"/>
        <w:spacing w:after="0"/>
        <w:rPr>
          <w:sz w:val="20"/>
          <w:szCs w:val="20"/>
          <w:color w:val="auto"/>
        </w:rPr>
      </w:pPr>
      <w:r>
        <w:rPr>
          <w:rFonts w:ascii="Arial" w:cs="Arial" w:eastAsia="Arial" w:hAnsi="Arial"/>
          <w:sz w:val="19"/>
          <w:szCs w:val="19"/>
          <w:color w:val="auto"/>
        </w:rPr>
        <w:t>5.1.2 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78" w:name="page379"/>
    <w:bookmarkEnd w:id="378"/>
    <w:p>
      <w:pPr>
        <w:ind w:left="1120"/>
        <w:spacing w:after="0"/>
        <w:tabs>
          <w:tab w:leader="none" w:pos="2080" w:val="left"/>
        </w:tabs>
        <w:rPr>
          <w:sz w:val="20"/>
          <w:szCs w:val="20"/>
          <w:color w:val="auto"/>
        </w:rPr>
      </w:pPr>
      <w:r>
        <w:rPr>
          <w:rFonts w:ascii="Arial" w:cs="Arial" w:eastAsia="Arial" w:hAnsi="Arial"/>
          <w:sz w:val="19"/>
          <w:szCs w:val="19"/>
          <w:color w:val="auto"/>
        </w:rPr>
        <w:t>5.1.3</w:t>
      </w:r>
      <w:r>
        <w:rPr>
          <w:sz w:val="20"/>
          <w:szCs w:val="20"/>
          <w:color w:val="auto"/>
        </w:rPr>
        <w:tab/>
      </w:r>
      <w:r>
        <w:rPr>
          <w:rFonts w:ascii="Arial" w:cs="Arial" w:eastAsia="Arial" w:hAnsi="Arial"/>
          <w:sz w:val="17"/>
          <w:szCs w:val="17"/>
          <w:color w:val="auto"/>
        </w:rPr>
        <w:t>The Company shall, to the fullest extent permitted by applicable law, use its best efforts to take all actions necessary to</w:t>
      </w:r>
    </w:p>
    <w:p>
      <w:pPr>
        <w:spacing w:after="0" w:line="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ensure that: (i) 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w:t>
      </w:r>
    </w:p>
    <w:p>
      <w:pPr>
        <w:spacing w:after="0" w:line="145" w:lineRule="exact"/>
        <w:rPr>
          <w:sz w:val="20"/>
          <w:szCs w:val="20"/>
          <w:color w:val="auto"/>
        </w:rPr>
      </w:pPr>
    </w:p>
    <w:p>
      <w:pPr>
        <w:jc w:val="both"/>
        <w:ind w:firstLine="1117"/>
        <w:spacing w:after="0" w:line="237" w:lineRule="auto"/>
        <w:rPr>
          <w:sz w:val="20"/>
          <w:szCs w:val="20"/>
          <w:color w:val="auto"/>
        </w:rPr>
      </w:pPr>
      <w:r>
        <w:rPr>
          <w:rFonts w:ascii="Arial" w:cs="Arial" w:eastAsia="Arial" w:hAnsi="Arial"/>
          <w:sz w:val="19"/>
          <w:szCs w:val="19"/>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84" w:lineRule="exact"/>
        <w:rPr>
          <w:sz w:val="20"/>
          <w:szCs w:val="20"/>
          <w:color w:val="auto"/>
        </w:rPr>
      </w:pPr>
    </w:p>
    <w:p>
      <w:pPr>
        <w:jc w:val="both"/>
        <w:ind w:firstLine="1117"/>
        <w:spacing w:after="0" w:line="296" w:lineRule="auto"/>
        <w:rPr>
          <w:sz w:val="20"/>
          <w:szCs w:val="20"/>
          <w:color w:val="auto"/>
        </w:rPr>
      </w:pPr>
      <w:r>
        <w:rPr>
          <w:rFonts w:ascii="Arial" w:cs="Arial" w:eastAsia="Arial" w:hAnsi="Arial"/>
          <w:sz w:val="16"/>
          <w:szCs w:val="16"/>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139" w:lineRule="exact"/>
        <w:rPr>
          <w:sz w:val="20"/>
          <w:szCs w:val="20"/>
          <w:color w:val="auto"/>
        </w:rPr>
      </w:pPr>
    </w:p>
    <w:p>
      <w:pPr>
        <w:jc w:val="both"/>
        <w:ind w:firstLine="1117"/>
        <w:spacing w:after="0" w:line="254" w:lineRule="auto"/>
        <w:rPr>
          <w:sz w:val="20"/>
          <w:szCs w:val="20"/>
          <w:color w:val="auto"/>
        </w:rPr>
      </w:pPr>
      <w:r>
        <w:rPr>
          <w:rFonts w:ascii="Arial" w:cs="Arial" w:eastAsia="Arial" w:hAnsi="Arial"/>
          <w:sz w:val="18"/>
          <w:szCs w:val="18"/>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171" w:lineRule="exact"/>
        <w:rPr>
          <w:sz w:val="20"/>
          <w:szCs w:val="20"/>
          <w:color w:val="auto"/>
        </w:rPr>
      </w:pPr>
    </w:p>
    <w:p>
      <w:pPr>
        <w:jc w:val="both"/>
        <w:ind w:firstLine="1117"/>
        <w:spacing w:after="0" w:line="236" w:lineRule="auto"/>
        <w:rPr>
          <w:sz w:val="20"/>
          <w:szCs w:val="20"/>
          <w:color w:val="auto"/>
        </w:rPr>
      </w:pPr>
      <w:r>
        <w:rPr>
          <w:rFonts w:ascii="Arial" w:cs="Arial" w:eastAsia="Arial" w:hAnsi="Arial"/>
          <w:sz w:val="19"/>
          <w:szCs w:val="19"/>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upon removal or resignation of such Sponsor Director for any reason, the Company shall take all actions reasonably necessary to extend such directors’ and officers’ liability insurance coverage for a period of not less than six (6) years from any such event in respect of any act or omission occurring at or prior to such event.</w:t>
      </w:r>
    </w:p>
    <w:p>
      <w:pPr>
        <w:spacing w:after="0" w:line="182" w:lineRule="exact"/>
        <w:rPr>
          <w:sz w:val="20"/>
          <w:szCs w:val="20"/>
          <w:color w:val="auto"/>
        </w:rPr>
      </w:pPr>
    </w:p>
    <w:p>
      <w:pPr>
        <w:jc w:val="both"/>
        <w:ind w:firstLine="1117"/>
        <w:spacing w:after="0" w:line="236" w:lineRule="auto"/>
        <w:rPr>
          <w:sz w:val="20"/>
          <w:szCs w:val="20"/>
          <w:color w:val="auto"/>
        </w:rPr>
      </w:pPr>
      <w:r>
        <w:rPr>
          <w:rFonts w:ascii="Arial" w:cs="Arial" w:eastAsia="Arial" w:hAnsi="Arial"/>
          <w:sz w:val="19"/>
          <w:szCs w:val="19"/>
          <w:color w:val="auto"/>
        </w:rPr>
        <w:t>5.1.8 For so long as a Sponsor Director serves on the Board, the Company shall not amend, alter or repeal any right to indemnification or exculpation covering or benefiting any Sponsor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79" w:name="page380"/>
    <w:bookmarkEnd w:id="379"/>
    <w:p>
      <w:pPr>
        <w:jc w:val="both"/>
        <w:ind w:right="20" w:firstLine="1117"/>
        <w:spacing w:after="0" w:line="251" w:lineRule="auto"/>
        <w:rPr>
          <w:sz w:val="20"/>
          <w:szCs w:val="20"/>
          <w:color w:val="auto"/>
        </w:rPr>
      </w:pPr>
      <w:r>
        <w:rPr>
          <w:rFonts w:ascii="Arial" w:cs="Arial" w:eastAsia="Arial" w:hAnsi="Arial"/>
          <w:sz w:val="19"/>
          <w:szCs w:val="19"/>
          <w:color w:val="auto"/>
        </w:rPr>
        <w:t>5.1.9 Each Nominee may, but does not need to qualify as “independent” pursuant to listing standards of the Nasdaq Capital Market (or such other national securities exchange upon which the Company’s securities are then listed).</w:t>
      </w:r>
    </w:p>
    <w:p>
      <w:pPr>
        <w:spacing w:after="0" w:line="171" w:lineRule="exact"/>
        <w:rPr>
          <w:sz w:val="20"/>
          <w:szCs w:val="20"/>
          <w:color w:val="auto"/>
        </w:rPr>
      </w:pPr>
    </w:p>
    <w:p>
      <w:pPr>
        <w:jc w:val="both"/>
        <w:ind w:firstLine="1117"/>
        <w:spacing w:after="0" w:line="260" w:lineRule="auto"/>
        <w:rPr>
          <w:sz w:val="20"/>
          <w:szCs w:val="20"/>
          <w:color w:val="auto"/>
        </w:rPr>
      </w:pPr>
      <w:r>
        <w:rPr>
          <w:rFonts w:ascii="Arial" w:cs="Arial" w:eastAsia="Arial" w:hAnsi="Arial"/>
          <w:sz w:val="17"/>
          <w:szCs w:val="17"/>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sixty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thirty (30) calendar days of the Company’s notice to Sponsor of its objection to the Nominee and such replacement Nominee shall be subject to the review process outlined above.</w:t>
      </w:r>
    </w:p>
    <w:p>
      <w:pPr>
        <w:spacing w:after="0" w:line="172" w:lineRule="exact"/>
        <w:rPr>
          <w:sz w:val="20"/>
          <w:szCs w:val="20"/>
          <w:color w:val="auto"/>
        </w:rPr>
      </w:pPr>
    </w:p>
    <w:p>
      <w:pPr>
        <w:jc w:val="both"/>
        <w:ind w:firstLine="1117"/>
        <w:spacing w:after="0" w:line="237" w:lineRule="auto"/>
        <w:rPr>
          <w:sz w:val="20"/>
          <w:szCs w:val="20"/>
          <w:color w:val="auto"/>
        </w:rPr>
      </w:pPr>
      <w:r>
        <w:rPr>
          <w:rFonts w:ascii="Arial" w:cs="Arial" w:eastAsia="Arial" w:hAnsi="Arial"/>
          <w:sz w:val="19"/>
          <w:szCs w:val="19"/>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84"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51 Astor Place, 10th Floor, New York, New York 1003, Attention: Adam Stone, with copy to; Kirkland &amp; Ellis LLP, 601 Lexington Avenue, New York, New York 10022, Attention: Christian O. Nagler and Ross M. Leff,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80" w:name="page381"/>
    <w:bookmarkEnd w:id="380"/>
    <w:p>
      <w:pPr>
        <w:ind w:left="560"/>
        <w:spacing w:after="0"/>
        <w:tabs>
          <w:tab w:leader="none" w:pos="118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7"/>
          <w:szCs w:val="17"/>
          <w:u w:val="single" w:color="auto"/>
          <w:color w:val="auto"/>
        </w:rPr>
        <w:t>Assignment; No Third Party Beneficiaries.</w:t>
      </w:r>
    </w:p>
    <w:p>
      <w:pPr>
        <w:spacing w:after="0" w:line="201" w:lineRule="exact"/>
        <w:rPr>
          <w:sz w:val="20"/>
          <w:szCs w:val="20"/>
          <w:color w:val="auto"/>
        </w:rPr>
      </w:pPr>
    </w:p>
    <w:p>
      <w:pPr>
        <w:jc w:val="both"/>
        <w:ind w:right="20" w:firstLine="1117"/>
        <w:spacing w:after="0" w:line="251" w:lineRule="auto"/>
        <w:rPr>
          <w:sz w:val="20"/>
          <w:szCs w:val="20"/>
          <w:color w:val="auto"/>
        </w:rPr>
      </w:pPr>
      <w:r>
        <w:rPr>
          <w:rFonts w:ascii="Arial" w:cs="Arial" w:eastAsia="Arial" w:hAnsi="Arial"/>
          <w:sz w:val="19"/>
          <w:szCs w:val="19"/>
          <w:color w:val="auto"/>
        </w:rPr>
        <w:t>6.2.1 This Agreement and the rights, duties and obligations of the Company hereunder may not be assigned or delegated by the Company in whole or in part.</w:t>
      </w:r>
    </w:p>
    <w:p>
      <w:pPr>
        <w:spacing w:after="0" w:line="171" w:lineRule="exact"/>
        <w:rPr>
          <w:sz w:val="20"/>
          <w:szCs w:val="20"/>
          <w:color w:val="auto"/>
        </w:rPr>
      </w:pPr>
    </w:p>
    <w:p>
      <w:pPr>
        <w:jc w:val="both"/>
        <w:ind w:right="20" w:firstLine="1117"/>
        <w:spacing w:after="0"/>
        <w:rPr>
          <w:sz w:val="20"/>
          <w:szCs w:val="20"/>
          <w:color w:val="auto"/>
        </w:rPr>
      </w:pPr>
      <w:r>
        <w:rPr>
          <w:rFonts w:ascii="Arial" w:cs="Arial" w:eastAsia="Arial" w:hAnsi="Arial"/>
          <w:sz w:val="19"/>
          <w:szCs w:val="19"/>
          <w:color w:val="auto"/>
        </w:rPr>
        <w:t>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82" w:lineRule="exact"/>
        <w:rPr>
          <w:sz w:val="20"/>
          <w:szCs w:val="20"/>
          <w:color w:val="auto"/>
        </w:rPr>
      </w:pPr>
    </w:p>
    <w:p>
      <w:pPr>
        <w:jc w:val="both"/>
        <w:ind w:firstLine="1117"/>
        <w:spacing w:after="0" w:line="251" w:lineRule="auto"/>
        <w:rPr>
          <w:sz w:val="20"/>
          <w:szCs w:val="20"/>
          <w:color w:val="auto"/>
        </w:rPr>
      </w:pPr>
      <w:r>
        <w:rPr>
          <w:rFonts w:ascii="Arial" w:cs="Arial" w:eastAsia="Arial" w:hAnsi="Arial"/>
          <w:sz w:val="19"/>
          <w:szCs w:val="19"/>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171" w:lineRule="exact"/>
        <w:rPr>
          <w:sz w:val="20"/>
          <w:szCs w:val="20"/>
          <w:color w:val="auto"/>
        </w:rPr>
      </w:pPr>
    </w:p>
    <w:p>
      <w:pPr>
        <w:jc w:val="both"/>
        <w:ind w:firstLine="1117"/>
        <w:spacing w:after="0" w:line="251" w:lineRule="auto"/>
        <w:rPr>
          <w:sz w:val="20"/>
          <w:szCs w:val="20"/>
          <w:color w:val="auto"/>
        </w:rPr>
      </w:pPr>
      <w:r>
        <w:rPr>
          <w:rFonts w:ascii="Arial" w:cs="Arial" w:eastAsia="Arial" w:hAnsi="Arial"/>
          <w:sz w:val="19"/>
          <w:szCs w:val="19"/>
          <w:color w:val="auto"/>
        </w:rPr>
        <w:t xml:space="preserve">6.2.4 This Agreement shall not confer any rights or benefits on any persons that are not parties hereto, other than as expressly set forth in this Agreement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hereof.</w:t>
      </w:r>
    </w:p>
    <w:p>
      <w:pPr>
        <w:spacing w:after="0" w:line="171" w:lineRule="exact"/>
        <w:rPr>
          <w:sz w:val="20"/>
          <w:szCs w:val="20"/>
          <w:color w:val="auto"/>
        </w:rPr>
      </w:pPr>
    </w:p>
    <w:p>
      <w:pPr>
        <w:jc w:val="both"/>
        <w:ind w:firstLine="1117"/>
        <w:spacing w:after="0" w:line="236" w:lineRule="auto"/>
        <w:rPr>
          <w:sz w:val="20"/>
          <w:szCs w:val="20"/>
          <w:color w:val="auto"/>
        </w:rPr>
      </w:pPr>
      <w:r>
        <w:rPr>
          <w:rFonts w:ascii="Arial" w:cs="Arial" w:eastAsia="Arial" w:hAnsi="Arial"/>
          <w:sz w:val="19"/>
          <w:szCs w:val="19"/>
          <w:color w:val="auto"/>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be null and void.</w:t>
      </w:r>
    </w:p>
    <w:p>
      <w:pPr>
        <w:spacing w:after="0" w:line="182" w:lineRule="exact"/>
        <w:rPr>
          <w:sz w:val="20"/>
          <w:szCs w:val="20"/>
          <w:color w:val="auto"/>
        </w:rPr>
      </w:pPr>
    </w:p>
    <w:p>
      <w:pPr>
        <w:jc w:val="both"/>
        <w:ind w:right="20" w:firstLine="559"/>
        <w:spacing w:after="0" w:line="23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Severability</w:t>
      </w:r>
      <w:r>
        <w:rPr>
          <w:rFonts w:ascii="Arial" w:cs="Arial" w:eastAsia="Arial" w:hAnsi="Arial"/>
          <w:sz w:val="19"/>
          <w:szCs w:val="19"/>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81" w:name="page382"/>
    <w:bookmarkEnd w:id="381"/>
    <w:p>
      <w:pPr>
        <w:jc w:val="both"/>
        <w:ind w:firstLine="559"/>
        <w:spacing w:after="0" w:line="27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9" w:lineRule="exact"/>
        <w:rPr>
          <w:sz w:val="20"/>
          <w:szCs w:val="20"/>
          <w:color w:val="auto"/>
        </w:rPr>
      </w:pPr>
    </w:p>
    <w:p>
      <w:pPr>
        <w:jc w:val="both"/>
        <w:ind w:firstLine="559"/>
        <w:spacing w:after="0" w:line="28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46" w:lineRule="exact"/>
        <w:rPr>
          <w:sz w:val="20"/>
          <w:szCs w:val="20"/>
          <w:color w:val="auto"/>
        </w:rPr>
      </w:pPr>
    </w:p>
    <w:p>
      <w:pPr>
        <w:jc w:val="both"/>
        <w:ind w:firstLine="559"/>
        <w:spacing w:after="0" w:line="236"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Governing Law; Venue</w:t>
      </w:r>
      <w:r>
        <w:rPr>
          <w:rFonts w:ascii="Arial" w:cs="Arial" w:eastAsia="Arial" w:hAnsi="Arial"/>
          <w:sz w:val="19"/>
          <w:szCs w:val="19"/>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78" w:lineRule="exact"/>
        <w:rPr>
          <w:sz w:val="20"/>
          <w:szCs w:val="20"/>
          <w:color w:val="auto"/>
        </w:rPr>
      </w:pPr>
    </w:p>
    <w:p>
      <w:pPr>
        <w:jc w:val="both"/>
        <w:ind w:firstLine="559"/>
        <w:spacing w:after="0" w:line="237" w:lineRule="auto"/>
        <w:rPr>
          <w:sz w:val="20"/>
          <w:szCs w:val="20"/>
          <w:color w:val="auto"/>
        </w:rPr>
      </w:pPr>
      <w:r>
        <w:rPr>
          <w:rFonts w:ascii="Arial" w:cs="Arial" w:eastAsia="Arial" w:hAnsi="Arial"/>
          <w:sz w:val="19"/>
          <w:szCs w:val="19"/>
          <w:b w:val="1"/>
          <w:bCs w:val="1"/>
          <w:color w:val="auto"/>
        </w:rPr>
        <w:t xml:space="preserve">6.7 </w:t>
      </w:r>
      <w:r>
        <w:rPr>
          <w:rFonts w:ascii="Arial" w:cs="Arial" w:eastAsia="Arial" w:hAnsi="Arial"/>
          <w:sz w:val="19"/>
          <w:szCs w:val="19"/>
          <w:b w:val="1"/>
          <w:bCs w:val="1"/>
          <w:u w:val="single" w:color="auto"/>
          <w:color w:val="auto"/>
        </w:rPr>
        <w:t>WAIVER OF TRIAL BY JURY</w:t>
      </w:r>
      <w:r>
        <w:rPr>
          <w:rFonts w:ascii="Arial" w:cs="Arial" w:eastAsia="Arial" w:hAnsi="Arial"/>
          <w:sz w:val="19"/>
          <w:szCs w:val="19"/>
          <w:b w:val="1"/>
          <w:bCs w:val="1"/>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18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(1) Holder, solely in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7"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of sections of this Agreement are for convenience only and shall not affect the construction of any provision of this Agreement.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82" w:name="page383"/>
    <w:bookmarkEnd w:id="382"/>
    <w:p>
      <w:pPr>
        <w:jc w:val="both"/>
        <w:ind w:firstLine="559"/>
        <w:spacing w:after="0" w:line="24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Waivers and Extensions</w:t>
      </w:r>
      <w:r>
        <w:rPr>
          <w:rFonts w:ascii="Arial" w:cs="Arial" w:eastAsia="Arial" w:hAnsi="Arial"/>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7" w:lineRule="exact"/>
        <w:rPr>
          <w:sz w:val="20"/>
          <w:szCs w:val="20"/>
          <w:color w:val="auto"/>
        </w:rPr>
      </w:pPr>
    </w:p>
    <w:p>
      <w:pPr>
        <w:jc w:val="both"/>
        <w:ind w:firstLine="559"/>
        <w:spacing w:after="0" w:line="234"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Remedies Cumulative</w:t>
      </w:r>
      <w:r>
        <w:rPr>
          <w:rFonts w:ascii="Arial" w:cs="Arial" w:eastAsia="Arial" w:hAnsi="Arial"/>
          <w:sz w:val="19"/>
          <w:szCs w:val="19"/>
          <w:color w:val="auto"/>
        </w:rPr>
        <w:t>.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4" w:lineRule="exact"/>
        <w:rPr>
          <w:sz w:val="20"/>
          <w:szCs w:val="20"/>
          <w:color w:val="auto"/>
        </w:rPr>
      </w:pPr>
    </w:p>
    <w:p>
      <w:pPr>
        <w:jc w:val="both"/>
        <w:ind w:firstLine="559"/>
        <w:spacing w:after="0" w:line="270"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57" w:lineRule="exact"/>
        <w:rPr>
          <w:sz w:val="20"/>
          <w:szCs w:val="20"/>
          <w:color w:val="auto"/>
        </w:rPr>
      </w:pPr>
    </w:p>
    <w:p>
      <w:pPr>
        <w:jc w:val="both"/>
        <w:ind w:right="20" w:firstLine="559"/>
        <w:spacing w:after="0" w:line="278"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(i) the tenth anniversary of the date of this Agreement and (ii) the date as of which no Registrable Securities remain outstanding. The provisions of Section 3.5 and </w:t>
      </w:r>
      <w:r>
        <w:rPr>
          <w:rFonts w:ascii="Arial" w:cs="Arial" w:eastAsia="Arial" w:hAnsi="Arial"/>
          <w:sz w:val="18"/>
          <w:szCs w:val="18"/>
          <w:i w:val="1"/>
          <w:iCs w:val="1"/>
          <w:color w:val="auto"/>
        </w:rPr>
        <w:t>Article IV</w:t>
      </w:r>
      <w:r>
        <w:rPr>
          <w:rFonts w:ascii="Arial" w:cs="Arial" w:eastAsia="Arial" w:hAnsi="Arial"/>
          <w:sz w:val="18"/>
          <w:szCs w:val="18"/>
          <w:color w:val="auto"/>
        </w:rPr>
        <w:t xml:space="preserve"> shall survive any termination.</w:t>
      </w:r>
    </w:p>
    <w:p>
      <w:pPr>
        <w:spacing w:after="0" w:line="149"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383" w:name="page384"/>
    <w:bookmarkEnd w:id="383"/>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caused this Agreement to be executed as of the date first written above.</w:t>
      </w:r>
    </w:p>
    <w:p>
      <w:pPr>
        <w:spacing w:after="0" w:line="23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COMPANY:</w:t>
      </w:r>
    </w:p>
    <w:p>
      <w:pPr>
        <w:spacing w:after="0" w:line="182"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8255</wp:posOffset>
            </wp:positionV>
            <wp:extent cx="3213735" cy="146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Adam Stone</w:t>
      </w:r>
    </w:p>
    <w:p>
      <w:pPr>
        <w:spacing w:after="0" w:line="12"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35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HOLDERS:</w:t>
      </w:r>
    </w:p>
    <w:p>
      <w:pPr>
        <w:spacing w:after="0" w:line="182"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ARYA SCIENCES HOLDINGS III</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8255</wp:posOffset>
            </wp:positionV>
            <wp:extent cx="3213735" cy="146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Adam Stone</w:t>
      </w:r>
    </w:p>
    <w:p>
      <w:pPr>
        <w:spacing w:after="0" w:line="12"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6"/>
          <w:szCs w:val="16"/>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629920</wp:posOffset>
            </wp:positionV>
            <wp:extent cx="7151370" cy="146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579"/>
          </w:cols>
          <w:pgMar w:left="880" w:top="326" w:right="1440" w:bottom="1440" w:gutter="0" w:footer="0" w:header="0"/>
        </w:sectPr>
      </w:pPr>
    </w:p>
    <w:bookmarkStart w:id="384" w:name="page385"/>
    <w:bookmarkEnd w:id="384"/>
    <w:p>
      <w:pPr>
        <w:jc w:val="center"/>
        <w:ind w:right="-3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8255</wp:posOffset>
            </wp:positionV>
            <wp:extent cx="3213735" cy="146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jc w:val="right"/>
        <w:ind w:right="3199"/>
        <w:spacing w:after="0"/>
        <w:rPr>
          <w:sz w:val="20"/>
          <w:szCs w:val="20"/>
          <w:color w:val="auto"/>
        </w:rPr>
      </w:pPr>
      <w:r>
        <w:rPr>
          <w:rFonts w:ascii="Arial" w:cs="Arial" w:eastAsia="Arial" w:hAnsi="Arial"/>
          <w:sz w:val="16"/>
          <w:szCs w:val="16"/>
          <w:color w:val="auto"/>
        </w:rPr>
        <w:t>Todd Wider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385" w:name="page386"/>
    <w:bookmarkEnd w:id="385"/>
    <w:p>
      <w:pPr>
        <w:jc w:val="center"/>
        <w:ind w:right="-3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8255</wp:posOffset>
            </wp:positionV>
            <wp:extent cx="3213735" cy="146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jc w:val="right"/>
        <w:ind w:right="2819"/>
        <w:spacing w:after="0"/>
        <w:rPr>
          <w:sz w:val="20"/>
          <w:szCs w:val="20"/>
          <w:color w:val="auto"/>
        </w:rPr>
      </w:pPr>
      <w:r>
        <w:rPr>
          <w:rFonts w:ascii="Arial" w:cs="Arial" w:eastAsia="Arial" w:hAnsi="Arial"/>
          <w:sz w:val="16"/>
          <w:szCs w:val="16"/>
          <w:color w:val="auto"/>
        </w:rPr>
        <w:t>Bradley Campbell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386" w:name="page387"/>
    <w:bookmarkEnd w:id="386"/>
    <w:p>
      <w:pPr>
        <w:jc w:val="center"/>
        <w:ind w:right="-3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8255</wp:posOffset>
            </wp:positionV>
            <wp:extent cx="3213735" cy="146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jc w:val="right"/>
        <w:ind w:right="3199"/>
        <w:spacing w:after="0"/>
        <w:rPr>
          <w:sz w:val="20"/>
          <w:szCs w:val="20"/>
          <w:color w:val="auto"/>
        </w:rPr>
      </w:pPr>
      <w:r>
        <w:rPr>
          <w:rFonts w:ascii="Arial" w:cs="Arial" w:eastAsia="Arial" w:hAnsi="Arial"/>
          <w:sz w:val="16"/>
          <w:szCs w:val="16"/>
          <w:color w:val="auto"/>
        </w:rPr>
        <w:t>Saqib Islam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77470</wp:posOffset>
            </wp:positionV>
            <wp:extent cx="7151370" cy="146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387" w:name="page388"/>
    <w:bookmarkEnd w:id="387"/>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51370" cy="29845"/>
                    </a:xfrm>
                    <a:prstGeom prst="rect">
                      <a:avLst/>
                    </a:prstGeom>
                    <a:noFill/>
                  </pic:spPr>
                </pic:pic>
              </a:graphicData>
            </a:graphic>
          </wp:anchor>
        </w:drawing>
        <w:t>Exhibit 10.3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PRIVATE PLACEMENT SHARES PURCHASE AGREEMENT</w:t>
      </w:r>
    </w:p>
    <w:p>
      <w:pPr>
        <w:spacing w:after="0" w:line="204" w:lineRule="exact"/>
        <w:rPr>
          <w:sz w:val="20"/>
          <w:szCs w:val="20"/>
          <w:color w:val="auto"/>
        </w:rPr>
      </w:pPr>
    </w:p>
    <w:p>
      <w:pPr>
        <w:ind w:right="260" w:firstLine="559"/>
        <w:spacing w:after="0" w:line="308" w:lineRule="auto"/>
        <w:rPr>
          <w:sz w:val="20"/>
          <w:szCs w:val="20"/>
          <w:color w:val="auto"/>
        </w:rPr>
      </w:pPr>
      <w:r>
        <w:rPr>
          <w:rFonts w:ascii="Arial" w:cs="Arial" w:eastAsia="Arial" w:hAnsi="Arial"/>
          <w:sz w:val="16"/>
          <w:szCs w:val="16"/>
          <w:color w:val="auto"/>
        </w:rPr>
        <w:t>THIS PRIVATE PLACEMENT SHARES PURCHASE AGREEMENT (as it may from time to time be amended and including all exhibits referenced herein,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August [●], 2020, is entered into by and between ARYA Sciences Acquisition Corp III,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ARYA Sciences Holdings III, a Cayman Islands exempted limited company (the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w:t>
      </w:r>
    </w:p>
    <w:p>
      <w:pPr>
        <w:spacing w:after="0" w:line="129" w:lineRule="exact"/>
        <w:rPr>
          <w:sz w:val="20"/>
          <w:szCs w:val="20"/>
          <w:color w:val="auto"/>
        </w:rPr>
      </w:pPr>
    </w:p>
    <w:p>
      <w:pPr>
        <w:ind w:right="60" w:firstLine="559"/>
        <w:spacing w:after="0" w:line="283" w:lineRule="auto"/>
        <w:rPr>
          <w:sz w:val="20"/>
          <w:szCs w:val="20"/>
          <w:color w:val="auto"/>
        </w:rPr>
      </w:pPr>
      <w:r>
        <w:rPr>
          <w:rFonts w:ascii="Arial" w:cs="Arial" w:eastAsia="Arial" w:hAnsi="Arial"/>
          <w:sz w:val="17"/>
          <w:szCs w:val="17"/>
          <w:color w:val="auto"/>
        </w:rPr>
        <w:t>WHEREAS, the Company intends to consummate an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of the Company’s Class A ordinary shares, par value $0.0001 per share (each, a “</w:t>
      </w:r>
      <w:r>
        <w:rPr>
          <w:rFonts w:ascii="Arial" w:cs="Arial" w:eastAsia="Arial" w:hAnsi="Arial"/>
          <w:sz w:val="17"/>
          <w:szCs w:val="17"/>
          <w:b w:val="1"/>
          <w:bCs w:val="1"/>
          <w:i w:val="1"/>
          <w:iCs w:val="1"/>
          <w:color w:val="auto"/>
        </w:rPr>
        <w:t>Share</w:t>
      </w:r>
      <w:r>
        <w:rPr>
          <w:rFonts w:ascii="Arial" w:cs="Arial" w:eastAsia="Arial" w:hAnsi="Arial"/>
          <w:sz w:val="17"/>
          <w:szCs w:val="17"/>
          <w:color w:val="auto"/>
        </w:rPr>
        <w:t>”), as set forth in the Company’s Registration Statement on Form S-1,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File Number 333-239986,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146" w:lineRule="exact"/>
        <w:rPr>
          <w:sz w:val="20"/>
          <w:szCs w:val="20"/>
          <w:color w:val="auto"/>
        </w:rPr>
      </w:pPr>
    </w:p>
    <w:p>
      <w:pPr>
        <w:ind w:right="280" w:firstLine="559"/>
        <w:spacing w:after="0" w:line="278" w:lineRule="auto"/>
        <w:rPr>
          <w:sz w:val="20"/>
          <w:szCs w:val="20"/>
          <w:color w:val="auto"/>
        </w:rPr>
      </w:pPr>
      <w:r>
        <w:rPr>
          <w:rFonts w:ascii="Arial" w:cs="Arial" w:eastAsia="Arial" w:hAnsi="Arial"/>
          <w:sz w:val="18"/>
          <w:szCs w:val="18"/>
          <w:color w:val="auto"/>
        </w:rPr>
        <w:t>WHEREAS, the Purchaser has agreed to purchase an aggregate of 450,000 Shares (and up to 37,500 additional Shares if the underwriters in the Public Offering exercise their option to purchase additional Shares in full) (the “</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w:t>
      </w:r>
    </w:p>
    <w:p>
      <w:pPr>
        <w:spacing w:after="0" w:line="149" w:lineRule="exact"/>
        <w:rPr>
          <w:sz w:val="20"/>
          <w:szCs w:val="20"/>
          <w:color w:val="auto"/>
        </w:rPr>
      </w:pPr>
    </w:p>
    <w:p>
      <w:pPr>
        <w:ind w:right="420" w:firstLine="559"/>
        <w:spacing w:after="0" w:line="343" w:lineRule="auto"/>
        <w:rPr>
          <w:sz w:val="20"/>
          <w:szCs w:val="20"/>
          <w:color w:val="auto"/>
        </w:rPr>
      </w:pPr>
      <w:r>
        <w:rPr>
          <w:rFonts w:ascii="Arial" w:cs="Arial" w:eastAsia="Arial" w:hAnsi="Arial"/>
          <w:sz w:val="16"/>
          <w:szCs w:val="16"/>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AGREEMENT</w:t>
      </w:r>
    </w:p>
    <w:p>
      <w:pPr>
        <w:spacing w:after="0" w:line="19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b w:val="1"/>
          <w:bCs w:val="1"/>
          <w:color w:val="auto"/>
        </w:rPr>
        <w:t>Section 1.</w:t>
      </w:r>
      <w:r>
        <w:rPr>
          <w:sz w:val="20"/>
          <w:szCs w:val="20"/>
          <w:color w:val="auto"/>
        </w:rPr>
        <w:tab/>
      </w:r>
      <w:r>
        <w:rPr>
          <w:rFonts w:ascii="Arial" w:cs="Arial" w:eastAsia="Arial" w:hAnsi="Arial"/>
          <w:sz w:val="16"/>
          <w:szCs w:val="16"/>
          <w:b w:val="1"/>
          <w:bCs w:val="1"/>
          <w:color w:val="auto"/>
        </w:rPr>
        <w:t>Authorization, Purchase and Sale; Terms of the Private Placement Shares</w:t>
      </w:r>
      <w:r>
        <w:rPr>
          <w:rFonts w:ascii="Arial" w:cs="Arial" w:eastAsia="Arial" w:hAnsi="Arial"/>
          <w:sz w:val="16"/>
          <w:szCs w:val="16"/>
          <w:color w:val="auto"/>
        </w:rPr>
        <w:t>.</w:t>
      </w:r>
    </w:p>
    <w:p>
      <w:pPr>
        <w:spacing w:after="0" w:line="204" w:lineRule="exact"/>
        <w:rPr>
          <w:sz w:val="20"/>
          <w:szCs w:val="20"/>
          <w:color w:val="auto"/>
        </w:rPr>
      </w:pPr>
    </w:p>
    <w:p>
      <w:pPr>
        <w:ind w:right="480" w:firstLine="552"/>
        <w:spacing w:after="0" w:line="251" w:lineRule="auto"/>
        <w:tabs>
          <w:tab w:leader="none" w:pos="1205" w:val="left"/>
        </w:tabs>
        <w:numPr>
          <w:ilvl w:val="0"/>
          <w:numId w:val="402"/>
        </w:numPr>
        <w:rPr>
          <w:rFonts w:ascii="Arial" w:cs="Arial" w:eastAsia="Arial" w:hAnsi="Arial"/>
          <w:sz w:val="19"/>
          <w:szCs w:val="19"/>
          <w:color w:val="auto"/>
        </w:rPr>
      </w:pPr>
      <w:r>
        <w:rPr>
          <w:rFonts w:ascii="Arial" w:cs="Arial" w:eastAsia="Arial" w:hAnsi="Arial"/>
          <w:sz w:val="19"/>
          <w:szCs w:val="19"/>
          <w:u w:val="single" w:color="auto"/>
          <w:color w:val="auto"/>
        </w:rPr>
        <w:t>Authorization of the Private Placement Shares</w:t>
      </w:r>
      <w:r>
        <w:rPr>
          <w:rFonts w:ascii="Arial" w:cs="Arial" w:eastAsia="Arial" w:hAnsi="Arial"/>
          <w:sz w:val="19"/>
          <w:szCs w:val="19"/>
          <w:color w:val="auto"/>
        </w:rPr>
        <w:t>. The Company has duly authorized the issuance and sale of the Private Placement Shares to the Purchaser.</w:t>
      </w:r>
    </w:p>
    <w:p>
      <w:pPr>
        <w:spacing w:after="0" w:line="171" w:lineRule="exact"/>
        <w:rPr>
          <w:rFonts w:ascii="Arial" w:cs="Arial" w:eastAsia="Arial" w:hAnsi="Arial"/>
          <w:sz w:val="19"/>
          <w:szCs w:val="19"/>
          <w:color w:val="auto"/>
        </w:rPr>
      </w:pPr>
    </w:p>
    <w:p>
      <w:pPr>
        <w:ind w:left="1180" w:hanging="628"/>
        <w:spacing w:after="0"/>
        <w:tabs>
          <w:tab w:leader="none" w:pos="1180" w:val="left"/>
        </w:tabs>
        <w:numPr>
          <w:ilvl w:val="0"/>
          <w:numId w:val="402"/>
        </w:numPr>
        <w:rPr>
          <w:rFonts w:ascii="Arial" w:cs="Arial" w:eastAsia="Arial" w:hAnsi="Arial"/>
          <w:sz w:val="19"/>
          <w:szCs w:val="19"/>
          <w:color w:val="auto"/>
        </w:rPr>
      </w:pPr>
      <w:r>
        <w:rPr>
          <w:rFonts w:ascii="Arial" w:cs="Arial" w:eastAsia="Arial" w:hAnsi="Arial"/>
          <w:sz w:val="19"/>
          <w:szCs w:val="19"/>
          <w:u w:val="single" w:color="auto"/>
          <w:color w:val="auto"/>
        </w:rPr>
        <w:t>Purchase and Sale of the Private Placement Shares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right="40" w:firstLine="1110"/>
        <w:spacing w:after="0" w:line="283" w:lineRule="auto"/>
        <w:tabs>
          <w:tab w:leader="none" w:pos="1758" w:val="left"/>
        </w:tabs>
        <w:numPr>
          <w:ilvl w:val="1"/>
          <w:numId w:val="402"/>
        </w:numPr>
        <w:rPr>
          <w:rFonts w:ascii="Arial" w:cs="Arial" w:eastAsia="Arial" w:hAnsi="Arial"/>
          <w:sz w:val="16"/>
          <w:szCs w:val="16"/>
          <w:color w:val="auto"/>
        </w:rPr>
      </w:pPr>
      <w:r>
        <w:rPr>
          <w:rFonts w:ascii="Arial" w:cs="Arial" w:eastAsia="Arial" w:hAnsi="Arial"/>
          <w:sz w:val="16"/>
          <w:szCs w:val="16"/>
          <w:color w:val="auto"/>
        </w:rPr>
        <w:t>On the date of the consummation of the Public Offering (the “</w:t>
      </w:r>
      <w:r>
        <w:rPr>
          <w:rFonts w:ascii="Arial" w:cs="Arial" w:eastAsia="Arial" w:hAnsi="Arial"/>
          <w:sz w:val="16"/>
          <w:szCs w:val="16"/>
          <w:b w:val="1"/>
          <w:bCs w:val="1"/>
          <w:i w:val="1"/>
          <w:iCs w:val="1"/>
          <w:color w:val="auto"/>
        </w:rPr>
        <w:t>IPO Closing Date</w:t>
      </w:r>
      <w:r>
        <w:rPr>
          <w:rFonts w:ascii="Arial" w:cs="Arial" w:eastAsia="Arial" w:hAnsi="Arial"/>
          <w:sz w:val="16"/>
          <w:szCs w:val="16"/>
          <w:color w:val="auto"/>
        </w:rPr>
        <w:t>”), the Company shall issue and sell to the Purchaser, and the Purchaser shall purchase from the Company, 450,000 Private Placement Shares at a price of $10.00 per Private Placement Share for an aggregate purchase price of $4,500,000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Purchaser shall pay the Purchase Price by wire transfer of immediately available funds in the following amounts: (i) $2,000,000 to the Company at a financial institution to be chosen by the Company, and (ii) $2,500,000 to the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maintained by Continental Stock Transfer &amp; Trust Company, acting as trustee, in each case in accordance with the Company’s wiring instructions, at least one (1) business day prior to the IPO Closing Date. On the IPO Closing Date, subject to the receipt of funds pursuant to the immediately prior sentence, the Company, at its option, shall deliver a certificate evidencing the Private Placement Shares purchased by the Purchaser on such date duly registered in the Purchaser’s name to the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51370" cy="146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388" w:name="page389"/>
    <w:bookmarkEnd w:id="388"/>
    <w:p>
      <w:pPr>
        <w:ind w:firstLine="1110"/>
        <w:spacing w:after="0" w:line="246" w:lineRule="auto"/>
        <w:tabs>
          <w:tab w:leader="none" w:pos="181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On the date of any closing of the option to purchase additional Shares, if any, in connection with the Public Offering or on such earlier time and date as may be mutually agreed by the Purchaser and the Company (each such date, an “</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and each Option Closing Date (if any) and the IPO Closing Date, a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the Company shall issue and sell to the Purchaser, and the Purchaser shall purchase from the Company, up to 37,500 Private Placement Shares (or, to the extent the option to purchase additional Shares is not exercised in full, a lesser number of Private Placement Shares in proportion to portion of the option that is exercised) at a price of $10.00 per Private Placement Share for an aggregate purchase price of up to $375,000 (the “</w:t>
      </w:r>
      <w:r>
        <w:rPr>
          <w:rFonts w:ascii="Arial" w:cs="Arial" w:eastAsia="Arial" w:hAnsi="Arial"/>
          <w:sz w:val="18"/>
          <w:szCs w:val="18"/>
          <w:b w:val="1"/>
          <w:bCs w:val="1"/>
          <w:i w:val="1"/>
          <w:iCs w:val="1"/>
          <w:color w:val="auto"/>
        </w:rPr>
        <w:t>Option Purchase Price</w:t>
      </w:r>
      <w:r>
        <w:rPr>
          <w:rFonts w:ascii="Arial" w:cs="Arial" w:eastAsia="Arial" w:hAnsi="Arial"/>
          <w:sz w:val="18"/>
          <w:szCs w:val="18"/>
          <w:color w:val="auto"/>
        </w:rPr>
        <w:t>”). The Purchaser shall pay the Option Purchase Price in accordance with the Company’s wire instruction by wire transfer of immediately available funds to the Trust Account, at least one (1) business day prior to any Option Closing Date. On each Option Closing Date (if any), subject to the receipt of funds pursuant to the immediately prior sentence, the Company shall, at its option, deliver a certificate evidencing the Private Placement Shares purchased on such date duly registered in the Purchaser’s name to the Purchaser or effect such delivery in book-entry form.</w:t>
      </w:r>
    </w:p>
    <w:p>
      <w:pPr>
        <w:spacing w:after="0" w:line="182" w:lineRule="exact"/>
        <w:rPr>
          <w:rFonts w:ascii="Arial" w:cs="Arial" w:eastAsia="Arial" w:hAnsi="Arial"/>
          <w:sz w:val="18"/>
          <w:szCs w:val="18"/>
          <w:color w:val="auto"/>
        </w:rPr>
      </w:pPr>
    </w:p>
    <w:p>
      <w:pPr>
        <w:ind w:left="1180" w:hanging="628"/>
        <w:spacing w:after="0"/>
        <w:tabs>
          <w:tab w:leader="none" w:pos="1180"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Terms of the Private Placement Shares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right="220" w:firstLine="1110"/>
        <w:spacing w:after="0" w:line="287" w:lineRule="auto"/>
        <w:tabs>
          <w:tab w:leader="none" w:pos="1758"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Private Placement Shares are substantially identical to the Shares to be offered in the Public Offering except that (a) the Private Placement Shares will not, except in limited circumstances, be transferable or salable until 30 days after the completion of the Company’s initial business combination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so long as they are held by the Purchaser or its permitted transferees, and (b) the Private Placement Shares are being purchased pursuant to an exemption from the registration requirements of the Securities Act and will become freely tradable only after the expiration of the lockup described above in clause (a) and they are registered pursuant to the Registration and Shareholder Rights Agreement (as defined below) or an exemption from registration is available, and the restrictions described above in clause (a) have expired.</w:t>
      </w:r>
    </w:p>
    <w:p>
      <w:pPr>
        <w:spacing w:after="0" w:line="145" w:lineRule="exact"/>
        <w:rPr>
          <w:rFonts w:ascii="Arial" w:cs="Arial" w:eastAsia="Arial" w:hAnsi="Arial"/>
          <w:sz w:val="16"/>
          <w:szCs w:val="16"/>
          <w:color w:val="auto"/>
        </w:rPr>
      </w:pPr>
    </w:p>
    <w:p>
      <w:pPr>
        <w:ind w:right="60" w:firstLine="1110"/>
        <w:spacing w:after="0"/>
        <w:tabs>
          <w:tab w:leader="none" w:pos="181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On the IPO Closing Date, the Company and the Purchaser shall enter into a registration and shareholder rights agreement (the “</w:t>
      </w:r>
      <w:r>
        <w:rPr>
          <w:rFonts w:ascii="Arial" w:cs="Arial" w:eastAsia="Arial" w:hAnsi="Arial"/>
          <w:sz w:val="19"/>
          <w:szCs w:val="19"/>
          <w:b w:val="1"/>
          <w:bCs w:val="1"/>
          <w:i w:val="1"/>
          <w:iCs w:val="1"/>
          <w:color w:val="auto"/>
        </w:rPr>
        <w:t>Registration and Shareholder Rights Agreement</w:t>
      </w:r>
      <w:r>
        <w:rPr>
          <w:rFonts w:ascii="Arial" w:cs="Arial" w:eastAsia="Arial" w:hAnsi="Arial"/>
          <w:sz w:val="19"/>
          <w:szCs w:val="19"/>
          <w:color w:val="auto"/>
        </w:rPr>
        <w:t>”) pursuant to which the Company will grant certain registration rights to the Purchaser relating to the Private Placement Shares.</w:t>
      </w:r>
    </w:p>
    <w:p>
      <w:pPr>
        <w:spacing w:after="0" w:line="178" w:lineRule="exact"/>
        <w:rPr>
          <w:sz w:val="20"/>
          <w:szCs w:val="20"/>
          <w:color w:val="auto"/>
        </w:rPr>
      </w:pPr>
    </w:p>
    <w:p>
      <w:pPr>
        <w:jc w:val="both"/>
        <w:ind w:right="100" w:firstLine="559"/>
        <w:spacing w:after="0" w:line="242" w:lineRule="auto"/>
        <w:rPr>
          <w:sz w:val="20"/>
          <w:szCs w:val="20"/>
          <w:color w:val="auto"/>
        </w:rPr>
      </w:pPr>
      <w:r>
        <w:rPr>
          <w:rFonts w:ascii="Arial" w:cs="Arial" w:eastAsia="Arial" w:hAnsi="Arial"/>
          <w:sz w:val="19"/>
          <w:szCs w:val="19"/>
          <w:b w:val="1"/>
          <w:bCs w:val="1"/>
          <w:color w:val="auto"/>
        </w:rPr>
        <w:t>Section 2. Representations and Warranties of the Company</w:t>
      </w:r>
      <w:r>
        <w:rPr>
          <w:rFonts w:ascii="Arial" w:cs="Arial" w:eastAsia="Arial" w:hAnsi="Arial"/>
          <w:sz w:val="19"/>
          <w:szCs w:val="19"/>
          <w:color w:val="auto"/>
        </w:rPr>
        <w:t>. As a material inducement to the Purchaser to enter into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purchase the Private Placement Shares, the Company hereby represents and warrants to the Purchaser (which representations and warranties shall survive each Closing Date) that:</w:t>
      </w:r>
    </w:p>
    <w:p>
      <w:pPr>
        <w:spacing w:after="0" w:line="181" w:lineRule="exact"/>
        <w:rPr>
          <w:sz w:val="20"/>
          <w:szCs w:val="20"/>
          <w:color w:val="auto"/>
        </w:rPr>
      </w:pPr>
    </w:p>
    <w:p>
      <w:pPr>
        <w:ind w:right="100" w:firstLine="552"/>
        <w:spacing w:after="0" w:line="254" w:lineRule="auto"/>
        <w:tabs>
          <w:tab w:leader="none" w:pos="1205"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Incorporation and Corporate Power</w:t>
      </w:r>
      <w:r>
        <w:rPr>
          <w:rFonts w:ascii="Arial" w:cs="Arial" w:eastAsia="Arial" w:hAnsi="Arial"/>
          <w:sz w:val="18"/>
          <w:szCs w:val="18"/>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70" w:lineRule="exact"/>
        <w:rPr>
          <w:rFonts w:ascii="Arial" w:cs="Arial" w:eastAsia="Arial" w:hAnsi="Arial"/>
          <w:sz w:val="18"/>
          <w:szCs w:val="18"/>
          <w:color w:val="auto"/>
        </w:rPr>
      </w:pPr>
    </w:p>
    <w:p>
      <w:pPr>
        <w:ind w:left="1180" w:hanging="628"/>
        <w:spacing w:after="0"/>
        <w:tabs>
          <w:tab w:leader="none" w:pos="1180" w:val="left"/>
        </w:tabs>
        <w:numPr>
          <w:ilvl w:val="0"/>
          <w:numId w:val="405"/>
        </w:numPr>
        <w:rPr>
          <w:rFonts w:ascii="Arial" w:cs="Arial" w:eastAsia="Arial" w:hAnsi="Arial"/>
          <w:sz w:val="19"/>
          <w:szCs w:val="19"/>
          <w:color w:val="auto"/>
        </w:rPr>
      </w:pPr>
      <w:r>
        <w:rPr>
          <w:rFonts w:ascii="Arial" w:cs="Arial" w:eastAsia="Arial" w:hAnsi="Arial"/>
          <w:sz w:val="19"/>
          <w:szCs w:val="19"/>
          <w:u w:val="single" w:color="auto"/>
          <w:color w:val="auto"/>
        </w:rPr>
        <w:t>Authorization; No Breach</w:t>
      </w:r>
      <w:r>
        <w:rPr>
          <w:rFonts w:ascii="Arial" w:cs="Arial" w:eastAsia="Arial" w:hAnsi="Arial"/>
          <w:sz w:val="19"/>
          <w:szCs w:val="19"/>
          <w:color w:val="auto"/>
        </w:rPr>
        <w:t>.</w:t>
      </w:r>
    </w:p>
    <w:p>
      <w:pPr>
        <w:spacing w:after="0" w:line="200" w:lineRule="exact"/>
        <w:rPr>
          <w:sz w:val="20"/>
          <w:szCs w:val="20"/>
          <w:color w:val="auto"/>
        </w:rPr>
      </w:pPr>
    </w:p>
    <w:p>
      <w:pPr>
        <w:ind w:firstLine="1110"/>
        <w:spacing w:after="0" w:line="249" w:lineRule="auto"/>
        <w:tabs>
          <w:tab w:leader="none" w:pos="175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Private Placement Shares have been duly authorized by the Company as of the date hereof.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this Agreement, the Private Placement Shares will constitute valid and binding obligations of the Company, enforceable in accordance with their terms as of the Closing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9" w:name="page390"/>
    <w:bookmarkEnd w:id="389"/>
    <w:p>
      <w:pPr>
        <w:ind w:firstLine="1110"/>
        <w:spacing w:after="0" w:line="247" w:lineRule="auto"/>
        <w:tabs>
          <w:tab w:leader="none" w:pos="181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the Private Placement Shares, the issuance and sale of the Private Placement Shares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77" w:lineRule="exact"/>
        <w:rPr>
          <w:rFonts w:ascii="Arial" w:cs="Arial" w:eastAsia="Arial" w:hAnsi="Arial"/>
          <w:sz w:val="18"/>
          <w:szCs w:val="18"/>
          <w:color w:val="auto"/>
        </w:rPr>
      </w:pPr>
    </w:p>
    <w:p>
      <w:pPr>
        <w:ind w:firstLine="552"/>
        <w:spacing w:after="0" w:line="249" w:lineRule="auto"/>
        <w:tabs>
          <w:tab w:leader="none" w:pos="119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and upon registration in the Company’s register of members, the Private Placement Shares will be duly and validly issued, fully paid and nonassessable. Upon issuance in accordance with, and payment pursuant to, the terms hereof and upon registration in the Company’s register of members, the Purchaser will have good title to the Private Placement Shares purchased by it,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77" w:lineRule="exact"/>
        <w:rPr>
          <w:rFonts w:ascii="Arial" w:cs="Arial" w:eastAsia="Arial" w:hAnsi="Arial"/>
          <w:sz w:val="18"/>
          <w:szCs w:val="18"/>
          <w:color w:val="auto"/>
        </w:rPr>
      </w:pPr>
    </w:p>
    <w:p>
      <w:pPr>
        <w:ind w:right="40" w:firstLine="552"/>
        <w:spacing w:after="0"/>
        <w:tabs>
          <w:tab w:leader="none" w:pos="1205" w:val="left"/>
        </w:tabs>
        <w:numPr>
          <w:ilvl w:val="0"/>
          <w:numId w:val="408"/>
        </w:numPr>
        <w:rPr>
          <w:rFonts w:ascii="Arial" w:cs="Arial" w:eastAsia="Arial" w:hAnsi="Arial"/>
          <w:sz w:val="19"/>
          <w:szCs w:val="19"/>
          <w:color w:val="auto"/>
        </w:rPr>
      </w:pPr>
      <w:r>
        <w:rPr>
          <w:rFonts w:ascii="Arial" w:cs="Arial" w:eastAsia="Arial" w:hAnsi="Arial"/>
          <w:sz w:val="19"/>
          <w:szCs w:val="19"/>
          <w:u w:val="single" w:color="auto"/>
          <w:color w:val="auto"/>
        </w:rPr>
        <w:t>Governmental Consents</w:t>
      </w:r>
      <w:r>
        <w:rPr>
          <w:rFonts w:ascii="Arial" w:cs="Arial" w:eastAsia="Arial" w:hAnsi="Arial"/>
          <w:sz w:val="19"/>
          <w:szCs w:val="19"/>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2" w:lineRule="exact"/>
        <w:rPr>
          <w:rFonts w:ascii="Arial" w:cs="Arial" w:eastAsia="Arial" w:hAnsi="Arial"/>
          <w:sz w:val="19"/>
          <w:szCs w:val="19"/>
          <w:color w:val="auto"/>
        </w:rPr>
      </w:pPr>
    </w:p>
    <w:p>
      <w:pPr>
        <w:ind w:right="160" w:firstLine="552"/>
        <w:spacing w:after="0"/>
        <w:tabs>
          <w:tab w:leader="none" w:pos="1184" w:val="left"/>
        </w:tabs>
        <w:numPr>
          <w:ilvl w:val="0"/>
          <w:numId w:val="408"/>
        </w:numPr>
        <w:rPr>
          <w:rFonts w:ascii="Arial" w:cs="Arial" w:eastAsia="Arial" w:hAnsi="Arial"/>
          <w:sz w:val="19"/>
          <w:szCs w:val="19"/>
          <w:color w:val="auto"/>
        </w:rPr>
      </w:pPr>
      <w:r>
        <w:rPr>
          <w:rFonts w:ascii="Arial" w:cs="Arial" w:eastAsia="Arial" w:hAnsi="Arial"/>
          <w:sz w:val="19"/>
          <w:szCs w:val="19"/>
          <w:u w:val="single" w:color="auto"/>
          <w:color w:val="auto"/>
        </w:rPr>
        <w:t>Regulation D Qualification</w:t>
      </w:r>
      <w:r>
        <w:rPr>
          <w:rFonts w:ascii="Arial" w:cs="Arial" w:eastAsia="Arial" w:hAnsi="Arial"/>
          <w:sz w:val="19"/>
          <w:szCs w:val="19"/>
          <w:color w:val="auto"/>
        </w:rPr>
        <w:t>.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w:t>
      </w:r>
    </w:p>
    <w:p>
      <w:pPr>
        <w:spacing w:after="0" w:line="178" w:lineRule="exact"/>
        <w:rPr>
          <w:sz w:val="20"/>
          <w:szCs w:val="20"/>
          <w:color w:val="auto"/>
        </w:rPr>
      </w:pPr>
    </w:p>
    <w:p>
      <w:pPr>
        <w:ind w:right="40" w:firstLine="559"/>
        <w:spacing w:after="0" w:line="242" w:lineRule="auto"/>
        <w:rPr>
          <w:sz w:val="20"/>
          <w:szCs w:val="20"/>
          <w:color w:val="auto"/>
        </w:rPr>
      </w:pPr>
      <w:r>
        <w:rPr>
          <w:rFonts w:ascii="Arial" w:cs="Arial" w:eastAsia="Arial" w:hAnsi="Arial"/>
          <w:sz w:val="19"/>
          <w:szCs w:val="19"/>
          <w:b w:val="1"/>
          <w:bCs w:val="1"/>
          <w:color w:val="auto"/>
        </w:rPr>
        <w:t>Section 3. Representations and Warranties of the Purchaser</w:t>
      </w:r>
      <w:r>
        <w:rPr>
          <w:rFonts w:ascii="Arial" w:cs="Arial" w:eastAsia="Arial" w:hAnsi="Arial"/>
          <w:sz w:val="19"/>
          <w:szCs w:val="19"/>
          <w:color w:val="auto"/>
        </w:rPr>
        <w:t>. As a material inducement to the Company to enter into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issue and sell the Private Placement Shares to the Purchaser, the Purchaser hereby represents and warrants to the Company (which representations and warranties shall survive each Closing Date) that: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90" w:name="page391"/>
    <w:bookmarkEnd w:id="390"/>
    <w:p>
      <w:pPr>
        <w:ind w:right="920" w:firstLine="552"/>
        <w:spacing w:after="0" w:line="251" w:lineRule="auto"/>
        <w:tabs>
          <w:tab w:leader="none" w:pos="1205" w:val="left"/>
        </w:tabs>
        <w:numPr>
          <w:ilvl w:val="0"/>
          <w:numId w:val="409"/>
        </w:numPr>
        <w:rPr>
          <w:rFonts w:ascii="Arial" w:cs="Arial" w:eastAsia="Arial" w:hAnsi="Arial"/>
          <w:sz w:val="19"/>
          <w:szCs w:val="19"/>
          <w:color w:val="auto"/>
        </w:rPr>
      </w:pPr>
      <w:r>
        <w:rPr>
          <w:rFonts w:ascii="Arial" w:cs="Arial" w:eastAsia="Arial" w:hAnsi="Arial"/>
          <w:sz w:val="19"/>
          <w:szCs w:val="19"/>
          <w:u w:val="single" w:color="auto"/>
          <w:color w:val="auto"/>
        </w:rPr>
        <w:t>Organization and Requisite Authority</w:t>
      </w:r>
      <w:r>
        <w:rPr>
          <w:rFonts w:ascii="Arial" w:cs="Arial" w:eastAsia="Arial" w:hAnsi="Arial"/>
          <w:sz w:val="19"/>
          <w:szCs w:val="19"/>
          <w:color w:val="auto"/>
        </w:rPr>
        <w:t>. The Purchaser possesses all requisite power and authority necessary to carry out the transactions contemplated by this Agreement.</w:t>
      </w:r>
    </w:p>
    <w:p>
      <w:pPr>
        <w:spacing w:after="0" w:line="171" w:lineRule="exact"/>
        <w:rPr>
          <w:rFonts w:ascii="Arial" w:cs="Arial" w:eastAsia="Arial" w:hAnsi="Arial"/>
          <w:sz w:val="19"/>
          <w:szCs w:val="19"/>
          <w:color w:val="auto"/>
        </w:rPr>
      </w:pPr>
    </w:p>
    <w:p>
      <w:pPr>
        <w:ind w:left="1180" w:hanging="628"/>
        <w:spacing w:after="0"/>
        <w:tabs>
          <w:tab w:leader="none" w:pos="1180" w:val="left"/>
        </w:tabs>
        <w:numPr>
          <w:ilvl w:val="0"/>
          <w:numId w:val="409"/>
        </w:numPr>
        <w:rPr>
          <w:rFonts w:ascii="Arial" w:cs="Arial" w:eastAsia="Arial" w:hAnsi="Arial"/>
          <w:sz w:val="19"/>
          <w:szCs w:val="19"/>
          <w:color w:val="auto"/>
        </w:rPr>
      </w:pPr>
      <w:r>
        <w:rPr>
          <w:rFonts w:ascii="Arial" w:cs="Arial" w:eastAsia="Arial" w:hAnsi="Arial"/>
          <w:sz w:val="19"/>
          <w:szCs w:val="19"/>
          <w:u w:val="single" w:color="auto"/>
          <w:color w:val="auto"/>
        </w:rPr>
        <w:t>Authorization; No Breach</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right="20" w:firstLine="1110"/>
        <w:spacing w:after="0"/>
        <w:tabs>
          <w:tab w:leader="none" w:pos="1758" w:val="left"/>
        </w:tabs>
        <w:numPr>
          <w:ilvl w:val="1"/>
          <w:numId w:val="409"/>
        </w:numPr>
        <w:rPr>
          <w:rFonts w:ascii="Arial" w:cs="Arial" w:eastAsia="Arial" w:hAnsi="Arial"/>
          <w:sz w:val="19"/>
          <w:szCs w:val="19"/>
          <w:color w:val="auto"/>
        </w:rPr>
      </w:pPr>
      <w:r>
        <w:rPr>
          <w:rFonts w:ascii="Arial" w:cs="Arial" w:eastAsia="Arial" w:hAnsi="Arial"/>
          <w:sz w:val="19"/>
          <w:szCs w:val="19"/>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2" w:lineRule="exact"/>
        <w:rPr>
          <w:rFonts w:ascii="Arial" w:cs="Arial" w:eastAsia="Arial" w:hAnsi="Arial"/>
          <w:sz w:val="19"/>
          <w:szCs w:val="19"/>
          <w:color w:val="auto"/>
        </w:rPr>
      </w:pPr>
    </w:p>
    <w:p>
      <w:pPr>
        <w:ind w:firstLine="1110"/>
        <w:spacing w:after="0" w:line="247" w:lineRule="auto"/>
        <w:tabs>
          <w:tab w:leader="none" w:pos="181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w:t>
      </w:r>
    </w:p>
    <w:p>
      <w:pPr>
        <w:spacing w:after="0" w:line="180" w:lineRule="exact"/>
        <w:rPr>
          <w:rFonts w:ascii="Arial" w:cs="Arial" w:eastAsia="Arial" w:hAnsi="Arial"/>
          <w:sz w:val="18"/>
          <w:szCs w:val="18"/>
          <w:color w:val="auto"/>
        </w:rPr>
      </w:pPr>
    </w:p>
    <w:p>
      <w:pPr>
        <w:ind w:left="1180" w:hanging="628"/>
        <w:spacing w:after="0"/>
        <w:tabs>
          <w:tab w:leader="none" w:pos="1180" w:val="left"/>
        </w:tabs>
        <w:numPr>
          <w:ilvl w:val="0"/>
          <w:numId w:val="409"/>
        </w:numPr>
        <w:rPr>
          <w:rFonts w:ascii="Arial" w:cs="Arial" w:eastAsia="Arial" w:hAnsi="Arial"/>
          <w:sz w:val="19"/>
          <w:szCs w:val="19"/>
          <w:color w:val="auto"/>
        </w:rPr>
      </w:pPr>
      <w:r>
        <w:rPr>
          <w:rFonts w:ascii="Arial" w:cs="Arial" w:eastAsia="Arial" w:hAnsi="Arial"/>
          <w:sz w:val="19"/>
          <w:szCs w:val="19"/>
          <w:u w:val="single" w:color="auto"/>
          <w:color w:val="auto"/>
        </w:rPr>
        <w:t>Investment Representations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right="60" w:firstLine="1110"/>
        <w:spacing w:after="0" w:line="251" w:lineRule="auto"/>
        <w:tabs>
          <w:tab w:leader="none" w:pos="1758" w:val="left"/>
        </w:tabs>
        <w:numPr>
          <w:ilvl w:val="1"/>
          <w:numId w:val="409"/>
        </w:numPr>
        <w:rPr>
          <w:rFonts w:ascii="Arial" w:cs="Arial" w:eastAsia="Arial" w:hAnsi="Arial"/>
          <w:sz w:val="19"/>
          <w:szCs w:val="19"/>
          <w:color w:val="auto"/>
        </w:rPr>
      </w:pPr>
      <w:r>
        <w:rPr>
          <w:rFonts w:ascii="Arial" w:cs="Arial" w:eastAsia="Arial" w:hAnsi="Arial"/>
          <w:sz w:val="19"/>
          <w:szCs w:val="19"/>
          <w:color w:val="auto"/>
        </w:rPr>
        <w:t>The Purchaser is acquiring the Private Placement Shares for its own account, for investment purposes only and not with a view towards, or for resale in connection with, any public sale or distribution thereof.</w:t>
      </w:r>
    </w:p>
    <w:p>
      <w:pPr>
        <w:spacing w:after="0" w:line="171" w:lineRule="exact"/>
        <w:rPr>
          <w:rFonts w:ascii="Arial" w:cs="Arial" w:eastAsia="Arial" w:hAnsi="Arial"/>
          <w:sz w:val="19"/>
          <w:szCs w:val="19"/>
          <w:color w:val="auto"/>
        </w:rPr>
      </w:pPr>
    </w:p>
    <w:p>
      <w:pPr>
        <w:ind w:right="120" w:firstLine="1110"/>
        <w:spacing w:after="0" w:line="309" w:lineRule="auto"/>
        <w:tabs>
          <w:tab w:leader="none" w:pos="181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The Purchaser is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such term is defined in Rule 501(a)(3) of Regulation D under the Securities Act, and the Purchaser has not experienced a disqualifying event as enumerated pursuant to Rule 506(d) of Regulation D under the Securities Act.</w:t>
      </w:r>
    </w:p>
    <w:p>
      <w:pPr>
        <w:spacing w:after="0" w:line="124" w:lineRule="exact"/>
        <w:rPr>
          <w:rFonts w:ascii="Arial" w:cs="Arial" w:eastAsia="Arial" w:hAnsi="Arial"/>
          <w:sz w:val="17"/>
          <w:szCs w:val="17"/>
          <w:color w:val="auto"/>
        </w:rPr>
      </w:pPr>
    </w:p>
    <w:p>
      <w:pPr>
        <w:ind w:right="60" w:firstLine="1110"/>
        <w:spacing w:after="0" w:line="254" w:lineRule="auto"/>
        <w:tabs>
          <w:tab w:leader="none" w:pos="1861"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Purchaser understands that the Private Placement Shares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Private Placement Shares.</w:t>
      </w:r>
    </w:p>
    <w:p>
      <w:pPr>
        <w:spacing w:after="0" w:line="170" w:lineRule="exact"/>
        <w:rPr>
          <w:rFonts w:ascii="Arial" w:cs="Arial" w:eastAsia="Arial" w:hAnsi="Arial"/>
          <w:sz w:val="18"/>
          <w:szCs w:val="18"/>
          <w:color w:val="auto"/>
        </w:rPr>
      </w:pPr>
    </w:p>
    <w:p>
      <w:pPr>
        <w:ind w:right="140" w:firstLine="1110"/>
        <w:spacing w:after="0" w:line="251" w:lineRule="auto"/>
        <w:tabs>
          <w:tab w:leader="none" w:pos="1851" w:val="left"/>
        </w:tabs>
        <w:numPr>
          <w:ilvl w:val="1"/>
          <w:numId w:val="409"/>
        </w:numPr>
        <w:rPr>
          <w:rFonts w:ascii="Arial" w:cs="Arial" w:eastAsia="Arial" w:hAnsi="Arial"/>
          <w:sz w:val="19"/>
          <w:szCs w:val="19"/>
          <w:color w:val="auto"/>
        </w:rPr>
      </w:pPr>
      <w:r>
        <w:rPr>
          <w:rFonts w:ascii="Arial" w:cs="Arial" w:eastAsia="Arial" w:hAnsi="Arial"/>
          <w:sz w:val="19"/>
          <w:szCs w:val="19"/>
          <w:color w:val="auto"/>
        </w:rPr>
        <w:t>The Purchaser did not decide to enter into this Agreement as a result of any general solicitation or general advertising within the meaning of Rule 502(c) of Regulation D under the Securities Act.</w:t>
      </w:r>
    </w:p>
    <w:p>
      <w:pPr>
        <w:spacing w:after="0" w:line="171" w:lineRule="exact"/>
        <w:rPr>
          <w:rFonts w:ascii="Arial" w:cs="Arial" w:eastAsia="Arial" w:hAnsi="Arial"/>
          <w:sz w:val="19"/>
          <w:szCs w:val="19"/>
          <w:color w:val="auto"/>
        </w:rPr>
      </w:pPr>
    </w:p>
    <w:p>
      <w:pPr>
        <w:ind w:right="180" w:firstLine="1110"/>
        <w:spacing w:after="0" w:line="270" w:lineRule="auto"/>
        <w:tabs>
          <w:tab w:leader="none" w:pos="1799"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The Purchaser has been furnished with all materials relating to the business, finances and operations of the Company and materials relating to the offer and sale of the Private Placement Shares which have been requested by the Purchaser. The Purchaser has been afforded the opportunity to ask questions of the executive officers and directors of the Company. The Purchaser understands that its investment in the Private Placement Shares involves a high degree of risk and it has sought such accounting, legal and tax advice as it has considered necessary to make an informed investment decision with respect to the acquisition of the Private Placement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91" w:name="page392"/>
    <w:bookmarkEnd w:id="391"/>
    <w:p>
      <w:pPr>
        <w:ind w:right="40" w:firstLine="1110"/>
        <w:spacing w:after="0" w:line="307" w:lineRule="auto"/>
        <w:tabs>
          <w:tab w:leader="none" w:pos="1851"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Purchaser understands that no United States federal or state agency or any other government or governmental agency has passed on or made any recommendation or endorsement of the Private Placement Shares or the fairness or suitability of the investment in the Private Placement Shares by the Purchaser nor have such authorities passed upon or endorsed the merits of the offering of the Private Placement Shares.</w:t>
      </w:r>
    </w:p>
    <w:p>
      <w:pPr>
        <w:spacing w:after="0" w:line="130" w:lineRule="exact"/>
        <w:rPr>
          <w:rFonts w:ascii="Arial" w:cs="Arial" w:eastAsia="Arial" w:hAnsi="Arial"/>
          <w:sz w:val="16"/>
          <w:szCs w:val="16"/>
          <w:color w:val="auto"/>
        </w:rPr>
      </w:pPr>
    </w:p>
    <w:p>
      <w:pPr>
        <w:ind w:firstLine="1110"/>
        <w:spacing w:after="0" w:line="262" w:lineRule="auto"/>
        <w:tabs>
          <w:tab w:leader="none" w:pos="1903"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Purchaser understands that: (a) the Private Placement Shares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Private Placement Shares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under the Securities Act when reselling the securities of a blank check company. Based on that position, Rule 144 adopted pursuant to the Securities Act would not be available for resale transactions of the Private Placement Shares despite technical compliance with the requirements of such Rule, and the Private Placement Shares can be resold only through a registered offering or in reliance upon another exemption from the registration requirements of the Securities Act.</w:t>
      </w:r>
    </w:p>
    <w:p>
      <w:pPr>
        <w:spacing w:after="0" w:line="169" w:lineRule="exact"/>
        <w:rPr>
          <w:rFonts w:ascii="Arial" w:cs="Arial" w:eastAsia="Arial" w:hAnsi="Arial"/>
          <w:sz w:val="17"/>
          <w:szCs w:val="17"/>
          <w:color w:val="auto"/>
        </w:rPr>
      </w:pPr>
    </w:p>
    <w:p>
      <w:pPr>
        <w:ind w:right="20" w:firstLine="1110"/>
        <w:spacing w:after="0" w:line="267" w:lineRule="auto"/>
        <w:tabs>
          <w:tab w:leader="none" w:pos="1954"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Private Placement Shares and is able to bear the economic risk of an investment in the Private Placement Shares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Private Placement Shares. The Purchaser can afford a complete loss of its investments in the Private Placement Shares.</w:t>
      </w:r>
    </w:p>
    <w:p>
      <w:pPr>
        <w:spacing w:after="0" w:line="161" w:lineRule="exact"/>
        <w:rPr>
          <w:rFonts w:ascii="Arial" w:cs="Arial" w:eastAsia="Arial" w:hAnsi="Arial"/>
          <w:sz w:val="17"/>
          <w:szCs w:val="17"/>
          <w:color w:val="auto"/>
        </w:rPr>
      </w:pPr>
    </w:p>
    <w:p>
      <w:pPr>
        <w:ind w:left="1840" w:hanging="730"/>
        <w:spacing w:after="0"/>
        <w:tabs>
          <w:tab w:leader="none" w:pos="184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Purchaser understands that the Private Placement Shares shall bear the following legend and appropriate “stop transfer</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restrictions”:</w:t>
      </w:r>
    </w:p>
    <w:p>
      <w:pPr>
        <w:spacing w:after="0" w:line="184" w:lineRule="exact"/>
        <w:rPr>
          <w:sz w:val="20"/>
          <w:szCs w:val="20"/>
          <w:color w:val="auto"/>
        </w:rPr>
      </w:pPr>
    </w:p>
    <w:p>
      <w:pPr>
        <w:ind w:firstLine="559"/>
        <w:spacing w:after="0" w:line="236" w:lineRule="auto"/>
        <w:rPr>
          <w:sz w:val="20"/>
          <w:szCs w:val="20"/>
          <w:color w:val="auto"/>
        </w:rPr>
      </w:pPr>
      <w:r>
        <w:rPr>
          <w:rFonts w:ascii="Arial" w:cs="Arial" w:eastAsia="Arial" w:hAnsi="Arial"/>
          <w:sz w:val="19"/>
          <w:szCs w:val="19"/>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2" w:name="page393"/>
    <w:bookmarkEnd w:id="392"/>
    <w:p>
      <w:pPr>
        <w:ind w:right="800" w:firstLine="559"/>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OF DURING THE TERM OF THE LOCKUP.”</w:t>
      </w:r>
    </w:p>
    <w:p>
      <w:pPr>
        <w:spacing w:after="0" w:line="145" w:lineRule="exact"/>
        <w:rPr>
          <w:sz w:val="20"/>
          <w:szCs w:val="20"/>
          <w:color w:val="auto"/>
        </w:rPr>
      </w:pPr>
    </w:p>
    <w:p>
      <w:pPr>
        <w:ind w:right="140" w:firstLine="559"/>
        <w:spacing w:after="0" w:line="255" w:lineRule="auto"/>
        <w:rPr>
          <w:sz w:val="20"/>
          <w:szCs w:val="20"/>
          <w:color w:val="auto"/>
        </w:rPr>
      </w:pPr>
      <w:r>
        <w:rPr>
          <w:rFonts w:ascii="Arial" w:cs="Arial" w:eastAsia="Arial" w:hAnsi="Arial"/>
          <w:sz w:val="19"/>
          <w:szCs w:val="19"/>
          <w:b w:val="1"/>
          <w:bCs w:val="1"/>
          <w:color w:val="auto"/>
        </w:rPr>
        <w:t>Section 4. Conditions of the Purchaser’s Obligations</w:t>
      </w:r>
      <w:r>
        <w:rPr>
          <w:rFonts w:ascii="Arial" w:cs="Arial" w:eastAsia="Arial" w:hAnsi="Arial"/>
          <w:sz w:val="19"/>
          <w:szCs w:val="19"/>
          <w:color w:val="auto"/>
        </w:rPr>
        <w:t>. The obligations of the Purchaser to purchase and pay for the Private 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are subject to the fulfillment, on or before each Closing Date, of each of the following conditions:</w:t>
      </w:r>
    </w:p>
    <w:p>
      <w:pPr>
        <w:spacing w:after="0" w:line="168" w:lineRule="exact"/>
        <w:rPr>
          <w:sz w:val="20"/>
          <w:szCs w:val="20"/>
          <w:color w:val="auto"/>
        </w:rPr>
      </w:pPr>
    </w:p>
    <w:p>
      <w:pPr>
        <w:ind w:firstLine="552"/>
        <w:spacing w:after="0" w:line="251" w:lineRule="auto"/>
        <w:tabs>
          <w:tab w:leader="none" w:pos="1205"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of the Company contained in Section 2 shall be true and correct at and as of such Closing Date as though then made.</w:t>
      </w:r>
    </w:p>
    <w:p>
      <w:pPr>
        <w:spacing w:after="0" w:line="171" w:lineRule="exact"/>
        <w:rPr>
          <w:rFonts w:ascii="Arial" w:cs="Arial" w:eastAsia="Arial" w:hAnsi="Arial"/>
          <w:sz w:val="19"/>
          <w:szCs w:val="19"/>
          <w:color w:val="auto"/>
        </w:rPr>
      </w:pPr>
    </w:p>
    <w:p>
      <w:pPr>
        <w:ind w:right="420" w:firstLine="552"/>
        <w:spacing w:after="0" w:line="251" w:lineRule="auto"/>
        <w:tabs>
          <w:tab w:leader="none" w:pos="1195"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Performance</w:t>
      </w:r>
      <w:r>
        <w:rPr>
          <w:rFonts w:ascii="Arial" w:cs="Arial" w:eastAsia="Arial" w:hAnsi="Arial"/>
          <w:sz w:val="19"/>
          <w:szCs w:val="19"/>
          <w:color w:val="auto"/>
        </w:rPr>
        <w:t>. The Company shall have performed and complied with all agreements, obligations and conditions contained in this Agreement that are required to be performed or complied with by it on or before such Closing Date.</w:t>
      </w:r>
    </w:p>
    <w:p>
      <w:pPr>
        <w:spacing w:after="0" w:line="171" w:lineRule="exact"/>
        <w:rPr>
          <w:rFonts w:ascii="Arial" w:cs="Arial" w:eastAsia="Arial" w:hAnsi="Arial"/>
          <w:sz w:val="19"/>
          <w:szCs w:val="19"/>
          <w:color w:val="auto"/>
        </w:rPr>
      </w:pPr>
    </w:p>
    <w:p>
      <w:pPr>
        <w:ind w:right="180" w:firstLine="552"/>
        <w:spacing w:after="0" w:line="283" w:lineRule="auto"/>
        <w:tabs>
          <w:tab w:leader="none" w:pos="1195"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No Injunction</w:t>
      </w:r>
      <w:r>
        <w:rPr>
          <w:rFonts w:ascii="Arial" w:cs="Arial" w:eastAsia="Arial" w:hAnsi="Arial"/>
          <w:sz w:val="17"/>
          <w:szCs w:val="17"/>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146" w:lineRule="exact"/>
        <w:rPr>
          <w:rFonts w:ascii="Arial" w:cs="Arial" w:eastAsia="Arial" w:hAnsi="Arial"/>
          <w:sz w:val="17"/>
          <w:szCs w:val="17"/>
          <w:color w:val="auto"/>
        </w:rPr>
      </w:pPr>
    </w:p>
    <w:p>
      <w:pPr>
        <w:ind w:right="540" w:firstLine="552"/>
        <w:spacing w:after="0" w:line="251" w:lineRule="auto"/>
        <w:tabs>
          <w:tab w:leader="none" w:pos="1205"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Registration and Shareholder Rights Agreement</w:t>
      </w:r>
      <w:r>
        <w:rPr>
          <w:rFonts w:ascii="Arial" w:cs="Arial" w:eastAsia="Arial" w:hAnsi="Arial"/>
          <w:sz w:val="19"/>
          <w:szCs w:val="19"/>
          <w:color w:val="auto"/>
        </w:rPr>
        <w:t>. The Company shall have entered into the Registration and Shareholder Rights Agreement, in the form of Exhibit A hereto, on terms satisfactory to the Purchaser.</w:t>
      </w:r>
    </w:p>
    <w:p>
      <w:pPr>
        <w:spacing w:after="0" w:line="167" w:lineRule="exact"/>
        <w:rPr>
          <w:sz w:val="20"/>
          <w:szCs w:val="20"/>
          <w:color w:val="auto"/>
        </w:rPr>
      </w:pPr>
    </w:p>
    <w:p>
      <w:pPr>
        <w:ind w:right="480" w:firstLine="559"/>
        <w:spacing w:after="0" w:line="255" w:lineRule="auto"/>
        <w:rPr>
          <w:sz w:val="20"/>
          <w:szCs w:val="20"/>
          <w:color w:val="auto"/>
        </w:rPr>
      </w:pPr>
      <w:r>
        <w:rPr>
          <w:rFonts w:ascii="Arial" w:cs="Arial" w:eastAsia="Arial" w:hAnsi="Arial"/>
          <w:sz w:val="19"/>
          <w:szCs w:val="19"/>
          <w:b w:val="1"/>
          <w:bCs w:val="1"/>
          <w:color w:val="auto"/>
        </w:rPr>
        <w:t>Section 5. Conditions of the Company’s Obligations</w:t>
      </w:r>
      <w:r>
        <w:rPr>
          <w:rFonts w:ascii="Arial" w:cs="Arial" w:eastAsia="Arial" w:hAnsi="Arial"/>
          <w:sz w:val="19"/>
          <w:szCs w:val="19"/>
          <w:color w:val="auto"/>
        </w:rPr>
        <w:t>. The obligations of the Company to the Purchaser under this Agreement are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fulfillment, on or before each Closing Date, of each of the following conditions:</w:t>
      </w:r>
    </w:p>
    <w:p>
      <w:pPr>
        <w:spacing w:after="0" w:line="168" w:lineRule="exact"/>
        <w:rPr>
          <w:sz w:val="20"/>
          <w:szCs w:val="20"/>
          <w:color w:val="auto"/>
        </w:rPr>
      </w:pPr>
    </w:p>
    <w:p>
      <w:pPr>
        <w:ind w:firstLine="552"/>
        <w:spacing w:after="0" w:line="251" w:lineRule="auto"/>
        <w:tabs>
          <w:tab w:leader="none" w:pos="1205"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of the Purchaser contained in Section 3 shall be true and correct at and as of such Closing Date as though then made.</w:t>
      </w:r>
    </w:p>
    <w:p>
      <w:pPr>
        <w:spacing w:after="0" w:line="171" w:lineRule="exact"/>
        <w:rPr>
          <w:rFonts w:ascii="Arial" w:cs="Arial" w:eastAsia="Arial" w:hAnsi="Arial"/>
          <w:sz w:val="19"/>
          <w:szCs w:val="19"/>
          <w:color w:val="auto"/>
        </w:rPr>
      </w:pPr>
    </w:p>
    <w:p>
      <w:pPr>
        <w:ind w:right="400" w:firstLine="552"/>
        <w:spacing w:after="0" w:line="278" w:lineRule="auto"/>
        <w:tabs>
          <w:tab w:leader="none" w:pos="1195"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148" w:lineRule="exact"/>
        <w:rPr>
          <w:rFonts w:ascii="Arial" w:cs="Arial" w:eastAsia="Arial" w:hAnsi="Arial"/>
          <w:sz w:val="18"/>
          <w:szCs w:val="18"/>
          <w:color w:val="auto"/>
        </w:rPr>
      </w:pPr>
    </w:p>
    <w:p>
      <w:pPr>
        <w:ind w:right="280" w:firstLine="552"/>
        <w:spacing w:after="0" w:line="251" w:lineRule="auto"/>
        <w:tabs>
          <w:tab w:leader="none" w:pos="1195"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Corporate Consents</w:t>
      </w:r>
      <w:r>
        <w:rPr>
          <w:rFonts w:ascii="Arial" w:cs="Arial" w:eastAsia="Arial" w:hAnsi="Arial"/>
          <w:sz w:val="19"/>
          <w:szCs w:val="19"/>
          <w:color w:val="auto"/>
        </w:rPr>
        <w:t>. The Company shall have obtained the consent of its board of directors authorizing the execution, delivery and performance of this Agreement and the issuance and sale of the Private Placement Shares hereunder.</w:t>
      </w:r>
    </w:p>
    <w:p>
      <w:pPr>
        <w:spacing w:after="0" w:line="171" w:lineRule="exact"/>
        <w:rPr>
          <w:rFonts w:ascii="Arial" w:cs="Arial" w:eastAsia="Arial" w:hAnsi="Arial"/>
          <w:sz w:val="19"/>
          <w:szCs w:val="19"/>
          <w:color w:val="auto"/>
        </w:rPr>
      </w:pPr>
    </w:p>
    <w:p>
      <w:pPr>
        <w:ind w:right="180" w:firstLine="552"/>
        <w:spacing w:after="0" w:line="283" w:lineRule="auto"/>
        <w:tabs>
          <w:tab w:leader="none" w:pos="1205"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No Injunction</w:t>
      </w:r>
      <w:r>
        <w:rPr>
          <w:rFonts w:ascii="Arial" w:cs="Arial" w:eastAsia="Arial" w:hAnsi="Arial"/>
          <w:sz w:val="17"/>
          <w:szCs w:val="17"/>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3" w:name="page394"/>
    <w:bookmarkEnd w:id="393"/>
    <w:p>
      <w:pPr>
        <w:ind w:left="500"/>
        <w:spacing w:after="0"/>
        <w:tabs>
          <w:tab w:leader="none" w:pos="1700"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6"/>
          <w:szCs w:val="16"/>
          <w:b w:val="1"/>
          <w:bCs w:val="1"/>
          <w:color w:val="auto"/>
        </w:rPr>
        <w:t>Miscellaneous</w:t>
      </w:r>
      <w:r>
        <w:rPr>
          <w:rFonts w:ascii="Arial" w:cs="Arial" w:eastAsia="Arial" w:hAnsi="Arial"/>
          <w:sz w:val="16"/>
          <w:szCs w:val="16"/>
          <w:color w:val="auto"/>
        </w:rPr>
        <w:t>.</w:t>
      </w:r>
    </w:p>
    <w:p>
      <w:pPr>
        <w:spacing w:after="0" w:line="205" w:lineRule="exact"/>
        <w:rPr>
          <w:sz w:val="20"/>
          <w:szCs w:val="20"/>
          <w:color w:val="auto"/>
        </w:rPr>
      </w:pPr>
    </w:p>
    <w:p>
      <w:pPr>
        <w:ind w:left="-60" w:firstLine="552"/>
        <w:spacing w:after="0" w:line="254" w:lineRule="auto"/>
        <w:tabs>
          <w:tab w:leader="none" w:pos="1145"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70" w:lineRule="exact"/>
        <w:rPr>
          <w:rFonts w:ascii="Arial" w:cs="Arial" w:eastAsia="Arial" w:hAnsi="Arial"/>
          <w:sz w:val="18"/>
          <w:szCs w:val="18"/>
          <w:color w:val="auto"/>
        </w:rPr>
      </w:pPr>
    </w:p>
    <w:p>
      <w:pPr>
        <w:ind w:left="-60" w:right="300" w:firstLine="552"/>
        <w:spacing w:after="0" w:line="260" w:lineRule="auto"/>
        <w:tabs>
          <w:tab w:leader="none" w:pos="1135"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64" w:lineRule="exact"/>
        <w:rPr>
          <w:rFonts w:ascii="Arial" w:cs="Arial" w:eastAsia="Arial" w:hAnsi="Arial"/>
          <w:sz w:val="18"/>
          <w:szCs w:val="18"/>
          <w:color w:val="auto"/>
        </w:rPr>
      </w:pPr>
    </w:p>
    <w:p>
      <w:pPr>
        <w:ind w:left="-60" w:right="100" w:firstLine="552"/>
        <w:spacing w:after="0"/>
        <w:tabs>
          <w:tab w:leader="none" w:pos="1135"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w:t>
      </w:r>
    </w:p>
    <w:p>
      <w:pPr>
        <w:spacing w:after="0" w:line="182" w:lineRule="exact"/>
        <w:rPr>
          <w:rFonts w:ascii="Arial" w:cs="Arial" w:eastAsia="Arial" w:hAnsi="Arial"/>
          <w:sz w:val="19"/>
          <w:szCs w:val="19"/>
          <w:color w:val="auto"/>
        </w:rPr>
      </w:pPr>
    </w:p>
    <w:p>
      <w:pPr>
        <w:ind w:left="-60" w:right="560" w:firstLine="552"/>
        <w:spacing w:after="0"/>
        <w:tabs>
          <w:tab w:leader="none" w:pos="1145"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Descriptive Headings; Interpretation</w:t>
      </w:r>
      <w:r>
        <w:rPr>
          <w:rFonts w:ascii="Arial" w:cs="Arial" w:eastAsia="Arial" w:hAnsi="Arial"/>
          <w:sz w:val="19"/>
          <w:szCs w:val="19"/>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82" w:lineRule="exact"/>
        <w:rPr>
          <w:rFonts w:ascii="Arial" w:cs="Arial" w:eastAsia="Arial" w:hAnsi="Arial"/>
          <w:sz w:val="19"/>
          <w:szCs w:val="19"/>
          <w:color w:val="auto"/>
        </w:rPr>
      </w:pPr>
    </w:p>
    <w:p>
      <w:pPr>
        <w:jc w:val="both"/>
        <w:ind w:left="-60" w:right="80" w:firstLine="552"/>
        <w:spacing w:after="0"/>
        <w:tabs>
          <w:tab w:leader="none" w:pos="1124"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182" w:lineRule="exact"/>
        <w:rPr>
          <w:rFonts w:ascii="Arial" w:cs="Arial" w:eastAsia="Arial" w:hAnsi="Arial"/>
          <w:sz w:val="19"/>
          <w:szCs w:val="19"/>
          <w:color w:val="auto"/>
        </w:rPr>
      </w:pPr>
    </w:p>
    <w:p>
      <w:pPr>
        <w:ind w:left="-60" w:right="20" w:firstLine="552"/>
        <w:spacing w:after="0" w:line="251" w:lineRule="auto"/>
        <w:tabs>
          <w:tab w:leader="none" w:pos="1099"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This Agreement may not be amended, modified or waived as to any particular provision, except by a written instrument executed by the parties 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33020</wp:posOffset>
            </wp:positionV>
            <wp:extent cx="7151370" cy="146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20"/>
          </w:cols>
          <w:pgMar w:left="380" w:top="115" w:right="399" w:bottom="1440" w:gutter="0" w:footer="0" w:header="0"/>
        </w:sectPr>
      </w:pPr>
    </w:p>
    <w:bookmarkStart w:id="394" w:name="page395"/>
    <w:bookmarkEnd w:id="394"/>
    <w:p>
      <w:pPr>
        <w:ind w:left="560"/>
        <w:spacing w:after="0"/>
        <w:rPr>
          <w:sz w:val="20"/>
          <w:szCs w:val="20"/>
          <w:color w:val="auto"/>
        </w:rPr>
      </w:pPr>
      <w:r>
        <w:rPr>
          <w:rFonts w:ascii="Arial" w:cs="Arial" w:eastAsia="Arial" w:hAnsi="Arial"/>
          <w:sz w:val="19"/>
          <w:szCs w:val="19"/>
          <w:color w:val="auto"/>
        </w:rPr>
        <w:t>IN WITNESS WHEREOF, the parties hereto have executed this Agreement.</w:t>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COMPANY:</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By: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80" w:type="dxa"/>
            <w:vAlign w:val="bottom"/>
          </w:tcPr>
          <w:p>
            <w:pPr>
              <w:spacing w:after="0"/>
              <w:rPr>
                <w:sz w:val="16"/>
                <w:szCs w:val="16"/>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45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Adam Stone</w:t>
            </w:r>
          </w:p>
        </w:tc>
      </w:tr>
      <w:tr>
        <w:trPr>
          <w:trHeight w:val="196"/>
        </w:trPr>
        <w:tc>
          <w:tcPr>
            <w:tcW w:w="608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450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r>
        <w:trPr>
          <w:trHeight w:val="372"/>
        </w:trPr>
        <w:tc>
          <w:tcPr>
            <w:tcW w:w="6760" w:type="dxa"/>
            <w:vAlign w:val="bottom"/>
            <w:gridSpan w:val="2"/>
          </w:tcPr>
          <w:p>
            <w:pPr>
              <w:ind w:left="5640"/>
              <w:spacing w:after="0"/>
              <w:rPr>
                <w:sz w:val="20"/>
                <w:szCs w:val="20"/>
                <w:color w:val="auto"/>
              </w:rPr>
            </w:pPr>
            <w:r>
              <w:rPr>
                <w:rFonts w:ascii="Arial" w:cs="Arial" w:eastAsia="Arial" w:hAnsi="Arial"/>
                <w:sz w:val="16"/>
                <w:szCs w:val="16"/>
                <w:b w:val="1"/>
                <w:bCs w:val="1"/>
                <w:color w:val="auto"/>
              </w:rPr>
              <w:t>PURCHASER:</w:t>
            </w:r>
          </w:p>
        </w:tc>
        <w:tc>
          <w:tcPr>
            <w:tcW w:w="4500" w:type="dxa"/>
            <w:vAlign w:val="bottom"/>
          </w:tcPr>
          <w:p>
            <w:pPr>
              <w:spacing w:after="0"/>
              <w:rPr>
                <w:sz w:val="24"/>
                <w:szCs w:val="24"/>
                <w:color w:val="auto"/>
              </w:rPr>
            </w:pPr>
          </w:p>
        </w:tc>
      </w:tr>
      <w:tr>
        <w:trPr>
          <w:trHeight w:val="372"/>
        </w:trPr>
        <w:tc>
          <w:tcPr>
            <w:tcW w:w="11260" w:type="dxa"/>
            <w:vAlign w:val="bottom"/>
            <w:gridSpan w:val="3"/>
          </w:tcPr>
          <w:p>
            <w:pPr>
              <w:ind w:left="5640"/>
              <w:spacing w:after="0"/>
              <w:rPr>
                <w:sz w:val="20"/>
                <w:szCs w:val="20"/>
                <w:color w:val="auto"/>
              </w:rPr>
            </w:pPr>
            <w:r>
              <w:rPr>
                <w:rFonts w:ascii="Arial" w:cs="Arial" w:eastAsia="Arial" w:hAnsi="Arial"/>
                <w:sz w:val="16"/>
                <w:szCs w:val="16"/>
                <w:b w:val="1"/>
                <w:bCs w:val="1"/>
                <w:color w:val="auto"/>
              </w:rPr>
              <w:t>ARYA SCIENCES HOLDINGS III</w:t>
            </w:r>
          </w:p>
        </w:tc>
      </w:tr>
      <w:tr>
        <w:trPr>
          <w:trHeight w:val="388"/>
        </w:trPr>
        <w:tc>
          <w:tcPr>
            <w:tcW w:w="6760" w:type="dxa"/>
            <w:vAlign w:val="bottom"/>
            <w:gridSpan w:val="2"/>
          </w:tcPr>
          <w:p>
            <w:pPr>
              <w:ind w:left="5640"/>
              <w:spacing w:after="0"/>
              <w:rPr>
                <w:sz w:val="20"/>
                <w:szCs w:val="20"/>
                <w:color w:val="auto"/>
              </w:rPr>
            </w:pPr>
            <w:r>
              <w:rPr>
                <w:rFonts w:ascii="Arial" w:cs="Arial" w:eastAsia="Arial" w:hAnsi="Arial"/>
                <w:sz w:val="16"/>
                <w:szCs w:val="16"/>
                <w:color w:val="auto"/>
              </w:rPr>
              <w:t>By:</w:t>
            </w:r>
          </w:p>
        </w:tc>
        <w:tc>
          <w:tcPr>
            <w:tcW w:w="4500" w:type="dxa"/>
            <w:vAlign w:val="bottom"/>
          </w:tcPr>
          <w:p>
            <w:pPr>
              <w:spacing w:after="0"/>
              <w:rPr>
                <w:sz w:val="24"/>
                <w:szCs w:val="24"/>
                <w:color w:val="auto"/>
              </w:rPr>
            </w:pPr>
          </w:p>
        </w:tc>
      </w:tr>
      <w:tr>
        <w:trPr>
          <w:trHeight w:val="176"/>
        </w:trPr>
        <w:tc>
          <w:tcPr>
            <w:tcW w:w="6080" w:type="dxa"/>
            <w:vAlign w:val="bottom"/>
          </w:tcPr>
          <w:p>
            <w:pPr>
              <w:spacing w:after="0"/>
              <w:rPr>
                <w:sz w:val="15"/>
                <w:szCs w:val="15"/>
                <w:color w:val="auto"/>
              </w:rPr>
            </w:pPr>
          </w:p>
        </w:tc>
        <w:tc>
          <w:tcPr>
            <w:tcW w:w="68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Name:</w:t>
            </w:r>
          </w:p>
        </w:tc>
        <w:tc>
          <w:tcPr>
            <w:tcW w:w="4500" w:type="dxa"/>
            <w:vAlign w:val="bottom"/>
            <w:tcBorders>
              <w:top w:val="single" w:sz="8" w:color="auto"/>
            </w:tcBorders>
          </w:tcPr>
          <w:p>
            <w:pPr>
              <w:ind w:left="100"/>
              <w:spacing w:after="0" w:line="176" w:lineRule="exact"/>
              <w:rPr>
                <w:sz w:val="20"/>
                <w:szCs w:val="20"/>
                <w:color w:val="auto"/>
              </w:rPr>
            </w:pPr>
            <w:r>
              <w:rPr>
                <w:rFonts w:ascii="Arial" w:cs="Arial" w:eastAsia="Arial" w:hAnsi="Arial"/>
                <w:sz w:val="16"/>
                <w:szCs w:val="16"/>
                <w:color w:val="auto"/>
              </w:rPr>
              <w:t>Samuel M. Cohn</w:t>
            </w:r>
          </w:p>
        </w:tc>
      </w:tr>
      <w:tr>
        <w:trPr>
          <w:trHeight w:val="196"/>
        </w:trPr>
        <w:tc>
          <w:tcPr>
            <w:tcW w:w="608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4500" w:type="dxa"/>
            <w:vAlign w:val="bottom"/>
          </w:tcPr>
          <w:p>
            <w:pPr>
              <w:ind w:left="100"/>
              <w:spacing w:after="0"/>
              <w:rPr>
                <w:sz w:val="20"/>
                <w:szCs w:val="20"/>
                <w:color w:val="auto"/>
              </w:rPr>
            </w:pPr>
            <w:r>
              <w:rPr>
                <w:rFonts w:ascii="Arial" w:cs="Arial" w:eastAsia="Arial" w:hAnsi="Arial"/>
                <w:sz w:val="16"/>
                <w:szCs w:val="16"/>
                <w:color w:val="auto"/>
              </w:rPr>
              <w:t>Secretary</w:t>
            </w:r>
          </w:p>
        </w:tc>
      </w:tr>
      <w:tr>
        <w:trPr>
          <w:trHeight w:val="155"/>
        </w:trPr>
        <w:tc>
          <w:tcPr>
            <w:tcW w:w="6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20" w:right="319"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9"/>
          <w:szCs w:val="19"/>
          <w:b w:val="1"/>
          <w:bCs w:val="1"/>
          <w:color w:val="auto"/>
        </w:rPr>
        <w:t>EXHIBIT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and Shareholder Rights Agreement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62865</wp:posOffset>
            </wp:positionV>
            <wp:extent cx="7151370" cy="146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396" w:name="page397"/>
    <w:bookmarkEnd w:id="39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INDEMNITY AGREEMENT</w:t>
            </w:r>
          </w:p>
        </w:tc>
        <w:tc>
          <w:tcPr>
            <w:tcW w:w="3880" w:type="dxa"/>
            <w:vAlign w:val="bottom"/>
          </w:tcPr>
          <w:p>
            <w:pPr>
              <w:spacing w:after="0"/>
              <w:rPr>
                <w:sz w:val="18"/>
                <w:szCs w:val="18"/>
                <w:color w:val="auto"/>
              </w:rPr>
            </w:pPr>
          </w:p>
        </w:tc>
      </w:tr>
      <w:tr>
        <w:trPr>
          <w:trHeight w:val="400"/>
        </w:trPr>
        <w:tc>
          <w:tcPr>
            <w:tcW w:w="10700" w:type="dxa"/>
            <w:vAlign w:val="bottom"/>
            <w:gridSpan w:val="4"/>
          </w:tcPr>
          <w:p>
            <w:pPr>
              <w:jc w:val="center"/>
              <w:ind w:left="482"/>
              <w:spacing w:after="0"/>
              <w:rPr>
                <w:sz w:val="20"/>
                <w:szCs w:val="20"/>
                <w:color w:val="auto"/>
              </w:rPr>
            </w:pPr>
            <w:r>
              <w:rPr>
                <w:rFonts w:ascii="Arial" w:cs="Arial" w:eastAsia="Arial" w:hAnsi="Arial"/>
                <w:sz w:val="16"/>
                <w:szCs w:val="16"/>
                <w:b w:val="1"/>
                <w:bCs w:val="1"/>
                <w:color w:val="auto"/>
                <w:w w:val="91"/>
              </w:rPr>
              <w:t xml:space="preserve">THIS INDEMNITY AGREEMENT </w:t>
            </w:r>
            <w:r>
              <w:rPr>
                <w:rFonts w:ascii="Arial" w:cs="Arial" w:eastAsia="Arial" w:hAnsi="Arial"/>
                <w:sz w:val="16"/>
                <w:szCs w:val="16"/>
                <w:color w:val="auto"/>
                <w:w w:val="91"/>
              </w:rPr>
              <w:t>(this “</w:t>
            </w:r>
            <w:r>
              <w:rPr>
                <w:rFonts w:ascii="Arial" w:cs="Arial" w:eastAsia="Arial" w:hAnsi="Arial"/>
                <w:sz w:val="16"/>
                <w:szCs w:val="16"/>
                <w:b w:val="1"/>
                <w:bCs w:val="1"/>
                <w:i w:val="1"/>
                <w:iCs w:val="1"/>
                <w:color w:val="auto"/>
                <w:w w:val="91"/>
              </w:rPr>
              <w:t>Agreement</w:t>
            </w:r>
            <w:r>
              <w:rPr>
                <w:rFonts w:ascii="Arial" w:cs="Arial" w:eastAsia="Arial" w:hAnsi="Arial"/>
                <w:sz w:val="16"/>
                <w:szCs w:val="16"/>
                <w:color w:val="auto"/>
                <w:w w:val="91"/>
              </w:rPr>
              <w:t>”) is made as of August [●], 2020, by and between ARYA Sciences Acquisition Corp III, a Cayman Islands</w:t>
            </w: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w w:val="97"/>
              </w:rPr>
              <w:t>exempted company (the “</w:t>
            </w:r>
            <w:r>
              <w:rPr>
                <w:rFonts w:ascii="Arial" w:cs="Arial" w:eastAsia="Arial" w:hAnsi="Arial"/>
                <w:sz w:val="16"/>
                <w:szCs w:val="16"/>
                <w:b w:val="1"/>
                <w:bCs w:val="1"/>
                <w:i w:val="1"/>
                <w:iCs w:val="1"/>
                <w:color w:val="auto"/>
                <w:w w:val="97"/>
              </w:rPr>
              <w:t>Company</w:t>
            </w:r>
            <w:r>
              <w:rPr>
                <w:rFonts w:ascii="Arial" w:cs="Arial" w:eastAsia="Arial" w:hAnsi="Arial"/>
                <w:sz w:val="16"/>
                <w:szCs w:val="16"/>
                <w:color w:val="auto"/>
                <w:w w:val="97"/>
              </w:rPr>
              <w:t>”), and</w:t>
            </w:r>
          </w:p>
        </w:tc>
        <w:tc>
          <w:tcPr>
            <w:tcW w:w="7760" w:type="dxa"/>
            <w:vAlign w:val="bottom"/>
            <w:gridSpan w:val="3"/>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p>
        </w:tc>
      </w:tr>
    </w:tbl>
    <w:p>
      <w:pPr>
        <w:spacing w:after="0" w:line="170" w:lineRule="exact"/>
        <w:rPr>
          <w:sz w:val="20"/>
          <w:szCs w:val="20"/>
          <w:color w:val="auto"/>
        </w:rPr>
      </w:pPr>
    </w:p>
    <w:p>
      <w:pPr>
        <w:ind w:right="60" w:firstLine="559"/>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highly competent persons have become more reluctant to serve publicly-held corporations as directors, officers or in other capacities unless they are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with adequate protection through insurance or adequate indemnification against inordinate risks of claims and actions against them arising out of their service to and activities on behalf of such corporations;</w:t>
      </w:r>
    </w:p>
    <w:p>
      <w:pPr>
        <w:spacing w:after="0" w:line="160" w:lineRule="exact"/>
        <w:rPr>
          <w:sz w:val="20"/>
          <w:szCs w:val="20"/>
          <w:color w:val="auto"/>
        </w:rPr>
      </w:pPr>
    </w:p>
    <w:p>
      <w:pPr>
        <w:ind w:right="220" w:firstLine="559"/>
        <w:spacing w:after="0" w:line="28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Board of Directors of the Company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has determined that, in order to attract and retain qualified individuals, the Company will attempt to</w:t>
      </w:r>
      <w:r>
        <w:rPr>
          <w:rFonts w:ascii="Arial" w:cs="Arial" w:eastAsia="Arial" w:hAnsi="Arial"/>
          <w:sz w:val="14"/>
          <w:szCs w:val="14"/>
          <w:b w:val="1"/>
          <w:bCs w:val="1"/>
          <w:color w:val="auto"/>
        </w:rPr>
        <w:t xml:space="preserve"> </w:t>
      </w:r>
      <w:r>
        <w:rPr>
          <w:rFonts w:ascii="Arial" w:cs="Arial" w:eastAsia="Arial" w:hAnsi="Arial"/>
          <w:sz w:val="14"/>
          <w:szCs w:val="14"/>
          <w:color w:val="auto"/>
        </w:rPr>
        <w:t>maintain on an ongoing basis, at its sole expense, liability insurance to protect persons serving the Company and its subsidiaries from certain liabilities. The amended and restated memorandum and articles of association of the Company (the “</w:t>
      </w:r>
      <w:r>
        <w:rPr>
          <w:rFonts w:ascii="Arial" w:cs="Arial" w:eastAsia="Arial" w:hAnsi="Arial"/>
          <w:sz w:val="14"/>
          <w:szCs w:val="14"/>
          <w:b w:val="1"/>
          <w:bCs w:val="1"/>
          <w:i w:val="1"/>
          <w:iCs w:val="1"/>
          <w:color w:val="auto"/>
        </w:rPr>
        <w:t>Articles</w:t>
      </w:r>
      <w:r>
        <w:rPr>
          <w:rFonts w:ascii="Arial" w:cs="Arial" w:eastAsia="Arial" w:hAnsi="Arial"/>
          <w:sz w:val="14"/>
          <w:szCs w:val="14"/>
          <w:color w:val="auto"/>
        </w:rPr>
        <w:t>”) provide for the indemnification of the officers and directors of the Company. Indemnitee may also be entitled to indemnification pursuant to applicable Cayman Islands law. The Articles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uncertainties relating to such insurance and to indemnification have increased the difficulty of attracting and retaining such persons;</w:t>
      </w:r>
    </w:p>
    <w:p>
      <w:pPr>
        <w:spacing w:after="0" w:line="188" w:lineRule="exact"/>
        <w:rPr>
          <w:sz w:val="20"/>
          <w:szCs w:val="20"/>
          <w:color w:val="auto"/>
        </w:rPr>
      </w:pPr>
    </w:p>
    <w:p>
      <w:pPr>
        <w:ind w:right="780" w:firstLine="559"/>
        <w:spacing w:after="0" w:line="338"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Board has determined that the increased difficulty in attracting and retaining such persons is detrimental to the best interests of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 and that the Company should act to assure such persons that there will be increased certainty of such protection in the future;</w:t>
      </w:r>
    </w:p>
    <w:p>
      <w:pPr>
        <w:spacing w:after="0" w:line="105" w:lineRule="exact"/>
        <w:rPr>
          <w:sz w:val="20"/>
          <w:szCs w:val="20"/>
          <w:color w:val="auto"/>
        </w:rPr>
      </w:pPr>
    </w:p>
    <w:p>
      <w:pPr>
        <w:jc w:val="both"/>
        <w:ind w:right="260" w:firstLine="559"/>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it is reasonable, prudent and necessary for the Company contractually to obligate itself to indemnify, hold harmless, exonerate and to advance expenses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such persons to the fullest extent permitted by applicable law so that they will serve or continue to serve the Company free from undue concern that they will not be so protected against liabilities;</w:t>
      </w:r>
    </w:p>
    <w:p>
      <w:pPr>
        <w:spacing w:after="0" w:line="160" w:lineRule="exact"/>
        <w:rPr>
          <w:sz w:val="20"/>
          <w:szCs w:val="20"/>
          <w:color w:val="auto"/>
        </w:rPr>
      </w:pPr>
    </w:p>
    <w:p>
      <w:pPr>
        <w:ind w:right="500" w:firstLine="559"/>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a supplement to and in furtherance of the Articles and any resolutions adopted pursuant thereto, and shall not be deemed a substitute</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nor to diminish or abrogate any rights of Indemnitee thereunder; and</w:t>
      </w:r>
    </w:p>
    <w:p>
      <w:pPr>
        <w:spacing w:after="0" w:line="151" w:lineRule="exact"/>
        <w:rPr>
          <w:sz w:val="20"/>
          <w:szCs w:val="20"/>
          <w:color w:val="auto"/>
        </w:rPr>
      </w:pPr>
    </w:p>
    <w:p>
      <w:pPr>
        <w:ind w:right="200" w:firstLine="559"/>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Indemnitee may not be willing to serve as an officer or director, advisor or in another capacity without adequate protection, and the Company desires</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to serve in such capacity. Indemnitee is willing to serve, continue to serve and to take on additional service for or on behalf of the Company on the condition that he or she be so indemnified.</w:t>
      </w:r>
    </w:p>
    <w:p>
      <w:pPr>
        <w:spacing w:after="0" w:line="160" w:lineRule="exact"/>
        <w:rPr>
          <w:sz w:val="20"/>
          <w:szCs w:val="20"/>
          <w:color w:val="auto"/>
        </w:rPr>
      </w:pPr>
    </w:p>
    <w:p>
      <w:pPr>
        <w:ind w:right="280" w:firstLine="559"/>
        <w:spacing w:after="0" w:line="308"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the covenants contained herein and subject to the provisions of the letter agreement dated as of August [●],</w:t>
      </w:r>
      <w:r>
        <w:rPr>
          <w:rFonts w:ascii="Arial" w:cs="Arial" w:eastAsia="Arial" w:hAnsi="Arial"/>
          <w:sz w:val="14"/>
          <w:szCs w:val="14"/>
          <w:b w:val="1"/>
          <w:bCs w:val="1"/>
          <w:color w:val="auto"/>
        </w:rPr>
        <w:t xml:space="preserve"> </w:t>
      </w:r>
      <w:r>
        <w:rPr>
          <w:rFonts w:ascii="Arial" w:cs="Arial" w:eastAsia="Arial" w:hAnsi="Arial"/>
          <w:sz w:val="14"/>
          <w:szCs w:val="14"/>
          <w:color w:val="auto"/>
        </w:rPr>
        <w:t>2020 among the Company, Indemnitee and the other parties thereto pursuant to the Underwriting Agreement between the Company and the representatives of the underwriters named therein in connection with the Company’s initial public offering, the Company and Indemnitee do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7151370" cy="146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397" w:name="page398"/>
    <w:bookmarkEnd w:id="397"/>
    <w:p>
      <w:pPr>
        <w:ind w:left="567" w:hanging="567"/>
        <w:spacing w:after="0"/>
        <w:tabs>
          <w:tab w:leader="none" w:pos="567" w:val="left"/>
        </w:tabs>
        <w:numPr>
          <w:ilvl w:val="0"/>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SERVICES TO THE COMPANY</w:t>
      </w:r>
    </w:p>
    <w:p>
      <w:pPr>
        <w:spacing w:after="0" w:line="209" w:lineRule="exact"/>
        <w:rPr>
          <w:sz w:val="20"/>
          <w:szCs w:val="20"/>
          <w:color w:val="auto"/>
        </w:rPr>
      </w:pPr>
    </w:p>
    <w:p>
      <w:pPr>
        <w:ind w:left="7" w:right="80" w:firstLine="559"/>
        <w:spacing w:after="0" w:line="267" w:lineRule="auto"/>
        <w:rPr>
          <w:sz w:val="20"/>
          <w:szCs w:val="20"/>
          <w:color w:val="auto"/>
        </w:rPr>
      </w:pPr>
      <w:r>
        <w:rPr>
          <w:rFonts w:ascii="Arial" w:cs="Arial" w:eastAsia="Arial" w:hAnsi="Arial"/>
          <w:sz w:val="17"/>
          <w:szCs w:val="17"/>
          <w:color w:val="auto"/>
        </w:rPr>
        <w:t>In consideration of the Company’s covenants and obligations hereunder, Indemnitee will serve or continue to serve as an officer, director, advisor, key employee or in any other capacity of the Company, as applicable, for so long as Indemnitee is duly elected,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4" w:lineRule="exact"/>
        <w:rPr>
          <w:sz w:val="20"/>
          <w:szCs w:val="20"/>
          <w:color w:val="auto"/>
        </w:rPr>
      </w:pPr>
    </w:p>
    <w:p>
      <w:pPr>
        <w:ind w:left="567" w:hanging="567"/>
        <w:spacing w:after="0"/>
        <w:tabs>
          <w:tab w:leader="none" w:pos="567" w:val="left"/>
        </w:tabs>
        <w:numPr>
          <w:ilvl w:val="0"/>
          <w:numId w:val="415"/>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As used in this Agreement:</w:t>
      </w:r>
    </w:p>
    <w:p>
      <w:pPr>
        <w:spacing w:after="0" w:line="209" w:lineRule="exact"/>
        <w:rPr>
          <w:sz w:val="20"/>
          <w:szCs w:val="20"/>
          <w:color w:val="auto"/>
        </w:rPr>
      </w:pPr>
    </w:p>
    <w:p>
      <w:pPr>
        <w:ind w:left="1127" w:right="280" w:hanging="568"/>
        <w:spacing w:after="0" w:line="294" w:lineRule="auto"/>
        <w:tabs>
          <w:tab w:leader="none" w:pos="1127" w:val="left"/>
        </w:tabs>
        <w:numPr>
          <w:ilvl w:val="0"/>
          <w:numId w:val="416"/>
        </w:numPr>
        <w:rPr>
          <w:rFonts w:ascii="Arial" w:cs="Arial" w:eastAsia="Arial" w:hAnsi="Arial"/>
          <w:sz w:val="14"/>
          <w:szCs w:val="14"/>
          <w:color w:val="auto"/>
        </w:rPr>
      </w:pPr>
      <w:r>
        <w:rPr>
          <w:rFonts w:ascii="Arial" w:cs="Arial" w:eastAsia="Arial" w:hAnsi="Arial"/>
          <w:sz w:val="14"/>
          <w:szCs w:val="14"/>
          <w:color w:val="auto"/>
        </w:rPr>
        <w:t>References to “</w:t>
      </w:r>
      <w:r>
        <w:rPr>
          <w:rFonts w:ascii="Arial" w:cs="Arial" w:eastAsia="Arial" w:hAnsi="Arial"/>
          <w:sz w:val="14"/>
          <w:szCs w:val="14"/>
          <w:b w:val="1"/>
          <w:bCs w:val="1"/>
          <w:i w:val="1"/>
          <w:iCs w:val="1"/>
          <w:color w:val="auto"/>
        </w:rPr>
        <w:t>agent</w:t>
      </w:r>
      <w:r>
        <w:rPr>
          <w:rFonts w:ascii="Arial" w:cs="Arial" w:eastAsia="Arial" w:hAnsi="Arial"/>
          <w:sz w:val="14"/>
          <w:szCs w:val="14"/>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65" w:lineRule="exact"/>
        <w:rPr>
          <w:rFonts w:ascii="Arial" w:cs="Arial" w:eastAsia="Arial" w:hAnsi="Arial"/>
          <w:sz w:val="14"/>
          <w:szCs w:val="14"/>
          <w:color w:val="auto"/>
        </w:rPr>
      </w:pPr>
    </w:p>
    <w:p>
      <w:pPr>
        <w:ind w:left="1127" w:right="120" w:hanging="568"/>
        <w:spacing w:after="0" w:line="258" w:lineRule="auto"/>
        <w:tabs>
          <w:tab w:leader="none" w:pos="112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and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shall have the meanings set forth in Rule 13d-3 promulgated under the Exchange Act as in effect on the date hereof.</w:t>
      </w:r>
    </w:p>
    <w:p>
      <w:pPr>
        <w:spacing w:after="0" w:line="186" w:lineRule="exact"/>
        <w:rPr>
          <w:rFonts w:ascii="Arial" w:cs="Arial" w:eastAsia="Arial" w:hAnsi="Arial"/>
          <w:sz w:val="16"/>
          <w:szCs w:val="16"/>
          <w:color w:val="auto"/>
        </w:rPr>
      </w:pPr>
    </w:p>
    <w:p>
      <w:pPr>
        <w:ind w:left="1127" w:hanging="568"/>
        <w:spacing w:after="0"/>
        <w:tabs>
          <w:tab w:leader="none" w:pos="112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 events:</w:t>
      </w:r>
    </w:p>
    <w:p>
      <w:pPr>
        <w:spacing w:after="0" w:line="211" w:lineRule="exact"/>
        <w:rPr>
          <w:rFonts w:ascii="Arial" w:cs="Arial" w:eastAsia="Arial" w:hAnsi="Arial"/>
          <w:sz w:val="16"/>
          <w:szCs w:val="16"/>
          <w:color w:val="auto"/>
        </w:rPr>
      </w:pPr>
    </w:p>
    <w:p>
      <w:pPr>
        <w:ind w:left="1667" w:right="100" w:hanging="550"/>
        <w:spacing w:after="0" w:line="287" w:lineRule="auto"/>
        <w:tabs>
          <w:tab w:leader="none" w:pos="1667" w:val="left"/>
        </w:tabs>
        <w:numPr>
          <w:ilvl w:val="1"/>
          <w:numId w:val="416"/>
        </w:numPr>
        <w:rPr>
          <w:rFonts w:ascii="Arial" w:cs="Arial" w:eastAsia="Arial" w:hAnsi="Arial"/>
          <w:sz w:val="14"/>
          <w:szCs w:val="14"/>
          <w:color w:val="auto"/>
        </w:rPr>
      </w:pPr>
      <w:r>
        <w:rPr>
          <w:rFonts w:ascii="Arial" w:cs="Arial" w:eastAsia="Arial" w:hAnsi="Arial"/>
          <w:sz w:val="14"/>
          <w:szCs w:val="14"/>
          <w:u w:val="single" w:color="auto"/>
          <w:color w:val="auto"/>
        </w:rPr>
        <w:t>Acquisition of Shares by Third Party</w:t>
      </w:r>
      <w:r>
        <w:rPr>
          <w:rFonts w:ascii="Arial" w:cs="Arial" w:eastAsia="Arial" w:hAnsi="Arial"/>
          <w:sz w:val="14"/>
          <w:szCs w:val="14"/>
          <w:color w:val="auto"/>
        </w:rPr>
        <w:t>. Other than an affiliate of ARYA Sciences Holdings III (the “</w:t>
      </w:r>
      <w:r>
        <w:rPr>
          <w:rFonts w:ascii="Arial" w:cs="Arial" w:eastAsia="Arial" w:hAnsi="Arial"/>
          <w:sz w:val="14"/>
          <w:szCs w:val="14"/>
          <w:b w:val="1"/>
          <w:bCs w:val="1"/>
          <w:i w:val="1"/>
          <w:iCs w:val="1"/>
          <w:color w:val="auto"/>
        </w:rPr>
        <w:t>Sponsor</w:t>
      </w:r>
      <w:r>
        <w:rPr>
          <w:rFonts w:ascii="Arial" w:cs="Arial" w:eastAsia="Arial" w:hAnsi="Arial"/>
          <w:sz w:val="14"/>
          <w:szCs w:val="14"/>
          <w:color w:val="auto"/>
        </w:rPr>
        <w:t>”), any Person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171" w:lineRule="exact"/>
        <w:rPr>
          <w:rFonts w:ascii="Arial" w:cs="Arial" w:eastAsia="Arial" w:hAnsi="Arial"/>
          <w:sz w:val="14"/>
          <w:szCs w:val="14"/>
          <w:color w:val="auto"/>
        </w:rPr>
      </w:pPr>
    </w:p>
    <w:p>
      <w:pPr>
        <w:ind w:left="1667" w:hanging="550"/>
        <w:spacing w:after="0" w:line="248" w:lineRule="auto"/>
        <w:tabs>
          <w:tab w:leader="none" w:pos="1667"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Change in Board of Directors</w:t>
      </w:r>
      <w:r>
        <w:rPr>
          <w:rFonts w:ascii="Arial" w:cs="Arial" w:eastAsia="Arial" w:hAnsi="Arial"/>
          <w:sz w:val="16"/>
          <w:szCs w:val="16"/>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Arial" w:cs="Arial" w:eastAsia="Arial" w:hAnsi="Arial"/>
          <w:sz w:val="16"/>
          <w:szCs w:val="16"/>
          <w:b w:val="1"/>
          <w:bCs w:val="1"/>
          <w:i w:val="1"/>
          <w:iCs w:val="1"/>
          <w:color w:val="auto"/>
        </w:rPr>
        <w:t>Continuing Directors</w:t>
      </w:r>
      <w:r>
        <w:rPr>
          <w:rFonts w:ascii="Arial" w:cs="Arial" w:eastAsia="Arial" w:hAnsi="Arial"/>
          <w:sz w:val="16"/>
          <w:szCs w:val="16"/>
          <w:color w:val="auto"/>
        </w:rPr>
        <w:t>”), cease for any reason to constitute at least a majority of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51370" cy="146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3" w:right="359" w:bottom="1440" w:gutter="0" w:footer="0" w:header="0"/>
        </w:sectPr>
      </w:pPr>
    </w:p>
    <w:bookmarkStart w:id="398" w:name="page399"/>
    <w:bookmarkEnd w:id="398"/>
    <w:p>
      <w:pPr>
        <w:ind w:left="1108" w:hanging="550"/>
        <w:spacing w:after="0" w:line="282" w:lineRule="auto"/>
        <w:tabs>
          <w:tab w:leader="none" w:pos="1108" w:val="left"/>
        </w:tabs>
        <w:numPr>
          <w:ilvl w:val="1"/>
          <w:numId w:val="417"/>
        </w:numPr>
        <w:rPr>
          <w:rFonts w:ascii="Arial" w:cs="Arial" w:eastAsia="Arial" w:hAnsi="Arial"/>
          <w:sz w:val="14"/>
          <w:szCs w:val="14"/>
          <w:color w:val="auto"/>
        </w:rPr>
      </w:pPr>
      <w:r>
        <w:rPr>
          <w:rFonts w:ascii="Arial" w:cs="Arial" w:eastAsia="Arial" w:hAnsi="Arial"/>
          <w:sz w:val="14"/>
          <w:szCs w:val="14"/>
          <w:u w:val="single" w:color="auto"/>
          <w:color w:val="auto"/>
        </w:rPr>
        <w:t>Corporate Transactions</w:t>
      </w:r>
      <w:r>
        <w:rPr>
          <w:rFonts w:ascii="Arial" w:cs="Arial" w:eastAsia="Arial" w:hAnsi="Arial"/>
          <w:sz w:val="14"/>
          <w:szCs w:val="14"/>
          <w:color w:val="auto"/>
        </w:rPr>
        <w:t>. The effective date of a merger, share exchange, asset acquisition, share purchase, reorganization or similar business combination, involving the Company and one or more businesses (a “</w:t>
      </w:r>
      <w:r>
        <w:rPr>
          <w:rFonts w:ascii="Arial" w:cs="Arial" w:eastAsia="Arial" w:hAnsi="Arial"/>
          <w:sz w:val="14"/>
          <w:szCs w:val="14"/>
          <w:b w:val="1"/>
          <w:bCs w:val="1"/>
          <w:i w:val="1"/>
          <w:iCs w:val="1"/>
          <w:color w:val="auto"/>
        </w:rPr>
        <w:t>Business Combination</w:t>
      </w:r>
      <w:r>
        <w:rPr>
          <w:rFonts w:ascii="Arial" w:cs="Arial" w:eastAsia="Arial" w:hAnsi="Arial"/>
          <w:sz w:val="14"/>
          <w:szCs w:val="14"/>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providing for such Business Combination;</w:t>
      </w:r>
    </w:p>
    <w:p>
      <w:pPr>
        <w:spacing w:after="0" w:line="173" w:lineRule="exact"/>
        <w:rPr>
          <w:rFonts w:ascii="Arial" w:cs="Arial" w:eastAsia="Arial" w:hAnsi="Arial"/>
          <w:sz w:val="14"/>
          <w:szCs w:val="14"/>
          <w:color w:val="auto"/>
        </w:rPr>
      </w:pPr>
    </w:p>
    <w:p>
      <w:pPr>
        <w:jc w:val="both"/>
        <w:ind w:left="1108" w:right="60" w:hanging="550"/>
        <w:spacing w:after="0" w:line="248" w:lineRule="auto"/>
        <w:tabs>
          <w:tab w:leader="none" w:pos="1108"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93" w:lineRule="exact"/>
        <w:rPr>
          <w:rFonts w:ascii="Arial" w:cs="Arial" w:eastAsia="Arial" w:hAnsi="Arial"/>
          <w:sz w:val="16"/>
          <w:szCs w:val="16"/>
          <w:color w:val="auto"/>
        </w:rPr>
      </w:pPr>
    </w:p>
    <w:p>
      <w:pPr>
        <w:ind w:left="1108" w:right="40" w:hanging="550"/>
        <w:spacing w:after="0" w:line="250" w:lineRule="auto"/>
        <w:tabs>
          <w:tab w:leader="none" w:pos="1108"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92" w:lineRule="exact"/>
        <w:rPr>
          <w:rFonts w:ascii="Arial" w:cs="Arial" w:eastAsia="Arial" w:hAnsi="Arial"/>
          <w:sz w:val="16"/>
          <w:szCs w:val="16"/>
          <w:color w:val="auto"/>
        </w:rPr>
      </w:pPr>
    </w:p>
    <w:p>
      <w:pPr>
        <w:ind w:left="568" w:right="120" w:hanging="568"/>
        <w:spacing w:after="0" w:line="258" w:lineRule="auto"/>
        <w:tabs>
          <w:tab w:leader="none" w:pos="568" w:val="left"/>
        </w:tabs>
        <w:numPr>
          <w:ilvl w:val="0"/>
          <w:numId w:val="4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88265</wp:posOffset>
            </wp:positionV>
            <wp:extent cx="7151370" cy="146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668"/>
          </w:cols>
          <w:pgMar w:left="872" w:top="128" w:right="359" w:bottom="1440" w:gutter="0" w:footer="0" w:header="0"/>
        </w:sectPr>
      </w:pPr>
    </w:p>
    <w:bookmarkStart w:id="399" w:name="page400"/>
    <w:bookmarkEnd w:id="399"/>
    <w:p>
      <w:pPr>
        <w:ind w:left="568" w:hanging="568"/>
        <w:spacing w:after="0"/>
        <w:tabs>
          <w:tab w:leader="none" w:pos="5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Delaware Court</w:t>
      </w:r>
      <w:r>
        <w:rPr>
          <w:rFonts w:ascii="Arial" w:cs="Arial" w:eastAsia="Arial" w:hAnsi="Arial"/>
          <w:sz w:val="16"/>
          <w:szCs w:val="16"/>
          <w:color w:val="auto"/>
        </w:rPr>
        <w:t>” shall mean the Court of Chancery of the State of Delaware.</w:t>
      </w:r>
    </w:p>
    <w:p>
      <w:pPr>
        <w:spacing w:after="0" w:line="211" w:lineRule="exact"/>
        <w:rPr>
          <w:rFonts w:ascii="Arial" w:cs="Arial" w:eastAsia="Arial" w:hAnsi="Arial"/>
          <w:sz w:val="16"/>
          <w:szCs w:val="16"/>
          <w:color w:val="auto"/>
        </w:rPr>
      </w:pPr>
    </w:p>
    <w:p>
      <w:pPr>
        <w:ind w:left="568" w:right="140" w:hanging="568"/>
        <w:spacing w:after="0" w:line="258" w:lineRule="auto"/>
        <w:tabs>
          <w:tab w:leader="none" w:pos="5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Disinterested Director</w:t>
      </w:r>
      <w:r>
        <w:rPr>
          <w:rFonts w:ascii="Arial" w:cs="Arial" w:eastAsia="Arial" w:hAnsi="Arial"/>
          <w:sz w:val="16"/>
          <w:szCs w:val="16"/>
          <w:color w:val="auto"/>
        </w:rPr>
        <w:t>” shall mean a director of the Company who is not and was not a party to the Proceeding in respect of which indemnification is sought by Indemnitee.</w:t>
      </w:r>
    </w:p>
    <w:p>
      <w:pPr>
        <w:spacing w:after="0" w:line="186" w:lineRule="exact"/>
        <w:rPr>
          <w:rFonts w:ascii="Arial" w:cs="Arial" w:eastAsia="Arial" w:hAnsi="Arial"/>
          <w:sz w:val="16"/>
          <w:szCs w:val="16"/>
          <w:color w:val="auto"/>
        </w:rPr>
      </w:pPr>
    </w:p>
    <w:p>
      <w:pPr>
        <w:ind w:left="568" w:right="140" w:hanging="568"/>
        <w:spacing w:after="0" w:line="248" w:lineRule="auto"/>
        <w:tabs>
          <w:tab w:leader="none" w:pos="5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Enterprise</w:t>
      </w:r>
      <w:r>
        <w:rPr>
          <w:rFonts w:ascii="Arial" w:cs="Arial" w:eastAsia="Arial" w:hAnsi="Arial"/>
          <w:sz w:val="16"/>
          <w:szCs w:val="16"/>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manager, fiduciary, employee or agent.</w:t>
      </w:r>
    </w:p>
    <w:p>
      <w:pPr>
        <w:spacing w:after="0" w:line="193" w:lineRule="exact"/>
        <w:rPr>
          <w:rFonts w:ascii="Arial" w:cs="Arial" w:eastAsia="Arial" w:hAnsi="Arial"/>
          <w:sz w:val="16"/>
          <w:szCs w:val="16"/>
          <w:color w:val="auto"/>
        </w:rPr>
      </w:pPr>
    </w:p>
    <w:p>
      <w:pPr>
        <w:ind w:left="568" w:hanging="568"/>
        <w:spacing w:after="0"/>
        <w:tabs>
          <w:tab w:leader="none" w:pos="5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mean the Securities Exchange Act of 1934, as amended.</w:t>
      </w:r>
    </w:p>
    <w:p>
      <w:pPr>
        <w:spacing w:after="0" w:line="211" w:lineRule="exact"/>
        <w:rPr>
          <w:rFonts w:ascii="Arial" w:cs="Arial" w:eastAsia="Arial" w:hAnsi="Arial"/>
          <w:sz w:val="16"/>
          <w:szCs w:val="16"/>
          <w:color w:val="auto"/>
        </w:rPr>
      </w:pPr>
    </w:p>
    <w:p>
      <w:pPr>
        <w:ind w:left="568" w:hanging="568"/>
        <w:spacing w:after="0" w:line="284" w:lineRule="auto"/>
        <w:tabs>
          <w:tab w:leader="none" w:pos="568" w:val="left"/>
        </w:tabs>
        <w:numPr>
          <w:ilvl w:val="0"/>
          <w:numId w:val="41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Expenses</w:t>
      </w:r>
      <w:r>
        <w:rPr>
          <w:rFonts w:ascii="Arial" w:cs="Arial" w:eastAsia="Arial" w:hAnsi="Arial"/>
          <w:sz w:val="14"/>
          <w:szCs w:val="14"/>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74" w:lineRule="exact"/>
        <w:rPr>
          <w:rFonts w:ascii="Arial" w:cs="Arial" w:eastAsia="Arial" w:hAnsi="Arial"/>
          <w:sz w:val="14"/>
          <w:szCs w:val="14"/>
          <w:color w:val="auto"/>
        </w:rPr>
      </w:pPr>
    </w:p>
    <w:p>
      <w:pPr>
        <w:ind w:left="568" w:hanging="568"/>
        <w:spacing w:after="0"/>
        <w:tabs>
          <w:tab w:leader="none" w:pos="5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b w:val="1"/>
          <w:bCs w:val="1"/>
          <w:i w:val="1"/>
          <w:iCs w:val="1"/>
          <w:color w:val="auto"/>
        </w:rPr>
        <w:t>fines</w:t>
      </w:r>
      <w:r>
        <w:rPr>
          <w:rFonts w:ascii="Arial" w:cs="Arial" w:eastAsia="Arial" w:hAnsi="Arial"/>
          <w:sz w:val="16"/>
          <w:szCs w:val="16"/>
          <w:color w:val="auto"/>
        </w:rPr>
        <w:t>” shall include any excise tax assessed on Indemnitee with respect to any employee benefit plan.</w:t>
      </w:r>
    </w:p>
    <w:p>
      <w:pPr>
        <w:spacing w:after="0" w:line="211" w:lineRule="exact"/>
        <w:rPr>
          <w:rFonts w:ascii="Arial" w:cs="Arial" w:eastAsia="Arial" w:hAnsi="Arial"/>
          <w:sz w:val="16"/>
          <w:szCs w:val="16"/>
          <w:color w:val="auto"/>
        </w:rPr>
      </w:pPr>
    </w:p>
    <w:p>
      <w:pPr>
        <w:ind w:left="568" w:right="120" w:hanging="568"/>
        <w:spacing w:after="0" w:line="246" w:lineRule="auto"/>
        <w:tabs>
          <w:tab w:leader="none" w:pos="5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b w:val="1"/>
          <w:bCs w:val="1"/>
          <w:i w:val="1"/>
          <w:iCs w:val="1"/>
          <w:color w:val="auto"/>
        </w:rPr>
        <w:t>serving at the request of the Company</w:t>
      </w:r>
      <w:r>
        <w:rPr>
          <w:rFonts w:ascii="Arial" w:cs="Arial" w:eastAsia="Arial" w:hAnsi="Arial"/>
          <w:sz w:val="16"/>
          <w:szCs w:val="16"/>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6"/>
          <w:szCs w:val="16"/>
          <w:b w:val="1"/>
          <w:bCs w:val="1"/>
          <w:i w:val="1"/>
          <w:iCs w:val="1"/>
          <w:color w:val="auto"/>
        </w:rPr>
        <w:t>not opposed to the best interests of the Company</w:t>
      </w:r>
      <w:r>
        <w:rPr>
          <w:rFonts w:ascii="Arial" w:cs="Arial" w:eastAsia="Arial" w:hAnsi="Arial"/>
          <w:sz w:val="16"/>
          <w:szCs w:val="16"/>
          <w:color w:val="auto"/>
        </w:rPr>
        <w:t>” as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95250</wp:posOffset>
            </wp:positionV>
            <wp:extent cx="7151370" cy="146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708"/>
          </w:cols>
          <w:pgMar w:left="872" w:top="129" w:right="319" w:bottom="1440" w:gutter="0" w:footer="0" w:header="0"/>
        </w:sectPr>
      </w:pPr>
    </w:p>
    <w:bookmarkStart w:id="400" w:name="page401"/>
    <w:bookmarkEnd w:id="400"/>
    <w:p>
      <w:pPr>
        <w:ind w:left="568" w:right="120" w:hanging="568"/>
        <w:spacing w:after="0" w:line="287" w:lineRule="auto"/>
        <w:tabs>
          <w:tab w:leader="none" w:pos="568" w:val="left"/>
        </w:tabs>
        <w:numPr>
          <w:ilvl w:val="0"/>
          <w:numId w:val="4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Independent Counsel</w:t>
      </w:r>
      <w:r>
        <w:rPr>
          <w:rFonts w:ascii="Arial" w:cs="Arial" w:eastAsia="Arial" w:hAnsi="Arial"/>
          <w:sz w:val="14"/>
          <w:szCs w:val="14"/>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Arial" w:cs="Arial" w:eastAsia="Arial" w:hAnsi="Arial"/>
          <w:sz w:val="14"/>
          <w:szCs w:val="14"/>
          <w:b w:val="1"/>
          <w:bCs w:val="1"/>
          <w:i w:val="1"/>
          <w:iCs w:val="1"/>
          <w:color w:val="auto"/>
        </w:rPr>
        <w:t>Independent Counsel</w:t>
      </w:r>
      <w:r>
        <w:rPr>
          <w:rFonts w:ascii="Arial" w:cs="Arial" w:eastAsia="Arial" w:hAnsi="Arial"/>
          <w:sz w:val="14"/>
          <w:szCs w:val="14"/>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1" w:lineRule="exact"/>
        <w:rPr>
          <w:rFonts w:ascii="Arial" w:cs="Arial" w:eastAsia="Arial" w:hAnsi="Arial"/>
          <w:sz w:val="14"/>
          <w:szCs w:val="14"/>
          <w:color w:val="auto"/>
        </w:rPr>
      </w:pPr>
    </w:p>
    <w:p>
      <w:pPr>
        <w:ind w:left="568" w:right="20" w:hanging="568"/>
        <w:spacing w:after="0" w:line="245" w:lineRule="auto"/>
        <w:tabs>
          <w:tab w:leader="none" w:pos="568"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exclude: (i) the Company; (ii) any Subsidiaries of the Company; (iii) any employment benefit plan of the Company or of a Subsidiary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of the Company or of a corporation owned directly or indirectly by the shareholders of the Company in substantially the same proportions as their ownership of shares of the Company.</w:t>
      </w:r>
    </w:p>
    <w:p>
      <w:pPr>
        <w:spacing w:after="0" w:line="199" w:lineRule="exact"/>
        <w:rPr>
          <w:rFonts w:ascii="Arial" w:cs="Arial" w:eastAsia="Arial" w:hAnsi="Arial"/>
          <w:sz w:val="16"/>
          <w:szCs w:val="16"/>
          <w:color w:val="auto"/>
        </w:rPr>
      </w:pPr>
    </w:p>
    <w:p>
      <w:pPr>
        <w:ind w:left="568" w:right="80" w:hanging="568"/>
        <w:spacing w:after="0" w:line="284" w:lineRule="auto"/>
        <w:tabs>
          <w:tab w:leader="none" w:pos="568" w:val="left"/>
        </w:tabs>
        <w:numPr>
          <w:ilvl w:val="0"/>
          <w:numId w:val="420"/>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b w:val="1"/>
          <w:bCs w:val="1"/>
          <w:i w:val="1"/>
          <w:iCs w:val="1"/>
          <w:color w:val="auto"/>
        </w:rPr>
        <w:t>Proceeding</w:t>
      </w:r>
      <w:r>
        <w:rPr>
          <w:rFonts w:ascii="Arial" w:cs="Arial" w:eastAsia="Arial" w:hAnsi="Arial"/>
          <w:sz w:val="14"/>
          <w:szCs w:val="14"/>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manager,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74" w:lineRule="exact"/>
        <w:rPr>
          <w:rFonts w:ascii="Arial" w:cs="Arial" w:eastAsia="Arial" w:hAnsi="Arial"/>
          <w:sz w:val="14"/>
          <w:szCs w:val="14"/>
          <w:color w:val="auto"/>
        </w:rPr>
      </w:pPr>
    </w:p>
    <w:p>
      <w:pPr>
        <w:ind w:left="568" w:hanging="568"/>
        <w:spacing w:after="0" w:line="329" w:lineRule="auto"/>
        <w:tabs>
          <w:tab w:leader="none" w:pos="568" w:val="left"/>
        </w:tabs>
        <w:numPr>
          <w:ilvl w:val="0"/>
          <w:numId w:val="420"/>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b w:val="1"/>
          <w:bCs w:val="1"/>
          <w:i w:val="1"/>
          <w:iCs w:val="1"/>
          <w:color w:val="auto"/>
        </w:rPr>
        <w:t>Subsidiary,</w:t>
      </w:r>
      <w:r>
        <w:rPr>
          <w:rFonts w:ascii="Arial" w:cs="Arial" w:eastAsia="Arial" w:hAnsi="Arial"/>
          <w:sz w:val="14"/>
          <w:szCs w:val="14"/>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0" w:lineRule="exact"/>
        <w:rPr>
          <w:rFonts w:ascii="Arial" w:cs="Arial" w:eastAsia="Arial" w:hAnsi="Arial"/>
          <w:sz w:val="14"/>
          <w:szCs w:val="14"/>
          <w:color w:val="auto"/>
        </w:rPr>
      </w:pPr>
    </w:p>
    <w:p>
      <w:pPr>
        <w:ind w:left="568" w:hanging="568"/>
        <w:spacing w:after="0" w:line="294" w:lineRule="auto"/>
        <w:tabs>
          <w:tab w:leader="none" w:pos="568" w:val="left"/>
        </w:tabs>
        <w:numPr>
          <w:ilvl w:val="0"/>
          <w:numId w:val="420"/>
        </w:numPr>
        <w:rPr>
          <w:rFonts w:ascii="Arial" w:cs="Arial" w:eastAsia="Arial" w:hAnsi="Arial"/>
          <w:sz w:val="14"/>
          <w:szCs w:val="14"/>
          <w:color w:val="auto"/>
        </w:rPr>
      </w:pPr>
      <w:r>
        <w:rPr>
          <w:rFonts w:ascii="Arial" w:cs="Arial" w:eastAsia="Arial" w:hAnsi="Arial"/>
          <w:sz w:val="14"/>
          <w:szCs w:val="14"/>
          <w:color w:val="auto"/>
        </w:rPr>
        <w:t>The phrase “to the fullest extent permitted by applicable law” shall include, but not be limited to: (a) to the fullest extent authorized or permitted by the provision of applicable Cayman Islands law that authorizes or contemplates additional indemnification by agreement, or the corresponding provision of any amendment to or replacement of applicable Cayman Islands law, and (b) to the fullest extent authorized or permitted by any amendments to or replacements of applicable Cayman Islands law adopted after the date of this Agreement that increase the extent to which a corporation may indemnify its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74930</wp:posOffset>
            </wp:positionV>
            <wp:extent cx="7151370" cy="146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688"/>
          </w:cols>
          <w:pgMar w:left="872" w:top="128" w:right="339" w:bottom="1440" w:gutter="0" w:footer="0" w:header="0"/>
        </w:sectPr>
      </w:pPr>
    </w:p>
    <w:bookmarkStart w:id="401" w:name="page402"/>
    <w:bookmarkEnd w:id="401"/>
    <w:p>
      <w:pPr>
        <w:ind w:left="567" w:hanging="567"/>
        <w:spacing w:after="0"/>
        <w:tabs>
          <w:tab w:leader="none" w:pos="567" w:val="left"/>
        </w:tabs>
        <w:numPr>
          <w:ilvl w:val="0"/>
          <w:numId w:val="421"/>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p>
    <w:p>
      <w:pPr>
        <w:spacing w:after="0" w:line="209" w:lineRule="exact"/>
        <w:rPr>
          <w:sz w:val="20"/>
          <w:szCs w:val="20"/>
          <w:color w:val="auto"/>
        </w:rPr>
      </w:pPr>
    </w:p>
    <w:p>
      <w:pPr>
        <w:ind w:left="7" w:firstLine="559"/>
        <w:spacing w:after="0" w:line="261" w:lineRule="auto"/>
        <w:rPr>
          <w:sz w:val="20"/>
          <w:szCs w:val="20"/>
          <w:color w:val="auto"/>
        </w:rPr>
      </w:pPr>
      <w:r>
        <w:rPr>
          <w:rFonts w:ascii="Arial" w:cs="Arial" w:eastAsia="Arial" w:hAnsi="Arial"/>
          <w:sz w:val="17"/>
          <w:szCs w:val="17"/>
          <w:color w:val="auto"/>
        </w:rPr>
        <w:t>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pacing w:after="0" w:line="174" w:lineRule="exact"/>
        <w:rPr>
          <w:sz w:val="20"/>
          <w:szCs w:val="20"/>
          <w:color w:val="auto"/>
        </w:rPr>
      </w:pPr>
    </w:p>
    <w:p>
      <w:pPr>
        <w:ind w:left="567" w:hanging="567"/>
        <w:spacing w:after="0"/>
        <w:tabs>
          <w:tab w:leader="none" w:pos="567" w:val="left"/>
        </w:tabs>
        <w:numPr>
          <w:ilvl w:val="0"/>
          <w:numId w:val="422"/>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p>
    <w:p>
      <w:pPr>
        <w:spacing w:after="0" w:line="209" w:lineRule="exact"/>
        <w:rPr>
          <w:sz w:val="20"/>
          <w:szCs w:val="20"/>
          <w:color w:val="auto"/>
        </w:rPr>
      </w:pPr>
    </w:p>
    <w:p>
      <w:pPr>
        <w:ind w:left="7" w:right="100" w:firstLine="559"/>
        <w:spacing w:after="0" w:line="262" w:lineRule="auto"/>
        <w:rPr>
          <w:sz w:val="20"/>
          <w:szCs w:val="20"/>
          <w:color w:val="auto"/>
        </w:rPr>
      </w:pPr>
      <w:r>
        <w:rPr>
          <w:rFonts w:ascii="Arial" w:cs="Arial" w:eastAsia="Arial" w:hAnsi="Arial"/>
          <w:sz w:val="17"/>
          <w:szCs w:val="17"/>
          <w:color w:val="auto"/>
        </w:rPr>
        <w:t>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51370" cy="146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3" w:right="319" w:bottom="1440" w:gutter="0" w:footer="0" w:header="0"/>
        </w:sectPr>
      </w:pPr>
    </w:p>
    <w:bookmarkStart w:id="402" w:name="page403"/>
    <w:bookmarkEnd w:id="402"/>
    <w:p>
      <w:pPr>
        <w:ind w:left="567" w:hanging="567"/>
        <w:spacing w:after="0"/>
        <w:tabs>
          <w:tab w:leader="none" w:pos="567" w:val="left"/>
        </w:tabs>
        <w:numPr>
          <w:ilvl w:val="0"/>
          <w:numId w:val="423"/>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FOR EXPENSES OF A PARTY WHO IS WHOLLY OR PARTLY SUCCESSFUL</w:t>
      </w:r>
    </w:p>
    <w:p>
      <w:pPr>
        <w:spacing w:after="0" w:line="209" w:lineRule="exact"/>
        <w:rPr>
          <w:sz w:val="20"/>
          <w:szCs w:val="20"/>
          <w:color w:val="auto"/>
        </w:rPr>
      </w:pPr>
    </w:p>
    <w:p>
      <w:pPr>
        <w:ind w:left="7" w:firstLine="559"/>
        <w:spacing w:after="0" w:line="262" w:lineRule="auto"/>
        <w:rPr>
          <w:sz w:val="20"/>
          <w:szCs w:val="20"/>
          <w:color w:val="auto"/>
        </w:rPr>
      </w:pPr>
      <w:r>
        <w:rPr>
          <w:rFonts w:ascii="Arial" w:cs="Arial" w:eastAsia="Arial" w:hAnsi="Arial"/>
          <w:sz w:val="17"/>
          <w:szCs w:val="17"/>
          <w:color w:val="auto"/>
        </w:rPr>
        <w:t>Notwithstanding any other provisions of this Agreement, but subject to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68" w:lineRule="exact"/>
        <w:rPr>
          <w:sz w:val="20"/>
          <w:szCs w:val="20"/>
          <w:color w:val="auto"/>
        </w:rPr>
      </w:pPr>
    </w:p>
    <w:p>
      <w:pPr>
        <w:ind w:left="567" w:hanging="567"/>
        <w:spacing w:after="0"/>
        <w:tabs>
          <w:tab w:leader="none" w:pos="567"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FOR EXPENSES OF A WITNESS</w:t>
      </w:r>
    </w:p>
    <w:p>
      <w:pPr>
        <w:spacing w:after="0" w:line="209" w:lineRule="exact"/>
        <w:rPr>
          <w:sz w:val="20"/>
          <w:szCs w:val="20"/>
          <w:color w:val="auto"/>
        </w:rPr>
      </w:pPr>
    </w:p>
    <w:p>
      <w:pPr>
        <w:ind w:left="7" w:right="40" w:firstLine="559"/>
        <w:spacing w:after="0" w:line="237" w:lineRule="auto"/>
        <w:rPr>
          <w:sz w:val="20"/>
          <w:szCs w:val="20"/>
          <w:color w:val="auto"/>
        </w:rPr>
      </w:pPr>
      <w:r>
        <w:rPr>
          <w:rFonts w:ascii="Arial" w:cs="Arial" w:eastAsia="Arial" w:hAnsi="Arial"/>
          <w:sz w:val="19"/>
          <w:szCs w:val="19"/>
          <w:color w:val="auto"/>
        </w:rPr>
        <w:t>Notwithstanding any other provision of this Agreement, but subject to Section 27, to the extent that Indemnitee is, by reason of his or her Corporate Status, a witness or deponent in any Proceeding to which Indemnitee is not a party or threatened to be made a party, he or she shall, to the fullest extent permitted by applicable law, be indemnified, held harmless and exonerated against all Expenses actually and reasonably incurred by him or her or on his or her behalf in connection therewith.</w:t>
      </w:r>
    </w:p>
    <w:p>
      <w:pPr>
        <w:spacing w:after="0" w:line="186" w:lineRule="exact"/>
        <w:rPr>
          <w:sz w:val="20"/>
          <w:szCs w:val="20"/>
          <w:color w:val="auto"/>
        </w:rPr>
      </w:pPr>
    </w:p>
    <w:p>
      <w:pPr>
        <w:ind w:left="567" w:hanging="567"/>
        <w:spacing w:after="0"/>
        <w:tabs>
          <w:tab w:leader="none" w:pos="567" w:val="left"/>
        </w:tabs>
        <w:numPr>
          <w:ilvl w:val="0"/>
          <w:numId w:val="425"/>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p>
    <w:p>
      <w:pPr>
        <w:spacing w:after="0" w:line="209" w:lineRule="exact"/>
        <w:rPr>
          <w:sz w:val="20"/>
          <w:szCs w:val="20"/>
          <w:color w:val="auto"/>
        </w:rPr>
      </w:pPr>
    </w:p>
    <w:p>
      <w:pPr>
        <w:ind w:left="7" w:firstLine="559"/>
        <w:spacing w:after="0" w:line="233" w:lineRule="auto"/>
        <w:rPr>
          <w:sz w:val="20"/>
          <w:szCs w:val="20"/>
          <w:color w:val="auto"/>
        </w:rPr>
      </w:pPr>
      <w:r>
        <w:rPr>
          <w:rFonts w:ascii="Arial" w:cs="Arial" w:eastAsia="Arial" w:hAnsi="Arial"/>
          <w:sz w:val="19"/>
          <w:szCs w:val="19"/>
          <w:color w:val="auto"/>
        </w:rPr>
        <w:t>Notwithstanding any limitation in Sections 3, 4 or 5, but subject to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90" w:lineRule="exact"/>
        <w:rPr>
          <w:sz w:val="20"/>
          <w:szCs w:val="20"/>
          <w:color w:val="auto"/>
        </w:rPr>
      </w:pPr>
    </w:p>
    <w:p>
      <w:pPr>
        <w:ind w:left="567" w:hanging="567"/>
        <w:spacing w:after="0"/>
        <w:tabs>
          <w:tab w:leader="none" w:pos="567"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 IN THE EVENT OF JOINT LIABILITY</w:t>
      </w:r>
    </w:p>
    <w:p>
      <w:pPr>
        <w:spacing w:after="0" w:line="217" w:lineRule="exact"/>
        <w:rPr>
          <w:rFonts w:ascii="Arial" w:cs="Arial" w:eastAsia="Arial" w:hAnsi="Arial"/>
          <w:sz w:val="16"/>
          <w:szCs w:val="16"/>
          <w:b w:val="1"/>
          <w:bCs w:val="1"/>
          <w:color w:val="auto"/>
        </w:rPr>
      </w:pPr>
    </w:p>
    <w:p>
      <w:pPr>
        <w:ind w:left="1127" w:right="60" w:hanging="568"/>
        <w:spacing w:after="0" w:line="290" w:lineRule="auto"/>
        <w:tabs>
          <w:tab w:leader="none" w:pos="1127" w:val="left"/>
        </w:tabs>
        <w:numPr>
          <w:ilvl w:val="1"/>
          <w:numId w:val="426"/>
        </w:numPr>
        <w:rPr>
          <w:rFonts w:ascii="Arial" w:cs="Arial" w:eastAsia="Arial" w:hAnsi="Arial"/>
          <w:sz w:val="14"/>
          <w:szCs w:val="14"/>
          <w:color w:val="auto"/>
        </w:rPr>
      </w:pPr>
      <w:r>
        <w:rPr>
          <w:rFonts w:ascii="Arial" w:cs="Arial" w:eastAsia="Arial" w:hAnsi="Arial"/>
          <w:sz w:val="14"/>
          <w:szCs w:val="14"/>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51370" cy="146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2" w:right="359" w:bottom="1440" w:gutter="0" w:footer="0" w:header="0"/>
        </w:sectPr>
      </w:pPr>
    </w:p>
    <w:bookmarkStart w:id="403" w:name="page404"/>
    <w:bookmarkEnd w:id="403"/>
    <w:p>
      <w:pPr>
        <w:ind w:left="1127" w:right="600" w:hanging="568"/>
        <w:spacing w:after="0" w:line="258" w:lineRule="auto"/>
        <w:tabs>
          <w:tab w:leader="none" w:pos="112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86" w:lineRule="exact"/>
        <w:rPr>
          <w:rFonts w:ascii="Arial" w:cs="Arial" w:eastAsia="Arial" w:hAnsi="Arial"/>
          <w:sz w:val="16"/>
          <w:szCs w:val="16"/>
          <w:color w:val="auto"/>
        </w:rPr>
      </w:pPr>
    </w:p>
    <w:p>
      <w:pPr>
        <w:ind w:left="1127" w:right="200" w:hanging="568"/>
        <w:spacing w:after="0" w:line="303" w:lineRule="auto"/>
        <w:tabs>
          <w:tab w:leader="none" w:pos="1127" w:val="left"/>
        </w:tabs>
        <w:numPr>
          <w:ilvl w:val="1"/>
          <w:numId w:val="427"/>
        </w:numPr>
        <w:rPr>
          <w:rFonts w:ascii="Arial" w:cs="Arial" w:eastAsia="Arial" w:hAnsi="Arial"/>
          <w:sz w:val="14"/>
          <w:szCs w:val="14"/>
          <w:color w:val="auto"/>
        </w:rPr>
      </w:pPr>
      <w:r>
        <w:rPr>
          <w:rFonts w:ascii="Arial" w:cs="Arial" w:eastAsia="Arial" w:hAnsi="Arial"/>
          <w:sz w:val="14"/>
          <w:szCs w:val="14"/>
          <w:color w:val="auto"/>
        </w:rPr>
        <w:t>The Company hereby agrees to fully indemnify, hold harmless and exonerate Indemnitee from any claims for contribution which may be brought by officers, directors or employees of the Company other than Indemnitee who may be jointly liable with Indemnitee. Indemnitee shall seek payments or advances from the Company only to the extent that such payments or advances are unavailable from any insurance policy of the Company covering Indemnitee.</w:t>
      </w:r>
    </w:p>
    <w:p>
      <w:pPr>
        <w:spacing w:after="0" w:line="152" w:lineRule="exact"/>
        <w:rPr>
          <w:rFonts w:ascii="Arial" w:cs="Arial" w:eastAsia="Arial" w:hAnsi="Arial"/>
          <w:sz w:val="14"/>
          <w:szCs w:val="14"/>
          <w:color w:val="auto"/>
        </w:rPr>
      </w:pPr>
    </w:p>
    <w:p>
      <w:pPr>
        <w:ind w:left="567" w:hanging="567"/>
        <w:spacing w:after="0"/>
        <w:tabs>
          <w:tab w:leader="none" w:pos="567"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color w:val="auto"/>
        </w:rPr>
        <w:t>EXCLUSIONS</w:t>
      </w:r>
    </w:p>
    <w:p>
      <w:pPr>
        <w:spacing w:after="0" w:line="209" w:lineRule="exact"/>
        <w:rPr>
          <w:sz w:val="20"/>
          <w:szCs w:val="20"/>
          <w:color w:val="auto"/>
        </w:rPr>
      </w:pPr>
    </w:p>
    <w:p>
      <w:pPr>
        <w:ind w:left="7" w:right="40" w:firstLine="559"/>
        <w:spacing w:after="0" w:line="309" w:lineRule="auto"/>
        <w:rPr>
          <w:sz w:val="20"/>
          <w:szCs w:val="20"/>
          <w:color w:val="auto"/>
        </w:rPr>
      </w:pPr>
      <w:r>
        <w:rPr>
          <w:rFonts w:ascii="Arial" w:cs="Arial" w:eastAsia="Arial" w:hAnsi="Arial"/>
          <w:sz w:val="17"/>
          <w:szCs w:val="17"/>
          <w:color w:val="auto"/>
        </w:rPr>
        <w:t>Notwithstanding any provision in this Agreement, but subject to Section 27, the Company shall not be obligated under this Agreement to make any indemnification, advance Expenses, hold harmless or exoneration payment in connection with any claim made against Indemnitee:</w:t>
      </w:r>
    </w:p>
    <w:p>
      <w:pPr>
        <w:spacing w:after="0" w:line="133" w:lineRule="exact"/>
        <w:rPr>
          <w:sz w:val="20"/>
          <w:szCs w:val="20"/>
          <w:color w:val="auto"/>
        </w:rPr>
      </w:pPr>
    </w:p>
    <w:p>
      <w:pPr>
        <w:ind w:left="1127" w:right="160" w:hanging="568"/>
        <w:spacing w:after="0" w:line="250" w:lineRule="auto"/>
        <w:tabs>
          <w:tab w:leader="none" w:pos="1127" w:val="left"/>
        </w:tabs>
        <w:numPr>
          <w:ilvl w:val="1"/>
          <w:numId w:val="429"/>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or advancement provision and which payment has not subsequently been returned, except with respect to any excess beyond the amount actually received under any insurance policy, contract, agreement, other indemnity or advancement provision or otherwise;</w:t>
      </w:r>
    </w:p>
    <w:p>
      <w:pPr>
        <w:spacing w:after="0" w:line="192" w:lineRule="exact"/>
        <w:rPr>
          <w:rFonts w:ascii="Arial" w:cs="Arial" w:eastAsia="Arial" w:hAnsi="Arial"/>
          <w:sz w:val="16"/>
          <w:szCs w:val="16"/>
          <w:color w:val="auto"/>
        </w:rPr>
      </w:pPr>
    </w:p>
    <w:p>
      <w:pPr>
        <w:ind w:left="1127" w:right="280" w:hanging="568"/>
        <w:spacing w:after="0" w:line="258" w:lineRule="auto"/>
        <w:tabs>
          <w:tab w:leader="none" w:pos="1127" w:val="left"/>
        </w:tabs>
        <w:numPr>
          <w:ilvl w:val="1"/>
          <w:numId w:val="429"/>
        </w:numPr>
        <w:rPr>
          <w:rFonts w:ascii="Arial" w:cs="Arial" w:eastAsia="Arial" w:hAnsi="Arial"/>
          <w:sz w:val="16"/>
          <w:szCs w:val="16"/>
          <w:color w:val="auto"/>
        </w:rPr>
      </w:pPr>
      <w:r>
        <w:rPr>
          <w:rFonts w:ascii="Arial" w:cs="Arial" w:eastAsia="Arial" w:hAnsi="Arial"/>
          <w:sz w:val="16"/>
          <w:szCs w:val="16"/>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86" w:lineRule="exact"/>
        <w:rPr>
          <w:rFonts w:ascii="Arial" w:cs="Arial" w:eastAsia="Arial" w:hAnsi="Arial"/>
          <w:sz w:val="16"/>
          <w:szCs w:val="16"/>
          <w:color w:val="auto"/>
        </w:rPr>
      </w:pPr>
    </w:p>
    <w:p>
      <w:pPr>
        <w:ind w:left="1127" w:hanging="568"/>
        <w:spacing w:after="0" w:line="294" w:lineRule="auto"/>
        <w:tabs>
          <w:tab w:leader="none" w:pos="1127" w:val="left"/>
        </w:tabs>
        <w:numPr>
          <w:ilvl w:val="1"/>
          <w:numId w:val="429"/>
        </w:numPr>
        <w:rPr>
          <w:rFonts w:ascii="Arial" w:cs="Arial" w:eastAsia="Arial" w:hAnsi="Arial"/>
          <w:sz w:val="14"/>
          <w:szCs w:val="14"/>
          <w:color w:val="auto"/>
        </w:rPr>
      </w:pPr>
      <w:r>
        <w:rPr>
          <w:rFonts w:ascii="Arial" w:cs="Arial" w:eastAsia="Arial" w:hAnsi="Arial"/>
          <w:sz w:val="14"/>
          <w:szCs w:val="14"/>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59" w:lineRule="exact"/>
        <w:rPr>
          <w:rFonts w:ascii="Arial" w:cs="Arial" w:eastAsia="Arial" w:hAnsi="Arial"/>
          <w:sz w:val="14"/>
          <w:szCs w:val="14"/>
          <w:color w:val="auto"/>
        </w:rPr>
      </w:pPr>
    </w:p>
    <w:p>
      <w:pPr>
        <w:ind w:left="567" w:hanging="567"/>
        <w:spacing w:after="0"/>
        <w:tabs>
          <w:tab w:leader="none" w:pos="567" w:val="left"/>
        </w:tabs>
        <w:numPr>
          <w:ilvl w:val="0"/>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ADVANCES OF EXPENSES; DEFENSE OF CLAIM</w:t>
      </w:r>
    </w:p>
    <w:p>
      <w:pPr>
        <w:spacing w:after="0" w:line="217" w:lineRule="exact"/>
        <w:rPr>
          <w:rFonts w:ascii="Arial" w:cs="Arial" w:eastAsia="Arial" w:hAnsi="Arial"/>
          <w:sz w:val="16"/>
          <w:szCs w:val="16"/>
          <w:b w:val="1"/>
          <w:bCs w:val="1"/>
          <w:color w:val="auto"/>
        </w:rPr>
      </w:pPr>
    </w:p>
    <w:p>
      <w:pPr>
        <w:ind w:left="1127" w:right="20" w:hanging="568"/>
        <w:spacing w:after="0" w:line="281" w:lineRule="auto"/>
        <w:tabs>
          <w:tab w:leader="none" w:pos="1127" w:val="left"/>
        </w:tabs>
        <w:numPr>
          <w:ilvl w:val="1"/>
          <w:numId w:val="430"/>
        </w:numPr>
        <w:rPr>
          <w:rFonts w:ascii="Arial" w:cs="Arial" w:eastAsia="Arial" w:hAnsi="Arial"/>
          <w:sz w:val="14"/>
          <w:szCs w:val="14"/>
          <w:color w:val="auto"/>
        </w:rPr>
      </w:pPr>
      <w:r>
        <w:rPr>
          <w:rFonts w:ascii="Arial" w:cs="Arial" w:eastAsia="Arial" w:hAnsi="Arial"/>
          <w:sz w:val="14"/>
          <w:szCs w:val="14"/>
          <w:color w:val="auto"/>
        </w:rPr>
        <w:t>Notwithstanding any provision of this Agreement to the contrary, but subject to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hold harmless or exoneration payment is excluded pursuant to Section 9, but shall apply to any Proceeding referenced in Section 9(b) prior to a final determination that Indemnitee is liable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51370" cy="146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9" w:right="339" w:bottom="1440" w:gutter="0" w:footer="0" w:header="0"/>
        </w:sectPr>
      </w:pPr>
    </w:p>
    <w:bookmarkStart w:id="404" w:name="page405"/>
    <w:bookmarkEnd w:id="404"/>
    <w:p>
      <w:pPr>
        <w:ind w:left="1127" w:hanging="568"/>
        <w:spacing w:after="0"/>
        <w:tabs>
          <w:tab w:leader="none" w:pos="1127" w:val="left"/>
        </w:tabs>
        <w:numPr>
          <w:ilvl w:val="1"/>
          <w:numId w:val="431"/>
        </w:numPr>
        <w:rPr>
          <w:rFonts w:ascii="Arial" w:cs="Arial" w:eastAsia="Arial" w:hAnsi="Arial"/>
          <w:sz w:val="16"/>
          <w:szCs w:val="16"/>
          <w:color w:val="auto"/>
        </w:rPr>
      </w:pPr>
      <w:r>
        <w:rPr>
          <w:rFonts w:ascii="Arial" w:cs="Arial" w:eastAsia="Arial" w:hAnsi="Arial"/>
          <w:sz w:val="16"/>
          <w:szCs w:val="16"/>
          <w:color w:val="auto"/>
        </w:rPr>
        <w:t>The Company will be entitled to participate in the Proceeding at its own expense.</w:t>
      </w:r>
    </w:p>
    <w:p>
      <w:pPr>
        <w:spacing w:after="0" w:line="211" w:lineRule="exact"/>
        <w:rPr>
          <w:rFonts w:ascii="Arial" w:cs="Arial" w:eastAsia="Arial" w:hAnsi="Arial"/>
          <w:sz w:val="16"/>
          <w:szCs w:val="16"/>
          <w:color w:val="auto"/>
        </w:rPr>
      </w:pPr>
    </w:p>
    <w:p>
      <w:pPr>
        <w:ind w:left="1127" w:right="120" w:hanging="568"/>
        <w:spacing w:after="0" w:line="258" w:lineRule="auto"/>
        <w:tabs>
          <w:tab w:leader="none" w:pos="1127" w:val="left"/>
        </w:tabs>
        <w:numPr>
          <w:ilvl w:val="1"/>
          <w:numId w:val="431"/>
        </w:numPr>
        <w:rPr>
          <w:rFonts w:ascii="Arial" w:cs="Arial" w:eastAsia="Arial" w:hAnsi="Arial"/>
          <w:sz w:val="16"/>
          <w:szCs w:val="16"/>
          <w:color w:val="auto"/>
        </w:rPr>
      </w:pPr>
      <w:r>
        <w:rPr>
          <w:rFonts w:ascii="Arial" w:cs="Arial" w:eastAsia="Arial" w:hAnsi="Arial"/>
          <w:sz w:val="16"/>
          <w:szCs w:val="16"/>
          <w:color w:val="auto"/>
        </w:rPr>
        <w:t>The Company shall not settle any action, claim or Proceeding (in whole or in part) which would impose any Expense, judgment, fine, penalty or limitation on Indemnitee without Indemnitee’s prior written consent.</w:t>
      </w:r>
    </w:p>
    <w:p>
      <w:pPr>
        <w:spacing w:after="0" w:line="180" w:lineRule="exact"/>
        <w:rPr>
          <w:rFonts w:ascii="Arial" w:cs="Arial" w:eastAsia="Arial" w:hAnsi="Arial"/>
          <w:sz w:val="16"/>
          <w:szCs w:val="16"/>
          <w:color w:val="auto"/>
        </w:rPr>
      </w:pPr>
    </w:p>
    <w:p>
      <w:pPr>
        <w:ind w:left="567" w:hanging="567"/>
        <w:spacing w:after="0"/>
        <w:tabs>
          <w:tab w:leader="none" w:pos="567" w:val="left"/>
        </w:tabs>
        <w:numPr>
          <w:ilvl w:val="0"/>
          <w:numId w:val="432"/>
        </w:numPr>
        <w:rPr>
          <w:rFonts w:ascii="Arial" w:cs="Arial" w:eastAsia="Arial" w:hAnsi="Arial"/>
          <w:sz w:val="16"/>
          <w:szCs w:val="16"/>
          <w:b w:val="1"/>
          <w:bCs w:val="1"/>
          <w:color w:val="auto"/>
        </w:rPr>
      </w:pPr>
      <w:r>
        <w:rPr>
          <w:rFonts w:ascii="Arial" w:cs="Arial" w:eastAsia="Arial" w:hAnsi="Arial"/>
          <w:sz w:val="16"/>
          <w:szCs w:val="16"/>
          <w:b w:val="1"/>
          <w:bCs w:val="1"/>
          <w:color w:val="auto"/>
        </w:rPr>
        <w:t>PROCEDURE FOR NOTIFICATION AND APPLICATION FOR INDEMNIFICATION</w:t>
      </w:r>
    </w:p>
    <w:p>
      <w:pPr>
        <w:spacing w:after="0" w:line="217" w:lineRule="exact"/>
        <w:rPr>
          <w:rFonts w:ascii="Arial" w:cs="Arial" w:eastAsia="Arial" w:hAnsi="Arial"/>
          <w:sz w:val="16"/>
          <w:szCs w:val="16"/>
          <w:b w:val="1"/>
          <w:bCs w:val="1"/>
          <w:color w:val="auto"/>
        </w:rPr>
      </w:pPr>
    </w:p>
    <w:p>
      <w:pPr>
        <w:ind w:left="1127" w:hanging="568"/>
        <w:spacing w:after="0" w:line="248" w:lineRule="auto"/>
        <w:tabs>
          <w:tab w:leader="none" w:pos="1127" w:val="left"/>
        </w:tabs>
        <w:numPr>
          <w:ilvl w:val="1"/>
          <w:numId w:val="432"/>
        </w:numPr>
        <w:rPr>
          <w:rFonts w:ascii="Arial" w:cs="Arial" w:eastAsia="Arial" w:hAnsi="Arial"/>
          <w:sz w:val="16"/>
          <w:szCs w:val="16"/>
          <w:color w:val="auto"/>
        </w:rPr>
      </w:pPr>
      <w:r>
        <w:rPr>
          <w:rFonts w:ascii="Arial" w:cs="Arial" w:eastAsia="Arial" w:hAnsi="Arial"/>
          <w:sz w:val="16"/>
          <w:szCs w:val="16"/>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93" w:lineRule="exact"/>
        <w:rPr>
          <w:rFonts w:ascii="Arial" w:cs="Arial" w:eastAsia="Arial" w:hAnsi="Arial"/>
          <w:sz w:val="16"/>
          <w:szCs w:val="16"/>
          <w:color w:val="auto"/>
        </w:rPr>
      </w:pPr>
    </w:p>
    <w:p>
      <w:pPr>
        <w:jc w:val="both"/>
        <w:ind w:left="1127" w:right="120" w:hanging="568"/>
        <w:spacing w:after="0" w:line="303" w:lineRule="auto"/>
        <w:tabs>
          <w:tab w:leader="none" w:pos="1127" w:val="left"/>
        </w:tabs>
        <w:numPr>
          <w:ilvl w:val="1"/>
          <w:numId w:val="432"/>
        </w:numPr>
        <w:rPr>
          <w:rFonts w:ascii="Arial" w:cs="Arial" w:eastAsia="Arial" w:hAnsi="Arial"/>
          <w:sz w:val="14"/>
          <w:szCs w:val="14"/>
          <w:color w:val="auto"/>
        </w:rPr>
      </w:pPr>
      <w:r>
        <w:rPr>
          <w:rFonts w:ascii="Arial" w:cs="Arial" w:eastAsia="Arial" w:hAnsi="Arial"/>
          <w:sz w:val="14"/>
          <w:szCs w:val="14"/>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1370" cy="146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027"/>
          </w:cols>
          <w:pgMar w:left="313" w:top="128" w:right="559" w:bottom="1440" w:gutter="0" w:footer="0" w:header="0"/>
        </w:sectPr>
      </w:pPr>
    </w:p>
    <w:bookmarkStart w:id="405" w:name="page406"/>
    <w:bookmarkEnd w:id="405"/>
    <w:p>
      <w:pPr>
        <w:ind w:left="567" w:hanging="567"/>
        <w:spacing w:after="0"/>
        <w:tabs>
          <w:tab w:leader="none" w:pos="567" w:val="left"/>
        </w:tabs>
        <w:numPr>
          <w:ilvl w:val="0"/>
          <w:numId w:val="433"/>
        </w:numPr>
        <w:rPr>
          <w:rFonts w:ascii="Arial" w:cs="Arial" w:eastAsia="Arial" w:hAnsi="Arial"/>
          <w:sz w:val="16"/>
          <w:szCs w:val="16"/>
          <w:b w:val="1"/>
          <w:bCs w:val="1"/>
          <w:color w:val="auto"/>
        </w:rPr>
      </w:pPr>
      <w:r>
        <w:rPr>
          <w:rFonts w:ascii="Arial" w:cs="Arial" w:eastAsia="Arial" w:hAnsi="Arial"/>
          <w:sz w:val="16"/>
          <w:szCs w:val="16"/>
          <w:b w:val="1"/>
          <w:bCs w:val="1"/>
          <w:color w:val="auto"/>
        </w:rPr>
        <w:t>PROCEDURE UPON APPLICATION FOR INDEMNIFICATION</w:t>
      </w:r>
    </w:p>
    <w:p>
      <w:pPr>
        <w:spacing w:after="0" w:line="209" w:lineRule="exact"/>
        <w:rPr>
          <w:sz w:val="20"/>
          <w:szCs w:val="20"/>
          <w:color w:val="auto"/>
        </w:rPr>
      </w:pPr>
    </w:p>
    <w:p>
      <w:pPr>
        <w:ind w:left="7" w:right="20" w:hanging="7"/>
        <w:spacing w:after="0" w:line="261" w:lineRule="auto"/>
        <w:tabs>
          <w:tab w:leader="none" w:pos="679" w:val="left"/>
        </w:tabs>
        <w:numPr>
          <w:ilvl w:val="0"/>
          <w:numId w:val="434"/>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by ordinary resolution.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6" w:lineRule="exact"/>
        <w:rPr>
          <w:rFonts w:ascii="Arial" w:cs="Arial" w:eastAsia="Arial" w:hAnsi="Arial"/>
          <w:sz w:val="17"/>
          <w:szCs w:val="17"/>
          <w:color w:val="auto"/>
        </w:rPr>
      </w:pPr>
    </w:p>
    <w:p>
      <w:pPr>
        <w:ind w:left="1127" w:right="20" w:hanging="568"/>
        <w:spacing w:after="0" w:line="280" w:lineRule="auto"/>
        <w:tabs>
          <w:tab w:leader="none" w:pos="1127" w:val="left"/>
        </w:tabs>
        <w:numPr>
          <w:ilvl w:val="1"/>
          <w:numId w:val="434"/>
        </w:numPr>
        <w:rPr>
          <w:rFonts w:ascii="Arial" w:cs="Arial" w:eastAsia="Arial" w:hAnsi="Arial"/>
          <w:sz w:val="14"/>
          <w:szCs w:val="14"/>
          <w:color w:val="auto"/>
        </w:rPr>
      </w:pPr>
      <w:r>
        <w:rPr>
          <w:rFonts w:ascii="Arial" w:cs="Arial" w:eastAsia="Arial" w:hAnsi="Arial"/>
          <w:sz w:val="14"/>
          <w:szCs w:val="14"/>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or her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79" w:lineRule="exact"/>
        <w:rPr>
          <w:rFonts w:ascii="Arial" w:cs="Arial" w:eastAsia="Arial" w:hAnsi="Arial"/>
          <w:sz w:val="14"/>
          <w:szCs w:val="14"/>
          <w:color w:val="auto"/>
        </w:rPr>
      </w:pPr>
    </w:p>
    <w:p>
      <w:pPr>
        <w:ind w:left="1127" w:right="60" w:hanging="568"/>
        <w:spacing w:after="0" w:line="329" w:lineRule="auto"/>
        <w:tabs>
          <w:tab w:leader="none" w:pos="1127" w:val="left"/>
        </w:tabs>
        <w:numPr>
          <w:ilvl w:val="1"/>
          <w:numId w:val="434"/>
        </w:numPr>
        <w:rPr>
          <w:rFonts w:ascii="Arial" w:cs="Arial" w:eastAsia="Arial" w:hAnsi="Arial"/>
          <w:sz w:val="14"/>
          <w:szCs w:val="14"/>
          <w:color w:val="auto"/>
        </w:rPr>
      </w:pPr>
      <w:r>
        <w:rPr>
          <w:rFonts w:ascii="Arial" w:cs="Arial" w:eastAsia="Arial" w:hAnsi="Arial"/>
          <w:sz w:val="14"/>
          <w:szCs w:val="14"/>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34" w:lineRule="exact"/>
        <w:rPr>
          <w:sz w:val="20"/>
          <w:szCs w:val="20"/>
          <w:color w:val="auto"/>
        </w:rPr>
      </w:pPr>
    </w:p>
    <w:p>
      <w:pPr>
        <w:ind w:left="567" w:hanging="567"/>
        <w:spacing w:after="0"/>
        <w:tabs>
          <w:tab w:leader="none" w:pos="567" w:val="left"/>
        </w:tabs>
        <w:numPr>
          <w:ilvl w:val="0"/>
          <w:numId w:val="435"/>
        </w:numPr>
        <w:rPr>
          <w:rFonts w:ascii="Arial" w:cs="Arial" w:eastAsia="Arial" w:hAnsi="Arial"/>
          <w:sz w:val="16"/>
          <w:szCs w:val="16"/>
          <w:b w:val="1"/>
          <w:bCs w:val="1"/>
          <w:color w:val="auto"/>
        </w:rPr>
      </w:pPr>
      <w:r>
        <w:rPr>
          <w:rFonts w:ascii="Arial" w:cs="Arial" w:eastAsia="Arial" w:hAnsi="Arial"/>
          <w:sz w:val="16"/>
          <w:szCs w:val="16"/>
          <w:b w:val="1"/>
          <w:bCs w:val="1"/>
          <w:color w:val="auto"/>
        </w:rPr>
        <w:t>PRESUMPTIONS AND EFFECT OF CERTAIN PROCEEDINGS</w:t>
      </w:r>
    </w:p>
    <w:p>
      <w:pPr>
        <w:spacing w:after="0" w:line="217" w:lineRule="exact"/>
        <w:rPr>
          <w:rFonts w:ascii="Arial" w:cs="Arial" w:eastAsia="Arial" w:hAnsi="Arial"/>
          <w:sz w:val="16"/>
          <w:szCs w:val="16"/>
          <w:b w:val="1"/>
          <w:bCs w:val="1"/>
          <w:color w:val="auto"/>
        </w:rPr>
      </w:pPr>
    </w:p>
    <w:p>
      <w:pPr>
        <w:ind w:left="1127" w:hanging="568"/>
        <w:spacing w:after="0" w:line="284" w:lineRule="auto"/>
        <w:tabs>
          <w:tab w:leader="none" w:pos="1127" w:val="left"/>
        </w:tabs>
        <w:numPr>
          <w:ilvl w:val="1"/>
          <w:numId w:val="435"/>
        </w:numPr>
        <w:rPr>
          <w:rFonts w:ascii="Arial" w:cs="Arial" w:eastAsia="Arial" w:hAnsi="Arial"/>
          <w:sz w:val="14"/>
          <w:szCs w:val="14"/>
          <w:color w:val="auto"/>
        </w:rPr>
      </w:pPr>
      <w:r>
        <w:rPr>
          <w:rFonts w:ascii="Arial" w:cs="Arial" w:eastAsia="Arial" w:hAnsi="Arial"/>
          <w:sz w:val="14"/>
          <w:szCs w:val="14"/>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4" w:lineRule="exact"/>
        <w:rPr>
          <w:rFonts w:ascii="Arial" w:cs="Arial" w:eastAsia="Arial" w:hAnsi="Arial"/>
          <w:sz w:val="14"/>
          <w:szCs w:val="14"/>
          <w:color w:val="auto"/>
        </w:rPr>
      </w:pPr>
    </w:p>
    <w:p>
      <w:pPr>
        <w:ind w:left="1127" w:right="40" w:hanging="568"/>
        <w:spacing w:after="0" w:line="284" w:lineRule="auto"/>
        <w:tabs>
          <w:tab w:leader="none" w:pos="1127" w:val="left"/>
        </w:tabs>
        <w:numPr>
          <w:ilvl w:val="1"/>
          <w:numId w:val="435"/>
        </w:numPr>
        <w:rPr>
          <w:rFonts w:ascii="Arial" w:cs="Arial" w:eastAsia="Arial" w:hAnsi="Arial"/>
          <w:sz w:val="14"/>
          <w:szCs w:val="14"/>
          <w:color w:val="auto"/>
        </w:rPr>
      </w:pPr>
      <w:r>
        <w:rPr>
          <w:rFonts w:ascii="Arial" w:cs="Arial" w:eastAsia="Arial" w:hAnsi="Arial"/>
          <w:sz w:val="14"/>
          <w:szCs w:val="14"/>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51370" cy="146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3" w:right="319" w:bottom="1440" w:gutter="0" w:footer="0" w:header="0"/>
        </w:sectPr>
      </w:pPr>
    </w:p>
    <w:bookmarkStart w:id="406" w:name="page407"/>
    <w:bookmarkEnd w:id="406"/>
    <w:p>
      <w:pPr>
        <w:ind w:left="1127" w:right="200" w:hanging="568"/>
        <w:spacing w:after="0" w:line="294" w:lineRule="auto"/>
        <w:tabs>
          <w:tab w:leader="none" w:pos="1127" w:val="left"/>
        </w:tabs>
        <w:numPr>
          <w:ilvl w:val="1"/>
          <w:numId w:val="436"/>
        </w:numPr>
        <w:rPr>
          <w:rFonts w:ascii="Arial" w:cs="Arial" w:eastAsia="Arial" w:hAnsi="Arial"/>
          <w:sz w:val="14"/>
          <w:szCs w:val="14"/>
          <w:color w:val="auto"/>
        </w:rPr>
      </w:pPr>
      <w:r>
        <w:rPr>
          <w:rFonts w:ascii="Arial" w:cs="Arial" w:eastAsia="Arial" w:hAnsi="Arial"/>
          <w:sz w:val="14"/>
          <w:szCs w:val="14"/>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65" w:lineRule="exact"/>
        <w:rPr>
          <w:rFonts w:ascii="Arial" w:cs="Arial" w:eastAsia="Arial" w:hAnsi="Arial"/>
          <w:sz w:val="14"/>
          <w:szCs w:val="14"/>
          <w:color w:val="auto"/>
        </w:rPr>
      </w:pPr>
    </w:p>
    <w:p>
      <w:pPr>
        <w:ind w:left="1127" w:hanging="568"/>
        <w:spacing w:after="0" w:line="284" w:lineRule="auto"/>
        <w:tabs>
          <w:tab w:leader="none" w:pos="1127" w:val="left"/>
        </w:tabs>
        <w:numPr>
          <w:ilvl w:val="1"/>
          <w:numId w:val="436"/>
        </w:numPr>
        <w:rPr>
          <w:rFonts w:ascii="Arial" w:cs="Arial" w:eastAsia="Arial" w:hAnsi="Arial"/>
          <w:sz w:val="14"/>
          <w:szCs w:val="14"/>
          <w:color w:val="auto"/>
        </w:rPr>
      </w:pPr>
      <w:r>
        <w:rPr>
          <w:rFonts w:ascii="Arial" w:cs="Arial" w:eastAsia="Arial" w:hAnsi="Arial"/>
          <w:sz w:val="14"/>
          <w:szCs w:val="14"/>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managers, managing members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74" w:lineRule="exact"/>
        <w:rPr>
          <w:rFonts w:ascii="Arial" w:cs="Arial" w:eastAsia="Arial" w:hAnsi="Arial"/>
          <w:sz w:val="14"/>
          <w:szCs w:val="14"/>
          <w:color w:val="auto"/>
        </w:rPr>
      </w:pPr>
    </w:p>
    <w:p>
      <w:pPr>
        <w:ind w:left="1127" w:right="340" w:hanging="568"/>
        <w:spacing w:after="0" w:line="329" w:lineRule="auto"/>
        <w:tabs>
          <w:tab w:leader="none" w:pos="1127" w:val="left"/>
        </w:tabs>
        <w:numPr>
          <w:ilvl w:val="1"/>
          <w:numId w:val="436"/>
        </w:numPr>
        <w:rPr>
          <w:rFonts w:ascii="Arial" w:cs="Arial" w:eastAsia="Arial" w:hAnsi="Arial"/>
          <w:sz w:val="14"/>
          <w:szCs w:val="14"/>
          <w:color w:val="auto"/>
        </w:rPr>
      </w:pPr>
      <w:r>
        <w:rPr>
          <w:rFonts w:ascii="Arial" w:cs="Arial" w:eastAsia="Arial" w:hAnsi="Arial"/>
          <w:sz w:val="14"/>
          <w:szCs w:val="14"/>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34" w:lineRule="exact"/>
        <w:rPr>
          <w:rFonts w:ascii="Arial" w:cs="Arial" w:eastAsia="Arial" w:hAnsi="Arial"/>
          <w:sz w:val="14"/>
          <w:szCs w:val="14"/>
          <w:color w:val="auto"/>
        </w:rPr>
      </w:pPr>
    </w:p>
    <w:p>
      <w:pPr>
        <w:ind w:left="567" w:hanging="567"/>
        <w:spacing w:after="0"/>
        <w:tabs>
          <w:tab w:leader="none" w:pos="567"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REMEDIES OF INDEMNITEE</w:t>
      </w:r>
    </w:p>
    <w:p>
      <w:pPr>
        <w:spacing w:after="0" w:line="217" w:lineRule="exact"/>
        <w:rPr>
          <w:rFonts w:ascii="Arial" w:cs="Arial" w:eastAsia="Arial" w:hAnsi="Arial"/>
          <w:sz w:val="16"/>
          <w:szCs w:val="16"/>
          <w:b w:val="1"/>
          <w:bCs w:val="1"/>
          <w:color w:val="auto"/>
        </w:rPr>
      </w:pPr>
    </w:p>
    <w:p>
      <w:pPr>
        <w:ind w:left="1127" w:right="20" w:hanging="568"/>
        <w:spacing w:after="0" w:line="282" w:lineRule="auto"/>
        <w:tabs>
          <w:tab w:leader="none" w:pos="1127" w:val="left"/>
        </w:tabs>
        <w:numPr>
          <w:ilvl w:val="1"/>
          <w:numId w:val="437"/>
        </w:numPr>
        <w:rPr>
          <w:rFonts w:ascii="Arial" w:cs="Arial" w:eastAsia="Arial" w:hAnsi="Arial"/>
          <w:sz w:val="14"/>
          <w:szCs w:val="14"/>
          <w:color w:val="auto"/>
        </w:rPr>
      </w:pPr>
      <w:r>
        <w:rPr>
          <w:rFonts w:ascii="Arial" w:cs="Arial" w:eastAsia="Arial" w:hAnsi="Arial"/>
          <w:sz w:val="14"/>
          <w:szCs w:val="14"/>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Sections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Commercial Arbitration Rules and Mediation Procedures of the American Arbitration Association shall apply to any such arbitration. The Company shall not oppose Indemnitee’s right to seek any such adjudication or award in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51370" cy="146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129" w:right="319" w:bottom="1440" w:gutter="0" w:footer="0" w:header="0"/>
        </w:sectPr>
      </w:pPr>
    </w:p>
    <w:bookmarkStart w:id="407" w:name="page408"/>
    <w:bookmarkEnd w:id="407"/>
    <w:p>
      <w:pPr>
        <w:jc w:val="both"/>
        <w:ind w:left="568" w:right="100" w:hanging="568"/>
        <w:spacing w:after="0" w:line="250" w:lineRule="auto"/>
        <w:tabs>
          <w:tab w:leader="none" w:pos="568" w:val="left"/>
        </w:tabs>
        <w:numPr>
          <w:ilvl w:val="0"/>
          <w:numId w:val="438"/>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92" w:lineRule="exact"/>
        <w:rPr>
          <w:rFonts w:ascii="Arial" w:cs="Arial" w:eastAsia="Arial" w:hAnsi="Arial"/>
          <w:sz w:val="16"/>
          <w:szCs w:val="16"/>
          <w:color w:val="auto"/>
        </w:rPr>
      </w:pPr>
    </w:p>
    <w:p>
      <w:pPr>
        <w:ind w:left="568" w:right="20" w:hanging="568"/>
        <w:spacing w:after="0" w:line="287" w:lineRule="auto"/>
        <w:tabs>
          <w:tab w:leader="none" w:pos="568" w:val="left"/>
        </w:tabs>
        <w:numPr>
          <w:ilvl w:val="0"/>
          <w:numId w:val="438"/>
        </w:numPr>
        <w:rPr>
          <w:rFonts w:ascii="Arial" w:cs="Arial" w:eastAsia="Arial" w:hAnsi="Arial"/>
          <w:sz w:val="14"/>
          <w:szCs w:val="14"/>
          <w:color w:val="auto"/>
        </w:rPr>
      </w:pPr>
      <w:r>
        <w:rPr>
          <w:rFonts w:ascii="Arial" w:cs="Arial" w:eastAsia="Arial" w:hAnsi="Arial"/>
          <w:sz w:val="14"/>
          <w:szCs w:val="14"/>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71" w:lineRule="exact"/>
        <w:rPr>
          <w:rFonts w:ascii="Arial" w:cs="Arial" w:eastAsia="Arial" w:hAnsi="Arial"/>
          <w:sz w:val="14"/>
          <w:szCs w:val="14"/>
          <w:color w:val="auto"/>
        </w:rPr>
      </w:pPr>
    </w:p>
    <w:p>
      <w:pPr>
        <w:ind w:left="568" w:hanging="568"/>
        <w:spacing w:after="0" w:line="248" w:lineRule="auto"/>
        <w:tabs>
          <w:tab w:leader="none" w:pos="568" w:val="left"/>
        </w:tabs>
        <w:numPr>
          <w:ilvl w:val="0"/>
          <w:numId w:val="438"/>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93" w:lineRule="exact"/>
        <w:rPr>
          <w:rFonts w:ascii="Arial" w:cs="Arial" w:eastAsia="Arial" w:hAnsi="Arial"/>
          <w:sz w:val="16"/>
          <w:szCs w:val="16"/>
          <w:color w:val="auto"/>
        </w:rPr>
      </w:pPr>
    </w:p>
    <w:p>
      <w:pPr>
        <w:ind w:left="568" w:right="380" w:hanging="568"/>
        <w:spacing w:after="0" w:line="250" w:lineRule="auto"/>
        <w:tabs>
          <w:tab w:leader="none" w:pos="568"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92" w:lineRule="exact"/>
        <w:rPr>
          <w:rFonts w:ascii="Arial" w:cs="Arial" w:eastAsia="Arial" w:hAnsi="Arial"/>
          <w:sz w:val="16"/>
          <w:szCs w:val="16"/>
          <w:color w:val="auto"/>
        </w:rPr>
      </w:pPr>
    </w:p>
    <w:p>
      <w:pPr>
        <w:ind w:left="568" w:right="80" w:hanging="568"/>
        <w:spacing w:after="0" w:line="286" w:lineRule="auto"/>
        <w:tabs>
          <w:tab w:leader="none" w:pos="568" w:val="left"/>
        </w:tabs>
        <w:numPr>
          <w:ilvl w:val="0"/>
          <w:numId w:val="438"/>
        </w:numPr>
        <w:rPr>
          <w:rFonts w:ascii="Arial" w:cs="Arial" w:eastAsia="Arial" w:hAnsi="Arial"/>
          <w:sz w:val="14"/>
          <w:szCs w:val="14"/>
          <w:color w:val="auto"/>
        </w:rPr>
      </w:pPr>
      <w:r>
        <w:rPr>
          <w:rFonts w:ascii="Arial" w:cs="Arial" w:eastAsia="Arial" w:hAnsi="Arial"/>
          <w:sz w:val="14"/>
          <w:szCs w:val="14"/>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77470</wp:posOffset>
            </wp:positionV>
            <wp:extent cx="7151370" cy="146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668"/>
          </w:cols>
          <w:pgMar w:left="872" w:top="128" w:right="359" w:bottom="1440" w:gutter="0" w:footer="0" w:header="0"/>
        </w:sectPr>
      </w:pPr>
    </w:p>
    <w:bookmarkStart w:id="408" w:name="page409"/>
    <w:bookmarkEnd w:id="408"/>
    <w:p>
      <w:pPr>
        <w:ind w:left="1127" w:right="20" w:hanging="568"/>
        <w:spacing w:after="0" w:line="248" w:lineRule="auto"/>
        <w:tabs>
          <w:tab w:leader="none" w:pos="1127" w:val="left"/>
        </w:tabs>
        <w:numPr>
          <w:ilvl w:val="1"/>
          <w:numId w:val="439"/>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7" w:lineRule="exact"/>
        <w:rPr>
          <w:rFonts w:ascii="Arial" w:cs="Arial" w:eastAsia="Arial" w:hAnsi="Arial"/>
          <w:sz w:val="16"/>
          <w:szCs w:val="16"/>
          <w:color w:val="auto"/>
        </w:rPr>
      </w:pPr>
    </w:p>
    <w:p>
      <w:pPr>
        <w:ind w:left="567" w:hanging="567"/>
        <w:spacing w:after="0"/>
        <w:tabs>
          <w:tab w:leader="none" w:pos="567"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color w:val="auto"/>
        </w:rPr>
        <w:t>SECURITY</w:t>
      </w:r>
    </w:p>
    <w:p>
      <w:pPr>
        <w:spacing w:after="0" w:line="209" w:lineRule="exact"/>
        <w:rPr>
          <w:sz w:val="20"/>
          <w:szCs w:val="20"/>
          <w:color w:val="auto"/>
        </w:rPr>
      </w:pPr>
    </w:p>
    <w:p>
      <w:pPr>
        <w:jc w:val="both"/>
        <w:ind w:left="7" w:right="120" w:firstLine="559"/>
        <w:spacing w:after="0" w:line="237" w:lineRule="auto"/>
        <w:rPr>
          <w:sz w:val="20"/>
          <w:szCs w:val="20"/>
          <w:color w:val="auto"/>
        </w:rPr>
      </w:pPr>
      <w:r>
        <w:rPr>
          <w:rFonts w:ascii="Arial" w:cs="Arial" w:eastAsia="Arial" w:hAnsi="Arial"/>
          <w:sz w:val="19"/>
          <w:szCs w:val="19"/>
          <w:color w:val="auto"/>
        </w:rPr>
        <w:t>Notwithstanding anything herein to the contrary, but subject to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sz w:val="20"/>
          <w:szCs w:val="20"/>
          <w:color w:val="auto"/>
        </w:rPr>
      </w:pPr>
    </w:p>
    <w:p>
      <w:pPr>
        <w:ind w:left="567" w:hanging="567"/>
        <w:spacing w:after="0"/>
        <w:tabs>
          <w:tab w:leader="none" w:pos="567"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 SURVIVAL OF RIGHTS; INSURANCE; SUBROGATION; PRIORITY OF OBLIGATIONS</w:t>
      </w:r>
    </w:p>
    <w:p>
      <w:pPr>
        <w:spacing w:after="0" w:line="217" w:lineRule="exact"/>
        <w:rPr>
          <w:rFonts w:ascii="Arial" w:cs="Arial" w:eastAsia="Arial" w:hAnsi="Arial"/>
          <w:sz w:val="16"/>
          <w:szCs w:val="16"/>
          <w:b w:val="1"/>
          <w:bCs w:val="1"/>
          <w:color w:val="auto"/>
        </w:rPr>
      </w:pPr>
    </w:p>
    <w:p>
      <w:pPr>
        <w:ind w:left="1127" w:hanging="568"/>
        <w:spacing w:after="0" w:line="283" w:lineRule="auto"/>
        <w:tabs>
          <w:tab w:leader="none" w:pos="1127" w:val="left"/>
        </w:tabs>
        <w:numPr>
          <w:ilvl w:val="1"/>
          <w:numId w:val="441"/>
        </w:numPr>
        <w:rPr>
          <w:rFonts w:ascii="Arial" w:cs="Arial" w:eastAsia="Arial" w:hAnsi="Arial"/>
          <w:sz w:val="14"/>
          <w:szCs w:val="14"/>
          <w:color w:val="auto"/>
        </w:rPr>
      </w:pPr>
      <w:r>
        <w:rPr>
          <w:rFonts w:ascii="Arial" w:cs="Arial" w:eastAsia="Arial" w:hAnsi="Arial"/>
          <w:sz w:val="14"/>
          <w:szCs w:val="14"/>
          <w:color w:val="auto"/>
        </w:rPr>
        <w:t>The rights of Indemnitee as provided by this Agreement shall not be deemed exclusive of any other rights to which Indemnitee may at any time be entitled under applicable law, the Articles,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then this Agreement (without any further action by the parties hereto) shall automatically be deemed to be amended to require that the Company indemnify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151370" cy="146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7"/>
          </w:cols>
          <w:pgMar w:left="313" w:top="128" w:right="379" w:bottom="1440" w:gutter="0" w:footer="0" w:header="0"/>
        </w:sectPr>
      </w:pPr>
    </w:p>
    <w:bookmarkStart w:id="409" w:name="page410"/>
    <w:bookmarkEnd w:id="409"/>
    <w:p>
      <w:pPr>
        <w:ind w:left="568" w:right="60" w:hanging="568"/>
        <w:spacing w:after="0" w:line="286" w:lineRule="auto"/>
        <w:tabs>
          <w:tab w:leader="none" w:pos="568" w:val="left"/>
        </w:tabs>
        <w:numPr>
          <w:ilvl w:val="0"/>
          <w:numId w:val="442"/>
        </w:numPr>
        <w:rPr>
          <w:rFonts w:ascii="Arial" w:cs="Arial" w:eastAsia="Arial" w:hAnsi="Arial"/>
          <w:sz w:val="14"/>
          <w:szCs w:val="14"/>
          <w:color w:val="auto"/>
        </w:rPr>
      </w:pPr>
      <w:r>
        <w:rPr>
          <w:rFonts w:ascii="Arial" w:cs="Arial" w:eastAsia="Arial" w:hAnsi="Arial"/>
          <w:sz w:val="14"/>
          <w:szCs w:val="14"/>
          <w:color w:val="auto"/>
        </w:rPr>
        <w:t>The Articles permit the Company to purchase and maintain insurance or furnish similar protection or make other arrangements including, but not limited to, providing a trust fund, letter of credit, or surety bond (“</w:t>
      </w:r>
      <w:r>
        <w:rPr>
          <w:rFonts w:ascii="Arial" w:cs="Arial" w:eastAsia="Arial" w:hAnsi="Arial"/>
          <w:sz w:val="14"/>
          <w:szCs w:val="14"/>
          <w:b w:val="1"/>
          <w:bCs w:val="1"/>
          <w:i w:val="1"/>
          <w:iCs w:val="1"/>
          <w:color w:val="auto"/>
        </w:rPr>
        <w:t>Indemnification Arrangements</w:t>
      </w:r>
      <w:r>
        <w:rPr>
          <w:rFonts w:ascii="Arial" w:cs="Arial" w:eastAsia="Arial" w:hAnsi="Arial"/>
          <w:sz w:val="14"/>
          <w:szCs w:val="14"/>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and the Articles.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9" w:lineRule="exact"/>
        <w:rPr>
          <w:rFonts w:ascii="Arial" w:cs="Arial" w:eastAsia="Arial" w:hAnsi="Arial"/>
          <w:sz w:val="14"/>
          <w:szCs w:val="14"/>
          <w:color w:val="auto"/>
        </w:rPr>
      </w:pPr>
    </w:p>
    <w:p>
      <w:pPr>
        <w:ind w:left="568" w:right="60" w:hanging="568"/>
        <w:spacing w:after="0" w:line="284" w:lineRule="auto"/>
        <w:tabs>
          <w:tab w:leader="none" w:pos="568" w:val="left"/>
        </w:tabs>
        <w:numPr>
          <w:ilvl w:val="0"/>
          <w:numId w:val="442"/>
        </w:numPr>
        <w:rPr>
          <w:rFonts w:ascii="Arial" w:cs="Arial" w:eastAsia="Arial" w:hAnsi="Arial"/>
          <w:sz w:val="14"/>
          <w:szCs w:val="14"/>
          <w:color w:val="auto"/>
        </w:rPr>
      </w:pPr>
      <w:r>
        <w:rPr>
          <w:rFonts w:ascii="Arial" w:cs="Arial" w:eastAsia="Arial" w:hAnsi="Arial"/>
          <w:sz w:val="14"/>
          <w:szCs w:val="14"/>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74" w:lineRule="exact"/>
        <w:rPr>
          <w:rFonts w:ascii="Arial" w:cs="Arial" w:eastAsia="Arial" w:hAnsi="Arial"/>
          <w:sz w:val="14"/>
          <w:szCs w:val="14"/>
          <w:color w:val="auto"/>
        </w:rPr>
      </w:pPr>
    </w:p>
    <w:p>
      <w:pPr>
        <w:ind w:left="568" w:hanging="568"/>
        <w:spacing w:after="0" w:line="248" w:lineRule="auto"/>
        <w:tabs>
          <w:tab w:leader="none" w:pos="568"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93" w:lineRule="exact"/>
        <w:rPr>
          <w:rFonts w:ascii="Arial" w:cs="Arial" w:eastAsia="Arial" w:hAnsi="Arial"/>
          <w:sz w:val="16"/>
          <w:szCs w:val="16"/>
          <w:color w:val="auto"/>
        </w:rPr>
      </w:pPr>
    </w:p>
    <w:p>
      <w:pPr>
        <w:ind w:left="568" w:right="100" w:hanging="568"/>
        <w:spacing w:after="0" w:line="284" w:lineRule="auto"/>
        <w:tabs>
          <w:tab w:leader="none" w:pos="568" w:val="left"/>
        </w:tabs>
        <w:numPr>
          <w:ilvl w:val="0"/>
          <w:numId w:val="442"/>
        </w:numPr>
        <w:rPr>
          <w:rFonts w:ascii="Arial" w:cs="Arial" w:eastAsia="Arial" w:hAnsi="Arial"/>
          <w:sz w:val="14"/>
          <w:szCs w:val="14"/>
          <w:color w:val="auto"/>
        </w:rPr>
      </w:pPr>
      <w:r>
        <w:rPr>
          <w:rFonts w:ascii="Arial" w:cs="Arial" w:eastAsia="Arial" w:hAnsi="Arial"/>
          <w:sz w:val="14"/>
          <w:szCs w:val="14"/>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but subject to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80645</wp:posOffset>
            </wp:positionV>
            <wp:extent cx="7151370" cy="146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688"/>
          </w:cols>
          <w:pgMar w:left="872" w:top="129" w:right="339" w:bottom="1440" w:gutter="0" w:footer="0" w:header="0"/>
        </w:sectPr>
      </w:pPr>
    </w:p>
    <w:bookmarkStart w:id="410" w:name="page411"/>
    <w:bookmarkEnd w:id="410"/>
    <w:p>
      <w:pPr>
        <w:ind w:left="1127" w:right="360" w:hanging="568"/>
        <w:spacing w:after="0" w:line="258" w:lineRule="auto"/>
        <w:tabs>
          <w:tab w:leader="none" w:pos="1127" w:val="left"/>
        </w:tabs>
        <w:numPr>
          <w:ilvl w:val="1"/>
          <w:numId w:val="443"/>
        </w:numPr>
        <w:rPr>
          <w:rFonts w:ascii="Arial" w:cs="Arial" w:eastAsia="Arial" w:hAnsi="Arial"/>
          <w:sz w:val="16"/>
          <w:szCs w:val="16"/>
          <w:color w:val="auto"/>
        </w:rPr>
      </w:pPr>
      <w:r>
        <w:rPr>
          <w:rFonts w:ascii="Arial" w:cs="Arial" w:eastAsia="Arial" w:hAnsi="Arial"/>
          <w:sz w:val="16"/>
          <w:szCs w:val="16"/>
          <w:color w:val="auto"/>
        </w:rPr>
        <w:t>Notwithstanding anything contained herein, the Company is the primary indemnitor, and any indemnification or advancement obligation of the Sponsor or its affiliates or members or any other Person is secondary.</w:t>
      </w:r>
    </w:p>
    <w:p>
      <w:pPr>
        <w:spacing w:after="0" w:line="180" w:lineRule="exact"/>
        <w:rPr>
          <w:rFonts w:ascii="Arial" w:cs="Arial" w:eastAsia="Arial" w:hAnsi="Arial"/>
          <w:sz w:val="16"/>
          <w:szCs w:val="16"/>
          <w:color w:val="auto"/>
        </w:rPr>
      </w:pPr>
    </w:p>
    <w:p>
      <w:pPr>
        <w:ind w:left="567" w:hanging="567"/>
        <w:spacing w:after="0"/>
        <w:tabs>
          <w:tab w:leader="none" w:pos="567"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p>
    <w:p>
      <w:pPr>
        <w:spacing w:after="0" w:line="209" w:lineRule="exact"/>
        <w:rPr>
          <w:sz w:val="20"/>
          <w:szCs w:val="20"/>
          <w:color w:val="auto"/>
        </w:rPr>
      </w:pPr>
    </w:p>
    <w:p>
      <w:pPr>
        <w:jc w:val="both"/>
        <w:ind w:left="7" w:right="60" w:firstLine="559"/>
        <w:spacing w:after="0" w:line="267" w:lineRule="auto"/>
        <w:rPr>
          <w:sz w:val="20"/>
          <w:szCs w:val="20"/>
          <w:color w:val="auto"/>
        </w:rPr>
      </w:pPr>
      <w:r>
        <w:rPr>
          <w:rFonts w:ascii="Arial" w:cs="Arial" w:eastAsia="Arial" w:hAnsi="Arial"/>
          <w:sz w:val="17"/>
          <w:szCs w:val="17"/>
          <w:color w:val="auto"/>
        </w:rPr>
        <w:t>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64" w:lineRule="exact"/>
        <w:rPr>
          <w:sz w:val="20"/>
          <w:szCs w:val="20"/>
          <w:color w:val="auto"/>
        </w:rPr>
      </w:pPr>
    </w:p>
    <w:p>
      <w:pPr>
        <w:ind w:left="567" w:hanging="567"/>
        <w:spacing w:after="0"/>
        <w:tabs>
          <w:tab w:leader="none" w:pos="567"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09" w:lineRule="exact"/>
        <w:rPr>
          <w:sz w:val="20"/>
          <w:szCs w:val="20"/>
          <w:color w:val="auto"/>
        </w:rPr>
      </w:pPr>
    </w:p>
    <w:p>
      <w:pPr>
        <w:ind w:left="7" w:firstLine="559"/>
        <w:spacing w:after="0" w:line="247" w:lineRule="auto"/>
        <w:rPr>
          <w:sz w:val="20"/>
          <w:szCs w:val="20"/>
          <w:color w:val="auto"/>
        </w:rPr>
      </w:pPr>
      <w:r>
        <w:rPr>
          <w:rFonts w:ascii="Arial" w:cs="Arial" w:eastAsia="Arial" w:hAnsi="Arial"/>
          <w:sz w:val="18"/>
          <w:szCs w:val="18"/>
          <w:color w:val="auto"/>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3" w:lineRule="exact"/>
        <w:rPr>
          <w:sz w:val="20"/>
          <w:szCs w:val="20"/>
          <w:color w:val="auto"/>
        </w:rPr>
      </w:pPr>
    </w:p>
    <w:p>
      <w:pPr>
        <w:ind w:left="567" w:hanging="567"/>
        <w:spacing w:after="0"/>
        <w:tabs>
          <w:tab w:leader="none" w:pos="567" w:val="left"/>
        </w:tabs>
        <w:numPr>
          <w:ilvl w:val="0"/>
          <w:numId w:val="446"/>
        </w:numPr>
        <w:rPr>
          <w:rFonts w:ascii="Arial" w:cs="Arial" w:eastAsia="Arial" w:hAnsi="Arial"/>
          <w:sz w:val="16"/>
          <w:szCs w:val="16"/>
          <w:b w:val="1"/>
          <w:bCs w:val="1"/>
          <w:color w:val="auto"/>
        </w:rPr>
      </w:pPr>
      <w:r>
        <w:rPr>
          <w:rFonts w:ascii="Arial" w:cs="Arial" w:eastAsia="Arial" w:hAnsi="Arial"/>
          <w:sz w:val="16"/>
          <w:szCs w:val="16"/>
          <w:b w:val="1"/>
          <w:bCs w:val="1"/>
          <w:color w:val="auto"/>
        </w:rPr>
        <w:t>ENFORCEMENT AND BINDING EFFECT</w:t>
      </w:r>
    </w:p>
    <w:p>
      <w:pPr>
        <w:spacing w:after="0" w:line="217" w:lineRule="exact"/>
        <w:rPr>
          <w:rFonts w:ascii="Arial" w:cs="Arial" w:eastAsia="Arial" w:hAnsi="Arial"/>
          <w:sz w:val="16"/>
          <w:szCs w:val="16"/>
          <w:b w:val="1"/>
          <w:bCs w:val="1"/>
          <w:color w:val="auto"/>
        </w:rPr>
      </w:pPr>
    </w:p>
    <w:p>
      <w:pPr>
        <w:ind w:left="1127" w:right="320" w:hanging="568"/>
        <w:spacing w:after="0" w:line="250" w:lineRule="auto"/>
        <w:tabs>
          <w:tab w:leader="none" w:pos="1127" w:val="left"/>
        </w:tabs>
        <w:numPr>
          <w:ilvl w:val="1"/>
          <w:numId w:val="446"/>
        </w:numPr>
        <w:rPr>
          <w:rFonts w:ascii="Arial" w:cs="Arial" w:eastAsia="Arial" w:hAnsi="Arial"/>
          <w:sz w:val="16"/>
          <w:szCs w:val="16"/>
          <w:color w:val="auto"/>
        </w:rPr>
      </w:pPr>
      <w:r>
        <w:rPr>
          <w:rFonts w:ascii="Arial" w:cs="Arial" w:eastAsia="Arial" w:hAnsi="Arial"/>
          <w:sz w:val="16"/>
          <w:szCs w:val="16"/>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51370" cy="146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129" w:right="339" w:bottom="1440" w:gutter="0" w:footer="0" w:header="0"/>
        </w:sectPr>
      </w:pPr>
    </w:p>
    <w:bookmarkStart w:id="411" w:name="page412"/>
    <w:bookmarkEnd w:id="411"/>
    <w:p>
      <w:pPr>
        <w:ind w:left="568" w:right="80" w:hanging="568"/>
        <w:spacing w:after="0" w:line="250" w:lineRule="auto"/>
        <w:tabs>
          <w:tab w:leader="none" w:pos="568" w:val="left"/>
        </w:tabs>
        <w:numPr>
          <w:ilvl w:val="0"/>
          <w:numId w:val="447"/>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Articles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92" w:lineRule="exact"/>
        <w:rPr>
          <w:rFonts w:ascii="Arial" w:cs="Arial" w:eastAsia="Arial" w:hAnsi="Arial"/>
          <w:sz w:val="16"/>
          <w:szCs w:val="16"/>
          <w:color w:val="auto"/>
        </w:rPr>
      </w:pPr>
    </w:p>
    <w:p>
      <w:pPr>
        <w:ind w:left="568" w:right="40" w:hanging="568"/>
        <w:spacing w:after="0" w:line="245" w:lineRule="auto"/>
        <w:tabs>
          <w:tab w:leader="none" w:pos="568"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99" w:lineRule="exact"/>
        <w:rPr>
          <w:rFonts w:ascii="Arial" w:cs="Arial" w:eastAsia="Arial" w:hAnsi="Arial"/>
          <w:sz w:val="16"/>
          <w:szCs w:val="16"/>
          <w:color w:val="auto"/>
        </w:rPr>
      </w:pPr>
    </w:p>
    <w:p>
      <w:pPr>
        <w:ind w:left="568" w:right="60" w:hanging="568"/>
        <w:spacing w:after="0" w:line="336" w:lineRule="auto"/>
        <w:tabs>
          <w:tab w:leader="none" w:pos="568" w:val="left"/>
        </w:tabs>
        <w:numPr>
          <w:ilvl w:val="0"/>
          <w:numId w:val="447"/>
        </w:numPr>
        <w:rPr>
          <w:rFonts w:ascii="Arial" w:cs="Arial" w:eastAsia="Arial" w:hAnsi="Arial"/>
          <w:sz w:val="13"/>
          <w:szCs w:val="13"/>
          <w:color w:val="auto"/>
        </w:rPr>
      </w:pPr>
      <w:r>
        <w:rPr>
          <w:rFonts w:ascii="Arial" w:cs="Arial" w:eastAsia="Arial" w:hAnsi="Arial"/>
          <w:sz w:val="13"/>
          <w:szCs w:val="13"/>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39" w:lineRule="exact"/>
        <w:rPr>
          <w:rFonts w:ascii="Arial" w:cs="Arial" w:eastAsia="Arial" w:hAnsi="Arial"/>
          <w:sz w:val="13"/>
          <w:szCs w:val="13"/>
          <w:color w:val="auto"/>
        </w:rPr>
      </w:pPr>
    </w:p>
    <w:p>
      <w:pPr>
        <w:ind w:left="568" w:hanging="568"/>
        <w:spacing w:after="0" w:line="284" w:lineRule="auto"/>
        <w:tabs>
          <w:tab w:leader="none" w:pos="568" w:val="left"/>
        </w:tabs>
        <w:numPr>
          <w:ilvl w:val="0"/>
          <w:numId w:val="447"/>
        </w:numPr>
        <w:rPr>
          <w:rFonts w:ascii="Arial" w:cs="Arial" w:eastAsia="Arial" w:hAnsi="Arial"/>
          <w:sz w:val="14"/>
          <w:szCs w:val="14"/>
          <w:color w:val="auto"/>
        </w:rPr>
      </w:pPr>
      <w:r>
        <w:rPr>
          <w:rFonts w:ascii="Arial" w:cs="Arial" w:eastAsia="Arial" w:hAnsi="Arial"/>
          <w:sz w:val="14"/>
          <w:szCs w:val="14"/>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78105</wp:posOffset>
            </wp:positionV>
            <wp:extent cx="7151370" cy="146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708"/>
          </w:cols>
          <w:pgMar w:left="872" w:top="128" w:right="319" w:bottom="1440" w:gutter="0" w:footer="0" w:header="0"/>
        </w:sectPr>
      </w:pPr>
    </w:p>
    <w:bookmarkStart w:id="412" w:name="page413"/>
    <w:bookmarkEnd w:id="412"/>
    <w:p>
      <w:pPr>
        <w:ind w:left="567" w:hanging="567"/>
        <w:spacing w:after="0"/>
        <w:tabs>
          <w:tab w:leader="none" w:pos="567" w:val="left"/>
        </w:tabs>
        <w:numPr>
          <w:ilvl w:val="0"/>
          <w:numId w:val="448"/>
        </w:numPr>
        <w:rPr>
          <w:rFonts w:ascii="Arial" w:cs="Arial" w:eastAsia="Arial" w:hAnsi="Arial"/>
          <w:sz w:val="16"/>
          <w:szCs w:val="16"/>
          <w:b w:val="1"/>
          <w:bCs w:val="1"/>
          <w:color w:val="auto"/>
        </w:rPr>
      </w:pPr>
      <w:r>
        <w:rPr>
          <w:rFonts w:ascii="Arial" w:cs="Arial" w:eastAsia="Arial" w:hAnsi="Arial"/>
          <w:sz w:val="16"/>
          <w:szCs w:val="16"/>
          <w:b w:val="1"/>
          <w:bCs w:val="1"/>
          <w:color w:val="auto"/>
        </w:rPr>
        <w:t>MODIFICATION AND WAIVER</w:t>
      </w:r>
    </w:p>
    <w:p>
      <w:pPr>
        <w:spacing w:after="0" w:line="209" w:lineRule="exact"/>
        <w:rPr>
          <w:sz w:val="20"/>
          <w:szCs w:val="20"/>
          <w:color w:val="auto"/>
        </w:rPr>
      </w:pPr>
    </w:p>
    <w:p>
      <w:pPr>
        <w:ind w:left="7" w:right="80" w:firstLine="559"/>
        <w:spacing w:after="0"/>
        <w:rPr>
          <w:sz w:val="20"/>
          <w:szCs w:val="20"/>
          <w:color w:val="auto"/>
        </w:rPr>
      </w:pPr>
      <w:r>
        <w:rPr>
          <w:rFonts w:ascii="Arial" w:cs="Arial" w:eastAsia="Arial" w:hAnsi="Arial"/>
          <w:sz w:val="19"/>
          <w:szCs w:val="19"/>
          <w:color w:val="auto"/>
        </w:rPr>
        <w:t>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85" w:lineRule="exact"/>
        <w:rPr>
          <w:sz w:val="20"/>
          <w:szCs w:val="20"/>
          <w:color w:val="auto"/>
        </w:rPr>
      </w:pPr>
    </w:p>
    <w:p>
      <w:pPr>
        <w:ind w:left="567" w:hanging="567"/>
        <w:spacing w:after="0"/>
        <w:tabs>
          <w:tab w:leader="none" w:pos="567" w:val="left"/>
        </w:tabs>
        <w:numPr>
          <w:ilvl w:val="0"/>
          <w:numId w:val="449"/>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09" w:lineRule="exact"/>
        <w:rPr>
          <w:sz w:val="20"/>
          <w:szCs w:val="20"/>
          <w:color w:val="auto"/>
        </w:rPr>
      </w:pPr>
    </w:p>
    <w:p>
      <w:pPr>
        <w:ind w:left="7" w:right="80" w:firstLine="559"/>
        <w:spacing w:after="0" w:line="260" w:lineRule="auto"/>
        <w:rPr>
          <w:sz w:val="20"/>
          <w:szCs w:val="20"/>
          <w:color w:val="auto"/>
        </w:rPr>
      </w:pPr>
      <w:r>
        <w:rPr>
          <w:rFonts w:ascii="Arial" w:cs="Arial" w:eastAsia="Arial" w:hAnsi="Arial"/>
          <w:sz w:val="18"/>
          <w:szCs w:val="18"/>
          <w:color w:val="auto"/>
        </w:rPr>
        <w:t>All notices, requests, demands and other communications under this Agreement shall be in writing and shall be deemed to have been duly 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3" w:lineRule="exact"/>
        <w:rPr>
          <w:sz w:val="20"/>
          <w:szCs w:val="20"/>
          <w:color w:val="auto"/>
        </w:rPr>
      </w:pPr>
    </w:p>
    <w:p>
      <w:pPr>
        <w:ind w:left="1127" w:hanging="568"/>
        <w:spacing w:after="0"/>
        <w:tabs>
          <w:tab w:leader="none" w:pos="1127" w:val="left"/>
        </w:tabs>
        <w:numPr>
          <w:ilvl w:val="0"/>
          <w:numId w:val="450"/>
        </w:numPr>
        <w:rPr>
          <w:rFonts w:ascii="Arial" w:cs="Arial" w:eastAsia="Arial" w:hAnsi="Arial"/>
          <w:sz w:val="14"/>
          <w:szCs w:val="14"/>
          <w:color w:val="auto"/>
        </w:rPr>
      </w:pPr>
      <w:r>
        <w:rPr>
          <w:rFonts w:ascii="Arial" w:cs="Arial" w:eastAsia="Arial" w:hAnsi="Arial"/>
          <w:sz w:val="14"/>
          <w:szCs w:val="14"/>
          <w:color w:val="auto"/>
        </w:rPr>
        <w:t>If to Indemnitee, at the address indicated on the signature page of this Agreement, or such other address as Indemnitee shall provide in writing to the Company.</w:t>
      </w:r>
    </w:p>
    <w:p>
      <w:pPr>
        <w:spacing w:after="0" w:line="234" w:lineRule="exact"/>
        <w:rPr>
          <w:rFonts w:ascii="Arial" w:cs="Arial" w:eastAsia="Arial" w:hAnsi="Arial"/>
          <w:sz w:val="14"/>
          <w:szCs w:val="14"/>
          <w:color w:val="auto"/>
        </w:rPr>
      </w:pPr>
    </w:p>
    <w:p>
      <w:pPr>
        <w:ind w:left="1127" w:hanging="568"/>
        <w:spacing w:after="0"/>
        <w:tabs>
          <w:tab w:leader="none" w:pos="1127" w:val="left"/>
        </w:tabs>
        <w:numPr>
          <w:ilvl w:val="0"/>
          <w:numId w:val="450"/>
        </w:numPr>
        <w:rPr>
          <w:rFonts w:ascii="Arial" w:cs="Arial" w:eastAsia="Arial" w:hAnsi="Arial"/>
          <w:sz w:val="16"/>
          <w:szCs w:val="16"/>
          <w:color w:val="auto"/>
        </w:rPr>
      </w:pPr>
      <w:r>
        <w:rPr>
          <w:rFonts w:ascii="Arial" w:cs="Arial" w:eastAsia="Arial" w:hAnsi="Arial"/>
          <w:sz w:val="16"/>
          <w:szCs w:val="16"/>
          <w:color w:val="auto"/>
        </w:rPr>
        <w:t>If to the Company, to:</w:t>
      </w:r>
    </w:p>
    <w:p>
      <w:pPr>
        <w:spacing w:after="0" w:line="203"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ARYA Sciences Acquisition Corp III</w:t>
      </w:r>
    </w:p>
    <w:p>
      <w:pPr>
        <w:ind w:left="1127"/>
        <w:spacing w:after="0" w:line="237" w:lineRule="auto"/>
        <w:rPr>
          <w:sz w:val="20"/>
          <w:szCs w:val="20"/>
          <w:color w:val="auto"/>
        </w:rPr>
      </w:pPr>
      <w:r>
        <w:rPr>
          <w:rFonts w:ascii="Arial" w:cs="Arial" w:eastAsia="Arial" w:hAnsi="Arial"/>
          <w:sz w:val="19"/>
          <w:szCs w:val="19"/>
          <w:color w:val="auto"/>
        </w:rPr>
        <w:t>51 Astor Place, 10th Floor</w:t>
      </w:r>
    </w:p>
    <w:p>
      <w:pPr>
        <w:ind w:left="1127"/>
        <w:spacing w:after="0" w:line="230" w:lineRule="auto"/>
        <w:rPr>
          <w:sz w:val="20"/>
          <w:szCs w:val="20"/>
          <w:color w:val="auto"/>
        </w:rPr>
      </w:pPr>
      <w:r>
        <w:rPr>
          <w:rFonts w:ascii="Arial" w:cs="Arial" w:eastAsia="Arial" w:hAnsi="Arial"/>
          <w:sz w:val="19"/>
          <w:szCs w:val="19"/>
          <w:color w:val="auto"/>
        </w:rPr>
        <w:t>New York, New York 10003</w:t>
      </w:r>
    </w:p>
    <w:p>
      <w:pPr>
        <w:spacing w:after="0" w:line="1" w:lineRule="exact"/>
        <w:rPr>
          <w:sz w:val="20"/>
          <w:szCs w:val="20"/>
          <w:color w:val="auto"/>
        </w:rPr>
      </w:pPr>
    </w:p>
    <w:p>
      <w:pPr>
        <w:ind w:left="1127"/>
        <w:spacing w:after="0"/>
        <w:tabs>
          <w:tab w:leader="none" w:pos="2047"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6"/>
          <w:szCs w:val="16"/>
          <w:color w:val="auto"/>
        </w:rPr>
        <w:t>Adam Stone</w:t>
      </w:r>
    </w:p>
    <w:p>
      <w:pPr>
        <w:spacing w:after="0" w:line="184"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With a copy, which shall not constitute notice, to:</w:t>
      </w:r>
    </w:p>
    <w:p>
      <w:pPr>
        <w:spacing w:after="0" w:line="200"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Kirkland &amp; Ellis LLP</w:t>
      </w:r>
    </w:p>
    <w:p>
      <w:pPr>
        <w:ind w:left="1127"/>
        <w:spacing w:after="0" w:line="237" w:lineRule="auto"/>
        <w:rPr>
          <w:sz w:val="20"/>
          <w:szCs w:val="20"/>
          <w:color w:val="auto"/>
        </w:rPr>
      </w:pPr>
      <w:r>
        <w:rPr>
          <w:rFonts w:ascii="Arial" w:cs="Arial" w:eastAsia="Arial" w:hAnsi="Arial"/>
          <w:sz w:val="19"/>
          <w:szCs w:val="19"/>
          <w:color w:val="auto"/>
        </w:rPr>
        <w:t>601 Lexington Avenue</w:t>
      </w:r>
    </w:p>
    <w:p>
      <w:pPr>
        <w:ind w:left="1127"/>
        <w:spacing w:after="0" w:line="230" w:lineRule="auto"/>
        <w:rPr>
          <w:sz w:val="20"/>
          <w:szCs w:val="20"/>
          <w:color w:val="auto"/>
        </w:rPr>
      </w:pPr>
      <w:r>
        <w:rPr>
          <w:rFonts w:ascii="Arial" w:cs="Arial" w:eastAsia="Arial" w:hAnsi="Arial"/>
          <w:sz w:val="19"/>
          <w:szCs w:val="19"/>
          <w:color w:val="auto"/>
        </w:rPr>
        <w:t>New York, New York 10022</w:t>
      </w:r>
    </w:p>
    <w:p>
      <w:pPr>
        <w:ind w:left="1127"/>
        <w:spacing w:after="0" w:line="230" w:lineRule="auto"/>
        <w:tabs>
          <w:tab w:leader="none" w:pos="1947"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Christian O. Nagler</w:t>
      </w:r>
    </w:p>
    <w:p>
      <w:pPr>
        <w:spacing w:after="0" w:line="1" w:lineRule="exact"/>
        <w:rPr>
          <w:sz w:val="20"/>
          <w:szCs w:val="20"/>
          <w:color w:val="auto"/>
        </w:rPr>
      </w:pPr>
    </w:p>
    <w:p>
      <w:pPr>
        <w:ind w:left="1947"/>
        <w:spacing w:after="0"/>
        <w:rPr>
          <w:sz w:val="20"/>
          <w:szCs w:val="20"/>
          <w:color w:val="auto"/>
        </w:rPr>
      </w:pPr>
      <w:r>
        <w:rPr>
          <w:rFonts w:ascii="Arial" w:cs="Arial" w:eastAsia="Arial" w:hAnsi="Arial"/>
          <w:sz w:val="19"/>
          <w:szCs w:val="19"/>
          <w:color w:val="auto"/>
        </w:rPr>
        <w:t>Ross M. Leff</w:t>
      </w:r>
    </w:p>
    <w:p>
      <w:pPr>
        <w:spacing w:after="0" w:line="184" w:lineRule="exact"/>
        <w:rPr>
          <w:sz w:val="20"/>
          <w:szCs w:val="20"/>
          <w:color w:val="auto"/>
        </w:rPr>
      </w:pPr>
    </w:p>
    <w:p>
      <w:pPr>
        <w:ind w:left="567"/>
        <w:spacing w:after="0"/>
        <w:rPr>
          <w:sz w:val="20"/>
          <w:szCs w:val="20"/>
          <w:color w:val="auto"/>
        </w:rPr>
      </w:pPr>
      <w:r>
        <w:rPr>
          <w:rFonts w:ascii="Arial" w:cs="Arial" w:eastAsia="Arial" w:hAnsi="Arial"/>
          <w:sz w:val="19"/>
          <w:szCs w:val="19"/>
          <w:color w:val="auto"/>
        </w:rPr>
        <w:t>or to any other address as may have been furnished to Indemnitee in writing by the Company.</w:t>
      </w:r>
    </w:p>
    <w:p>
      <w:pPr>
        <w:spacing w:after="0" w:line="203" w:lineRule="exact"/>
        <w:rPr>
          <w:sz w:val="20"/>
          <w:szCs w:val="20"/>
          <w:color w:val="auto"/>
        </w:rPr>
      </w:pPr>
    </w:p>
    <w:p>
      <w:pPr>
        <w:ind w:left="567" w:hanging="567"/>
        <w:spacing w:after="0"/>
        <w:tabs>
          <w:tab w:leader="none" w:pos="567" w:val="left"/>
        </w:tabs>
        <w:numPr>
          <w:ilvl w:val="0"/>
          <w:numId w:val="451"/>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p>
    <w:p>
      <w:pPr>
        <w:spacing w:after="0" w:line="209" w:lineRule="exact"/>
        <w:rPr>
          <w:sz w:val="20"/>
          <w:szCs w:val="20"/>
          <w:color w:val="auto"/>
        </w:rPr>
      </w:pPr>
    </w:p>
    <w:p>
      <w:pPr>
        <w:ind w:left="7" w:firstLine="559"/>
        <w:spacing w:after="0" w:line="262" w:lineRule="auto"/>
        <w:rPr>
          <w:sz w:val="20"/>
          <w:szCs w:val="20"/>
          <w:color w:val="auto"/>
        </w:rPr>
      </w:pPr>
      <w:r>
        <w:rPr>
          <w:rFonts w:ascii="Arial" w:cs="Arial" w:eastAsia="Arial" w:hAnsi="Arial"/>
          <w:sz w:val="17"/>
          <w:szCs w:val="17"/>
          <w:color w:val="auto"/>
        </w:rPr>
        <w:t>This Agreement and the legal relations among the parties shall be governed by, and construed and enforced in accordance with, the laws of the State of New York,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51370" cy="146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87"/>
          </w:cols>
          <w:pgMar w:left="313" w:top="122" w:right="399" w:bottom="1440" w:gutter="0" w:footer="0" w:header="0"/>
        </w:sectPr>
      </w:pPr>
    </w:p>
    <w:bookmarkStart w:id="413" w:name="page414"/>
    <w:bookmarkEnd w:id="413"/>
    <w:p>
      <w:pPr>
        <w:ind w:left="567" w:hanging="567"/>
        <w:spacing w:after="0"/>
        <w:tabs>
          <w:tab w:leader="none" w:pos="567"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color w:val="auto"/>
        </w:rPr>
        <w:t>IDENTICAL COUNTERPARTS</w:t>
      </w:r>
    </w:p>
    <w:p>
      <w:pPr>
        <w:spacing w:after="0" w:line="209" w:lineRule="exact"/>
        <w:rPr>
          <w:sz w:val="20"/>
          <w:szCs w:val="20"/>
          <w:color w:val="auto"/>
        </w:rPr>
      </w:pPr>
    </w:p>
    <w:p>
      <w:pPr>
        <w:ind w:left="7" w:firstLine="559"/>
        <w:spacing w:after="0"/>
        <w:rPr>
          <w:sz w:val="20"/>
          <w:szCs w:val="20"/>
          <w:color w:val="auto"/>
        </w:rPr>
      </w:pPr>
      <w:r>
        <w:rPr>
          <w:rFonts w:ascii="Arial" w:cs="Arial" w:eastAsia="Arial" w:hAnsi="Arial"/>
          <w:sz w:val="19"/>
          <w:szCs w:val="19"/>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5" w:lineRule="exact"/>
        <w:rPr>
          <w:sz w:val="20"/>
          <w:szCs w:val="20"/>
          <w:color w:val="auto"/>
        </w:rPr>
      </w:pPr>
    </w:p>
    <w:p>
      <w:pPr>
        <w:ind w:left="567" w:hanging="567"/>
        <w:spacing w:after="0"/>
        <w:tabs>
          <w:tab w:leader="none" w:pos="567" w:val="left"/>
        </w:tabs>
        <w:numPr>
          <w:ilvl w:val="0"/>
          <w:numId w:val="453"/>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9" w:lineRule="exact"/>
        <w:rPr>
          <w:sz w:val="20"/>
          <w:szCs w:val="20"/>
          <w:color w:val="auto"/>
        </w:rPr>
      </w:pPr>
    </w:p>
    <w:p>
      <w:pPr>
        <w:ind w:left="7" w:right="760" w:firstLine="559"/>
        <w:spacing w:after="0" w:line="251" w:lineRule="auto"/>
        <w:rPr>
          <w:sz w:val="20"/>
          <w:szCs w:val="20"/>
          <w:color w:val="auto"/>
        </w:rPr>
      </w:pPr>
      <w:r>
        <w:rPr>
          <w:rFonts w:ascii="Arial" w:cs="Arial" w:eastAsia="Arial" w:hAnsi="Arial"/>
          <w:sz w:val="19"/>
          <w:szCs w:val="19"/>
          <w:color w:val="auto"/>
        </w:rPr>
        <w:t>The headings of the paragraphs of this Agreement are inserted for convenience only and shall not be deemed to constitute part of this Agreement or to affect the construction thereof.</w:t>
      </w:r>
    </w:p>
    <w:p>
      <w:pPr>
        <w:spacing w:after="0" w:line="174" w:lineRule="exact"/>
        <w:rPr>
          <w:sz w:val="20"/>
          <w:szCs w:val="20"/>
          <w:color w:val="auto"/>
        </w:rPr>
      </w:pPr>
    </w:p>
    <w:p>
      <w:pPr>
        <w:ind w:left="567" w:hanging="567"/>
        <w:spacing w:after="0"/>
        <w:tabs>
          <w:tab w:leader="none" w:pos="567" w:val="left"/>
        </w:tabs>
        <w:numPr>
          <w:ilvl w:val="0"/>
          <w:numId w:val="454"/>
        </w:numPr>
        <w:rPr>
          <w:rFonts w:ascii="Arial" w:cs="Arial" w:eastAsia="Arial" w:hAnsi="Arial"/>
          <w:sz w:val="16"/>
          <w:szCs w:val="16"/>
          <w:b w:val="1"/>
          <w:bCs w:val="1"/>
          <w:color w:val="auto"/>
        </w:rPr>
      </w:pPr>
      <w:r>
        <w:rPr>
          <w:rFonts w:ascii="Arial" w:cs="Arial" w:eastAsia="Arial" w:hAnsi="Arial"/>
          <w:sz w:val="16"/>
          <w:szCs w:val="16"/>
          <w:b w:val="1"/>
          <w:bCs w:val="1"/>
          <w:color w:val="auto"/>
        </w:rPr>
        <w:t>PERIOD OF LIMITATIONS</w:t>
      </w:r>
    </w:p>
    <w:p>
      <w:pPr>
        <w:spacing w:after="0" w:line="209" w:lineRule="exact"/>
        <w:rPr>
          <w:sz w:val="20"/>
          <w:szCs w:val="20"/>
          <w:color w:val="auto"/>
        </w:rPr>
      </w:pPr>
    </w:p>
    <w:p>
      <w:pPr>
        <w:ind w:left="7" w:right="120" w:firstLine="559"/>
        <w:spacing w:after="0" w:line="236" w:lineRule="auto"/>
        <w:rPr>
          <w:sz w:val="20"/>
          <w:szCs w:val="20"/>
          <w:color w:val="auto"/>
        </w:rPr>
      </w:pPr>
      <w:r>
        <w:rPr>
          <w:rFonts w:ascii="Arial" w:cs="Arial" w:eastAsia="Arial" w:hAnsi="Arial"/>
          <w:sz w:val="19"/>
          <w:szCs w:val="19"/>
          <w:color w:val="auto"/>
        </w:rPr>
        <w:t>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5" w:lineRule="exact"/>
        <w:rPr>
          <w:sz w:val="20"/>
          <w:szCs w:val="20"/>
          <w:color w:val="auto"/>
        </w:rPr>
      </w:pPr>
    </w:p>
    <w:p>
      <w:pPr>
        <w:ind w:left="567" w:hanging="567"/>
        <w:spacing w:after="0"/>
        <w:tabs>
          <w:tab w:leader="none" w:pos="567" w:val="left"/>
        </w:tabs>
        <w:numPr>
          <w:ilvl w:val="0"/>
          <w:numId w:val="455"/>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ACTS</w:t>
      </w:r>
    </w:p>
    <w:p>
      <w:pPr>
        <w:spacing w:after="0" w:line="209" w:lineRule="exact"/>
        <w:rPr>
          <w:sz w:val="20"/>
          <w:szCs w:val="20"/>
          <w:color w:val="auto"/>
        </w:rPr>
      </w:pPr>
    </w:p>
    <w:p>
      <w:pPr>
        <w:ind w:left="7" w:right="120" w:firstLine="559"/>
        <w:spacing w:after="0"/>
        <w:rPr>
          <w:sz w:val="20"/>
          <w:szCs w:val="20"/>
          <w:color w:val="auto"/>
        </w:rPr>
      </w:pPr>
      <w:r>
        <w:rPr>
          <w:rFonts w:ascii="Arial" w:cs="Arial" w:eastAsia="Arial" w:hAnsi="Arial"/>
          <w:sz w:val="19"/>
          <w:szCs w:val="19"/>
          <w:color w:val="auto"/>
        </w:rPr>
        <w:t>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5" w:lineRule="exact"/>
        <w:rPr>
          <w:sz w:val="20"/>
          <w:szCs w:val="20"/>
          <w:color w:val="auto"/>
        </w:rPr>
      </w:pPr>
    </w:p>
    <w:p>
      <w:pPr>
        <w:ind w:left="567" w:hanging="567"/>
        <w:spacing w:after="0"/>
        <w:tabs>
          <w:tab w:leader="none" w:pos="567" w:val="left"/>
        </w:tabs>
        <w:numPr>
          <w:ilvl w:val="0"/>
          <w:numId w:val="456"/>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CLAIMS TO TRUST ACCOUNT</w:t>
      </w:r>
    </w:p>
    <w:p>
      <w:pPr>
        <w:spacing w:after="0" w:line="209" w:lineRule="exact"/>
        <w:rPr>
          <w:sz w:val="20"/>
          <w:szCs w:val="20"/>
          <w:color w:val="auto"/>
        </w:rPr>
      </w:pPr>
    </w:p>
    <w:p>
      <w:pPr>
        <w:ind w:left="7" w:right="60" w:firstLine="559"/>
        <w:spacing w:after="0" w:line="267" w:lineRule="auto"/>
        <w:rPr>
          <w:sz w:val="20"/>
          <w:szCs w:val="20"/>
          <w:color w:val="auto"/>
        </w:rPr>
      </w:pPr>
      <w:r>
        <w:rPr>
          <w:rFonts w:ascii="Arial" w:cs="Arial" w:eastAsia="Arial" w:hAnsi="Arial"/>
          <w:sz w:val="17"/>
          <w:szCs w:val="17"/>
          <w:color w:val="auto"/>
        </w:rPr>
        <w:t>Notwithstanding anything contained herein to the contrary, Indemnitee hereby agrees that it does not have any right, title, interest or claim of any kind (each,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51370" cy="146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3" w:right="359" w:bottom="1440" w:gutter="0" w:footer="0" w:header="0"/>
        </w:sectPr>
      </w:pPr>
    </w:p>
    <w:bookmarkStart w:id="414" w:name="page415"/>
    <w:bookmarkEnd w:id="414"/>
    <w:p>
      <w:pPr>
        <w:ind w:left="567" w:hanging="567"/>
        <w:spacing w:after="0"/>
        <w:tabs>
          <w:tab w:leader="none" w:pos="567" w:val="left"/>
        </w:tabs>
        <w:numPr>
          <w:ilvl w:val="0"/>
          <w:numId w:val="457"/>
        </w:numPr>
        <w:rPr>
          <w:rFonts w:ascii="Arial" w:cs="Arial" w:eastAsia="Arial" w:hAnsi="Arial"/>
          <w:sz w:val="16"/>
          <w:szCs w:val="16"/>
          <w:b w:val="1"/>
          <w:bCs w:val="1"/>
          <w:color w:val="auto"/>
        </w:rPr>
      </w:pPr>
      <w:r>
        <w:rPr>
          <w:rFonts w:ascii="Arial" w:cs="Arial" w:eastAsia="Arial" w:hAnsi="Arial"/>
          <w:sz w:val="16"/>
          <w:szCs w:val="16"/>
          <w:b w:val="1"/>
          <w:bCs w:val="1"/>
          <w:color w:val="auto"/>
        </w:rPr>
        <w:t>MAINTENANCE OF INSURANCE</w:t>
      </w:r>
    </w:p>
    <w:p>
      <w:pPr>
        <w:spacing w:after="0" w:line="209" w:lineRule="exact"/>
        <w:rPr>
          <w:sz w:val="20"/>
          <w:szCs w:val="20"/>
          <w:color w:val="auto"/>
        </w:rPr>
      </w:pPr>
    </w:p>
    <w:p>
      <w:pPr>
        <w:ind w:left="7" w:firstLine="559"/>
        <w:spacing w:after="0" w:line="248" w:lineRule="auto"/>
        <w:rPr>
          <w:sz w:val="20"/>
          <w:szCs w:val="20"/>
          <w:color w:val="auto"/>
        </w:rPr>
      </w:pPr>
      <w:r>
        <w:rPr>
          <w:rFonts w:ascii="Arial" w:cs="Arial" w:eastAsia="Arial" w:hAnsi="Arial"/>
          <w:sz w:val="18"/>
          <w:szCs w:val="18"/>
          <w:color w:val="auto"/>
        </w:rPr>
        <w:t>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8" w:lineRule="exact"/>
        <w:rPr>
          <w:sz w:val="20"/>
          <w:szCs w:val="20"/>
          <w:color w:val="auto"/>
        </w:rPr>
      </w:pPr>
    </w:p>
    <w:p>
      <w:pPr>
        <w:jc w:val="center"/>
        <w:ind w:right="-14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51370" cy="146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07"/>
          </w:cols>
          <w:pgMar w:left="313" w:top="122" w:right="479" w:bottom="1440" w:gutter="0" w:footer="0" w:header="0"/>
        </w:sectPr>
      </w:pPr>
    </w:p>
    <w:bookmarkStart w:id="415" w:name="page416"/>
    <w:bookmarkEnd w:id="415"/>
    <w:p>
      <w:pPr>
        <w:spacing w:after="0"/>
        <w:rPr>
          <w:sz w:val="20"/>
          <w:szCs w:val="20"/>
          <w:color w:val="auto"/>
        </w:rPr>
      </w:pPr>
      <w:r>
        <w:rPr>
          <w:rFonts w:ascii="Arial" w:cs="Arial" w:eastAsia="Arial" w:hAnsi="Arial"/>
          <w:sz w:val="17"/>
          <w:szCs w:val="17"/>
          <w:color w:val="auto"/>
        </w:rPr>
        <w:t>IN WITNESS WHEREOF, the parties hereto have caused this Indemnity Agreement to be signed as of the day and year first above written.</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tbl>
      <w:tblPr>
        <w:tblLayout w:type="fixed"/>
        <w:tblInd w:w="5380" w:type="dxa"/>
        <w:tblCellMar>
          <w:top w:w="0" w:type="dxa"/>
          <w:left w:w="0" w:type="dxa"/>
          <w:bottom w:w="0" w:type="dxa"/>
          <w:right w:w="0" w:type="dxa"/>
        </w:tblCellMar>
      </w:tblPr>
      <w:tr>
        <w:trPr>
          <w:trHeight w:val="212"/>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spacing w:after="0"/>
              <w:rPr>
                <w:sz w:val="18"/>
                <w:szCs w:val="18"/>
                <w:color w:val="auto"/>
              </w:rPr>
            </w:pPr>
          </w:p>
        </w:tc>
      </w:tr>
      <w:tr>
        <w:trPr>
          <w:trHeight w:val="176"/>
        </w:trPr>
        <w:tc>
          <w:tcPr>
            <w:tcW w:w="420" w:type="dxa"/>
            <w:vAlign w:val="bottom"/>
          </w:tcPr>
          <w:p>
            <w:pPr>
              <w:spacing w:after="0" w:line="174" w:lineRule="exact"/>
              <w:rPr>
                <w:sz w:val="20"/>
                <w:szCs w:val="20"/>
                <w:color w:val="auto"/>
              </w:rPr>
            </w:pPr>
            <w:r>
              <w:rPr>
                <w:rFonts w:ascii="Arial" w:cs="Arial" w:eastAsia="Arial" w:hAnsi="Arial"/>
                <w:sz w:val="16"/>
                <w:szCs w:val="16"/>
                <w:color w:val="auto"/>
                <w:w w:val="84"/>
              </w:rPr>
              <w:t>Name:</w:t>
            </w:r>
          </w:p>
        </w:tc>
        <w:tc>
          <w:tcPr>
            <w:tcW w:w="4900" w:type="dxa"/>
            <w:vAlign w:val="bottom"/>
          </w:tcPr>
          <w:p>
            <w:pPr>
              <w:ind w:left="560"/>
              <w:spacing w:after="0" w:line="176" w:lineRule="exact"/>
              <w:rPr>
                <w:sz w:val="20"/>
                <w:szCs w:val="20"/>
                <w:color w:val="auto"/>
              </w:rPr>
            </w:pPr>
            <w:r>
              <w:rPr>
                <w:rFonts w:ascii="Arial" w:cs="Arial" w:eastAsia="Arial" w:hAnsi="Arial"/>
                <w:sz w:val="16"/>
                <w:szCs w:val="16"/>
                <w:color w:val="auto"/>
              </w:rPr>
              <w:t>Adam Stone</w:t>
            </w:r>
          </w:p>
        </w:tc>
      </w:tr>
      <w:tr>
        <w:trPr>
          <w:trHeight w:val="196"/>
        </w:trPr>
        <w:tc>
          <w:tcPr>
            <w:tcW w:w="420" w:type="dxa"/>
            <w:vAlign w:val="bottom"/>
          </w:tcPr>
          <w:p>
            <w:pPr>
              <w:spacing w:after="0"/>
              <w:rPr>
                <w:sz w:val="20"/>
                <w:szCs w:val="20"/>
                <w:color w:val="auto"/>
              </w:rPr>
            </w:pPr>
            <w:r>
              <w:rPr>
                <w:rFonts w:ascii="Arial" w:cs="Arial" w:eastAsia="Arial" w:hAnsi="Arial"/>
                <w:sz w:val="16"/>
                <w:szCs w:val="16"/>
                <w:color w:val="auto"/>
              </w:rPr>
              <w:t>Title:</w:t>
            </w:r>
          </w:p>
        </w:tc>
        <w:tc>
          <w:tcPr>
            <w:tcW w:w="4900" w:type="dxa"/>
            <w:vAlign w:val="bottom"/>
          </w:tcPr>
          <w:p>
            <w:pPr>
              <w:ind w:left="560"/>
              <w:spacing w:after="0"/>
              <w:rPr>
                <w:sz w:val="20"/>
                <w:szCs w:val="20"/>
                <w:color w:val="auto"/>
              </w:rPr>
            </w:pPr>
            <w:r>
              <w:rPr>
                <w:rFonts w:ascii="Arial" w:cs="Arial" w:eastAsia="Arial" w:hAnsi="Arial"/>
                <w:sz w:val="16"/>
                <w:szCs w:val="16"/>
                <w:color w:val="auto"/>
              </w:rPr>
              <w:t>Chief Executive Officer</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235585</wp:posOffset>
            </wp:positionV>
            <wp:extent cx="7151370" cy="146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700"/>
          </w:cols>
          <w:pgMar w:left="880" w:top="121" w:right="319" w:bottom="1440" w:gutter="0" w:footer="0" w:header="0"/>
        </w:sectPr>
      </w:pPr>
    </w:p>
    <w:bookmarkStart w:id="416" w:name="page417"/>
    <w:bookmarkEnd w:id="416"/>
    <w:p>
      <w:pPr>
        <w:ind w:left="4500"/>
        <w:spacing w:after="0"/>
        <w:rPr>
          <w:sz w:val="20"/>
          <w:szCs w:val="20"/>
          <w:color w:val="auto"/>
        </w:rPr>
      </w:pPr>
      <w:r>
        <w:rPr>
          <w:rFonts w:ascii="Arial" w:cs="Arial" w:eastAsia="Arial" w:hAnsi="Arial"/>
          <w:sz w:val="16"/>
          <w:szCs w:val="16"/>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248285</wp:posOffset>
            </wp:positionV>
            <wp:extent cx="3575685" cy="146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3575685" cy="14605"/>
                    </a:xfrm>
                    <a:prstGeom prst="rect">
                      <a:avLst/>
                    </a:prstGeom>
                    <a:noFill/>
                  </pic:spPr>
                </pic:pic>
              </a:graphicData>
            </a:graphic>
          </wp:anchor>
        </w:drawing>
      </w:r>
    </w:p>
    <w:p>
      <w:pPr>
        <w:spacing w:after="0" w:line="38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80010</wp:posOffset>
            </wp:positionV>
            <wp:extent cx="7151370" cy="146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17" w:name="page418"/>
    <w:bookmarkEnd w:id="417"/>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ARYA SCIENCES ACQUISITION CORP 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 Astor Place, 10th Floor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New York 10003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August [●], 2020</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ARYA Sciences Holdings III</w:t>
      </w:r>
    </w:p>
    <w:p>
      <w:pPr>
        <w:spacing w:after="0" w:line="237" w:lineRule="auto"/>
        <w:rPr>
          <w:sz w:val="20"/>
          <w:szCs w:val="20"/>
          <w:color w:val="auto"/>
        </w:rPr>
      </w:pPr>
      <w:r>
        <w:rPr>
          <w:rFonts w:ascii="Arial" w:cs="Arial" w:eastAsia="Arial" w:hAnsi="Arial"/>
          <w:sz w:val="19"/>
          <w:szCs w:val="19"/>
          <w:color w:val="auto"/>
        </w:rPr>
        <w:t>c/o Perceptive Advisors</w:t>
      </w:r>
    </w:p>
    <w:p>
      <w:pPr>
        <w:spacing w:after="0" w:line="230" w:lineRule="auto"/>
        <w:rPr>
          <w:sz w:val="20"/>
          <w:szCs w:val="20"/>
          <w:color w:val="auto"/>
        </w:rPr>
      </w:pPr>
      <w:r>
        <w:rPr>
          <w:rFonts w:ascii="Arial" w:cs="Arial" w:eastAsia="Arial" w:hAnsi="Arial"/>
          <w:sz w:val="19"/>
          <w:szCs w:val="19"/>
          <w:color w:val="auto"/>
        </w:rPr>
        <w:t>51 Astor Place, 10th Floor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10003</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letter will confirm our agreement that, commencing on the effective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of the registration statement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securities of ARYA Sciences Acquisition Corp III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continuing until the earlier of (i) the consummation by the Company of an initial business combination and (ii) the Company’s liquidation (in each</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ARYA Sciences Holdings III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shall take steps directly or indirectly to make available to the Company certain office space, secretarial and administrative services as may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be required by the Company from time to time, situated at 51 Astor Place, 10th Floor, New York, New York 10003 (or any successor location).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exchange therefore, the Company shall pay the Sponsor a sum of $10,000 per month commencing on the Effective Date and continuing monthly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thereafter until the Termination Date. The Sponsor hereby agrees that it does not have any right, title, interest or claim of any kind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any monies that may be set aside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that may be established in connection with and upon the consummation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IPO and hereby irrevocably waives any Claim it presently has or may have in the future as a result of, or arising out of, any negotiations, contracts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or agreements with the Company and will not seek recourse, reimbursement, payment or satisfaction of any Claim against the Trust Account or any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monies or other assets in the Trust Account for any reason whatsoever.</w:t>
      </w:r>
    </w:p>
    <w:p>
      <w:pPr>
        <w:spacing w:after="0" w:line="184" w:lineRule="exact"/>
        <w:rPr>
          <w:sz w:val="20"/>
          <w:szCs w:val="20"/>
          <w:color w:val="auto"/>
        </w:rPr>
      </w:pPr>
    </w:p>
    <w:p>
      <w:pPr>
        <w:jc w:val="both"/>
        <w:ind w:right="80" w:firstLine="559"/>
        <w:spacing w:after="0"/>
        <w:rPr>
          <w:sz w:val="20"/>
          <w:szCs w:val="20"/>
          <w:color w:val="auto"/>
        </w:rPr>
      </w:pPr>
      <w:r>
        <w:rPr>
          <w:rFonts w:ascii="Arial" w:cs="Arial" w:eastAsia="Arial" w:hAnsi="Arial"/>
          <w:sz w:val="19"/>
          <w:szCs w:val="19"/>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2" w:lineRule="exact"/>
        <w:rPr>
          <w:sz w:val="20"/>
          <w:szCs w:val="20"/>
          <w:color w:val="auto"/>
        </w:rPr>
      </w:pPr>
    </w:p>
    <w:p>
      <w:pPr>
        <w:ind w:right="200" w:firstLine="559"/>
        <w:spacing w:after="0" w:line="251" w:lineRule="auto"/>
        <w:rPr>
          <w:sz w:val="20"/>
          <w:szCs w:val="20"/>
          <w:color w:val="auto"/>
        </w:rPr>
      </w:pPr>
      <w:r>
        <w:rPr>
          <w:rFonts w:ascii="Arial" w:cs="Arial" w:eastAsia="Arial" w:hAnsi="Arial"/>
          <w:sz w:val="19"/>
          <w:szCs w:val="19"/>
          <w:color w:val="auto"/>
        </w:rPr>
        <w:t>This letter agreement may not be amended, modified or waived as to any particular provision, except by a written instrument executed by the parties hereto.</w:t>
      </w:r>
    </w:p>
    <w:p>
      <w:pPr>
        <w:spacing w:after="0" w:line="171" w:lineRule="exact"/>
        <w:rPr>
          <w:sz w:val="20"/>
          <w:szCs w:val="20"/>
          <w:color w:val="auto"/>
        </w:rPr>
      </w:pPr>
    </w:p>
    <w:p>
      <w:pPr>
        <w:ind w:right="240" w:firstLine="559"/>
        <w:spacing w:after="0"/>
        <w:rPr>
          <w:sz w:val="20"/>
          <w:szCs w:val="20"/>
          <w:color w:val="auto"/>
        </w:rPr>
      </w:pPr>
      <w:r>
        <w:rPr>
          <w:rFonts w:ascii="Arial" w:cs="Arial" w:eastAsia="Arial" w:hAnsi="Arial"/>
          <w:sz w:val="19"/>
          <w:szCs w:val="19"/>
          <w:color w:val="auto"/>
        </w:rPr>
        <w:t>The parties may not assign this letter agreement and any of their rights, interests, or obligations hereunder without the consent of the other party. Any purported assignment in violation of this paragraph shall be void and ineffectual and shall not operate to transfer or assign any interest or title to the purported assignee.</w:t>
      </w:r>
    </w:p>
    <w:p>
      <w:pPr>
        <w:spacing w:after="0" w:line="182" w:lineRule="exact"/>
        <w:rPr>
          <w:sz w:val="20"/>
          <w:szCs w:val="20"/>
          <w:color w:val="auto"/>
        </w:rPr>
      </w:pPr>
    </w:p>
    <w:p>
      <w:pPr>
        <w:ind w:right="580" w:firstLine="559"/>
        <w:spacing w:after="0" w:line="251" w:lineRule="auto"/>
        <w:rPr>
          <w:sz w:val="20"/>
          <w:szCs w:val="20"/>
          <w:color w:val="auto"/>
        </w:rPr>
      </w:pPr>
      <w:r>
        <w:rPr>
          <w:rFonts w:ascii="Arial" w:cs="Arial" w:eastAsia="Arial" w:hAnsi="Arial"/>
          <w:sz w:val="19"/>
          <w:szCs w:val="19"/>
          <w:color w:val="auto"/>
        </w:rPr>
        <w:t>This letter agreement shall be governed by, construed in accordance with, and interpreted pursuant to the laws of the State of New York, without giving effect to its choice of laws principles that will apply the laws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151370" cy="146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418" w:name="page419"/>
    <w:bookmarkEnd w:id="418"/>
    <w:p>
      <w:pPr>
        <w:ind w:firstLine="559"/>
        <w:spacing w:after="0"/>
        <w:rPr>
          <w:sz w:val="20"/>
          <w:szCs w:val="20"/>
          <w:color w:val="auto"/>
        </w:rPr>
      </w:pPr>
      <w:r>
        <w:rPr>
          <w:rFonts w:ascii="Arial" w:cs="Arial" w:eastAsia="Arial" w:hAnsi="Arial"/>
          <w:sz w:val="19"/>
          <w:szCs w:val="19"/>
          <w:color w:val="auto"/>
        </w:rPr>
        <w:t>This letter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letter agreement.</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00"/>
          </w:cols>
          <w:pgMar w:left="320" w:top="120" w:right="479" w:bottom="1440" w:gutter="0" w:footer="0" w:header="0"/>
        </w:sectPr>
      </w:pPr>
    </w:p>
    <w:bookmarkStart w:id="419" w:name="page420"/>
    <w:bookmarkEnd w:id="419"/>
    <w:p>
      <w:pPr>
        <w:ind w:left="5640"/>
        <w:spacing w:after="0"/>
        <w:rPr>
          <w:sz w:val="20"/>
          <w:szCs w:val="20"/>
          <w:color w:val="auto"/>
        </w:rPr>
      </w:pPr>
      <w:r>
        <w:rPr>
          <w:rFonts w:ascii="Arial" w:cs="Arial" w:eastAsia="Arial" w:hAnsi="Arial"/>
          <w:sz w:val="16"/>
          <w:szCs w:val="16"/>
          <w:color w:val="auto"/>
        </w:rPr>
        <w:t>Very truly yours,</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ARYA SCIENCES ACQUISITION CORP III</w:t>
      </w:r>
    </w:p>
    <w:p>
      <w:pPr>
        <w:spacing w:after="0" w:line="380" w:lineRule="exact"/>
        <w:rPr>
          <w:sz w:val="20"/>
          <w:szCs w:val="20"/>
          <w:color w:val="auto"/>
        </w:rPr>
      </w:pPr>
    </w:p>
    <w:tbl>
      <w:tblPr>
        <w:tblLayout w:type="fixed"/>
        <w:tblInd w:w="5640" w:type="dxa"/>
        <w:tblCellMar>
          <w:top w:w="0" w:type="dxa"/>
          <w:left w:w="0" w:type="dxa"/>
          <w:bottom w:w="0" w:type="dxa"/>
          <w:right w:w="0" w:type="dxa"/>
        </w:tblCellMar>
      </w:tblPr>
      <w:tr>
        <w:trPr>
          <w:trHeight w:val="212"/>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tcPr>
          <w:p>
            <w:pPr>
              <w:spacing w:after="0"/>
              <w:rPr>
                <w:sz w:val="18"/>
                <w:szCs w:val="18"/>
                <w:color w:val="auto"/>
              </w:rPr>
            </w:pPr>
          </w:p>
        </w:tc>
      </w:tr>
      <w:tr>
        <w:trPr>
          <w:trHeight w:val="176"/>
        </w:trPr>
        <w:tc>
          <w:tcPr>
            <w:tcW w:w="780" w:type="dxa"/>
            <w:vAlign w:val="bottom"/>
          </w:tcPr>
          <w:p>
            <w:pPr>
              <w:spacing w:after="0" w:line="174" w:lineRule="exact"/>
              <w:rPr>
                <w:sz w:val="20"/>
                <w:szCs w:val="20"/>
                <w:color w:val="auto"/>
              </w:rPr>
            </w:pPr>
            <w:r>
              <w:rPr>
                <w:rFonts w:ascii="Arial" w:cs="Arial" w:eastAsia="Arial" w:hAnsi="Arial"/>
                <w:sz w:val="16"/>
                <w:szCs w:val="16"/>
                <w:color w:val="auto"/>
              </w:rPr>
              <w:t>Name:</w:t>
            </w:r>
          </w:p>
        </w:tc>
        <w:tc>
          <w:tcPr>
            <w:tcW w:w="4840" w:type="dxa"/>
            <w:vAlign w:val="bottom"/>
          </w:tcPr>
          <w:p>
            <w:pPr>
              <w:spacing w:after="0" w:line="176" w:lineRule="exact"/>
              <w:rPr>
                <w:sz w:val="20"/>
                <w:szCs w:val="20"/>
                <w:color w:val="auto"/>
              </w:rPr>
            </w:pPr>
            <w:r>
              <w:rPr>
                <w:rFonts w:ascii="Arial" w:cs="Arial" w:eastAsia="Arial" w:hAnsi="Arial"/>
                <w:sz w:val="16"/>
                <w:szCs w:val="16"/>
                <w:color w:val="auto"/>
              </w:rPr>
              <w:t>Adam Stone</w:t>
            </w: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Title:</w:t>
            </w:r>
          </w:p>
        </w:tc>
        <w:tc>
          <w:tcPr>
            <w:tcW w:w="48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ACCEPTED BY: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ARYA SCIENCES HOLDINGS III</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860" w:type="dxa"/>
            <w:vAlign w:val="bottom"/>
            <w:tcBorders>
              <w:bottom w:val="single" w:sz="8" w:color="auto"/>
            </w:tcBorders>
          </w:tcPr>
          <w:p>
            <w:pPr>
              <w:spacing w:after="0"/>
              <w:rPr>
                <w:sz w:val="18"/>
                <w:szCs w:val="18"/>
                <w:color w:val="auto"/>
              </w:rPr>
            </w:pPr>
          </w:p>
        </w:tc>
        <w:tc>
          <w:tcPr>
            <w:tcW w:w="5620" w:type="dxa"/>
            <w:vAlign w:val="bottom"/>
          </w:tcPr>
          <w:p>
            <w:pPr>
              <w:spacing w:after="0"/>
              <w:rPr>
                <w:sz w:val="18"/>
                <w:szCs w:val="18"/>
                <w:color w:val="auto"/>
              </w:rPr>
            </w:pPr>
          </w:p>
        </w:tc>
      </w:tr>
      <w:tr>
        <w:trPr>
          <w:trHeight w:val="176"/>
        </w:trPr>
        <w:tc>
          <w:tcPr>
            <w:tcW w:w="780" w:type="dxa"/>
            <w:vAlign w:val="bottom"/>
          </w:tcPr>
          <w:p>
            <w:pPr>
              <w:spacing w:after="0" w:line="174" w:lineRule="exact"/>
              <w:rPr>
                <w:sz w:val="20"/>
                <w:szCs w:val="20"/>
                <w:color w:val="auto"/>
              </w:rPr>
            </w:pPr>
            <w:r>
              <w:rPr>
                <w:rFonts w:ascii="Arial" w:cs="Arial" w:eastAsia="Arial" w:hAnsi="Arial"/>
                <w:sz w:val="16"/>
                <w:szCs w:val="16"/>
                <w:color w:val="auto"/>
              </w:rPr>
              <w:t>Name:</w:t>
            </w:r>
          </w:p>
        </w:tc>
        <w:tc>
          <w:tcPr>
            <w:tcW w:w="4860" w:type="dxa"/>
            <w:vAlign w:val="bottom"/>
          </w:tcPr>
          <w:p>
            <w:pPr>
              <w:spacing w:after="0" w:line="176" w:lineRule="exact"/>
              <w:rPr>
                <w:sz w:val="20"/>
                <w:szCs w:val="20"/>
                <w:color w:val="auto"/>
              </w:rPr>
            </w:pPr>
            <w:r>
              <w:rPr>
                <w:rFonts w:ascii="Arial" w:cs="Arial" w:eastAsia="Arial" w:hAnsi="Arial"/>
                <w:sz w:val="16"/>
                <w:szCs w:val="16"/>
                <w:color w:val="auto"/>
              </w:rPr>
              <w:t>Adam Stone</w:t>
            </w:r>
          </w:p>
        </w:tc>
        <w:tc>
          <w:tcPr>
            <w:tcW w:w="5620" w:type="dxa"/>
            <w:vAlign w:val="bottom"/>
          </w:tcPr>
          <w:p>
            <w:pPr>
              <w:spacing w:after="0"/>
              <w:rPr>
                <w:sz w:val="15"/>
                <w:szCs w:val="15"/>
                <w:color w:val="auto"/>
              </w:rPr>
            </w:pP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Title:</w:t>
            </w:r>
          </w:p>
        </w:tc>
        <w:tc>
          <w:tcPr>
            <w:tcW w:w="4860" w:type="dxa"/>
            <w:vAlign w:val="bottom"/>
          </w:tcPr>
          <w:p>
            <w:pPr>
              <w:spacing w:after="0"/>
              <w:rPr>
                <w:sz w:val="20"/>
                <w:szCs w:val="20"/>
                <w:color w:val="auto"/>
              </w:rPr>
            </w:pPr>
            <w:r>
              <w:rPr>
                <w:rFonts w:ascii="Arial" w:cs="Arial" w:eastAsia="Arial" w:hAnsi="Arial"/>
                <w:sz w:val="16"/>
                <w:szCs w:val="16"/>
                <w:color w:val="auto"/>
              </w:rPr>
              <w:t>Authorized Signatory</w:t>
            </w:r>
          </w:p>
        </w:tc>
        <w:tc>
          <w:tcPr>
            <w:tcW w:w="5620" w:type="dxa"/>
            <w:vAlign w:val="bottom"/>
          </w:tcPr>
          <w:p>
            <w:pPr>
              <w:spacing w:after="0"/>
              <w:rPr>
                <w:sz w:val="17"/>
                <w:szCs w:val="17"/>
                <w:color w:val="auto"/>
              </w:rPr>
            </w:pPr>
          </w:p>
        </w:tc>
      </w:tr>
      <w:tr>
        <w:trPr>
          <w:trHeight w:val="97"/>
        </w:trPr>
        <w:tc>
          <w:tcPr>
            <w:tcW w:w="78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9" w:right="319" w:bottom="1440" w:gutter="0" w:footer="0" w:header="0"/>
        </w:sectPr>
      </w:pPr>
    </w:p>
    <w:bookmarkStart w:id="420" w:name="page421"/>
    <w:bookmarkEnd w:id="42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10.6</w:t>
      </w:r>
    </w:p>
    <w:p>
      <w:pPr>
        <w:spacing w:after="0" w:line="3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PROMISSORY NOTE</w:t>
      </w:r>
    </w:p>
    <w:p>
      <w:pPr>
        <w:sectPr>
          <w:pgSz w:w="11900" w:h="16838" w:orient="portrait"/>
          <w:cols w:equalWidth="0" w:num="1">
            <w:col w:w="11220"/>
          </w:cols>
          <w:pgMar w:left="320" w:top="256" w:right="3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up to $300,000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(as set forth on the Schedule of Borrowings attached hereto)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Dated as of April 2, 2020</w:t>
      </w:r>
    </w:p>
    <w:p>
      <w:pPr>
        <w:spacing w:after="0" w:line="384" w:lineRule="exact"/>
        <w:rPr>
          <w:sz w:val="20"/>
          <w:szCs w:val="20"/>
          <w:color w:val="auto"/>
        </w:rPr>
      </w:pPr>
    </w:p>
    <w:p>
      <w:pPr>
        <w:sectPr>
          <w:pgSz w:w="11900" w:h="16838" w:orient="portrait"/>
          <w:cols w:equalWidth="0" w:num="2">
            <w:col w:w="4900" w:space="720"/>
            <w:col w:w="5600"/>
          </w:cols>
          <w:pgMar w:left="320" w:top="256" w:right="359" w:bottom="1440" w:gutter="0" w:footer="0" w:header="0"/>
          <w:type w:val="continuous"/>
        </w:sectPr>
      </w:pPr>
    </w:p>
    <w:p>
      <w:pPr>
        <w:spacing w:after="0" w:line="7" w:lineRule="exact"/>
        <w:rPr>
          <w:sz w:val="20"/>
          <w:szCs w:val="20"/>
          <w:color w:val="auto"/>
        </w:rPr>
      </w:pPr>
    </w:p>
    <w:p>
      <w:pPr>
        <w:ind w:right="40" w:firstLine="559"/>
        <w:spacing w:after="0" w:line="292" w:lineRule="auto"/>
        <w:rPr>
          <w:sz w:val="20"/>
          <w:szCs w:val="20"/>
          <w:color w:val="auto"/>
        </w:rPr>
      </w:pPr>
      <w:r>
        <w:rPr>
          <w:rFonts w:ascii="Arial" w:cs="Arial" w:eastAsia="Arial" w:hAnsi="Arial"/>
          <w:sz w:val="14"/>
          <w:szCs w:val="14"/>
          <w:color w:val="auto"/>
        </w:rPr>
        <w:t>ARYA Sciences Acquisition Corp III, a Cayman Islands exempted company and blank check company (the “</w:t>
      </w:r>
      <w:r>
        <w:rPr>
          <w:rFonts w:ascii="Arial" w:cs="Arial" w:eastAsia="Arial" w:hAnsi="Arial"/>
          <w:sz w:val="14"/>
          <w:szCs w:val="14"/>
          <w:b w:val="1"/>
          <w:bCs w:val="1"/>
          <w:color w:val="auto"/>
        </w:rPr>
        <w:t>Maker</w:t>
      </w:r>
      <w:r>
        <w:rPr>
          <w:rFonts w:ascii="Arial" w:cs="Arial" w:eastAsia="Arial" w:hAnsi="Arial"/>
          <w:sz w:val="14"/>
          <w:szCs w:val="14"/>
          <w:color w:val="auto"/>
        </w:rPr>
        <w:t>”), promises to pay to the order of ARYA Sciences Holdings III, a Cayman Islands limited company, or its registered assigns or successors in interest (the “</w:t>
      </w:r>
      <w:r>
        <w:rPr>
          <w:rFonts w:ascii="Arial" w:cs="Arial" w:eastAsia="Arial" w:hAnsi="Arial"/>
          <w:sz w:val="14"/>
          <w:szCs w:val="14"/>
          <w:b w:val="1"/>
          <w:bCs w:val="1"/>
          <w:color w:val="auto"/>
        </w:rPr>
        <w:t>Payee</w:t>
      </w:r>
      <w:r>
        <w:rPr>
          <w:rFonts w:ascii="Arial" w:cs="Arial" w:eastAsia="Arial" w:hAnsi="Arial"/>
          <w:sz w:val="14"/>
          <w:szCs w:val="14"/>
          <w:color w:val="auto"/>
        </w:rPr>
        <w:t>”), or order, the principal sum of up to three hundred thousand U.S. dollars ($300,000) (as set forth on the Schedule of Borrowings attached hereto)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38" w:lineRule="exact"/>
        <w:rPr>
          <w:sz w:val="20"/>
          <w:szCs w:val="20"/>
          <w:color w:val="auto"/>
        </w:rPr>
      </w:pPr>
    </w:p>
    <w:p>
      <w:pPr>
        <w:ind w:right="20" w:firstLine="552"/>
        <w:spacing w:after="0" w:line="308" w:lineRule="auto"/>
        <w:tabs>
          <w:tab w:leader="none" w:pos="946" w:val="left"/>
        </w:tabs>
        <w:numPr>
          <w:ilvl w:val="0"/>
          <w:numId w:val="458"/>
        </w:numPr>
        <w:rPr>
          <w:rFonts w:ascii="Arial" w:cs="Arial" w:eastAsia="Arial" w:hAnsi="Arial"/>
          <w:sz w:val="14"/>
          <w:szCs w:val="14"/>
          <w:color w:val="010000"/>
        </w:rPr>
      </w:pPr>
      <w:r>
        <w:rPr>
          <w:rFonts w:ascii="Arial" w:cs="Arial" w:eastAsia="Arial" w:hAnsi="Arial"/>
          <w:sz w:val="14"/>
          <w:szCs w:val="14"/>
          <w:b w:val="1"/>
          <w:bCs w:val="1"/>
          <w:color w:val="auto"/>
        </w:rPr>
        <w:t xml:space="preserve">Principal. </w:t>
      </w:r>
      <w:r>
        <w:rPr>
          <w:rFonts w:ascii="Arial" w:cs="Arial" w:eastAsia="Arial" w:hAnsi="Arial"/>
          <w:sz w:val="14"/>
          <w:szCs w:val="14"/>
          <w:color w:val="auto"/>
        </w:rPr>
        <w:t>The principal balance of this Note shall be payable by the Maker on the earlier of: (i) December 31, 2020 or (ii) the date on which Maker consummates an</w:t>
      </w:r>
      <w:r>
        <w:rPr>
          <w:rFonts w:ascii="Arial" w:cs="Arial" w:eastAsia="Arial" w:hAnsi="Arial"/>
          <w:sz w:val="14"/>
          <w:szCs w:val="14"/>
          <w:b w:val="1"/>
          <w:bCs w:val="1"/>
          <w:color w:val="auto"/>
        </w:rPr>
        <w:t xml:space="preserve"> </w:t>
      </w:r>
      <w:r>
        <w:rPr>
          <w:rFonts w:ascii="Arial" w:cs="Arial" w:eastAsia="Arial" w:hAnsi="Arial"/>
          <w:sz w:val="14"/>
          <w:szCs w:val="14"/>
          <w:color w:val="auto"/>
        </w:rPr>
        <w:t>initial public offering of its securities (the “</w:t>
      </w:r>
      <w:r>
        <w:rPr>
          <w:rFonts w:ascii="Arial" w:cs="Arial" w:eastAsia="Arial" w:hAnsi="Arial"/>
          <w:sz w:val="14"/>
          <w:szCs w:val="14"/>
          <w:b w:val="1"/>
          <w:bCs w:val="1"/>
          <w:color w:val="auto"/>
        </w:rPr>
        <w:t>IPO</w:t>
      </w:r>
      <w:r>
        <w:rPr>
          <w:rFonts w:ascii="Arial" w:cs="Arial" w:eastAsia="Arial" w:hAnsi="Arial"/>
          <w:sz w:val="14"/>
          <w:szCs w:val="14"/>
          <w:color w:val="auto"/>
        </w:rPr>
        <w:t>”).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24" w:lineRule="exact"/>
        <w:rPr>
          <w:rFonts w:ascii="Arial" w:cs="Arial" w:eastAsia="Arial" w:hAnsi="Arial"/>
          <w:sz w:val="14"/>
          <w:szCs w:val="14"/>
          <w:color w:val="010000"/>
        </w:rPr>
      </w:pPr>
    </w:p>
    <w:p>
      <w:pPr>
        <w:ind w:left="940" w:hanging="388"/>
        <w:spacing w:after="0"/>
        <w:tabs>
          <w:tab w:leader="none" w:pos="940" w:val="left"/>
        </w:tabs>
        <w:numPr>
          <w:ilvl w:val="0"/>
          <w:numId w:val="458"/>
        </w:numPr>
        <w:rPr>
          <w:rFonts w:ascii="Arial" w:cs="Arial" w:eastAsia="Arial" w:hAnsi="Arial"/>
          <w:sz w:val="16"/>
          <w:szCs w:val="16"/>
          <w:color w:val="010000"/>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No interest shall accrue on the unpaid principal balance of this Note.</w:t>
      </w:r>
    </w:p>
    <w:p>
      <w:pPr>
        <w:spacing w:after="0" w:line="188" w:lineRule="exact"/>
        <w:rPr>
          <w:rFonts w:ascii="Arial" w:cs="Arial" w:eastAsia="Arial" w:hAnsi="Arial"/>
          <w:sz w:val="16"/>
          <w:szCs w:val="16"/>
          <w:color w:val="010000"/>
        </w:rPr>
      </w:pPr>
    </w:p>
    <w:p>
      <w:pPr>
        <w:ind w:right="20" w:firstLine="552"/>
        <w:spacing w:after="0" w:line="285" w:lineRule="auto"/>
        <w:tabs>
          <w:tab w:leader="none" w:pos="946" w:val="left"/>
        </w:tabs>
        <w:numPr>
          <w:ilvl w:val="0"/>
          <w:numId w:val="458"/>
        </w:numPr>
        <w:rPr>
          <w:rFonts w:ascii="Arial" w:cs="Arial" w:eastAsia="Arial" w:hAnsi="Arial"/>
          <w:sz w:val="14"/>
          <w:szCs w:val="14"/>
          <w:color w:val="010000"/>
        </w:rPr>
      </w:pPr>
      <w:r>
        <w:rPr>
          <w:rFonts w:ascii="Arial" w:cs="Arial" w:eastAsia="Arial" w:hAnsi="Arial"/>
          <w:sz w:val="14"/>
          <w:szCs w:val="14"/>
          <w:b w:val="1"/>
          <w:bCs w:val="1"/>
          <w:color w:val="auto"/>
        </w:rPr>
        <w:t>Drawdown Requests</w:t>
      </w:r>
      <w:r>
        <w:rPr>
          <w:rFonts w:ascii="Arial" w:cs="Arial" w:eastAsia="Arial" w:hAnsi="Arial"/>
          <w:sz w:val="14"/>
          <w:szCs w:val="14"/>
          <w:color w:val="auto"/>
        </w:rPr>
        <w:t>. Maker and Payee agree that Maker may request up to Three Hundred Thousand Dollars ($300,000) for costs reasonably related to Maker’s</w:t>
      </w:r>
      <w:r>
        <w:rPr>
          <w:rFonts w:ascii="Arial" w:cs="Arial" w:eastAsia="Arial" w:hAnsi="Arial"/>
          <w:sz w:val="14"/>
          <w:szCs w:val="14"/>
          <w:b w:val="1"/>
          <w:bCs w:val="1"/>
          <w:color w:val="auto"/>
        </w:rPr>
        <w:t xml:space="preserve"> </w:t>
      </w:r>
      <w:r>
        <w:rPr>
          <w:rFonts w:ascii="Arial" w:cs="Arial" w:eastAsia="Arial" w:hAnsi="Arial"/>
          <w:sz w:val="14"/>
          <w:szCs w:val="14"/>
          <w:color w:val="auto"/>
        </w:rPr>
        <w:t>initial public offering of its securities. The principal of this Note may be drawn down from time to time prior to the earlier of: (i) December 31, 2020 or (ii) the date on which Maker consummates an initial public offering of its securities, upon written request from Maker to Payee (each, a “</w:t>
      </w:r>
      <w:r>
        <w:rPr>
          <w:rFonts w:ascii="Arial" w:cs="Arial" w:eastAsia="Arial" w:hAnsi="Arial"/>
          <w:sz w:val="14"/>
          <w:szCs w:val="14"/>
          <w:b w:val="1"/>
          <w:bCs w:val="1"/>
          <w:color w:val="auto"/>
        </w:rPr>
        <w:t>Drawdown Request</w:t>
      </w:r>
      <w:r>
        <w:rPr>
          <w:rFonts w:ascii="Arial" w:cs="Arial" w:eastAsia="Arial" w:hAnsi="Arial"/>
          <w:sz w:val="14"/>
          <w:szCs w:val="14"/>
          <w:color w:val="auto"/>
        </w:rPr>
        <w:t xml:space="preserve">”). Each Drawdown Request must state the amount to be drawn down, and must not be an amount less than One Thousand Dollars ($1,000) unless agreed upon by Maker and Payee. Payee shall fund each Drawdown Request no later than one (1) business day after receipt of a Drawdown Request; provided, however, that the maximum amount of drawdowns collectively under this Note is Three Hundred Thousand Dollars ($300,000). No fees, payments or other amounts shall be due to Payee in connection with, or as a result of, any Drawdown Request by Maker. </w:t>
      </w:r>
      <w:r>
        <w:rPr>
          <w:rFonts w:ascii="Arial" w:cs="Arial" w:eastAsia="Arial" w:hAnsi="Arial"/>
          <w:sz w:val="14"/>
          <w:szCs w:val="14"/>
          <w:b w:val="1"/>
          <w:bCs w:val="1"/>
          <w:color w:val="auto"/>
        </w:rPr>
        <w:t>Application of</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Payments. </w:t>
      </w:r>
      <w:r>
        <w:rPr>
          <w:rFonts w:ascii="Arial" w:cs="Arial" w:eastAsia="Arial" w:hAnsi="Arial"/>
          <w:sz w:val="14"/>
          <w:szCs w:val="14"/>
          <w:color w:val="auto"/>
        </w:rPr>
        <w:t>All payments shall be applied first to payment in full of any costs incurred in the collection of any sum due under this Note, including (without limitation) reasonable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attorney’s fees, then to the payment in full of any late charges and finally to the reduction of the unpaid principal balance of this Note. </w:t>
      </w:r>
      <w:r>
        <w:rPr>
          <w:rFonts w:ascii="Arial" w:cs="Arial" w:eastAsia="Arial" w:hAnsi="Arial"/>
          <w:sz w:val="14"/>
          <w:szCs w:val="14"/>
          <w:b w:val="1"/>
          <w:bCs w:val="1"/>
          <w:color w:val="auto"/>
        </w:rPr>
        <w:t>Events of Default.</w:t>
      </w:r>
      <w:r>
        <w:rPr>
          <w:rFonts w:ascii="Arial" w:cs="Arial" w:eastAsia="Arial" w:hAnsi="Arial"/>
          <w:sz w:val="14"/>
          <w:szCs w:val="14"/>
          <w:color w:val="auto"/>
        </w:rPr>
        <w:t xml:space="preserve"> The following shall constitute an event of default (</w:t>
      </w:r>
      <w:r>
        <w:rPr>
          <w:rFonts w:ascii="Arial" w:cs="Arial" w:eastAsia="Arial" w:hAnsi="Arial"/>
          <w:sz w:val="14"/>
          <w:szCs w:val="14"/>
          <w:b w:val="1"/>
          <w:bCs w:val="1"/>
          <w:color w:val="auto"/>
        </w:rPr>
        <w:t>“Event of Default”</w:t>
      </w:r>
      <w:r>
        <w:rPr>
          <w:rFonts w:ascii="Arial" w:cs="Arial" w:eastAsia="Arial" w:hAnsi="Arial"/>
          <w:sz w:val="14"/>
          <w:szCs w:val="14"/>
          <w:color w:val="auto"/>
        </w:rPr>
        <w:t>):</w:t>
      </w:r>
    </w:p>
    <w:p>
      <w:pPr>
        <w:spacing w:after="0" w:line="146" w:lineRule="exact"/>
        <w:rPr>
          <w:rFonts w:ascii="Arial" w:cs="Arial" w:eastAsia="Arial" w:hAnsi="Arial"/>
          <w:sz w:val="14"/>
          <w:szCs w:val="14"/>
          <w:color w:val="010000"/>
        </w:rPr>
      </w:pPr>
    </w:p>
    <w:p>
      <w:pPr>
        <w:ind w:left="1340" w:hanging="453"/>
        <w:spacing w:after="0"/>
        <w:tabs>
          <w:tab w:leader="none" w:pos="1340" w:val="left"/>
        </w:tabs>
        <w:numPr>
          <w:ilvl w:val="1"/>
          <w:numId w:val="458"/>
        </w:numPr>
        <w:rPr>
          <w:rFonts w:ascii="Arial" w:cs="Arial" w:eastAsia="Arial" w:hAnsi="Arial"/>
          <w:sz w:val="14"/>
          <w:szCs w:val="14"/>
          <w:color w:val="010000"/>
        </w:rPr>
      </w:pPr>
      <w:r>
        <w:rPr>
          <w:rFonts w:ascii="Arial" w:cs="Arial" w:eastAsia="Arial" w:hAnsi="Arial"/>
          <w:sz w:val="14"/>
          <w:szCs w:val="14"/>
          <w:u w:val="single" w:color="auto"/>
          <w:color w:val="auto"/>
        </w:rPr>
        <w:t>Failure to Make Required Payments</w:t>
      </w:r>
      <w:r>
        <w:rPr>
          <w:rFonts w:ascii="Arial" w:cs="Arial" w:eastAsia="Arial" w:hAnsi="Arial"/>
          <w:sz w:val="14"/>
          <w:szCs w:val="14"/>
          <w:color w:val="auto"/>
        </w:rPr>
        <w:t>. Failure by Maker to pay the principal amount due pursuant to this Note within five (5) business days of the date specified</w:t>
      </w:r>
    </w:p>
    <w:p>
      <w:pPr>
        <w:spacing w:after="0" w:line="35"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6"/>
          <w:szCs w:val="16"/>
          <w:color w:val="auto"/>
        </w:rPr>
        <w:t>above.</w:t>
      </w:r>
    </w:p>
    <w:p>
      <w:pPr>
        <w:spacing w:after="0" w:line="178" w:lineRule="exact"/>
        <w:rPr>
          <w:rFonts w:ascii="Arial" w:cs="Arial" w:eastAsia="Arial" w:hAnsi="Arial"/>
          <w:sz w:val="14"/>
          <w:szCs w:val="14"/>
          <w:color w:val="010000"/>
        </w:rPr>
      </w:pPr>
    </w:p>
    <w:p>
      <w:pPr>
        <w:ind w:right="200" w:firstLine="887"/>
        <w:spacing w:after="0" w:line="294" w:lineRule="auto"/>
        <w:tabs>
          <w:tab w:leader="none" w:pos="1346" w:val="left"/>
        </w:tabs>
        <w:numPr>
          <w:ilvl w:val="1"/>
          <w:numId w:val="458"/>
        </w:numPr>
        <w:rPr>
          <w:rFonts w:ascii="Arial" w:cs="Arial" w:eastAsia="Arial" w:hAnsi="Arial"/>
          <w:sz w:val="14"/>
          <w:szCs w:val="14"/>
          <w:color w:val="010000"/>
        </w:rPr>
      </w:pPr>
      <w:r>
        <w:rPr>
          <w:rFonts w:ascii="Arial" w:cs="Arial" w:eastAsia="Arial" w:hAnsi="Arial"/>
          <w:sz w:val="14"/>
          <w:szCs w:val="14"/>
          <w:u w:val="single" w:color="auto"/>
          <w:color w:val="auto"/>
        </w:rPr>
        <w:t>Voluntary Bankruptcy, Etc</w:t>
      </w:r>
      <w:r>
        <w:rPr>
          <w:rFonts w:ascii="Arial" w:cs="Arial" w:eastAsia="Arial" w:hAnsi="Arial"/>
          <w:sz w:val="14"/>
          <w:szCs w:val="14"/>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51370" cy="146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421" w:name="page422"/>
    <w:bookmarkEnd w:id="421"/>
    <w:p>
      <w:pPr>
        <w:jc w:val="both"/>
        <w:ind w:left="-60" w:right="100" w:firstLine="887"/>
        <w:spacing w:after="0" w:line="248" w:lineRule="auto"/>
        <w:tabs>
          <w:tab w:leader="none" w:pos="1277" w:val="left"/>
        </w:tabs>
        <w:numPr>
          <w:ilvl w:val="1"/>
          <w:numId w:val="459"/>
        </w:numPr>
        <w:rPr>
          <w:rFonts w:ascii="Arial" w:cs="Arial" w:eastAsia="Arial" w:hAnsi="Arial"/>
          <w:sz w:val="16"/>
          <w:szCs w:val="16"/>
          <w:color w:val="010000"/>
        </w:rPr>
      </w:pPr>
      <w:r>
        <w:rPr>
          <w:rFonts w:ascii="Arial" w:cs="Arial" w:eastAsia="Arial" w:hAnsi="Arial"/>
          <w:sz w:val="16"/>
          <w:szCs w:val="16"/>
          <w:u w:val="single" w:color="auto"/>
          <w:color w:val="auto"/>
        </w:rPr>
        <w:t>Involuntary Bankruptcy, Etc</w:t>
      </w:r>
      <w:r>
        <w:rPr>
          <w:rFonts w:ascii="Arial" w:cs="Arial" w:eastAsia="Arial" w:hAnsi="Arial"/>
          <w:sz w:val="16"/>
          <w:szCs w:val="16"/>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64" w:lineRule="exact"/>
        <w:rPr>
          <w:rFonts w:ascii="Arial" w:cs="Arial" w:eastAsia="Arial" w:hAnsi="Arial"/>
          <w:sz w:val="16"/>
          <w:szCs w:val="16"/>
          <w:color w:val="010000"/>
        </w:rPr>
      </w:pPr>
    </w:p>
    <w:p>
      <w:pPr>
        <w:ind w:left="880" w:hanging="388"/>
        <w:spacing w:after="0"/>
        <w:tabs>
          <w:tab w:leader="none" w:pos="880" w:val="left"/>
        </w:tabs>
        <w:numPr>
          <w:ilvl w:val="0"/>
          <w:numId w:val="460"/>
        </w:numPr>
        <w:rPr>
          <w:rFonts w:ascii="Arial" w:cs="Arial" w:eastAsia="Arial" w:hAnsi="Arial"/>
          <w:sz w:val="16"/>
          <w:szCs w:val="16"/>
          <w:color w:val="010000"/>
        </w:rPr>
      </w:pPr>
      <w:r>
        <w:rPr>
          <w:rFonts w:ascii="Arial" w:cs="Arial" w:eastAsia="Arial" w:hAnsi="Arial"/>
          <w:sz w:val="16"/>
          <w:szCs w:val="16"/>
          <w:b w:val="1"/>
          <w:bCs w:val="1"/>
          <w:color w:val="auto"/>
        </w:rPr>
        <w:t>Remedies.</w:t>
      </w:r>
    </w:p>
    <w:p>
      <w:pPr>
        <w:spacing w:after="0" w:line="194" w:lineRule="exact"/>
        <w:rPr>
          <w:rFonts w:ascii="Arial" w:cs="Arial" w:eastAsia="Arial" w:hAnsi="Arial"/>
          <w:sz w:val="16"/>
          <w:szCs w:val="16"/>
          <w:color w:val="010000"/>
        </w:rPr>
      </w:pPr>
    </w:p>
    <w:p>
      <w:pPr>
        <w:ind w:left="-60" w:right="160" w:firstLine="887"/>
        <w:spacing w:after="0" w:line="248" w:lineRule="auto"/>
        <w:tabs>
          <w:tab w:leader="none" w:pos="1277" w:val="left"/>
        </w:tabs>
        <w:numPr>
          <w:ilvl w:val="1"/>
          <w:numId w:val="460"/>
        </w:numPr>
        <w:rPr>
          <w:rFonts w:ascii="Arial" w:cs="Arial" w:eastAsia="Arial" w:hAnsi="Arial"/>
          <w:sz w:val="16"/>
          <w:szCs w:val="16"/>
          <w:color w:val="010000"/>
        </w:rPr>
      </w:pPr>
      <w:r>
        <w:rPr>
          <w:rFonts w:ascii="Arial" w:cs="Arial" w:eastAsia="Arial" w:hAnsi="Arial"/>
          <w:sz w:val="16"/>
          <w:szCs w:val="16"/>
          <w:color w:val="auto"/>
        </w:rPr>
        <w:t>Upon the occurrence of an Event of Default specified in Section 5(a)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0" w:lineRule="exact"/>
        <w:rPr>
          <w:rFonts w:ascii="Arial" w:cs="Arial" w:eastAsia="Arial" w:hAnsi="Arial"/>
          <w:sz w:val="16"/>
          <w:szCs w:val="16"/>
          <w:color w:val="010000"/>
        </w:rPr>
      </w:pPr>
    </w:p>
    <w:p>
      <w:pPr>
        <w:ind w:left="-60" w:right="320" w:firstLine="887"/>
        <w:spacing w:after="0" w:line="258" w:lineRule="auto"/>
        <w:tabs>
          <w:tab w:leader="none" w:pos="1286" w:val="left"/>
        </w:tabs>
        <w:numPr>
          <w:ilvl w:val="1"/>
          <w:numId w:val="460"/>
        </w:numPr>
        <w:rPr>
          <w:rFonts w:ascii="Arial" w:cs="Arial" w:eastAsia="Arial" w:hAnsi="Arial"/>
          <w:sz w:val="16"/>
          <w:szCs w:val="16"/>
          <w:color w:val="010000"/>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56" w:lineRule="exact"/>
        <w:rPr>
          <w:rFonts w:ascii="Arial" w:cs="Arial" w:eastAsia="Arial" w:hAnsi="Arial"/>
          <w:sz w:val="16"/>
          <w:szCs w:val="16"/>
          <w:color w:val="010000"/>
        </w:rPr>
      </w:pPr>
    </w:p>
    <w:p>
      <w:pPr>
        <w:ind w:left="-60" w:firstLine="552"/>
        <w:spacing w:after="0" w:line="292" w:lineRule="auto"/>
        <w:tabs>
          <w:tab w:leader="none" w:pos="886" w:val="left"/>
        </w:tabs>
        <w:numPr>
          <w:ilvl w:val="0"/>
          <w:numId w:val="460"/>
        </w:numPr>
        <w:rPr>
          <w:rFonts w:ascii="Arial" w:cs="Arial" w:eastAsia="Arial" w:hAnsi="Arial"/>
          <w:sz w:val="14"/>
          <w:szCs w:val="14"/>
          <w:color w:val="010000"/>
        </w:rPr>
      </w:pPr>
      <w:r>
        <w:rPr>
          <w:rFonts w:ascii="Arial" w:cs="Arial" w:eastAsia="Arial" w:hAnsi="Arial"/>
          <w:sz w:val="14"/>
          <w:szCs w:val="14"/>
          <w:b w:val="1"/>
          <w:bCs w:val="1"/>
          <w:color w:val="auto"/>
        </w:rPr>
        <w:t xml:space="preserve">Waivers. </w:t>
      </w:r>
      <w:r>
        <w:rPr>
          <w:rFonts w:ascii="Arial" w:cs="Arial" w:eastAsia="Arial" w:hAnsi="Arial"/>
          <w:sz w:val="14"/>
          <w:szCs w:val="14"/>
          <w:color w:val="auto"/>
        </w:rPr>
        <w:t>Maker and all endorsers and guarantors of, and sureties for, this Note waive presentment for payment, demand, notice of dishonor, protest, and notice of</w:t>
      </w:r>
      <w:r>
        <w:rPr>
          <w:rFonts w:ascii="Arial" w:cs="Arial" w:eastAsia="Arial" w:hAnsi="Arial"/>
          <w:sz w:val="14"/>
          <w:szCs w:val="14"/>
          <w:b w:val="1"/>
          <w:bCs w:val="1"/>
          <w:color w:val="auto"/>
        </w:rPr>
        <w:t xml:space="preserve"> </w:t>
      </w:r>
      <w:r>
        <w:rPr>
          <w:rFonts w:ascii="Arial" w:cs="Arial" w:eastAsia="Arial" w:hAnsi="Arial"/>
          <w:sz w:val="14"/>
          <w:szCs w:val="14"/>
          <w:color w:val="auto"/>
        </w:rPr>
        <w:t>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37" w:lineRule="exact"/>
        <w:rPr>
          <w:rFonts w:ascii="Arial" w:cs="Arial" w:eastAsia="Arial" w:hAnsi="Arial"/>
          <w:sz w:val="14"/>
          <w:szCs w:val="14"/>
          <w:color w:val="010000"/>
        </w:rPr>
      </w:pPr>
    </w:p>
    <w:p>
      <w:pPr>
        <w:ind w:left="-60" w:right="40" w:firstLine="552"/>
        <w:spacing w:after="0" w:line="248" w:lineRule="auto"/>
        <w:tabs>
          <w:tab w:leader="none" w:pos="886" w:val="left"/>
        </w:tabs>
        <w:numPr>
          <w:ilvl w:val="0"/>
          <w:numId w:val="460"/>
        </w:numPr>
        <w:rPr>
          <w:rFonts w:ascii="Arial" w:cs="Arial" w:eastAsia="Arial" w:hAnsi="Arial"/>
          <w:sz w:val="16"/>
          <w:szCs w:val="16"/>
          <w:color w:val="010000"/>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 payment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66" w:lineRule="exact"/>
        <w:rPr>
          <w:rFonts w:ascii="Arial" w:cs="Arial" w:eastAsia="Arial" w:hAnsi="Arial"/>
          <w:sz w:val="16"/>
          <w:szCs w:val="16"/>
          <w:color w:val="010000"/>
        </w:rPr>
      </w:pPr>
    </w:p>
    <w:p>
      <w:pPr>
        <w:ind w:left="-60" w:right="20" w:firstLine="552"/>
        <w:spacing w:after="0" w:line="289" w:lineRule="auto"/>
        <w:tabs>
          <w:tab w:leader="none" w:pos="886" w:val="left"/>
        </w:tabs>
        <w:numPr>
          <w:ilvl w:val="0"/>
          <w:numId w:val="460"/>
        </w:numPr>
        <w:rPr>
          <w:rFonts w:ascii="Arial" w:cs="Arial" w:eastAsia="Arial" w:hAnsi="Arial"/>
          <w:sz w:val="14"/>
          <w:szCs w:val="14"/>
          <w:color w:val="010000"/>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All notices, statements or other documents which are required or contemplated by this Agreement shall be: (i) in writing and delivered personally or sent by</w:t>
      </w:r>
      <w:r>
        <w:rPr>
          <w:rFonts w:ascii="Arial" w:cs="Arial" w:eastAsia="Arial" w:hAnsi="Arial"/>
          <w:sz w:val="14"/>
          <w:szCs w:val="14"/>
          <w:b w:val="1"/>
          <w:bCs w:val="1"/>
          <w:color w:val="auto"/>
        </w:rPr>
        <w:t xml:space="preserve"> </w:t>
      </w:r>
      <w:r>
        <w:rPr>
          <w:rFonts w:ascii="Arial" w:cs="Arial" w:eastAsia="Arial" w:hAnsi="Arial"/>
          <w:sz w:val="14"/>
          <w:szCs w:val="14"/>
          <w:color w:val="auto"/>
        </w:rPr>
        <w:t>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33020</wp:posOffset>
            </wp:positionV>
            <wp:extent cx="7151370" cy="146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140"/>
          </w:cols>
          <w:pgMar w:left="380" w:top="314" w:right="379" w:bottom="1440" w:gutter="0" w:footer="0" w:header="0"/>
        </w:sectPr>
      </w:pPr>
    </w:p>
    <w:bookmarkStart w:id="422" w:name="page423"/>
    <w:bookmarkEnd w:id="422"/>
    <w:p>
      <w:pPr>
        <w:ind w:right="100" w:firstLine="552"/>
        <w:spacing w:after="0" w:line="266" w:lineRule="auto"/>
        <w:tabs>
          <w:tab w:leader="none" w:pos="1024" w:val="left"/>
        </w:tabs>
        <w:numPr>
          <w:ilvl w:val="0"/>
          <w:numId w:val="461"/>
        </w:numPr>
        <w:rPr>
          <w:rFonts w:ascii="Arial" w:cs="Arial" w:eastAsia="Arial" w:hAnsi="Arial"/>
          <w:sz w:val="16"/>
          <w:szCs w:val="16"/>
          <w:color w:val="010000"/>
        </w:rPr>
      </w:pPr>
      <w:r>
        <w:rPr>
          <w:rFonts w:ascii="Arial" w:cs="Arial" w:eastAsia="Arial" w:hAnsi="Arial"/>
          <w:sz w:val="16"/>
          <w:szCs w:val="16"/>
          <w:b w:val="1"/>
          <w:bCs w:val="1"/>
          <w:color w:val="auto"/>
        </w:rPr>
        <w:t xml:space="preserve">Construction. </w:t>
      </w:r>
      <w:r>
        <w:rPr>
          <w:rFonts w:ascii="Arial" w:cs="Arial" w:eastAsia="Arial" w:hAnsi="Arial"/>
          <w:sz w:val="16"/>
          <w:szCs w:val="16"/>
          <w:color w:val="auto"/>
        </w:rPr>
        <w:t>THIS NOTE SHALL BE CONSTRUED AND ENFORCED IN ACCORDANCE WITH THE LAWS OF NEW YORK, WITHOUT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OF LAW PROVISIONS THEREOF.</w:t>
      </w:r>
    </w:p>
    <w:p>
      <w:pPr>
        <w:spacing w:after="0" w:line="150" w:lineRule="exact"/>
        <w:rPr>
          <w:rFonts w:ascii="Arial" w:cs="Arial" w:eastAsia="Arial" w:hAnsi="Arial"/>
          <w:sz w:val="16"/>
          <w:szCs w:val="16"/>
          <w:color w:val="010000"/>
        </w:rPr>
      </w:pPr>
    </w:p>
    <w:p>
      <w:pPr>
        <w:ind w:right="60" w:firstLine="552"/>
        <w:spacing w:after="0" w:line="254" w:lineRule="auto"/>
        <w:tabs>
          <w:tab w:leader="none" w:pos="1018" w:val="left"/>
        </w:tabs>
        <w:numPr>
          <w:ilvl w:val="0"/>
          <w:numId w:val="461"/>
        </w:numPr>
        <w:rPr>
          <w:rFonts w:ascii="Arial" w:cs="Arial" w:eastAsia="Arial" w:hAnsi="Arial"/>
          <w:sz w:val="16"/>
          <w:szCs w:val="16"/>
          <w:color w:val="010000"/>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Any provision contained in this Note which is prohibited or unenforceable in any jurisdiction shall, as to such jurisdiction, be ineffective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0" w:lineRule="exact"/>
        <w:rPr>
          <w:rFonts w:ascii="Arial" w:cs="Arial" w:eastAsia="Arial" w:hAnsi="Arial"/>
          <w:sz w:val="16"/>
          <w:szCs w:val="16"/>
          <w:color w:val="010000"/>
        </w:rPr>
      </w:pPr>
    </w:p>
    <w:p>
      <w:pPr>
        <w:ind w:firstLine="552"/>
        <w:spacing w:after="0" w:line="292" w:lineRule="auto"/>
        <w:tabs>
          <w:tab w:leader="none" w:pos="1024" w:val="left"/>
        </w:tabs>
        <w:numPr>
          <w:ilvl w:val="0"/>
          <w:numId w:val="461"/>
        </w:numPr>
        <w:rPr>
          <w:rFonts w:ascii="Arial" w:cs="Arial" w:eastAsia="Arial" w:hAnsi="Arial"/>
          <w:sz w:val="14"/>
          <w:szCs w:val="14"/>
          <w:color w:val="010000"/>
        </w:rPr>
      </w:pPr>
      <w:r>
        <w:rPr>
          <w:rFonts w:ascii="Arial" w:cs="Arial" w:eastAsia="Arial" w:hAnsi="Arial"/>
          <w:sz w:val="14"/>
          <w:szCs w:val="14"/>
          <w:b w:val="1"/>
          <w:bCs w:val="1"/>
          <w:color w:val="auto"/>
        </w:rPr>
        <w:t xml:space="preserve">Trust Waiver. </w:t>
      </w:r>
      <w:r>
        <w:rPr>
          <w:rFonts w:ascii="Arial" w:cs="Arial" w:eastAsia="Arial" w:hAnsi="Arial"/>
          <w:sz w:val="14"/>
          <w:szCs w:val="14"/>
          <w:color w:val="auto"/>
        </w:rPr>
        <w:t>Notwithstanding anything herein to the contrary, the Payee hereby waives any and all right, title, interest or claim of any kind (“</w:t>
      </w:r>
      <w:r>
        <w:rPr>
          <w:rFonts w:ascii="Arial" w:cs="Arial" w:eastAsia="Arial" w:hAnsi="Arial"/>
          <w:sz w:val="14"/>
          <w:szCs w:val="14"/>
          <w:b w:val="1"/>
          <w:bCs w:val="1"/>
          <w:color w:val="auto"/>
        </w:rPr>
        <w:t>Claim</w:t>
      </w:r>
      <w:r>
        <w:rPr>
          <w:rFonts w:ascii="Arial" w:cs="Arial" w:eastAsia="Arial" w:hAnsi="Arial"/>
          <w:sz w:val="14"/>
          <w:szCs w:val="14"/>
          <w:color w:val="auto"/>
        </w:rPr>
        <w:t>”) in or to any</w:t>
      </w:r>
      <w:r>
        <w:rPr>
          <w:rFonts w:ascii="Arial" w:cs="Arial" w:eastAsia="Arial" w:hAnsi="Arial"/>
          <w:sz w:val="14"/>
          <w:szCs w:val="14"/>
          <w:b w:val="1"/>
          <w:bCs w:val="1"/>
          <w:color w:val="auto"/>
        </w:rPr>
        <w:t xml:space="preserve"> </w:t>
      </w:r>
      <w:r>
        <w:rPr>
          <w:rFonts w:ascii="Arial" w:cs="Arial" w:eastAsia="Arial" w:hAnsi="Arial"/>
          <w:sz w:val="14"/>
          <w:szCs w:val="14"/>
          <w:color w:val="auto"/>
        </w:rPr>
        <w:t>distribution of or from the trust account to be established in which the proceeds of the IPO conducted by the Maker (including the deferred underwriters discounts and commissions) and certain of the proceeds of the sale of the units issued in a private placement to occur in connection with the consummation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37" w:lineRule="exact"/>
        <w:rPr>
          <w:rFonts w:ascii="Arial" w:cs="Arial" w:eastAsia="Arial" w:hAnsi="Arial"/>
          <w:sz w:val="14"/>
          <w:szCs w:val="14"/>
          <w:color w:val="010000"/>
        </w:rPr>
      </w:pPr>
    </w:p>
    <w:p>
      <w:pPr>
        <w:ind w:left="1020" w:hanging="468"/>
        <w:spacing w:after="0"/>
        <w:tabs>
          <w:tab w:leader="none" w:pos="1020" w:val="left"/>
        </w:tabs>
        <w:numPr>
          <w:ilvl w:val="0"/>
          <w:numId w:val="461"/>
        </w:numPr>
        <w:rPr>
          <w:rFonts w:ascii="Arial" w:cs="Arial" w:eastAsia="Arial" w:hAnsi="Arial"/>
          <w:sz w:val="14"/>
          <w:szCs w:val="14"/>
          <w:color w:val="010000"/>
        </w:rPr>
      </w:pPr>
      <w:r>
        <w:rPr>
          <w:rFonts w:ascii="Arial" w:cs="Arial" w:eastAsia="Arial" w:hAnsi="Arial"/>
          <w:sz w:val="14"/>
          <w:szCs w:val="14"/>
          <w:b w:val="1"/>
          <w:bCs w:val="1"/>
          <w:color w:val="auto"/>
        </w:rPr>
        <w:t xml:space="preserve">Amendment; Waiver. </w:t>
      </w:r>
      <w:r>
        <w:rPr>
          <w:rFonts w:ascii="Arial" w:cs="Arial" w:eastAsia="Arial" w:hAnsi="Arial"/>
          <w:sz w:val="14"/>
          <w:szCs w:val="14"/>
          <w:color w:val="auto"/>
        </w:rPr>
        <w:t>Any amendment hereto or waiver of any provision hereof may be made with, and only with, the written consent of the Maker and the Payee.</w:t>
      </w:r>
    </w:p>
    <w:p>
      <w:pPr>
        <w:spacing w:after="0" w:line="211" w:lineRule="exact"/>
        <w:rPr>
          <w:rFonts w:ascii="Arial" w:cs="Arial" w:eastAsia="Arial" w:hAnsi="Arial"/>
          <w:sz w:val="14"/>
          <w:szCs w:val="14"/>
          <w:color w:val="010000"/>
        </w:rPr>
      </w:pPr>
    </w:p>
    <w:p>
      <w:pPr>
        <w:ind w:right="320" w:firstLine="552"/>
        <w:spacing w:after="0" w:line="266" w:lineRule="auto"/>
        <w:tabs>
          <w:tab w:leader="none" w:pos="1024" w:val="left"/>
        </w:tabs>
        <w:numPr>
          <w:ilvl w:val="0"/>
          <w:numId w:val="461"/>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party hereto and any attempted assignment without the required consent shall be void.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0"/>
          </w:cols>
          <w:pgMar w:left="320" w:top="309" w:right="359" w:bottom="1440" w:gutter="0" w:footer="0" w:header="0"/>
        </w:sectPr>
      </w:pPr>
    </w:p>
    <w:bookmarkStart w:id="423" w:name="page424"/>
    <w:bookmarkEnd w:id="423"/>
    <w:p>
      <w:pPr>
        <w:ind w:left="56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Maker, intending to be legally bound hereby, has caused this Note to be duly executed by the undersigned as of the day and year first above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written.</w:t>
      </w:r>
    </w:p>
    <w:p>
      <w:pPr>
        <w:spacing w:after="0" w:line="17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ARYA SCIENCES ACQUISITION CORP III</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 Cayman Islands exempted company</w:t>
      </w:r>
    </w:p>
    <w:p>
      <w:pPr>
        <w:spacing w:after="0" w:line="178" w:lineRule="exact"/>
        <w:rPr>
          <w:sz w:val="20"/>
          <w:szCs w:val="20"/>
          <w:color w:val="auto"/>
        </w:rPr>
      </w:pPr>
    </w:p>
    <w:tbl>
      <w:tblPr>
        <w:tblLayout w:type="fixed"/>
        <w:tblInd w:w="5640" w:type="dxa"/>
        <w:tblCellMar>
          <w:top w:w="0" w:type="dxa"/>
          <w:left w:w="0" w:type="dxa"/>
          <w:bottom w:w="0" w:type="dxa"/>
          <w:right w:w="0" w:type="dxa"/>
        </w:tblCellMar>
      </w:tblPr>
      <w:tr>
        <w:trPr>
          <w:trHeight w:val="196"/>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Samuel Cohn</w:t>
            </w:r>
          </w:p>
        </w:tc>
      </w:tr>
      <w:tr>
        <w:trPr>
          <w:trHeight w:val="167"/>
        </w:trPr>
        <w:tc>
          <w:tcPr>
            <w:tcW w:w="560" w:type="dxa"/>
            <w:vAlign w:val="bottom"/>
          </w:tcPr>
          <w:p>
            <w:pPr>
              <w:spacing w:after="0"/>
              <w:rPr>
                <w:sz w:val="14"/>
                <w:szCs w:val="14"/>
                <w:color w:val="auto"/>
              </w:rPr>
            </w:pPr>
          </w:p>
        </w:tc>
        <w:tc>
          <w:tcPr>
            <w:tcW w:w="480" w:type="dxa"/>
            <w:vAlign w:val="bottom"/>
          </w:tcPr>
          <w:p>
            <w:pPr>
              <w:spacing w:after="0" w:line="168" w:lineRule="exact"/>
              <w:rPr>
                <w:sz w:val="20"/>
                <w:szCs w:val="20"/>
                <w:color w:val="auto"/>
              </w:rPr>
            </w:pPr>
            <w:r>
              <w:rPr>
                <w:rFonts w:ascii="Arial" w:cs="Arial" w:eastAsia="Arial" w:hAnsi="Arial"/>
                <w:sz w:val="16"/>
                <w:szCs w:val="16"/>
                <w:color w:val="auto"/>
                <w:w w:val="97"/>
              </w:rPr>
              <w:t>Name:</w:t>
            </w:r>
          </w:p>
        </w:tc>
        <w:tc>
          <w:tcPr>
            <w:tcW w:w="4580" w:type="dxa"/>
            <w:vAlign w:val="bottom"/>
          </w:tcPr>
          <w:p>
            <w:pPr>
              <w:ind w:left="80"/>
              <w:spacing w:after="0" w:line="168" w:lineRule="exact"/>
              <w:rPr>
                <w:sz w:val="20"/>
                <w:szCs w:val="20"/>
                <w:color w:val="auto"/>
              </w:rPr>
            </w:pPr>
            <w:r>
              <w:rPr>
                <w:rFonts w:ascii="Arial" w:cs="Arial" w:eastAsia="Arial" w:hAnsi="Arial"/>
                <w:sz w:val="16"/>
                <w:szCs w:val="16"/>
                <w:color w:val="auto"/>
              </w:rPr>
              <w:t>Samuel Cohn</w:t>
            </w: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Title:</w:t>
            </w:r>
          </w:p>
        </w:tc>
        <w:tc>
          <w:tcPr>
            <w:tcW w:w="4580" w:type="dxa"/>
            <w:vAlign w:val="bottom"/>
          </w:tcPr>
          <w:p>
            <w:pPr>
              <w:ind w:left="80"/>
              <w:spacing w:after="0"/>
              <w:rPr>
                <w:sz w:val="20"/>
                <w:szCs w:val="20"/>
                <w:color w:val="auto"/>
              </w:rPr>
            </w:pPr>
            <w:r>
              <w:rPr>
                <w:rFonts w:ascii="Arial" w:cs="Arial" w:eastAsia="Arial" w:hAnsi="Arial"/>
                <w:sz w:val="16"/>
                <w:szCs w:val="16"/>
                <w:color w:val="auto"/>
              </w:rPr>
              <w:t>Secretary</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Promissory Note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24" w:name="page425"/>
    <w:bookmarkEnd w:id="424"/>
    <w:p>
      <w:pPr>
        <w:ind w:left="4560"/>
        <w:spacing w:after="0"/>
        <w:rPr>
          <w:sz w:val="20"/>
          <w:szCs w:val="20"/>
          <w:color w:val="auto"/>
        </w:rPr>
      </w:pPr>
      <w:r>
        <w:rPr>
          <w:rFonts w:ascii="Arial" w:cs="Arial" w:eastAsia="Arial" w:hAnsi="Arial"/>
          <w:sz w:val="14"/>
          <w:szCs w:val="14"/>
          <w:color w:val="auto"/>
        </w:rPr>
        <w:t>SCHEDULE OF BORROWINGS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increases or decreases in this Promissory Note have been made:</w:t>
      </w:r>
    </w:p>
    <w:p>
      <w:pPr>
        <w:sectPr>
          <w:pgSz w:w="11900" w:h="16838" w:orient="portrait"/>
          <w:cols w:equalWidth="0" w:num="1">
            <w:col w:w="10139"/>
          </w:cols>
          <w:pgMar w:left="320" w:top="315" w:right="1440" w:bottom="1440" w:gutter="0" w:footer="0" w:header="0"/>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ind w:left="20"/>
              <w:spacing w:after="0"/>
              <w:rPr>
                <w:sz w:val="20"/>
                <w:szCs w:val="20"/>
                <w:color w:val="auto"/>
              </w:rPr>
            </w:pPr>
            <w:r>
              <w:rPr>
                <w:rFonts w:ascii="Arial" w:cs="Arial" w:eastAsia="Arial" w:hAnsi="Arial"/>
                <w:sz w:val="12"/>
                <w:szCs w:val="12"/>
                <w:color w:val="auto"/>
              </w:rPr>
              <w:t>Amount of decrease in</w:t>
            </w:r>
          </w:p>
        </w:tc>
      </w:tr>
      <w:tr>
        <w:trPr>
          <w:trHeight w:val="128"/>
        </w:trPr>
        <w:tc>
          <w:tcPr>
            <w:tcW w:w="2640" w:type="dxa"/>
            <w:vAlign w:val="bottom"/>
          </w:tcPr>
          <w:p>
            <w:pPr>
              <w:spacing w:after="0" w:line="128" w:lineRule="exact"/>
              <w:rPr>
                <w:sz w:val="20"/>
                <w:szCs w:val="20"/>
                <w:color w:val="auto"/>
              </w:rPr>
            </w:pPr>
            <w:r>
              <w:rPr>
                <w:rFonts w:ascii="Arial" w:cs="Arial" w:eastAsia="Arial" w:hAnsi="Arial"/>
                <w:sz w:val="12"/>
                <w:szCs w:val="12"/>
                <w:color w:val="auto"/>
              </w:rPr>
              <w:t>Date of Increase or</w:t>
            </w:r>
          </w:p>
        </w:tc>
        <w:tc>
          <w:tcPr>
            <w:tcW w:w="160" w:type="dxa"/>
            <w:vAlign w:val="bottom"/>
          </w:tcPr>
          <w:p>
            <w:pPr>
              <w:spacing w:after="0"/>
              <w:rPr>
                <w:sz w:val="11"/>
                <w:szCs w:val="11"/>
                <w:color w:val="auto"/>
              </w:rPr>
            </w:pPr>
          </w:p>
        </w:tc>
        <w:tc>
          <w:tcPr>
            <w:tcW w:w="2660" w:type="dxa"/>
            <w:vAlign w:val="bottom"/>
          </w:tcPr>
          <w:p>
            <w:pPr>
              <w:ind w:left="20"/>
              <w:spacing w:after="0" w:line="128" w:lineRule="exact"/>
              <w:rPr>
                <w:sz w:val="20"/>
                <w:szCs w:val="20"/>
                <w:color w:val="auto"/>
              </w:rPr>
            </w:pPr>
            <w:r>
              <w:rPr>
                <w:rFonts w:ascii="Arial" w:cs="Arial" w:eastAsia="Arial" w:hAnsi="Arial"/>
                <w:sz w:val="12"/>
                <w:szCs w:val="12"/>
                <w:color w:val="auto"/>
              </w:rPr>
              <w:t>Principal Amount of this</w:t>
            </w:r>
          </w:p>
        </w:tc>
      </w:tr>
      <w:tr>
        <w:trPr>
          <w:trHeight w:val="144"/>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Decrease</w:t>
            </w:r>
          </w:p>
        </w:tc>
        <w:tc>
          <w:tcPr>
            <w:tcW w:w="160" w:type="dxa"/>
            <w:vAlign w:val="bottom"/>
          </w:tcPr>
          <w:p>
            <w:pPr>
              <w:spacing w:after="0"/>
              <w:rPr>
                <w:sz w:val="12"/>
                <w:szCs w:val="12"/>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Promissory Note</w:t>
            </w: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Amount of increase in</w:t>
      </w:r>
    </w:p>
    <w:p>
      <w:pPr>
        <w:spacing w:after="0"/>
        <w:rPr>
          <w:sz w:val="20"/>
          <w:szCs w:val="20"/>
          <w:color w:val="auto"/>
        </w:rPr>
      </w:pPr>
      <w:r>
        <w:rPr>
          <w:rFonts w:ascii="Arial" w:cs="Arial" w:eastAsia="Arial" w:hAnsi="Arial"/>
          <w:sz w:val="11"/>
          <w:szCs w:val="11"/>
          <w:color w:val="auto"/>
        </w:rPr>
        <w:t>Principal Amount of this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168465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16846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of this</w:t>
      </w:r>
    </w:p>
    <w:p>
      <w:pPr>
        <w:spacing w:after="0"/>
        <w:rPr>
          <w:sz w:val="20"/>
          <w:szCs w:val="20"/>
          <w:color w:val="auto"/>
        </w:rPr>
      </w:pPr>
      <w:r>
        <w:rPr>
          <w:rFonts w:ascii="Arial" w:cs="Arial" w:eastAsia="Arial" w:hAnsi="Arial"/>
          <w:sz w:val="11"/>
          <w:szCs w:val="11"/>
          <w:color w:val="auto"/>
        </w:rPr>
        <w:t>Promissory Note following</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such decrease or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168465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1684655" cy="762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3">
            <w:col w:w="5540" w:space="160"/>
            <w:col w:w="2100" w:space="720"/>
            <w:col w:w="1619"/>
          </w:cols>
          <w:pgMar w:left="320" w:top="315" w:right="1440" w:bottom="1440" w:gutter="0" w:footer="0" w:header="0"/>
          <w:type w:val="continuous"/>
        </w:sectPr>
      </w:pPr>
    </w:p>
    <w:p>
      <w:pPr>
        <w:spacing w:after="0" w:line="343"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51370" cy="146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type w:val="continuous"/>
        </w:sectPr>
      </w:pPr>
    </w:p>
    <w:bookmarkStart w:id="425" w:name="page426"/>
    <w:bookmarkEnd w:id="42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10.7</w:t>
      </w:r>
    </w:p>
    <w:p>
      <w:pPr>
        <w:spacing w:after="0" w:line="18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ARYA Sciences Acquisition Corp III</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c/o Perceptive Advisors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51 Astor Place, 10th Floor</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New York, NY 10003</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April 2, 2020</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ARYA Sciences Holdings III</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6"/>
          <w:szCs w:val="16"/>
          <w:color w:val="auto"/>
        </w:rPr>
        <w:t>c/o Perceptive Advisors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color w:val="auto"/>
        </w:rPr>
        <w:t>51 Astor Place, 10th Floor</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color w:val="auto"/>
        </w:rPr>
        <w:t>New York, NY 10003</w:t>
      </w:r>
    </w:p>
    <w:p>
      <w:pPr>
        <w:spacing w:after="0" w:line="178" w:lineRule="exact"/>
        <w:rPr>
          <w:sz w:val="20"/>
          <w:szCs w:val="20"/>
          <w:color w:val="auto"/>
        </w:rPr>
      </w:pPr>
    </w:p>
    <w:p>
      <w:pPr>
        <w:ind w:left="7"/>
        <w:spacing w:after="0"/>
        <w:tabs>
          <w:tab w:leader="none" w:pos="447"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Securities Subscription Agreement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Gentlemen:</w:t>
      </w:r>
    </w:p>
    <w:p>
      <w:pPr>
        <w:spacing w:after="0" w:line="182" w:lineRule="exact"/>
        <w:rPr>
          <w:sz w:val="20"/>
          <w:szCs w:val="20"/>
          <w:color w:val="auto"/>
        </w:rPr>
      </w:pPr>
    </w:p>
    <w:p>
      <w:pPr>
        <w:jc w:val="both"/>
        <w:ind w:left="7" w:firstLine="559"/>
        <w:spacing w:after="0" w:line="292" w:lineRule="auto"/>
        <w:rPr>
          <w:sz w:val="20"/>
          <w:szCs w:val="20"/>
          <w:color w:val="auto"/>
        </w:rPr>
      </w:pPr>
      <w:r>
        <w:rPr>
          <w:rFonts w:ascii="Arial" w:cs="Arial" w:eastAsia="Arial" w:hAnsi="Arial"/>
          <w:sz w:val="14"/>
          <w:szCs w:val="14"/>
          <w:color w:val="auto"/>
        </w:rPr>
        <w:t>This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on April 2, 2020 by and between ARYA Sciences Holdings III, a Cayman Islands exempted limited company (the “</w:t>
      </w:r>
      <w:r>
        <w:rPr>
          <w:rFonts w:ascii="Arial" w:cs="Arial" w:eastAsia="Arial" w:hAnsi="Arial"/>
          <w:sz w:val="14"/>
          <w:szCs w:val="14"/>
          <w:b w:val="1"/>
          <w:bCs w:val="1"/>
          <w:color w:val="auto"/>
        </w:rPr>
        <w:t>Subscriber</w:t>
      </w:r>
      <w:r>
        <w:rPr>
          <w:rFonts w:ascii="Arial" w:cs="Arial" w:eastAsia="Arial" w:hAnsi="Arial"/>
          <w:sz w:val="14"/>
          <w:szCs w:val="14"/>
          <w:color w:val="auto"/>
        </w:rPr>
        <w:t>” or “</w:t>
      </w:r>
      <w:r>
        <w:rPr>
          <w:rFonts w:ascii="Arial" w:cs="Arial" w:eastAsia="Arial" w:hAnsi="Arial"/>
          <w:sz w:val="14"/>
          <w:szCs w:val="14"/>
          <w:b w:val="1"/>
          <w:bCs w:val="1"/>
          <w:color w:val="auto"/>
        </w:rPr>
        <w:t>you</w:t>
      </w:r>
      <w:r>
        <w:rPr>
          <w:rFonts w:ascii="Arial" w:cs="Arial" w:eastAsia="Arial" w:hAnsi="Arial"/>
          <w:sz w:val="14"/>
          <w:szCs w:val="14"/>
          <w:color w:val="auto"/>
        </w:rPr>
        <w:t>”), and ARYA Sciences Acquisition Corp III, a Cayman Islands exempted limited company (the “</w:t>
      </w:r>
      <w:r>
        <w:rPr>
          <w:rFonts w:ascii="Arial" w:cs="Arial" w:eastAsia="Arial" w:hAnsi="Arial"/>
          <w:sz w:val="14"/>
          <w:szCs w:val="14"/>
          <w:b w:val="1"/>
          <w:bCs w:val="1"/>
          <w:color w:val="auto"/>
        </w:rPr>
        <w:t>Company</w:t>
      </w:r>
      <w:r>
        <w:rPr>
          <w:rFonts w:ascii="Arial" w:cs="Arial" w:eastAsia="Arial" w:hAnsi="Arial"/>
          <w:sz w:val="14"/>
          <w:szCs w:val="14"/>
          <w:color w:val="auto"/>
        </w:rPr>
        <w:t>”). Pursuant to the terms hereof, the Company hereby accepts the offer the Subscriber has made to purchase 3,593,750 Class B ordinary shares, $0.0001 par value per share (the “</w:t>
      </w:r>
      <w:r>
        <w:rPr>
          <w:rFonts w:ascii="Arial" w:cs="Arial" w:eastAsia="Arial" w:hAnsi="Arial"/>
          <w:sz w:val="14"/>
          <w:szCs w:val="14"/>
          <w:b w:val="1"/>
          <w:bCs w:val="1"/>
          <w:color w:val="auto"/>
        </w:rPr>
        <w:t>Shares</w:t>
      </w:r>
      <w:r>
        <w:rPr>
          <w:rFonts w:ascii="Arial" w:cs="Arial" w:eastAsia="Arial" w:hAnsi="Arial"/>
          <w:sz w:val="14"/>
          <w:szCs w:val="14"/>
          <w:color w:val="auto"/>
        </w:rPr>
        <w:t>”), up to 468,750 of which are subject to surrender and cancellation by you if the underwriters of the initial public offering (“</w:t>
      </w:r>
      <w:r>
        <w:rPr>
          <w:rFonts w:ascii="Arial" w:cs="Arial" w:eastAsia="Arial" w:hAnsi="Arial"/>
          <w:sz w:val="14"/>
          <w:szCs w:val="14"/>
          <w:b w:val="1"/>
          <w:bCs w:val="1"/>
          <w:color w:val="auto"/>
        </w:rPr>
        <w:t>IPO</w:t>
      </w:r>
      <w:r>
        <w:rPr>
          <w:rFonts w:ascii="Arial" w:cs="Arial" w:eastAsia="Arial" w:hAnsi="Arial"/>
          <w:sz w:val="14"/>
          <w:szCs w:val="14"/>
          <w:color w:val="auto"/>
        </w:rPr>
        <w:t>”) of units (“</w:t>
      </w:r>
      <w:r>
        <w:rPr>
          <w:rFonts w:ascii="Arial" w:cs="Arial" w:eastAsia="Arial" w:hAnsi="Arial"/>
          <w:sz w:val="14"/>
          <w:szCs w:val="14"/>
          <w:b w:val="1"/>
          <w:bCs w:val="1"/>
          <w:color w:val="auto"/>
        </w:rPr>
        <w:t>Units</w:t>
      </w:r>
      <w:r>
        <w:rPr>
          <w:rFonts w:ascii="Arial" w:cs="Arial" w:eastAsia="Arial" w:hAnsi="Arial"/>
          <w:sz w:val="14"/>
          <w:szCs w:val="14"/>
          <w:color w:val="auto"/>
        </w:rPr>
        <w:t>”) of the Company do not fully exercise their over-allotment option (the “</w:t>
      </w:r>
      <w:r>
        <w:rPr>
          <w:rFonts w:ascii="Arial" w:cs="Arial" w:eastAsia="Arial" w:hAnsi="Arial"/>
          <w:sz w:val="14"/>
          <w:szCs w:val="14"/>
          <w:b w:val="1"/>
          <w:bCs w:val="1"/>
          <w:color w:val="auto"/>
        </w:rPr>
        <w:t>Over-allotment Option</w:t>
      </w:r>
      <w:r>
        <w:rPr>
          <w:rFonts w:ascii="Arial" w:cs="Arial" w:eastAsia="Arial" w:hAnsi="Arial"/>
          <w:sz w:val="14"/>
          <w:szCs w:val="14"/>
          <w:color w:val="auto"/>
        </w:rPr>
        <w:t>”). The Company and the Subscriber’s agreements regarding such Shares are as follows:</w:t>
      </w:r>
    </w:p>
    <w:p>
      <w:pPr>
        <w:spacing w:after="0" w:line="144" w:lineRule="exact"/>
        <w:rPr>
          <w:sz w:val="20"/>
          <w:szCs w:val="20"/>
          <w:color w:val="auto"/>
        </w:rPr>
      </w:pPr>
    </w:p>
    <w:p>
      <w:pPr>
        <w:ind w:left="587" w:hanging="587"/>
        <w:spacing w:after="0"/>
        <w:tabs>
          <w:tab w:leader="none" w:pos="587" w:val="left"/>
        </w:tabs>
        <w:numPr>
          <w:ilvl w:val="0"/>
          <w:numId w:val="462"/>
        </w:numPr>
        <w:rPr>
          <w:rFonts w:ascii="Arial" w:cs="Arial" w:eastAsia="Arial" w:hAnsi="Arial"/>
          <w:sz w:val="16"/>
          <w:szCs w:val="16"/>
          <w:color w:val="010000"/>
        </w:rPr>
      </w:pPr>
      <w:r>
        <w:rPr>
          <w:rFonts w:ascii="Arial" w:cs="Arial" w:eastAsia="Arial" w:hAnsi="Arial"/>
          <w:sz w:val="16"/>
          <w:szCs w:val="16"/>
          <w:u w:val="single" w:color="auto"/>
          <w:color w:val="auto"/>
        </w:rPr>
        <w:t>Purchase of Securities</w:t>
      </w:r>
      <w:r>
        <w:rPr>
          <w:rFonts w:ascii="Arial" w:cs="Arial" w:eastAsia="Arial" w:hAnsi="Arial"/>
          <w:sz w:val="16"/>
          <w:szCs w:val="16"/>
          <w:color w:val="auto"/>
        </w:rPr>
        <w:t>.</w:t>
      </w:r>
    </w:p>
    <w:p>
      <w:pPr>
        <w:spacing w:after="0" w:line="182" w:lineRule="exact"/>
        <w:rPr>
          <w:sz w:val="20"/>
          <w:szCs w:val="20"/>
          <w:color w:val="auto"/>
        </w:rPr>
      </w:pPr>
    </w:p>
    <w:p>
      <w:pPr>
        <w:ind w:left="7" w:right="20" w:firstLine="559"/>
        <w:spacing w:after="0" w:line="250" w:lineRule="auto"/>
        <w:rPr>
          <w:sz w:val="20"/>
          <w:szCs w:val="20"/>
          <w:color w:val="auto"/>
        </w:rPr>
      </w:pPr>
      <w:r>
        <w:rPr>
          <w:rFonts w:ascii="Arial" w:cs="Arial" w:eastAsia="Arial" w:hAnsi="Arial"/>
          <w:sz w:val="16"/>
          <w:szCs w:val="16"/>
          <w:color w:val="010000"/>
        </w:rPr>
        <w:t xml:space="preserve">1.1 </w:t>
      </w:r>
      <w:r>
        <w:rPr>
          <w:rFonts w:ascii="Arial" w:cs="Arial" w:eastAsia="Arial" w:hAnsi="Arial"/>
          <w:sz w:val="16"/>
          <w:szCs w:val="16"/>
          <w:u w:val="single" w:color="auto"/>
          <w:color w:val="000000"/>
        </w:rPr>
        <w:t>Purchase of Shares</w:t>
      </w:r>
      <w:r>
        <w:rPr>
          <w:rFonts w:ascii="Arial" w:cs="Arial" w:eastAsia="Arial" w:hAnsi="Arial"/>
          <w:sz w:val="16"/>
          <w:szCs w:val="16"/>
          <w:color w:val="000000"/>
        </w:rPr>
        <w:t>. For the sum of $25,000 (the “</w:t>
      </w:r>
      <w:r>
        <w:rPr>
          <w:rFonts w:ascii="Arial" w:cs="Arial" w:eastAsia="Arial" w:hAnsi="Arial"/>
          <w:sz w:val="16"/>
          <w:szCs w:val="16"/>
          <w:b w:val="1"/>
          <w:bCs w:val="1"/>
          <w:color w:val="000000"/>
        </w:rPr>
        <w:t>Purchase Price</w:t>
      </w:r>
      <w:r>
        <w:rPr>
          <w:rFonts w:ascii="Arial" w:cs="Arial" w:eastAsia="Arial" w:hAnsi="Arial"/>
          <w:sz w:val="16"/>
          <w:szCs w:val="16"/>
          <w:color w:val="000000"/>
        </w:rPr>
        <w:t>”), which the Company acknowledges receiving in cash, the Company hereby issues the Shares</w:t>
      </w:r>
      <w:r>
        <w:rPr>
          <w:rFonts w:ascii="Arial" w:cs="Arial" w:eastAsia="Arial" w:hAnsi="Arial"/>
          <w:sz w:val="16"/>
          <w:szCs w:val="16"/>
          <w:color w:val="010000"/>
        </w:rPr>
        <w:t xml:space="preserve"> </w:t>
      </w:r>
      <w:r>
        <w:rPr>
          <w:rFonts w:ascii="Arial" w:cs="Arial" w:eastAsia="Arial" w:hAnsi="Arial"/>
          <w:sz w:val="16"/>
          <w:szCs w:val="16"/>
          <w:color w:val="000000"/>
        </w:rPr>
        <w:t>to the Subscriber, and the Subscriber hereby subscribes for and purchases the Shares from the Company, 468,750 of which are subject to surrender and cancellation, on the terms and subject to the conditions set forth in this Agreement. All references in this Agreement to shares of the Company being surrendered and canceled shall take effect as surrenders and cancellations for no consideration of such shares as a matter of Cayman Islands law.</w:t>
      </w:r>
    </w:p>
    <w:p>
      <w:pPr>
        <w:spacing w:after="0" w:line="170" w:lineRule="exact"/>
        <w:rPr>
          <w:sz w:val="20"/>
          <w:szCs w:val="20"/>
          <w:color w:val="auto"/>
        </w:rPr>
      </w:pPr>
    </w:p>
    <w:p>
      <w:pPr>
        <w:ind w:left="7" w:right="440" w:firstLine="559"/>
        <w:spacing w:after="0" w:line="250"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u w:val="single" w:color="auto"/>
          <w:color w:val="000000"/>
        </w:rPr>
        <w:t>Repurchase of Subscriber Share</w:t>
      </w:r>
      <w:r>
        <w:rPr>
          <w:rFonts w:ascii="Arial" w:cs="Arial" w:eastAsia="Arial" w:hAnsi="Arial"/>
          <w:sz w:val="16"/>
          <w:szCs w:val="16"/>
          <w:color w:val="000000"/>
        </w:rPr>
        <w:t>. Immediately following the issue of shares by the Company, the Company shall repurchase the 1 Class B Ordinary Share of</w:t>
      </w:r>
      <w:r>
        <w:rPr>
          <w:rFonts w:ascii="Arial" w:cs="Arial" w:eastAsia="Arial" w:hAnsi="Arial"/>
          <w:sz w:val="16"/>
          <w:szCs w:val="16"/>
          <w:color w:val="010000"/>
        </w:rPr>
        <w:t xml:space="preserve"> </w:t>
      </w:r>
      <w:r>
        <w:rPr>
          <w:rFonts w:ascii="Arial" w:cs="Arial" w:eastAsia="Arial" w:hAnsi="Arial"/>
          <w:sz w:val="16"/>
          <w:szCs w:val="16"/>
          <w:color w:val="000000"/>
        </w:rPr>
        <w:t>$0.0001 par value in the Company currently held by Ogier Global (Subscriber) Limited in its capacity as initial subscriber, as permitted by the articles of association of the Company.</w:t>
      </w:r>
    </w:p>
    <w:p>
      <w:pPr>
        <w:spacing w:after="0" w:line="170" w:lineRule="exact"/>
        <w:rPr>
          <w:sz w:val="20"/>
          <w:szCs w:val="20"/>
          <w:color w:val="auto"/>
        </w:rPr>
      </w:pPr>
    </w:p>
    <w:p>
      <w:pPr>
        <w:ind w:left="587" w:hanging="587"/>
        <w:spacing w:after="0"/>
        <w:tabs>
          <w:tab w:leader="none" w:pos="587" w:val="left"/>
        </w:tabs>
        <w:numPr>
          <w:ilvl w:val="0"/>
          <w:numId w:val="463"/>
        </w:numPr>
        <w:rPr>
          <w:rFonts w:ascii="Arial" w:cs="Arial" w:eastAsia="Arial" w:hAnsi="Arial"/>
          <w:sz w:val="16"/>
          <w:szCs w:val="16"/>
          <w:color w:val="010000"/>
        </w:rPr>
      </w:pPr>
      <w:r>
        <w:rPr>
          <w:rFonts w:ascii="Arial" w:cs="Arial" w:eastAsia="Arial" w:hAnsi="Arial"/>
          <w:sz w:val="16"/>
          <w:szCs w:val="16"/>
          <w:u w:val="single" w:color="auto"/>
          <w:color w:val="auto"/>
        </w:rPr>
        <w:t>Representations, Warranties and Agreements</w:t>
      </w:r>
      <w:r>
        <w:rPr>
          <w:rFonts w:ascii="Arial" w:cs="Arial" w:eastAsia="Arial" w:hAnsi="Arial"/>
          <w:sz w:val="16"/>
          <w:szCs w:val="16"/>
          <w:color w:val="auto"/>
        </w:rPr>
        <w:t>.</w:t>
      </w:r>
    </w:p>
    <w:p>
      <w:pPr>
        <w:spacing w:after="0" w:line="188" w:lineRule="exact"/>
        <w:rPr>
          <w:sz w:val="20"/>
          <w:szCs w:val="20"/>
          <w:color w:val="auto"/>
        </w:rPr>
      </w:pPr>
    </w:p>
    <w:p>
      <w:pPr>
        <w:ind w:left="7" w:right="300" w:firstLine="559"/>
        <w:spacing w:after="0" w:line="258" w:lineRule="auto"/>
        <w:rPr>
          <w:sz w:val="20"/>
          <w:szCs w:val="20"/>
          <w:color w:val="auto"/>
        </w:rPr>
      </w:pPr>
      <w:r>
        <w:rPr>
          <w:rFonts w:ascii="Arial" w:cs="Arial" w:eastAsia="Arial" w:hAnsi="Arial"/>
          <w:sz w:val="16"/>
          <w:szCs w:val="16"/>
          <w:color w:val="010000"/>
        </w:rPr>
        <w:t xml:space="preserve">2.1 </w:t>
      </w:r>
      <w:r>
        <w:rPr>
          <w:rFonts w:ascii="Arial" w:cs="Arial" w:eastAsia="Arial" w:hAnsi="Arial"/>
          <w:sz w:val="16"/>
          <w:szCs w:val="16"/>
          <w:u w:val="single" w:color="auto"/>
          <w:color w:val="000000"/>
        </w:rPr>
        <w:t>Subscriber’s Representations, Warranties and Agreements</w:t>
      </w:r>
      <w:r>
        <w:rPr>
          <w:rFonts w:ascii="Arial" w:cs="Arial" w:eastAsia="Arial" w:hAnsi="Arial"/>
          <w:sz w:val="16"/>
          <w:szCs w:val="16"/>
          <w:color w:val="000000"/>
        </w:rPr>
        <w:t>. To induce the Company to issue the Shares to the Subscriber, the Subscriber hereby represents and</w:t>
      </w:r>
      <w:r>
        <w:rPr>
          <w:rFonts w:ascii="Arial" w:cs="Arial" w:eastAsia="Arial" w:hAnsi="Arial"/>
          <w:sz w:val="16"/>
          <w:szCs w:val="16"/>
          <w:color w:val="010000"/>
        </w:rPr>
        <w:t xml:space="preserve"> </w:t>
      </w:r>
      <w:r>
        <w:rPr>
          <w:rFonts w:ascii="Arial" w:cs="Arial" w:eastAsia="Arial" w:hAnsi="Arial"/>
          <w:sz w:val="16"/>
          <w:szCs w:val="16"/>
          <w:color w:val="000000"/>
        </w:rPr>
        <w:t>warrants to the Company and agrees with the Company as follows:</w:t>
      </w:r>
    </w:p>
    <w:p>
      <w:pPr>
        <w:spacing w:after="0" w:line="163" w:lineRule="exact"/>
        <w:rPr>
          <w:sz w:val="20"/>
          <w:szCs w:val="20"/>
          <w:color w:val="auto"/>
        </w:rPr>
      </w:pPr>
    </w:p>
    <w:p>
      <w:pPr>
        <w:ind w:left="7" w:firstLine="1117"/>
        <w:spacing w:after="0" w:line="258" w:lineRule="auto"/>
        <w:rPr>
          <w:sz w:val="20"/>
          <w:szCs w:val="20"/>
          <w:color w:val="auto"/>
        </w:rPr>
      </w:pPr>
      <w:r>
        <w:rPr>
          <w:rFonts w:ascii="Arial" w:cs="Arial" w:eastAsia="Arial" w:hAnsi="Arial"/>
          <w:sz w:val="16"/>
          <w:szCs w:val="16"/>
          <w:color w:val="010000"/>
        </w:rPr>
        <w:t xml:space="preserve">2.1.1 </w:t>
      </w:r>
      <w:r>
        <w:rPr>
          <w:rFonts w:ascii="Arial" w:cs="Arial" w:eastAsia="Arial" w:hAnsi="Arial"/>
          <w:sz w:val="16"/>
          <w:szCs w:val="16"/>
          <w:u w:val="single" w:color="auto"/>
          <w:color w:val="000000"/>
        </w:rPr>
        <w:t>No Government Recommendation or Approval</w:t>
      </w:r>
      <w:r>
        <w:rPr>
          <w:rFonts w:ascii="Arial" w:cs="Arial" w:eastAsia="Arial" w:hAnsi="Arial"/>
          <w:sz w:val="16"/>
          <w:szCs w:val="16"/>
          <w:color w:val="000000"/>
        </w:rPr>
        <w:t>. The Subscriber understands that no federal or state agency has passed upon or made any recommendation</w:t>
      </w:r>
      <w:r>
        <w:rPr>
          <w:rFonts w:ascii="Arial" w:cs="Arial" w:eastAsia="Arial" w:hAnsi="Arial"/>
          <w:sz w:val="16"/>
          <w:szCs w:val="16"/>
          <w:color w:val="010000"/>
        </w:rPr>
        <w:t xml:space="preserve"> </w:t>
      </w:r>
      <w:r>
        <w:rPr>
          <w:rFonts w:ascii="Arial" w:cs="Arial" w:eastAsia="Arial" w:hAnsi="Arial"/>
          <w:sz w:val="16"/>
          <w:szCs w:val="16"/>
          <w:color w:val="000000"/>
        </w:rPr>
        <w:t>or endorsement of the offering of the Shares.</w:t>
      </w:r>
    </w:p>
    <w:p>
      <w:pPr>
        <w:spacing w:after="0" w:line="163" w:lineRule="exact"/>
        <w:rPr>
          <w:sz w:val="20"/>
          <w:szCs w:val="20"/>
          <w:color w:val="auto"/>
        </w:rPr>
      </w:pPr>
    </w:p>
    <w:p>
      <w:pPr>
        <w:ind w:left="7" w:right="160" w:firstLine="1117"/>
        <w:spacing w:after="0" w:line="248" w:lineRule="auto"/>
        <w:rPr>
          <w:sz w:val="20"/>
          <w:szCs w:val="20"/>
          <w:color w:val="auto"/>
        </w:rPr>
      </w:pPr>
      <w:r>
        <w:rPr>
          <w:rFonts w:ascii="Arial" w:cs="Arial" w:eastAsia="Arial" w:hAnsi="Arial"/>
          <w:sz w:val="16"/>
          <w:szCs w:val="16"/>
          <w:color w:val="010000"/>
        </w:rPr>
        <w:t xml:space="preserve">2.1.2 </w:t>
      </w:r>
      <w:r>
        <w:rPr>
          <w:rFonts w:ascii="Arial" w:cs="Arial" w:eastAsia="Arial" w:hAnsi="Arial"/>
          <w:sz w:val="16"/>
          <w:szCs w:val="16"/>
          <w:u w:val="single" w:color="auto"/>
          <w:color w:val="000000"/>
        </w:rPr>
        <w:t>No Conflicts</w:t>
      </w:r>
      <w:r>
        <w:rPr>
          <w:rFonts w:ascii="Arial" w:cs="Arial" w:eastAsia="Arial" w:hAnsi="Arial"/>
          <w:sz w:val="16"/>
          <w:szCs w:val="16"/>
          <w:color w:val="000000"/>
        </w:rPr>
        <w:t>. The execution, delivery and performance of this Agreement and the consummation by the Subscriber of the transactions contemplated</w:t>
      </w:r>
      <w:r>
        <w:rPr>
          <w:rFonts w:ascii="Arial" w:cs="Arial" w:eastAsia="Arial" w:hAnsi="Arial"/>
          <w:sz w:val="16"/>
          <w:szCs w:val="16"/>
          <w:color w:val="010000"/>
        </w:rPr>
        <w:t xml:space="preserve"> </w:t>
      </w:r>
      <w:r>
        <w:rPr>
          <w:rFonts w:ascii="Arial" w:cs="Arial" w:eastAsia="Arial" w:hAnsi="Arial"/>
          <w:sz w:val="16"/>
          <w:szCs w:val="16"/>
          <w:color w:val="000000"/>
        </w:rPr>
        <w:t>hereby do not violate, conflict with or constitute a default under (i) the memorandum and articles of association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31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255" w:right="319" w:bottom="1440" w:gutter="0" w:footer="0" w:header="0"/>
        </w:sectPr>
      </w:pPr>
    </w:p>
    <w:bookmarkStart w:id="426" w:name="page427"/>
    <w:bookmarkEnd w:id="426"/>
    <w:p>
      <w:pPr>
        <w:ind w:firstLine="1117"/>
        <w:spacing w:after="0" w:line="246" w:lineRule="auto"/>
        <w:rPr>
          <w:sz w:val="20"/>
          <w:szCs w:val="20"/>
          <w:color w:val="auto"/>
        </w:rPr>
      </w:pPr>
      <w:r>
        <w:rPr>
          <w:rFonts w:ascii="Arial" w:cs="Arial" w:eastAsia="Arial" w:hAnsi="Arial"/>
          <w:sz w:val="16"/>
          <w:szCs w:val="16"/>
          <w:color w:val="010000"/>
        </w:rPr>
        <w:t xml:space="preserve">2.1.3 </w:t>
      </w:r>
      <w:r>
        <w:rPr>
          <w:rFonts w:ascii="Arial" w:cs="Arial" w:eastAsia="Arial" w:hAnsi="Arial"/>
          <w:sz w:val="16"/>
          <w:szCs w:val="16"/>
          <w:u w:val="single" w:color="auto"/>
          <w:color w:val="000000"/>
        </w:rPr>
        <w:t>Registration and Authority</w:t>
      </w:r>
      <w:r>
        <w:rPr>
          <w:rFonts w:ascii="Arial" w:cs="Arial" w:eastAsia="Arial" w:hAnsi="Arial"/>
          <w:sz w:val="16"/>
          <w:szCs w:val="16"/>
          <w:color w:val="000000"/>
        </w:rPr>
        <w:t>. The Subscriber is a Cayman Islands limited company, validly existing and possessing all requisite power and authority</w:t>
      </w:r>
      <w:r>
        <w:rPr>
          <w:rFonts w:ascii="Arial" w:cs="Arial" w:eastAsia="Arial" w:hAnsi="Arial"/>
          <w:sz w:val="16"/>
          <w:szCs w:val="16"/>
          <w:color w:val="010000"/>
        </w:rPr>
        <w:t xml:space="preserve"> </w:t>
      </w:r>
      <w:r>
        <w:rPr>
          <w:rFonts w:ascii="Arial" w:cs="Arial" w:eastAsia="Arial" w:hAnsi="Arial"/>
          <w:sz w:val="16"/>
          <w:szCs w:val="16"/>
          <w:color w:val="000000"/>
        </w:rPr>
        <w:t>necessary to carry out the transactions contemplated by this Agreement. Upon execution and delivery by you, this Agreement will be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74" w:lineRule="exact"/>
        <w:rPr>
          <w:sz w:val="20"/>
          <w:szCs w:val="20"/>
          <w:color w:val="auto"/>
        </w:rPr>
      </w:pPr>
    </w:p>
    <w:p>
      <w:pPr>
        <w:ind w:firstLine="1117"/>
        <w:spacing w:after="0" w:line="287" w:lineRule="auto"/>
        <w:rPr>
          <w:sz w:val="20"/>
          <w:szCs w:val="20"/>
          <w:color w:val="auto"/>
        </w:rPr>
      </w:pPr>
      <w:r>
        <w:rPr>
          <w:rFonts w:ascii="Arial" w:cs="Arial" w:eastAsia="Arial" w:hAnsi="Arial"/>
          <w:sz w:val="14"/>
          <w:szCs w:val="14"/>
          <w:color w:val="010000"/>
        </w:rPr>
        <w:t xml:space="preserve">2.1.4 </w:t>
      </w:r>
      <w:r>
        <w:rPr>
          <w:rFonts w:ascii="Arial" w:cs="Arial" w:eastAsia="Arial" w:hAnsi="Arial"/>
          <w:sz w:val="14"/>
          <w:szCs w:val="14"/>
          <w:u w:val="single" w:color="auto"/>
          <w:color w:val="000000"/>
        </w:rPr>
        <w:t>Experience, Financial Capability and Suitability</w:t>
      </w:r>
      <w:r>
        <w:rPr>
          <w:rFonts w:ascii="Arial" w:cs="Arial" w:eastAsia="Arial" w:hAnsi="Arial"/>
          <w:sz w:val="14"/>
          <w:szCs w:val="14"/>
          <w:color w:val="000000"/>
        </w:rPr>
        <w:t>. Subscriber is: (i) sophisticated in financial matters and is able to evaluate the risks and benefits of the</w:t>
      </w:r>
      <w:r>
        <w:rPr>
          <w:rFonts w:ascii="Arial" w:cs="Arial" w:eastAsia="Arial" w:hAnsi="Arial"/>
          <w:sz w:val="14"/>
          <w:szCs w:val="14"/>
          <w:color w:val="010000"/>
        </w:rPr>
        <w:t xml:space="preserve"> </w:t>
      </w:r>
      <w:r>
        <w:rPr>
          <w:rFonts w:ascii="Arial" w:cs="Arial" w:eastAsia="Arial" w:hAnsi="Arial"/>
          <w:sz w:val="14"/>
          <w:szCs w:val="14"/>
          <w:color w:val="000000"/>
        </w:rPr>
        <w:t>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(i) an effective registration statement under the Securities Act or (ii) an exemption from registration available with respect to such sale. Subscriber is able to bear the economic risks of an investment in the Shares and to afford a complete loss of Subscriber’s investment in the Shares.</w:t>
      </w:r>
    </w:p>
    <w:p>
      <w:pPr>
        <w:spacing w:after="0" w:line="148" w:lineRule="exact"/>
        <w:rPr>
          <w:sz w:val="20"/>
          <w:szCs w:val="20"/>
          <w:color w:val="auto"/>
        </w:rPr>
      </w:pPr>
    </w:p>
    <w:p>
      <w:pPr>
        <w:ind w:firstLine="1117"/>
        <w:spacing w:after="0" w:line="286" w:lineRule="auto"/>
        <w:rPr>
          <w:sz w:val="20"/>
          <w:szCs w:val="20"/>
          <w:color w:val="auto"/>
        </w:rPr>
      </w:pPr>
      <w:r>
        <w:rPr>
          <w:rFonts w:ascii="Arial" w:cs="Arial" w:eastAsia="Arial" w:hAnsi="Arial"/>
          <w:sz w:val="14"/>
          <w:szCs w:val="14"/>
          <w:color w:val="010000"/>
        </w:rPr>
        <w:t xml:space="preserve">2.1.5 </w:t>
      </w:r>
      <w:r>
        <w:rPr>
          <w:rFonts w:ascii="Arial" w:cs="Arial" w:eastAsia="Arial" w:hAnsi="Arial"/>
          <w:sz w:val="14"/>
          <w:szCs w:val="14"/>
          <w:u w:val="single" w:color="auto"/>
          <w:color w:val="000000"/>
        </w:rPr>
        <w:t>Access to Information; Independent Investigation</w:t>
      </w:r>
      <w:r>
        <w:rPr>
          <w:rFonts w:ascii="Arial" w:cs="Arial" w:eastAsia="Arial" w:hAnsi="Arial"/>
          <w:sz w:val="14"/>
          <w:szCs w:val="14"/>
          <w:color w:val="000000"/>
        </w:rPr>
        <w:t>. Prior to the execution of this Agreement, the Subscriber has had the opportunity to ask questions of</w:t>
      </w:r>
      <w:r>
        <w:rPr>
          <w:rFonts w:ascii="Arial" w:cs="Arial" w:eastAsia="Arial" w:hAnsi="Arial"/>
          <w:sz w:val="14"/>
          <w:szCs w:val="14"/>
          <w:color w:val="010000"/>
        </w:rPr>
        <w:t xml:space="preserve"> </w:t>
      </w:r>
      <w:r>
        <w:rPr>
          <w:rFonts w:ascii="Arial" w:cs="Arial" w:eastAsia="Arial" w:hAnsi="Arial"/>
          <w:sz w:val="14"/>
          <w:szCs w:val="14"/>
          <w:color w:val="000000"/>
        </w:rPr>
        <w:t>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146" w:lineRule="exact"/>
        <w:rPr>
          <w:sz w:val="20"/>
          <w:szCs w:val="20"/>
          <w:color w:val="auto"/>
        </w:rPr>
      </w:pPr>
    </w:p>
    <w:p>
      <w:pPr>
        <w:ind w:right="620" w:firstLine="1117"/>
        <w:spacing w:after="0" w:line="303" w:lineRule="auto"/>
        <w:rPr>
          <w:sz w:val="20"/>
          <w:szCs w:val="20"/>
          <w:color w:val="auto"/>
        </w:rPr>
      </w:pPr>
      <w:r>
        <w:rPr>
          <w:rFonts w:ascii="Arial" w:cs="Arial" w:eastAsia="Arial" w:hAnsi="Arial"/>
          <w:sz w:val="14"/>
          <w:szCs w:val="14"/>
          <w:color w:val="010000"/>
        </w:rPr>
        <w:t xml:space="preserve">2.1.6 </w:t>
      </w:r>
      <w:r>
        <w:rPr>
          <w:rFonts w:ascii="Arial" w:cs="Arial" w:eastAsia="Arial" w:hAnsi="Arial"/>
          <w:sz w:val="14"/>
          <w:szCs w:val="14"/>
          <w:u w:val="single" w:color="auto"/>
          <w:color w:val="000000"/>
        </w:rPr>
        <w:t>Regulation D Offering</w:t>
      </w:r>
      <w:r>
        <w:rPr>
          <w:rFonts w:ascii="Arial" w:cs="Arial" w:eastAsia="Arial" w:hAnsi="Arial"/>
          <w:sz w:val="14"/>
          <w:szCs w:val="14"/>
          <w:color w:val="000000"/>
        </w:rPr>
        <w:t>. Subscriber represents that it is an “accredited investor” as such term is defined in Rule 501(a) of Regulation D under the</w:t>
      </w:r>
      <w:r>
        <w:rPr>
          <w:rFonts w:ascii="Arial" w:cs="Arial" w:eastAsia="Arial" w:hAnsi="Arial"/>
          <w:sz w:val="14"/>
          <w:szCs w:val="14"/>
          <w:color w:val="010000"/>
        </w:rPr>
        <w:t xml:space="preserve"> </w:t>
      </w:r>
      <w:r>
        <w:rPr>
          <w:rFonts w:ascii="Arial" w:cs="Arial" w:eastAsia="Arial" w:hAnsi="Arial"/>
          <w:sz w:val="14"/>
          <w:szCs w:val="14"/>
          <w:color w:val="000000"/>
        </w:rPr>
        <w:t>Securities Act of 1933, as amended (the “</w:t>
      </w:r>
      <w:r>
        <w:rPr>
          <w:rFonts w:ascii="Arial" w:cs="Arial" w:eastAsia="Arial" w:hAnsi="Arial"/>
          <w:sz w:val="14"/>
          <w:szCs w:val="14"/>
          <w:b w:val="1"/>
          <w:bCs w:val="1"/>
          <w:color w:val="000000"/>
        </w:rPr>
        <w:t>Securities Act</w:t>
      </w:r>
      <w:r>
        <w:rPr>
          <w:rFonts w:ascii="Arial" w:cs="Arial" w:eastAsia="Arial" w:hAnsi="Arial"/>
          <w:sz w:val="14"/>
          <w:szCs w:val="14"/>
          <w:color w:val="000000"/>
        </w:rPr>
        <w:t>”) and acknowledges the sale contemplated hereby is being made in reliance on a private placement exemption to “accredited investors” within the meaning of Section 501(a) of Regulation D under the Securities Act or similar exemptions under federal and state law.</w:t>
      </w:r>
    </w:p>
    <w:p>
      <w:pPr>
        <w:spacing w:after="0" w:line="135" w:lineRule="exact"/>
        <w:rPr>
          <w:sz w:val="20"/>
          <w:szCs w:val="20"/>
          <w:color w:val="auto"/>
        </w:rPr>
      </w:pPr>
    </w:p>
    <w:p>
      <w:pPr>
        <w:ind w:firstLine="1117"/>
        <w:spacing w:after="0" w:line="250" w:lineRule="auto"/>
        <w:rPr>
          <w:sz w:val="20"/>
          <w:szCs w:val="20"/>
          <w:color w:val="auto"/>
        </w:rPr>
      </w:pPr>
      <w:r>
        <w:rPr>
          <w:rFonts w:ascii="Arial" w:cs="Arial" w:eastAsia="Arial" w:hAnsi="Arial"/>
          <w:sz w:val="16"/>
          <w:szCs w:val="16"/>
          <w:color w:val="010000"/>
        </w:rPr>
        <w:t xml:space="preserve">2.1.7 </w:t>
      </w:r>
      <w:r>
        <w:rPr>
          <w:rFonts w:ascii="Arial" w:cs="Arial" w:eastAsia="Arial" w:hAnsi="Arial"/>
          <w:sz w:val="16"/>
          <w:szCs w:val="16"/>
          <w:u w:val="single" w:color="auto"/>
          <w:color w:val="000000"/>
        </w:rPr>
        <w:t>Investment Purposes</w:t>
      </w:r>
      <w:r>
        <w:rPr>
          <w:rFonts w:ascii="Arial" w:cs="Arial" w:eastAsia="Arial" w:hAnsi="Arial"/>
          <w:sz w:val="16"/>
          <w:szCs w:val="16"/>
          <w:color w:val="000000"/>
        </w:rPr>
        <w:t>. The Subscriber is purchasing the Shares solely for investment purposes, for the Subscriber’s own account and not for the account or</w:t>
      </w:r>
      <w:r>
        <w:rPr>
          <w:rFonts w:ascii="Arial" w:cs="Arial" w:eastAsia="Arial" w:hAnsi="Arial"/>
          <w:sz w:val="16"/>
          <w:szCs w:val="16"/>
          <w:color w:val="010000"/>
        </w:rPr>
        <w:t xml:space="preserve"> </w:t>
      </w:r>
      <w:r>
        <w:rPr>
          <w:rFonts w:ascii="Arial" w:cs="Arial" w:eastAsia="Arial" w:hAnsi="Arial"/>
          <w:sz w:val="16"/>
          <w:szCs w:val="16"/>
          <w:color w:val="000000"/>
        </w:rPr>
        <w:t>benefit of any other person, and not with a view towards the distribution or dissemination thereof. The Subscriber did not decide to enter into this Agreement as a result of any general solicitation or general advertising within the meaning of Rule 502 of Regulation D under the Securities Act.</w:t>
      </w:r>
    </w:p>
    <w:p>
      <w:pPr>
        <w:spacing w:after="0" w:line="170" w:lineRule="exact"/>
        <w:rPr>
          <w:sz w:val="20"/>
          <w:szCs w:val="20"/>
          <w:color w:val="auto"/>
        </w:rPr>
      </w:pPr>
    </w:p>
    <w:p>
      <w:pPr>
        <w:ind w:firstLine="1117"/>
        <w:spacing w:after="0" w:line="284" w:lineRule="auto"/>
        <w:rPr>
          <w:sz w:val="20"/>
          <w:szCs w:val="20"/>
          <w:color w:val="auto"/>
        </w:rPr>
      </w:pPr>
      <w:r>
        <w:rPr>
          <w:rFonts w:ascii="Arial" w:cs="Arial" w:eastAsia="Arial" w:hAnsi="Arial"/>
          <w:sz w:val="14"/>
          <w:szCs w:val="14"/>
          <w:color w:val="010000"/>
        </w:rPr>
        <w:t xml:space="preserve">2.1.8 </w:t>
      </w:r>
      <w:r>
        <w:rPr>
          <w:rFonts w:ascii="Arial" w:cs="Arial" w:eastAsia="Arial" w:hAnsi="Arial"/>
          <w:sz w:val="14"/>
          <w:szCs w:val="14"/>
          <w:u w:val="single" w:color="auto"/>
          <w:color w:val="000000"/>
        </w:rPr>
        <w:t>Restrictions on Transfer; Shell Company</w:t>
      </w:r>
      <w:r>
        <w:rPr>
          <w:rFonts w:ascii="Arial" w:cs="Arial" w:eastAsia="Arial" w:hAnsi="Arial"/>
          <w:sz w:val="14"/>
          <w:szCs w:val="14"/>
          <w:color w:val="000000"/>
        </w:rPr>
        <w:t>. Subscriber understands the Shares are being offered in a transaction not involving a public offering within the</w:t>
      </w:r>
      <w:r>
        <w:rPr>
          <w:rFonts w:ascii="Arial" w:cs="Arial" w:eastAsia="Arial" w:hAnsi="Arial"/>
          <w:sz w:val="14"/>
          <w:szCs w:val="14"/>
          <w:color w:val="010000"/>
        </w:rPr>
        <w:t xml:space="preserve"> </w:t>
      </w:r>
      <w:r>
        <w:rPr>
          <w:rFonts w:ascii="Arial" w:cs="Arial" w:eastAsia="Arial" w:hAnsi="Arial"/>
          <w:sz w:val="14"/>
          <w:szCs w:val="14"/>
          <w:color w:val="000000"/>
        </w:rPr>
        <w:t>meaning of the Securities Act. Subscriber understands the Shares will be “restricted securities” within the meaning of Rule 144(a)(3) under the Securities Act, and Subscriber understands that the certificates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27" w:name="page428"/>
    <w:bookmarkEnd w:id="427"/>
    <w:p>
      <w:pPr>
        <w:ind w:right="640" w:firstLine="1117"/>
        <w:spacing w:after="0" w:line="258" w:lineRule="auto"/>
        <w:rPr>
          <w:sz w:val="20"/>
          <w:szCs w:val="20"/>
          <w:color w:val="auto"/>
        </w:rPr>
      </w:pPr>
      <w:r>
        <w:rPr>
          <w:rFonts w:ascii="Arial" w:cs="Arial" w:eastAsia="Arial" w:hAnsi="Arial"/>
          <w:sz w:val="16"/>
          <w:szCs w:val="16"/>
          <w:color w:val="010000"/>
        </w:rPr>
        <w:t xml:space="preserve">2.1.9 </w:t>
      </w:r>
      <w:r>
        <w:rPr>
          <w:rFonts w:ascii="Arial" w:cs="Arial" w:eastAsia="Arial" w:hAnsi="Arial"/>
          <w:sz w:val="16"/>
          <w:szCs w:val="16"/>
          <w:u w:val="single" w:color="auto"/>
          <w:color w:val="000000"/>
        </w:rPr>
        <w:t>No Governmental Consents</w:t>
      </w:r>
      <w:r>
        <w:rPr>
          <w:rFonts w:ascii="Arial" w:cs="Arial" w:eastAsia="Arial" w:hAnsi="Arial"/>
          <w:sz w:val="16"/>
          <w:szCs w:val="16"/>
          <w:color w:val="000000"/>
        </w:rPr>
        <w:t>. No governmental, administrative or other third party consents or approvals are required or necessary on the part of</w:t>
      </w:r>
      <w:r>
        <w:rPr>
          <w:rFonts w:ascii="Arial" w:cs="Arial" w:eastAsia="Arial" w:hAnsi="Arial"/>
          <w:sz w:val="16"/>
          <w:szCs w:val="16"/>
          <w:color w:val="010000"/>
        </w:rPr>
        <w:t xml:space="preserve"> </w:t>
      </w:r>
      <w:r>
        <w:rPr>
          <w:rFonts w:ascii="Arial" w:cs="Arial" w:eastAsia="Arial" w:hAnsi="Arial"/>
          <w:sz w:val="16"/>
          <w:szCs w:val="16"/>
          <w:color w:val="000000"/>
        </w:rPr>
        <w:t>Subscriber in connection with the transactions contemplated by this Agreement.</w:t>
      </w:r>
    </w:p>
    <w:p>
      <w:pPr>
        <w:spacing w:after="0" w:line="163"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color w:val="010000"/>
        </w:rPr>
        <w:t>2.2</w:t>
      </w:r>
      <w:r>
        <w:rPr>
          <w:sz w:val="20"/>
          <w:szCs w:val="20"/>
          <w:color w:val="auto"/>
        </w:rPr>
        <w:tab/>
      </w:r>
      <w:r>
        <w:rPr>
          <w:rFonts w:ascii="Arial" w:cs="Arial" w:eastAsia="Arial" w:hAnsi="Arial"/>
          <w:sz w:val="13"/>
          <w:szCs w:val="13"/>
          <w:u w:val="single" w:color="auto"/>
          <w:color w:val="auto"/>
        </w:rPr>
        <w:t>Company’s Representations, Warranties and Agreements</w:t>
      </w:r>
      <w:r>
        <w:rPr>
          <w:rFonts w:ascii="Arial" w:cs="Arial" w:eastAsia="Arial" w:hAnsi="Arial"/>
          <w:sz w:val="13"/>
          <w:szCs w:val="13"/>
          <w:color w:val="auto"/>
        </w:rPr>
        <w:t>. To induce the Subscriber to purchase the Shares, the Company hereby represents and warrants to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Subscriber and agrees with the Subscriber as follows:</w:t>
      </w:r>
    </w:p>
    <w:p>
      <w:pPr>
        <w:spacing w:after="0" w:line="178" w:lineRule="exact"/>
        <w:rPr>
          <w:sz w:val="20"/>
          <w:szCs w:val="20"/>
          <w:color w:val="auto"/>
        </w:rPr>
      </w:pPr>
    </w:p>
    <w:p>
      <w:pPr>
        <w:ind w:firstLine="1117"/>
        <w:spacing w:after="0" w:line="287" w:lineRule="auto"/>
        <w:rPr>
          <w:sz w:val="20"/>
          <w:szCs w:val="20"/>
          <w:color w:val="auto"/>
        </w:rPr>
      </w:pPr>
      <w:r>
        <w:rPr>
          <w:rFonts w:ascii="Arial" w:cs="Arial" w:eastAsia="Arial" w:hAnsi="Arial"/>
          <w:sz w:val="14"/>
          <w:szCs w:val="14"/>
          <w:color w:val="010000"/>
        </w:rPr>
        <w:t xml:space="preserve">2.2.1 </w:t>
      </w:r>
      <w:r>
        <w:rPr>
          <w:rFonts w:ascii="Arial" w:cs="Arial" w:eastAsia="Arial" w:hAnsi="Arial"/>
          <w:sz w:val="14"/>
          <w:szCs w:val="14"/>
          <w:u w:val="single" w:color="auto"/>
          <w:color w:val="000000"/>
        </w:rPr>
        <w:t>Incorporation and Corporate Power</w:t>
      </w:r>
      <w:r>
        <w:rPr>
          <w:rFonts w:ascii="Arial" w:cs="Arial" w:eastAsia="Arial" w:hAnsi="Arial"/>
          <w:sz w:val="14"/>
          <w:szCs w:val="14"/>
          <w:color w:val="000000"/>
        </w:rPr>
        <w:t>. The Company is a Cayman Islands exempted company and is qualified to do business in every jurisdiction in which</w:t>
      </w:r>
      <w:r>
        <w:rPr>
          <w:rFonts w:ascii="Arial" w:cs="Arial" w:eastAsia="Arial" w:hAnsi="Arial"/>
          <w:sz w:val="14"/>
          <w:szCs w:val="14"/>
          <w:color w:val="010000"/>
        </w:rPr>
        <w:t xml:space="preserve"> </w:t>
      </w:r>
      <w:r>
        <w:rPr>
          <w:rFonts w:ascii="Arial" w:cs="Arial" w:eastAsia="Arial" w:hAnsi="Arial"/>
          <w:sz w:val="14"/>
          <w:szCs w:val="14"/>
          <w:color w:val="000000"/>
        </w:rPr>
        <w:t>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Upon execution and delivery by the Company, this Agreement will be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48" w:lineRule="exact"/>
        <w:rPr>
          <w:sz w:val="20"/>
          <w:szCs w:val="20"/>
          <w:color w:val="auto"/>
        </w:rPr>
      </w:pPr>
    </w:p>
    <w:p>
      <w:pPr>
        <w:jc w:val="both"/>
        <w:ind w:right="320" w:firstLine="1117"/>
        <w:spacing w:after="0" w:line="248" w:lineRule="auto"/>
        <w:rPr>
          <w:sz w:val="20"/>
          <w:szCs w:val="20"/>
          <w:color w:val="auto"/>
        </w:rPr>
      </w:pPr>
      <w:r>
        <w:rPr>
          <w:rFonts w:ascii="Arial" w:cs="Arial" w:eastAsia="Arial" w:hAnsi="Arial"/>
          <w:sz w:val="16"/>
          <w:szCs w:val="16"/>
          <w:color w:val="010000"/>
        </w:rPr>
        <w:t xml:space="preserve">2.2.2 </w:t>
      </w:r>
      <w:r>
        <w:rPr>
          <w:rFonts w:ascii="Arial" w:cs="Arial" w:eastAsia="Arial" w:hAnsi="Arial"/>
          <w:sz w:val="16"/>
          <w:szCs w:val="16"/>
          <w:u w:val="single" w:color="auto"/>
          <w:color w:val="000000"/>
        </w:rPr>
        <w:t>No Conflicts</w:t>
      </w:r>
      <w:r>
        <w:rPr>
          <w:rFonts w:ascii="Arial" w:cs="Arial" w:eastAsia="Arial" w:hAnsi="Arial"/>
          <w:sz w:val="16"/>
          <w:szCs w:val="16"/>
          <w:color w:val="000000"/>
        </w:rPr>
        <w:t>. The execution, delivery and performance of this Agreement and the consummation by the Company of the transactions contemplated</w:t>
      </w:r>
      <w:r>
        <w:rPr>
          <w:rFonts w:ascii="Arial" w:cs="Arial" w:eastAsia="Arial" w:hAnsi="Arial"/>
          <w:sz w:val="16"/>
          <w:szCs w:val="16"/>
          <w:color w:val="010000"/>
        </w:rPr>
        <w:t xml:space="preserve"> </w:t>
      </w:r>
      <w:r>
        <w:rPr>
          <w:rFonts w:ascii="Arial" w:cs="Arial" w:eastAsia="Arial" w:hAnsi="Arial"/>
          <w:sz w:val="16"/>
          <w:szCs w:val="16"/>
          <w:color w:val="000000"/>
        </w:rPr>
        <w:t>hereby do not violate, conflict with or constitute a default under (i) the memorandum and articles of association of the Company, (ii) any agreement, indenture or instrument to which the Company is a party or (iii) any law, statute, rule or regulation to which the Company is subject, or any agreement, order, judgment or decree to which the Company is subject.</w:t>
      </w:r>
    </w:p>
    <w:p>
      <w:pPr>
        <w:spacing w:after="0" w:line="170" w:lineRule="exact"/>
        <w:rPr>
          <w:sz w:val="20"/>
          <w:szCs w:val="20"/>
          <w:color w:val="auto"/>
        </w:rPr>
      </w:pPr>
    </w:p>
    <w:p>
      <w:pPr>
        <w:ind w:firstLine="1117"/>
        <w:spacing w:after="0" w:line="246" w:lineRule="auto"/>
        <w:rPr>
          <w:sz w:val="20"/>
          <w:szCs w:val="20"/>
          <w:color w:val="auto"/>
        </w:rPr>
      </w:pPr>
      <w:r>
        <w:rPr>
          <w:rFonts w:ascii="Arial" w:cs="Arial" w:eastAsia="Arial" w:hAnsi="Arial"/>
          <w:sz w:val="16"/>
          <w:szCs w:val="16"/>
          <w:color w:val="010000"/>
        </w:rPr>
        <w:t xml:space="preserve">2.2.3 </w:t>
      </w:r>
      <w:r>
        <w:rPr>
          <w:rFonts w:ascii="Arial" w:cs="Arial" w:eastAsia="Arial" w:hAnsi="Arial"/>
          <w:sz w:val="16"/>
          <w:szCs w:val="16"/>
          <w:u w:val="single" w:color="auto"/>
          <w:color w:val="000000"/>
        </w:rPr>
        <w:t>Title to Securities</w:t>
      </w:r>
      <w:r>
        <w:rPr>
          <w:rFonts w:ascii="Arial" w:cs="Arial" w:eastAsia="Arial" w:hAnsi="Arial"/>
          <w:sz w:val="16"/>
          <w:szCs w:val="16"/>
          <w:color w:val="000000"/>
        </w:rPr>
        <w:t>. Upon issuance in accordance with, and payment pursuant to, the terms hereof, and registration in the Company’s register of members,</w:t>
      </w:r>
      <w:r>
        <w:rPr>
          <w:rFonts w:ascii="Arial" w:cs="Arial" w:eastAsia="Arial" w:hAnsi="Arial"/>
          <w:sz w:val="16"/>
          <w:szCs w:val="16"/>
          <w:color w:val="010000"/>
        </w:rPr>
        <w:t xml:space="preserve"> </w:t>
      </w:r>
      <w:r>
        <w:rPr>
          <w:rFonts w:ascii="Arial" w:cs="Arial" w:eastAsia="Arial" w:hAnsi="Arial"/>
          <w:sz w:val="16"/>
          <w:szCs w:val="16"/>
          <w:color w:val="000000"/>
        </w:rPr>
        <w:t>the Shares will be duly and validly issued, fully paid and nonassessable. Upon issuance in accordance with, and payment pursuant to, the terms hereof, and registration in the Company’s register of members, the Subscriber will have or receive good title to the Shares, free and clear of all liens, claims and encumbrances of any kind, other than (a) transfer restrictions hereunder and other agreements to which the Shares may be subject, (b) transfer restrictions under federal and state securities laws, and (c) liens, claims or encumbrances imposed due to the actions of the Subscriber.</w:t>
      </w:r>
    </w:p>
    <w:p>
      <w:pPr>
        <w:spacing w:after="0" w:line="174" w:lineRule="exact"/>
        <w:rPr>
          <w:sz w:val="20"/>
          <w:szCs w:val="20"/>
          <w:color w:val="auto"/>
        </w:rPr>
      </w:pPr>
    </w:p>
    <w:p>
      <w:pPr>
        <w:ind w:right="40" w:firstLine="1117"/>
        <w:spacing w:after="0" w:line="250" w:lineRule="auto"/>
        <w:rPr>
          <w:sz w:val="20"/>
          <w:szCs w:val="20"/>
          <w:color w:val="auto"/>
        </w:rPr>
      </w:pPr>
      <w:r>
        <w:rPr>
          <w:rFonts w:ascii="Arial" w:cs="Arial" w:eastAsia="Arial" w:hAnsi="Arial"/>
          <w:sz w:val="16"/>
          <w:szCs w:val="16"/>
          <w:color w:val="010000"/>
        </w:rPr>
        <w:t xml:space="preserve">2.2.4 </w:t>
      </w:r>
      <w:r>
        <w:rPr>
          <w:rFonts w:ascii="Arial" w:cs="Arial" w:eastAsia="Arial" w:hAnsi="Arial"/>
          <w:sz w:val="16"/>
          <w:szCs w:val="16"/>
          <w:u w:val="single" w:color="auto"/>
          <w:color w:val="000000"/>
        </w:rPr>
        <w:t>No Adverse Actions</w:t>
      </w:r>
      <w:r>
        <w:rPr>
          <w:rFonts w:ascii="Arial" w:cs="Arial" w:eastAsia="Arial" w:hAnsi="Arial"/>
          <w:sz w:val="16"/>
          <w:szCs w:val="16"/>
          <w:color w:val="000000"/>
        </w:rPr>
        <w:t>. There are no actions, suits, investigations or proceedings pending, threatened against or affecting the Company which: (i) seek to</w:t>
      </w:r>
      <w:r>
        <w:rPr>
          <w:rFonts w:ascii="Arial" w:cs="Arial" w:eastAsia="Arial" w:hAnsi="Arial"/>
          <w:sz w:val="16"/>
          <w:szCs w:val="16"/>
          <w:color w:val="010000"/>
        </w:rPr>
        <w:t xml:space="preserve"> </w:t>
      </w:r>
      <w:r>
        <w:rPr>
          <w:rFonts w:ascii="Arial" w:cs="Arial" w:eastAsia="Arial" w:hAnsi="Arial"/>
          <w:sz w:val="16"/>
          <w:szCs w:val="16"/>
          <w:color w:val="000000"/>
        </w:rPr>
        <w:t>restrain, enjoin, prevent the consummation of or otherwise affect the transactions contemplated by this Agreement or (ii) question the validity or legality of any transactions or seeks to recover damages or to obtain other relief in connection with any transactions.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28" w:name="page429"/>
    <w:bookmarkEnd w:id="428"/>
    <w:p>
      <w:pPr>
        <w:ind w:left="587" w:hanging="587"/>
        <w:spacing w:after="0"/>
        <w:tabs>
          <w:tab w:leader="none" w:pos="587" w:val="left"/>
        </w:tabs>
        <w:numPr>
          <w:ilvl w:val="0"/>
          <w:numId w:val="464"/>
        </w:numPr>
        <w:rPr>
          <w:rFonts w:ascii="Arial" w:cs="Arial" w:eastAsia="Arial" w:hAnsi="Arial"/>
          <w:sz w:val="16"/>
          <w:szCs w:val="16"/>
          <w:color w:val="010000"/>
        </w:rPr>
      </w:pPr>
      <w:r>
        <w:rPr>
          <w:rFonts w:ascii="Arial" w:cs="Arial" w:eastAsia="Arial" w:hAnsi="Arial"/>
          <w:sz w:val="16"/>
          <w:szCs w:val="16"/>
          <w:u w:val="single" w:color="auto"/>
          <w:color w:val="auto"/>
        </w:rPr>
        <w:t>Surrender and Cancellation of Shares</w:t>
      </w:r>
      <w:r>
        <w:rPr>
          <w:rFonts w:ascii="Arial" w:cs="Arial" w:eastAsia="Arial" w:hAnsi="Arial"/>
          <w:sz w:val="16"/>
          <w:szCs w:val="16"/>
          <w:color w:val="auto"/>
        </w:rPr>
        <w:t>.</w:t>
      </w:r>
    </w:p>
    <w:p>
      <w:pPr>
        <w:spacing w:after="0" w:line="188" w:lineRule="exact"/>
        <w:rPr>
          <w:sz w:val="20"/>
          <w:szCs w:val="20"/>
          <w:color w:val="auto"/>
        </w:rPr>
      </w:pPr>
    </w:p>
    <w:p>
      <w:pPr>
        <w:ind w:left="7" w:right="100" w:firstLine="559"/>
        <w:spacing w:after="0" w:line="284" w:lineRule="auto"/>
        <w:rPr>
          <w:sz w:val="20"/>
          <w:szCs w:val="20"/>
          <w:color w:val="auto"/>
        </w:rPr>
      </w:pPr>
      <w:r>
        <w:rPr>
          <w:rFonts w:ascii="Arial" w:cs="Arial" w:eastAsia="Arial" w:hAnsi="Arial"/>
          <w:sz w:val="14"/>
          <w:szCs w:val="14"/>
          <w:color w:val="010000"/>
        </w:rPr>
        <w:t xml:space="preserve">3.1 </w:t>
      </w:r>
      <w:r>
        <w:rPr>
          <w:rFonts w:ascii="Arial" w:cs="Arial" w:eastAsia="Arial" w:hAnsi="Arial"/>
          <w:sz w:val="14"/>
          <w:szCs w:val="14"/>
          <w:u w:val="single" w:color="auto"/>
          <w:color w:val="000000"/>
        </w:rPr>
        <w:t>Partial or No Exercise of the Over-allotment Option</w:t>
      </w:r>
      <w:r>
        <w:rPr>
          <w:rFonts w:ascii="Arial" w:cs="Arial" w:eastAsia="Arial" w:hAnsi="Arial"/>
          <w:sz w:val="14"/>
          <w:szCs w:val="14"/>
          <w:color w:val="000000"/>
        </w:rPr>
        <w:t>. In the event the Over-allotment Option granted to the representative(s) of the underwriters of the Company’s</w:t>
      </w:r>
      <w:r>
        <w:rPr>
          <w:rFonts w:ascii="Arial" w:cs="Arial" w:eastAsia="Arial" w:hAnsi="Arial"/>
          <w:sz w:val="14"/>
          <w:szCs w:val="14"/>
          <w:color w:val="010000"/>
        </w:rPr>
        <w:t xml:space="preserve"> </w:t>
      </w:r>
      <w:r>
        <w:rPr>
          <w:rFonts w:ascii="Arial" w:cs="Arial" w:eastAsia="Arial" w:hAnsi="Arial"/>
          <w:sz w:val="14"/>
          <w:szCs w:val="14"/>
          <w:color w:val="000000"/>
        </w:rPr>
        <w:t>IPO is not exercised in full, the Subscriber acknowledges and agrees that it shall surrender for cancellation any and all rights to such number of Shares (up to an aggregate of</w:t>
      </w:r>
    </w:p>
    <w:p>
      <w:pPr>
        <w:spacing w:after="0" w:line="1" w:lineRule="exact"/>
        <w:rPr>
          <w:sz w:val="20"/>
          <w:szCs w:val="20"/>
          <w:color w:val="auto"/>
        </w:rPr>
      </w:pPr>
    </w:p>
    <w:p>
      <w:pPr>
        <w:ind w:left="7"/>
        <w:spacing w:after="0" w:line="296" w:lineRule="auto"/>
        <w:rPr>
          <w:sz w:val="20"/>
          <w:szCs w:val="20"/>
          <w:color w:val="auto"/>
        </w:rPr>
      </w:pPr>
      <w:r>
        <w:rPr>
          <w:rFonts w:ascii="Arial" w:cs="Arial" w:eastAsia="Arial" w:hAnsi="Arial"/>
          <w:sz w:val="14"/>
          <w:szCs w:val="14"/>
          <w:color w:val="auto"/>
        </w:rPr>
        <w:t>468,750 Shares and pro rata based upon the percentage of the Over-allotment Option exercised) such that immediately following such surrender, the Subscriber (and all other initial shareholders prior to the IPO, if any) will own an aggregate number of Shares (not including ordinary shares issuable upon exercise of any warrants or any ordinary shares purchased by Subscriber in the Company’s IPO or in the aftermarket) equal to 20% of the issued and outstanding ordinary shares of the Company immediately following the IPO.</w:t>
      </w:r>
    </w:p>
    <w:p>
      <w:pPr>
        <w:spacing w:after="0" w:line="139" w:lineRule="exact"/>
        <w:rPr>
          <w:sz w:val="20"/>
          <w:szCs w:val="20"/>
          <w:color w:val="auto"/>
        </w:rPr>
      </w:pPr>
    </w:p>
    <w:p>
      <w:pPr>
        <w:ind w:left="7" w:right="80" w:firstLine="559"/>
        <w:spacing w:after="0" w:line="329" w:lineRule="auto"/>
        <w:rPr>
          <w:sz w:val="20"/>
          <w:szCs w:val="20"/>
          <w:color w:val="auto"/>
        </w:rPr>
      </w:pPr>
      <w:r>
        <w:rPr>
          <w:rFonts w:ascii="Arial" w:cs="Arial" w:eastAsia="Arial" w:hAnsi="Arial"/>
          <w:sz w:val="14"/>
          <w:szCs w:val="14"/>
          <w:color w:val="010000"/>
        </w:rPr>
        <w:t xml:space="preserve">3.2 </w:t>
      </w:r>
      <w:r>
        <w:rPr>
          <w:rFonts w:ascii="Arial" w:cs="Arial" w:eastAsia="Arial" w:hAnsi="Arial"/>
          <w:sz w:val="14"/>
          <w:szCs w:val="14"/>
          <w:u w:val="single" w:color="auto"/>
          <w:color w:val="000000"/>
        </w:rPr>
        <w:t>Termination of Rights as Shareholder</w:t>
      </w:r>
      <w:r>
        <w:rPr>
          <w:rFonts w:ascii="Arial" w:cs="Arial" w:eastAsia="Arial" w:hAnsi="Arial"/>
          <w:sz w:val="14"/>
          <w:szCs w:val="14"/>
          <w:color w:val="000000"/>
        </w:rPr>
        <w:t>. If any of the Shares are surrendered and cancelled in accordance with this Section 3, then after such time the Subscriber (or</w:t>
      </w:r>
      <w:r>
        <w:rPr>
          <w:rFonts w:ascii="Arial" w:cs="Arial" w:eastAsia="Arial" w:hAnsi="Arial"/>
          <w:sz w:val="14"/>
          <w:szCs w:val="14"/>
          <w:color w:val="010000"/>
        </w:rPr>
        <w:t xml:space="preserve"> </w:t>
      </w:r>
      <w:r>
        <w:rPr>
          <w:rFonts w:ascii="Arial" w:cs="Arial" w:eastAsia="Arial" w:hAnsi="Arial"/>
          <w:sz w:val="14"/>
          <w:szCs w:val="14"/>
          <w:color w:val="000000"/>
        </w:rPr>
        <w:t>successor in interest), shall no longer have any rights as a holder of such Shares, and the Company shall take such action as is appropriate to cancel such Shares.</w:t>
      </w:r>
    </w:p>
    <w:p>
      <w:pPr>
        <w:spacing w:after="0" w:line="117" w:lineRule="exact"/>
        <w:rPr>
          <w:sz w:val="20"/>
          <w:szCs w:val="20"/>
          <w:color w:val="auto"/>
        </w:rPr>
      </w:pPr>
    </w:p>
    <w:p>
      <w:pPr>
        <w:ind w:left="7" w:right="140" w:hanging="7"/>
        <w:spacing w:after="0" w:line="287" w:lineRule="auto"/>
        <w:tabs>
          <w:tab w:leader="none" w:pos="588" w:val="left"/>
        </w:tabs>
        <w:numPr>
          <w:ilvl w:val="0"/>
          <w:numId w:val="465"/>
        </w:numPr>
        <w:rPr>
          <w:rFonts w:ascii="Arial" w:cs="Arial" w:eastAsia="Arial" w:hAnsi="Arial"/>
          <w:sz w:val="14"/>
          <w:szCs w:val="14"/>
          <w:color w:val="010000"/>
        </w:rPr>
      </w:pPr>
      <w:r>
        <w:rPr>
          <w:rFonts w:ascii="Arial" w:cs="Arial" w:eastAsia="Arial" w:hAnsi="Arial"/>
          <w:sz w:val="14"/>
          <w:szCs w:val="14"/>
          <w:u w:val="single" w:color="auto"/>
          <w:color w:val="auto"/>
        </w:rPr>
        <w:t>Waiver of Liquidation Distributions; Redemption Rights</w:t>
      </w:r>
      <w:r>
        <w:rPr>
          <w:rFonts w:ascii="Arial" w:cs="Arial" w:eastAsia="Arial" w:hAnsi="Arial"/>
          <w:sz w:val="14"/>
          <w:szCs w:val="14"/>
          <w:color w:val="auto"/>
        </w:rPr>
        <w:t>.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shareholders and into which substantially all of the proceeds of the IPO will be deposited (the “</w:t>
      </w:r>
      <w:r>
        <w:rPr>
          <w:rFonts w:ascii="Arial" w:cs="Arial" w:eastAsia="Arial" w:hAnsi="Arial"/>
          <w:sz w:val="14"/>
          <w:szCs w:val="14"/>
          <w:b w:val="1"/>
          <w:bCs w:val="1"/>
          <w:color w:val="auto"/>
        </w:rPr>
        <w:t>Trust Account</w:t>
      </w:r>
      <w:r>
        <w:rPr>
          <w:rFonts w:ascii="Arial" w:cs="Arial" w:eastAsia="Arial" w:hAnsi="Arial"/>
          <w:sz w:val="14"/>
          <w:szCs w:val="14"/>
          <w:color w:val="auto"/>
        </w:rPr>
        <w:t>”), in the event of a liquidation of the Company upon the Company’s failure to timely complete an initial business combination. For purposes of clarity, in the event the Subscriber purchases ordinary shares in the IPO or in the aftermarket, any additional Shares so purchased shall be eligible to receive any liquidating distributions by the Company. However, in no event will the Subscriber have the right to redeem any ordinary shares into funds held in the Trust Account upon the successful completion of an initial business combination.</w:t>
      </w:r>
    </w:p>
    <w:p>
      <w:pPr>
        <w:spacing w:after="0" w:line="147" w:lineRule="exact"/>
        <w:rPr>
          <w:rFonts w:ascii="Arial" w:cs="Arial" w:eastAsia="Arial" w:hAnsi="Arial"/>
          <w:sz w:val="14"/>
          <w:szCs w:val="14"/>
          <w:color w:val="010000"/>
        </w:rPr>
      </w:pPr>
    </w:p>
    <w:p>
      <w:pPr>
        <w:ind w:left="587" w:hanging="587"/>
        <w:spacing w:after="0"/>
        <w:tabs>
          <w:tab w:leader="none" w:pos="587" w:val="left"/>
        </w:tabs>
        <w:numPr>
          <w:ilvl w:val="0"/>
          <w:numId w:val="465"/>
        </w:numPr>
        <w:rPr>
          <w:rFonts w:ascii="Arial" w:cs="Arial" w:eastAsia="Arial" w:hAnsi="Arial"/>
          <w:sz w:val="16"/>
          <w:szCs w:val="16"/>
          <w:color w:val="010000"/>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82" w:lineRule="exact"/>
        <w:rPr>
          <w:sz w:val="20"/>
          <w:szCs w:val="20"/>
          <w:color w:val="auto"/>
        </w:rPr>
      </w:pPr>
    </w:p>
    <w:p>
      <w:pPr>
        <w:ind w:left="7" w:right="20" w:firstLine="559"/>
        <w:spacing w:after="0" w:line="247"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u w:val="single" w:color="auto"/>
          <w:color w:val="000000"/>
        </w:rPr>
        <w:t>Securities Law Restrictions</w:t>
      </w:r>
      <w:r>
        <w:rPr>
          <w:rFonts w:ascii="Arial" w:cs="Arial" w:eastAsia="Arial" w:hAnsi="Arial"/>
          <w:sz w:val="16"/>
          <w:szCs w:val="16"/>
          <w:color w:val="000000"/>
        </w:rPr>
        <w:t>. In addition to any restrictions to be contained in that certain letter agreement (commonly known as an “</w:t>
      </w:r>
      <w:r>
        <w:rPr>
          <w:rFonts w:ascii="Arial" w:cs="Arial" w:eastAsia="Arial" w:hAnsi="Arial"/>
          <w:sz w:val="16"/>
          <w:szCs w:val="16"/>
          <w:b w:val="1"/>
          <w:bCs w:val="1"/>
          <w:color w:val="000000"/>
        </w:rPr>
        <w:t>Insider Letter</w:t>
      </w:r>
      <w:r>
        <w:rPr>
          <w:rFonts w:ascii="Arial" w:cs="Arial" w:eastAsia="Arial" w:hAnsi="Arial"/>
          <w:sz w:val="16"/>
          <w:szCs w:val="16"/>
          <w:color w:val="000000"/>
        </w:rPr>
        <w:t>”) to be dated as</w:t>
      </w:r>
      <w:r>
        <w:rPr>
          <w:rFonts w:ascii="Arial" w:cs="Arial" w:eastAsia="Arial" w:hAnsi="Arial"/>
          <w:sz w:val="16"/>
          <w:szCs w:val="16"/>
          <w:color w:val="010000"/>
        </w:rPr>
        <w:t xml:space="preserve"> </w:t>
      </w:r>
      <w:r>
        <w:rPr>
          <w:rFonts w:ascii="Arial" w:cs="Arial" w:eastAsia="Arial" w:hAnsi="Arial"/>
          <w:sz w:val="16"/>
          <w:szCs w:val="16"/>
          <w:color w:val="000000"/>
        </w:rPr>
        <w:t>of the closing of the IPO by and between Subscriber and the Company,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73" w:lineRule="exact"/>
        <w:rPr>
          <w:sz w:val="20"/>
          <w:szCs w:val="20"/>
          <w:color w:val="auto"/>
        </w:rPr>
      </w:pPr>
    </w:p>
    <w:p>
      <w:pPr>
        <w:ind w:left="567"/>
        <w:spacing w:after="0"/>
        <w:tabs>
          <w:tab w:leader="none" w:pos="1087" w:val="left"/>
        </w:tabs>
        <w:rPr>
          <w:sz w:val="20"/>
          <w:szCs w:val="20"/>
          <w:color w:val="auto"/>
        </w:rPr>
      </w:pPr>
      <w:r>
        <w:rPr>
          <w:rFonts w:ascii="Arial" w:cs="Arial" w:eastAsia="Arial" w:hAnsi="Arial"/>
          <w:sz w:val="16"/>
          <w:szCs w:val="16"/>
          <w:color w:val="010000"/>
        </w:rPr>
        <w:t>5.2</w:t>
      </w:r>
      <w:r>
        <w:rPr>
          <w:sz w:val="20"/>
          <w:szCs w:val="20"/>
          <w:color w:val="auto"/>
        </w:rPr>
        <w:tab/>
      </w:r>
      <w:r>
        <w:rPr>
          <w:rFonts w:ascii="Arial" w:cs="Arial" w:eastAsia="Arial" w:hAnsi="Arial"/>
          <w:sz w:val="13"/>
          <w:szCs w:val="13"/>
          <w:u w:val="single" w:color="auto"/>
          <w:color w:val="auto"/>
        </w:rPr>
        <w:t>Restrictive Legends</w:t>
      </w:r>
      <w:r>
        <w:rPr>
          <w:rFonts w:ascii="Arial" w:cs="Arial" w:eastAsia="Arial" w:hAnsi="Arial"/>
          <w:sz w:val="13"/>
          <w:szCs w:val="13"/>
          <w:color w:val="auto"/>
        </w:rPr>
        <w:t>. Any certificates representing the Shares shall have endorsed thereon legends substantially as follows:</w:t>
      </w:r>
    </w:p>
    <w:p>
      <w:pPr>
        <w:spacing w:after="0" w:line="188" w:lineRule="exact"/>
        <w:rPr>
          <w:sz w:val="20"/>
          <w:szCs w:val="20"/>
          <w:color w:val="auto"/>
        </w:rPr>
      </w:pPr>
    </w:p>
    <w:p>
      <w:pPr>
        <w:jc w:val="both"/>
        <w:ind w:left="7"/>
        <w:spacing w:after="0" w:line="294" w:lineRule="auto"/>
        <w:rPr>
          <w:sz w:val="20"/>
          <w:szCs w:val="20"/>
          <w:color w:val="auto"/>
        </w:rPr>
      </w:pPr>
      <w:r>
        <w:rPr>
          <w:rFonts w:ascii="Arial" w:cs="Arial" w:eastAsia="Arial" w:hAnsi="Arial"/>
          <w:sz w:val="14"/>
          <w:szCs w:val="14"/>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28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15" w:right="319" w:bottom="1440" w:gutter="0" w:footer="0" w:header="0"/>
        </w:sectPr>
      </w:pPr>
    </w:p>
    <w:bookmarkStart w:id="429" w:name="page430"/>
    <w:bookmarkEnd w:id="429"/>
    <w:p>
      <w:pPr>
        <w:ind w:left="7"/>
        <w:spacing w:after="0" w:line="258" w:lineRule="auto"/>
        <w:rPr>
          <w:sz w:val="20"/>
          <w:szCs w:val="20"/>
          <w:color w:val="auto"/>
        </w:rPr>
      </w:pPr>
      <w:r>
        <w:rPr>
          <w:rFonts w:ascii="Arial" w:cs="Arial" w:eastAsia="Arial" w:hAnsi="Arial"/>
          <w:sz w:val="16"/>
          <w:szCs w:val="16"/>
          <w:color w:val="auto"/>
        </w:rPr>
        <w:t>“THE SECURITIES REPRESENTED BY THIS CERTIFICATE ARE SUBJECT TO LOCKUP PROVISIONS AND MAY NOT BE OFFERED, SOLD, TRANSFERRED, PLEDGED OR OTHERWISE DISPOSED DURING THE TERM OF THE LOCKUP.”</w:t>
      </w:r>
    </w:p>
    <w:p>
      <w:pPr>
        <w:spacing w:after="0" w:line="163" w:lineRule="exact"/>
        <w:rPr>
          <w:sz w:val="20"/>
          <w:szCs w:val="20"/>
          <w:color w:val="auto"/>
        </w:rPr>
      </w:pPr>
    </w:p>
    <w:p>
      <w:pPr>
        <w:ind w:left="7" w:right="60" w:firstLine="559"/>
        <w:spacing w:after="0" w:line="290" w:lineRule="auto"/>
        <w:rPr>
          <w:sz w:val="20"/>
          <w:szCs w:val="20"/>
          <w:color w:val="auto"/>
        </w:rPr>
      </w:pPr>
      <w:r>
        <w:rPr>
          <w:rFonts w:ascii="Arial" w:cs="Arial" w:eastAsia="Arial" w:hAnsi="Arial"/>
          <w:sz w:val="14"/>
          <w:szCs w:val="14"/>
          <w:color w:val="010000"/>
        </w:rPr>
        <w:t xml:space="preserve">5.3 </w:t>
      </w:r>
      <w:r>
        <w:rPr>
          <w:rFonts w:ascii="Arial" w:cs="Arial" w:eastAsia="Arial" w:hAnsi="Arial"/>
          <w:sz w:val="14"/>
          <w:szCs w:val="14"/>
          <w:u w:val="single" w:color="auto"/>
          <w:color w:val="000000"/>
        </w:rPr>
        <w:t>Additional Shares or Substituted Securities</w:t>
      </w:r>
      <w:r>
        <w:rPr>
          <w:rFonts w:ascii="Arial" w:cs="Arial" w:eastAsia="Arial" w:hAnsi="Arial"/>
          <w:sz w:val="14"/>
          <w:szCs w:val="14"/>
          <w:color w:val="000000"/>
        </w:rPr>
        <w:t>. In the event of the declaration of a share dividend, the declaration of an extraordinary dividend payable in a form other</w:t>
      </w:r>
      <w:r>
        <w:rPr>
          <w:rFonts w:ascii="Arial" w:cs="Arial" w:eastAsia="Arial" w:hAnsi="Arial"/>
          <w:sz w:val="14"/>
          <w:szCs w:val="14"/>
          <w:color w:val="010000"/>
        </w:rPr>
        <w:t xml:space="preserve"> </w:t>
      </w:r>
      <w:r>
        <w:rPr>
          <w:rFonts w:ascii="Arial" w:cs="Arial" w:eastAsia="Arial" w:hAnsi="Arial"/>
          <w:sz w:val="14"/>
          <w:szCs w:val="14"/>
          <w:color w:val="000000"/>
        </w:rPr>
        <w:t>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144" w:lineRule="exact"/>
        <w:rPr>
          <w:sz w:val="20"/>
          <w:szCs w:val="20"/>
          <w:color w:val="auto"/>
        </w:rPr>
      </w:pPr>
    </w:p>
    <w:p>
      <w:pPr>
        <w:ind w:left="7" w:right="120" w:firstLine="559"/>
        <w:spacing w:after="0" w:line="250" w:lineRule="auto"/>
        <w:rPr>
          <w:sz w:val="20"/>
          <w:szCs w:val="20"/>
          <w:color w:val="auto"/>
        </w:rPr>
      </w:pPr>
      <w:r>
        <w:rPr>
          <w:rFonts w:ascii="Arial" w:cs="Arial" w:eastAsia="Arial" w:hAnsi="Arial"/>
          <w:sz w:val="16"/>
          <w:szCs w:val="16"/>
          <w:color w:val="010000"/>
        </w:rPr>
        <w:t xml:space="preserve">5.4 </w:t>
      </w:r>
      <w:r>
        <w:rPr>
          <w:rFonts w:ascii="Arial" w:cs="Arial" w:eastAsia="Arial" w:hAnsi="Arial"/>
          <w:sz w:val="16"/>
          <w:szCs w:val="16"/>
          <w:u w:val="single" w:color="auto"/>
          <w:color w:val="000000"/>
        </w:rPr>
        <w:t>Registration Rights</w:t>
      </w:r>
      <w:r>
        <w:rPr>
          <w:rFonts w:ascii="Arial" w:cs="Arial" w:eastAsia="Arial" w:hAnsi="Arial"/>
          <w:sz w:val="16"/>
          <w:szCs w:val="16"/>
          <w:color w:val="000000"/>
        </w:rPr>
        <w:t>. Subscriber acknowledges that the Shares are being purchased pursuant to an exemption from the registration requirements of the Securities</w:t>
      </w:r>
      <w:r>
        <w:rPr>
          <w:rFonts w:ascii="Arial" w:cs="Arial" w:eastAsia="Arial" w:hAnsi="Arial"/>
          <w:sz w:val="16"/>
          <w:szCs w:val="16"/>
          <w:color w:val="010000"/>
        </w:rPr>
        <w:t xml:space="preserve"> </w:t>
      </w:r>
      <w:r>
        <w:rPr>
          <w:rFonts w:ascii="Arial" w:cs="Arial" w:eastAsia="Arial" w:hAnsi="Arial"/>
          <w:sz w:val="16"/>
          <w:szCs w:val="16"/>
          <w:color w:val="000000"/>
        </w:rPr>
        <w:t>Act and will become freely tradable only after certain conditions are met or they are registered pursuant to a Registration and Shareholder Rights Agreement to be entered into with the Company prior to the closing of the IPO.</w:t>
      </w:r>
    </w:p>
    <w:p>
      <w:pPr>
        <w:spacing w:after="0" w:line="170" w:lineRule="exact"/>
        <w:rPr>
          <w:sz w:val="20"/>
          <w:szCs w:val="20"/>
          <w:color w:val="auto"/>
        </w:rPr>
      </w:pPr>
    </w:p>
    <w:p>
      <w:pPr>
        <w:ind w:left="587" w:hanging="587"/>
        <w:spacing w:after="0"/>
        <w:tabs>
          <w:tab w:leader="none" w:pos="587" w:val="left"/>
        </w:tabs>
        <w:numPr>
          <w:ilvl w:val="0"/>
          <w:numId w:val="466"/>
        </w:numPr>
        <w:rPr>
          <w:rFonts w:ascii="Arial" w:cs="Arial" w:eastAsia="Arial" w:hAnsi="Arial"/>
          <w:sz w:val="16"/>
          <w:szCs w:val="16"/>
          <w:color w:val="010000"/>
        </w:rPr>
      </w:pPr>
      <w:r>
        <w:rPr>
          <w:rFonts w:ascii="Arial" w:cs="Arial" w:eastAsia="Arial" w:hAnsi="Arial"/>
          <w:sz w:val="16"/>
          <w:szCs w:val="16"/>
          <w:u w:val="single" w:color="auto"/>
          <w:color w:val="auto"/>
        </w:rPr>
        <w:t>Other Agreements</w:t>
      </w:r>
      <w:r>
        <w:rPr>
          <w:rFonts w:ascii="Arial" w:cs="Arial" w:eastAsia="Arial" w:hAnsi="Arial"/>
          <w:sz w:val="16"/>
          <w:szCs w:val="16"/>
          <w:color w:val="auto"/>
        </w:rPr>
        <w:t>.</w:t>
      </w:r>
    </w:p>
    <w:p>
      <w:pPr>
        <w:spacing w:after="0" w:line="188" w:lineRule="exact"/>
        <w:rPr>
          <w:sz w:val="20"/>
          <w:szCs w:val="20"/>
          <w:color w:val="auto"/>
        </w:rPr>
      </w:pPr>
    </w:p>
    <w:p>
      <w:pPr>
        <w:ind w:left="7" w:right="100" w:firstLine="559"/>
        <w:spacing w:after="0" w:line="258" w:lineRule="auto"/>
        <w:rPr>
          <w:sz w:val="20"/>
          <w:szCs w:val="20"/>
          <w:color w:val="auto"/>
        </w:rPr>
      </w:pPr>
      <w:r>
        <w:rPr>
          <w:rFonts w:ascii="Arial" w:cs="Arial" w:eastAsia="Arial" w:hAnsi="Arial"/>
          <w:sz w:val="16"/>
          <w:szCs w:val="16"/>
          <w:color w:val="010000"/>
        </w:rPr>
        <w:t xml:space="preserve">6.1 </w:t>
      </w:r>
      <w:r>
        <w:rPr>
          <w:rFonts w:ascii="Arial" w:cs="Arial" w:eastAsia="Arial" w:hAnsi="Arial"/>
          <w:sz w:val="16"/>
          <w:szCs w:val="16"/>
          <w:u w:val="single" w:color="auto"/>
          <w:color w:val="000000"/>
        </w:rPr>
        <w:t>Further Assurances</w:t>
      </w:r>
      <w:r>
        <w:rPr>
          <w:rFonts w:ascii="Arial" w:cs="Arial" w:eastAsia="Arial" w:hAnsi="Arial"/>
          <w:sz w:val="16"/>
          <w:szCs w:val="16"/>
          <w:color w:val="000000"/>
        </w:rPr>
        <w:t>. Subscriber agrees to execute such further instruments and to take such further action as may reasonably be necessary to carry out the intent of</w:t>
      </w:r>
      <w:r>
        <w:rPr>
          <w:rFonts w:ascii="Arial" w:cs="Arial" w:eastAsia="Arial" w:hAnsi="Arial"/>
          <w:sz w:val="16"/>
          <w:szCs w:val="16"/>
          <w:color w:val="010000"/>
        </w:rPr>
        <w:t xml:space="preserve"> </w:t>
      </w:r>
      <w:r>
        <w:rPr>
          <w:rFonts w:ascii="Arial" w:cs="Arial" w:eastAsia="Arial" w:hAnsi="Arial"/>
          <w:sz w:val="16"/>
          <w:szCs w:val="16"/>
          <w:color w:val="000000"/>
        </w:rPr>
        <w:t>this Agreement.</w:t>
      </w:r>
    </w:p>
    <w:p>
      <w:pPr>
        <w:spacing w:after="0" w:line="163" w:lineRule="exact"/>
        <w:rPr>
          <w:sz w:val="20"/>
          <w:szCs w:val="20"/>
          <w:color w:val="auto"/>
        </w:rPr>
      </w:pPr>
    </w:p>
    <w:p>
      <w:pPr>
        <w:ind w:left="7" w:right="140" w:firstLine="559"/>
        <w:spacing w:after="0" w:line="287" w:lineRule="auto"/>
        <w:rPr>
          <w:sz w:val="20"/>
          <w:szCs w:val="20"/>
          <w:color w:val="auto"/>
        </w:rPr>
      </w:pPr>
      <w:r>
        <w:rPr>
          <w:rFonts w:ascii="Arial" w:cs="Arial" w:eastAsia="Arial" w:hAnsi="Arial"/>
          <w:sz w:val="14"/>
          <w:szCs w:val="14"/>
          <w:color w:val="010000"/>
        </w:rPr>
        <w:t xml:space="preserve">6.2 </w:t>
      </w:r>
      <w:r>
        <w:rPr>
          <w:rFonts w:ascii="Arial" w:cs="Arial" w:eastAsia="Arial" w:hAnsi="Arial"/>
          <w:sz w:val="14"/>
          <w:szCs w:val="14"/>
          <w:u w:val="single" w:color="auto"/>
          <w:color w:val="000000"/>
        </w:rPr>
        <w:t>Notices</w:t>
      </w:r>
      <w:r>
        <w:rPr>
          <w:rFonts w:ascii="Arial" w:cs="Arial" w:eastAsia="Arial" w:hAnsi="Arial"/>
          <w:sz w:val="14"/>
          <w:szCs w:val="14"/>
          <w:color w:val="000000"/>
        </w:rPr>
        <w:t>. All notices, statements or other documents which are required or contemplated by this Agreement shall be: (i) in writing and delivered personally or sent</w:t>
      </w:r>
      <w:r>
        <w:rPr>
          <w:rFonts w:ascii="Arial" w:cs="Arial" w:eastAsia="Arial" w:hAnsi="Arial"/>
          <w:sz w:val="14"/>
          <w:szCs w:val="14"/>
          <w:color w:val="010000"/>
        </w:rPr>
        <w:t xml:space="preserve"> </w:t>
      </w:r>
      <w:r>
        <w:rPr>
          <w:rFonts w:ascii="Arial" w:cs="Arial" w:eastAsia="Arial" w:hAnsi="Arial"/>
          <w:sz w:val="14"/>
          <w:szCs w:val="14"/>
          <w:color w:val="000000"/>
        </w:rPr>
        <w:t>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48" w:lineRule="exact"/>
        <w:rPr>
          <w:sz w:val="20"/>
          <w:szCs w:val="20"/>
          <w:color w:val="auto"/>
        </w:rPr>
      </w:pPr>
    </w:p>
    <w:p>
      <w:pPr>
        <w:ind w:left="7" w:right="40" w:firstLine="559"/>
        <w:spacing w:after="0" w:line="246"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u w:val="single" w:color="auto"/>
          <w:color w:val="000000"/>
        </w:rPr>
        <w:t>Entire Agreement</w:t>
      </w:r>
      <w:r>
        <w:rPr>
          <w:rFonts w:ascii="Arial" w:cs="Arial" w:eastAsia="Arial" w:hAnsi="Arial"/>
          <w:sz w:val="16"/>
          <w:szCs w:val="16"/>
          <w:color w:val="000000"/>
        </w:rPr>
        <w:t>. This Agreement, together with that certain Insider Letter to be entered into between Subscriber and the Company, substantially in the form to be</w:t>
      </w:r>
      <w:r>
        <w:rPr>
          <w:rFonts w:ascii="Arial" w:cs="Arial" w:eastAsia="Arial" w:hAnsi="Arial"/>
          <w:sz w:val="16"/>
          <w:szCs w:val="16"/>
          <w:color w:val="010000"/>
        </w:rPr>
        <w:t xml:space="preserve"> </w:t>
      </w:r>
      <w:r>
        <w:rPr>
          <w:rFonts w:ascii="Arial" w:cs="Arial" w:eastAsia="Arial" w:hAnsi="Arial"/>
          <w:sz w:val="16"/>
          <w:szCs w:val="16"/>
          <w:color w:val="000000"/>
        </w:rPr>
        <w:t>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74" w:lineRule="exact"/>
        <w:rPr>
          <w:sz w:val="20"/>
          <w:szCs w:val="20"/>
          <w:color w:val="auto"/>
        </w:rPr>
      </w:pPr>
    </w:p>
    <w:p>
      <w:pPr>
        <w:ind w:left="567"/>
        <w:spacing w:after="0"/>
        <w:tabs>
          <w:tab w:leader="none" w:pos="1087" w:val="left"/>
        </w:tabs>
        <w:rPr>
          <w:sz w:val="20"/>
          <w:szCs w:val="20"/>
          <w:color w:val="auto"/>
        </w:rPr>
      </w:pPr>
      <w:r>
        <w:rPr>
          <w:rFonts w:ascii="Arial" w:cs="Arial" w:eastAsia="Arial" w:hAnsi="Arial"/>
          <w:sz w:val="16"/>
          <w:szCs w:val="16"/>
          <w:color w:val="010000"/>
        </w:rPr>
        <w:t>6.4</w:t>
      </w:r>
      <w:r>
        <w:rPr>
          <w:sz w:val="20"/>
          <w:szCs w:val="20"/>
          <w:color w:val="auto"/>
        </w:rPr>
        <w:tab/>
      </w:r>
      <w:r>
        <w:rPr>
          <w:rFonts w:ascii="Arial" w:cs="Arial" w:eastAsia="Arial" w:hAnsi="Arial"/>
          <w:sz w:val="14"/>
          <w:szCs w:val="14"/>
          <w:u w:val="single" w:color="auto"/>
          <w:color w:val="auto"/>
        </w:rPr>
        <w:t>Modifications and Amendments</w:t>
      </w:r>
      <w:r>
        <w:rPr>
          <w:rFonts w:ascii="Arial" w:cs="Arial" w:eastAsia="Arial" w:hAnsi="Arial"/>
          <w:sz w:val="14"/>
          <w:szCs w:val="14"/>
          <w:color w:val="auto"/>
        </w:rPr>
        <w:t>. The terms and provisions of this Agreement may be modified or amended only by written agreement executed by all parties</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6"/>
          <w:szCs w:val="16"/>
          <w:color w:val="auto"/>
        </w:rPr>
        <w:t>hereto.</w:t>
      </w:r>
    </w:p>
    <w:p>
      <w:pPr>
        <w:spacing w:after="0" w:line="32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315" w:right="319" w:bottom="1440" w:gutter="0" w:footer="0" w:header="0"/>
        </w:sectPr>
      </w:pPr>
    </w:p>
    <w:bookmarkStart w:id="430" w:name="page431"/>
    <w:bookmarkEnd w:id="430"/>
    <w:p>
      <w:pPr>
        <w:ind w:right="80" w:firstLine="559"/>
        <w:spacing w:after="0" w:line="248" w:lineRule="auto"/>
        <w:rPr>
          <w:sz w:val="20"/>
          <w:szCs w:val="20"/>
          <w:color w:val="auto"/>
        </w:rPr>
      </w:pPr>
      <w:r>
        <w:rPr>
          <w:rFonts w:ascii="Arial" w:cs="Arial" w:eastAsia="Arial" w:hAnsi="Arial"/>
          <w:sz w:val="16"/>
          <w:szCs w:val="16"/>
          <w:color w:val="010000"/>
        </w:rPr>
        <w:t xml:space="preserve">6.5 </w:t>
      </w:r>
      <w:r>
        <w:rPr>
          <w:rFonts w:ascii="Arial" w:cs="Arial" w:eastAsia="Arial" w:hAnsi="Arial"/>
          <w:sz w:val="16"/>
          <w:szCs w:val="16"/>
          <w:u w:val="single" w:color="auto"/>
          <w:color w:val="000000"/>
        </w:rPr>
        <w:t>Waivers and Consents</w:t>
      </w:r>
      <w:r>
        <w:rPr>
          <w:rFonts w:ascii="Arial" w:cs="Arial" w:eastAsia="Arial" w:hAnsi="Arial"/>
          <w:sz w:val="16"/>
          <w:szCs w:val="16"/>
          <w:color w:val="000000"/>
        </w:rPr>
        <w:t>. The terms and provisions of this Agreement may be waived, or consent for the departure therefrom granted, only by a written document</w:t>
      </w:r>
      <w:r>
        <w:rPr>
          <w:rFonts w:ascii="Arial" w:cs="Arial" w:eastAsia="Arial" w:hAnsi="Arial"/>
          <w:sz w:val="16"/>
          <w:szCs w:val="16"/>
          <w:color w:val="010000"/>
        </w:rPr>
        <w:t xml:space="preserve"> </w:t>
      </w:r>
      <w:r>
        <w:rPr>
          <w:rFonts w:ascii="Arial" w:cs="Arial" w:eastAsia="Arial" w:hAnsi="Arial"/>
          <w:sz w:val="16"/>
          <w:szCs w:val="16"/>
          <w:color w:val="000000"/>
        </w:rPr>
        <w:t>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0"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6"/>
          <w:szCs w:val="16"/>
          <w:color w:val="010000"/>
        </w:rPr>
        <w:t>6.6</w:t>
      </w:r>
      <w:r>
        <w:rPr>
          <w:sz w:val="20"/>
          <w:szCs w:val="20"/>
          <w:color w:val="auto"/>
        </w:rPr>
        <w:tab/>
      </w:r>
      <w:r>
        <w:rPr>
          <w:rFonts w:ascii="Arial" w:cs="Arial" w:eastAsia="Arial" w:hAnsi="Arial"/>
          <w:sz w:val="14"/>
          <w:szCs w:val="14"/>
          <w:u w:val="single" w:color="auto"/>
          <w:color w:val="auto"/>
        </w:rPr>
        <w:t>Assignment</w:t>
      </w:r>
      <w:r>
        <w:rPr>
          <w:rFonts w:ascii="Arial" w:cs="Arial" w:eastAsia="Arial" w:hAnsi="Arial"/>
          <w:sz w:val="14"/>
          <w:szCs w:val="14"/>
          <w:color w:val="auto"/>
        </w:rPr>
        <w:t>. The rights and obligations under this Agreement may not be assigned by either party hereto without the prior written consent of the other party.</w:t>
      </w:r>
    </w:p>
    <w:p>
      <w:pPr>
        <w:spacing w:after="0" w:line="188" w:lineRule="exact"/>
        <w:rPr>
          <w:sz w:val="20"/>
          <w:szCs w:val="20"/>
          <w:color w:val="auto"/>
        </w:rPr>
      </w:pPr>
    </w:p>
    <w:p>
      <w:pPr>
        <w:ind w:firstLine="559"/>
        <w:spacing w:after="0" w:line="250" w:lineRule="auto"/>
        <w:rPr>
          <w:sz w:val="20"/>
          <w:szCs w:val="20"/>
          <w:color w:val="auto"/>
        </w:rPr>
      </w:pPr>
      <w:r>
        <w:rPr>
          <w:rFonts w:ascii="Arial" w:cs="Arial" w:eastAsia="Arial" w:hAnsi="Arial"/>
          <w:sz w:val="16"/>
          <w:szCs w:val="16"/>
          <w:color w:val="010000"/>
        </w:rPr>
        <w:t xml:space="preserve">6.7 </w:t>
      </w:r>
      <w:r>
        <w:rPr>
          <w:rFonts w:ascii="Arial" w:cs="Arial" w:eastAsia="Arial" w:hAnsi="Arial"/>
          <w:sz w:val="16"/>
          <w:szCs w:val="16"/>
          <w:u w:val="single" w:color="auto"/>
          <w:color w:val="000000"/>
        </w:rPr>
        <w:t>Benefit</w:t>
      </w:r>
      <w:r>
        <w:rPr>
          <w:rFonts w:ascii="Arial" w:cs="Arial" w:eastAsia="Arial" w:hAnsi="Arial"/>
          <w:sz w:val="16"/>
          <w:szCs w:val="16"/>
          <w:color w:val="000000"/>
        </w:rPr>
        <w:t>. All statements, representations, warranties, covenants and agreements in this Agreement shall be binding on the parties hereto and shall inure to the benefit</w:t>
      </w:r>
      <w:r>
        <w:rPr>
          <w:rFonts w:ascii="Arial" w:cs="Arial" w:eastAsia="Arial" w:hAnsi="Arial"/>
          <w:sz w:val="16"/>
          <w:szCs w:val="16"/>
          <w:color w:val="010000"/>
        </w:rPr>
        <w:t xml:space="preserve"> </w:t>
      </w:r>
      <w:r>
        <w:rPr>
          <w:rFonts w:ascii="Arial" w:cs="Arial" w:eastAsia="Arial" w:hAnsi="Arial"/>
          <w:sz w:val="16"/>
          <w:szCs w:val="16"/>
          <w:color w:val="000000"/>
        </w:rPr>
        <w:t>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70" w:lineRule="exact"/>
        <w:rPr>
          <w:sz w:val="20"/>
          <w:szCs w:val="20"/>
          <w:color w:val="auto"/>
        </w:rPr>
      </w:pPr>
    </w:p>
    <w:p>
      <w:pPr>
        <w:ind w:right="560" w:firstLine="559"/>
        <w:spacing w:after="0" w:line="329" w:lineRule="auto"/>
        <w:rPr>
          <w:sz w:val="20"/>
          <w:szCs w:val="20"/>
          <w:color w:val="auto"/>
        </w:rPr>
      </w:pPr>
      <w:r>
        <w:rPr>
          <w:rFonts w:ascii="Arial" w:cs="Arial" w:eastAsia="Arial" w:hAnsi="Arial"/>
          <w:sz w:val="14"/>
          <w:szCs w:val="14"/>
          <w:color w:val="010000"/>
        </w:rPr>
        <w:t xml:space="preserve">6.8 </w:t>
      </w:r>
      <w:r>
        <w:rPr>
          <w:rFonts w:ascii="Arial" w:cs="Arial" w:eastAsia="Arial" w:hAnsi="Arial"/>
          <w:sz w:val="14"/>
          <w:szCs w:val="14"/>
          <w:u w:val="single" w:color="auto"/>
          <w:color w:val="000000"/>
        </w:rPr>
        <w:t>Governing Law</w:t>
      </w:r>
      <w:r>
        <w:rPr>
          <w:rFonts w:ascii="Arial" w:cs="Arial" w:eastAsia="Arial" w:hAnsi="Arial"/>
          <w:sz w:val="14"/>
          <w:szCs w:val="14"/>
          <w:color w:val="000000"/>
        </w:rPr>
        <w:t>. This Agreement and the rights and obligations of the parties hereunder shall be construed in accordance with and governed by the laws of</w:t>
      </w:r>
      <w:r>
        <w:rPr>
          <w:rFonts w:ascii="Arial" w:cs="Arial" w:eastAsia="Arial" w:hAnsi="Arial"/>
          <w:sz w:val="14"/>
          <w:szCs w:val="14"/>
          <w:color w:val="010000"/>
        </w:rPr>
        <w:t xml:space="preserve"> </w:t>
      </w:r>
      <w:r>
        <w:rPr>
          <w:rFonts w:ascii="Arial" w:cs="Arial" w:eastAsia="Arial" w:hAnsi="Arial"/>
          <w:sz w:val="14"/>
          <w:szCs w:val="14"/>
          <w:color w:val="000000"/>
        </w:rPr>
        <w:t>Delaware applicable to contracts wholly performed within the borders of such state, without giving effect to the conflict of law principles thereof.</w:t>
      </w:r>
    </w:p>
    <w:p>
      <w:pPr>
        <w:spacing w:after="0" w:line="117" w:lineRule="exact"/>
        <w:rPr>
          <w:sz w:val="20"/>
          <w:szCs w:val="20"/>
          <w:color w:val="auto"/>
        </w:rPr>
      </w:pPr>
    </w:p>
    <w:p>
      <w:pPr>
        <w:ind w:right="40" w:firstLine="559"/>
        <w:spacing w:after="0" w:line="248" w:lineRule="auto"/>
        <w:rPr>
          <w:sz w:val="20"/>
          <w:szCs w:val="20"/>
          <w:color w:val="auto"/>
        </w:rPr>
      </w:pPr>
      <w:r>
        <w:rPr>
          <w:rFonts w:ascii="Arial" w:cs="Arial" w:eastAsia="Arial" w:hAnsi="Arial"/>
          <w:sz w:val="16"/>
          <w:szCs w:val="16"/>
          <w:color w:val="010000"/>
        </w:rPr>
        <w:t xml:space="preserve">6.9 </w:t>
      </w:r>
      <w:r>
        <w:rPr>
          <w:rFonts w:ascii="Arial" w:cs="Arial" w:eastAsia="Arial" w:hAnsi="Arial"/>
          <w:sz w:val="16"/>
          <w:szCs w:val="16"/>
          <w:u w:val="single" w:color="auto"/>
          <w:color w:val="000000"/>
        </w:rPr>
        <w:t>Severability</w:t>
      </w:r>
      <w:r>
        <w:rPr>
          <w:rFonts w:ascii="Arial" w:cs="Arial" w:eastAsia="Arial" w:hAnsi="Arial"/>
          <w:sz w:val="16"/>
          <w:szCs w:val="16"/>
          <w:color w:val="000000"/>
        </w:rPr>
        <w:t>. In the event that any court of competent jurisdiction shall determine that any provision, or any portion thereof, contained in this Agreement shall be</w:t>
      </w:r>
      <w:r>
        <w:rPr>
          <w:rFonts w:ascii="Arial" w:cs="Arial" w:eastAsia="Arial" w:hAnsi="Arial"/>
          <w:sz w:val="16"/>
          <w:szCs w:val="16"/>
          <w:color w:val="010000"/>
        </w:rPr>
        <w:t xml:space="preserve"> </w:t>
      </w:r>
      <w:r>
        <w:rPr>
          <w:rFonts w:ascii="Arial" w:cs="Arial" w:eastAsia="Arial" w:hAnsi="Arial"/>
          <w:sz w:val="16"/>
          <w:szCs w:val="16"/>
          <w:color w:val="000000"/>
        </w:rPr>
        <w:t>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0"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010000"/>
        </w:rPr>
        <w:t xml:space="preserve">6.10 </w:t>
      </w:r>
      <w:r>
        <w:rPr>
          <w:rFonts w:ascii="Arial" w:cs="Arial" w:eastAsia="Arial" w:hAnsi="Arial"/>
          <w:sz w:val="14"/>
          <w:szCs w:val="14"/>
          <w:u w:val="single" w:color="auto"/>
          <w:color w:val="000000"/>
        </w:rPr>
        <w:t>No Waiver of Rights, Powers and Remedies</w:t>
      </w:r>
      <w:r>
        <w:rPr>
          <w:rFonts w:ascii="Arial" w:cs="Arial" w:eastAsia="Arial" w:hAnsi="Arial"/>
          <w:sz w:val="14"/>
          <w:szCs w:val="14"/>
          <w:color w:val="000000"/>
        </w:rPr>
        <w:t>. No failure or delay by a party hereto in exercising any right, power or remedy under this Agreement, and no course of</w:t>
      </w:r>
      <w:r>
        <w:rPr>
          <w:rFonts w:ascii="Arial" w:cs="Arial" w:eastAsia="Arial" w:hAnsi="Arial"/>
          <w:sz w:val="14"/>
          <w:szCs w:val="14"/>
          <w:color w:val="010000"/>
        </w:rPr>
        <w:t xml:space="preserve"> </w:t>
      </w:r>
      <w:r>
        <w:rPr>
          <w:rFonts w:ascii="Arial" w:cs="Arial" w:eastAsia="Arial" w:hAnsi="Arial"/>
          <w:sz w:val="14"/>
          <w:szCs w:val="14"/>
          <w:color w:val="000000"/>
        </w:rPr>
        <w:t>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46" w:lineRule="exact"/>
        <w:rPr>
          <w:sz w:val="20"/>
          <w:szCs w:val="20"/>
          <w:color w:val="auto"/>
        </w:rPr>
      </w:pPr>
    </w:p>
    <w:p>
      <w:pPr>
        <w:ind w:right="120" w:firstLine="559"/>
        <w:spacing w:after="0" w:line="329" w:lineRule="auto"/>
        <w:rPr>
          <w:sz w:val="20"/>
          <w:szCs w:val="20"/>
          <w:color w:val="auto"/>
        </w:rPr>
      </w:pPr>
      <w:r>
        <w:rPr>
          <w:rFonts w:ascii="Arial" w:cs="Arial" w:eastAsia="Arial" w:hAnsi="Arial"/>
          <w:sz w:val="14"/>
          <w:szCs w:val="14"/>
          <w:color w:val="010000"/>
        </w:rPr>
        <w:t xml:space="preserve">6.11 </w:t>
      </w:r>
      <w:r>
        <w:rPr>
          <w:rFonts w:ascii="Arial" w:cs="Arial" w:eastAsia="Arial" w:hAnsi="Arial"/>
          <w:sz w:val="14"/>
          <w:szCs w:val="14"/>
          <w:u w:val="single" w:color="auto"/>
          <w:color w:val="000000"/>
        </w:rPr>
        <w:t>Survival of Representations and Warranties</w:t>
      </w:r>
      <w:r>
        <w:rPr>
          <w:rFonts w:ascii="Arial" w:cs="Arial" w:eastAsia="Arial" w:hAnsi="Arial"/>
          <w:sz w:val="14"/>
          <w:szCs w:val="14"/>
          <w:color w:val="000000"/>
        </w:rPr>
        <w:t>. All representations and warranties made by the parties hereto in this Agreement or in any other agreement, certificate</w:t>
      </w:r>
      <w:r>
        <w:rPr>
          <w:rFonts w:ascii="Arial" w:cs="Arial" w:eastAsia="Arial" w:hAnsi="Arial"/>
          <w:sz w:val="14"/>
          <w:szCs w:val="14"/>
          <w:color w:val="010000"/>
        </w:rPr>
        <w:t xml:space="preserve"> </w:t>
      </w:r>
      <w:r>
        <w:rPr>
          <w:rFonts w:ascii="Arial" w:cs="Arial" w:eastAsia="Arial" w:hAnsi="Arial"/>
          <w:sz w:val="14"/>
          <w:szCs w:val="14"/>
          <w:color w:val="000000"/>
        </w:rPr>
        <w:t>or instrument provided for or contemplated hereby, shall survive the execution and delivery hereof and any investigations made by or on behalf of the parties.</w:t>
      </w:r>
    </w:p>
    <w:p>
      <w:pPr>
        <w:spacing w:after="0" w:line="117" w:lineRule="exact"/>
        <w:rPr>
          <w:sz w:val="20"/>
          <w:szCs w:val="20"/>
          <w:color w:val="auto"/>
        </w:rPr>
      </w:pPr>
    </w:p>
    <w:p>
      <w:pPr>
        <w:ind w:right="80" w:firstLine="559"/>
        <w:spacing w:after="0" w:line="294" w:lineRule="auto"/>
        <w:rPr>
          <w:sz w:val="20"/>
          <w:szCs w:val="20"/>
          <w:color w:val="auto"/>
        </w:rPr>
      </w:pPr>
      <w:r>
        <w:rPr>
          <w:rFonts w:ascii="Arial" w:cs="Arial" w:eastAsia="Arial" w:hAnsi="Arial"/>
          <w:sz w:val="14"/>
          <w:szCs w:val="14"/>
          <w:color w:val="010000"/>
        </w:rPr>
        <w:t xml:space="preserve">6.12 </w:t>
      </w:r>
      <w:r>
        <w:rPr>
          <w:rFonts w:ascii="Arial" w:cs="Arial" w:eastAsia="Arial" w:hAnsi="Arial"/>
          <w:sz w:val="14"/>
          <w:szCs w:val="14"/>
          <w:u w:val="single" w:color="auto"/>
          <w:color w:val="000000"/>
        </w:rPr>
        <w:t>No Broker or Finder</w:t>
      </w:r>
      <w:r>
        <w:rPr>
          <w:rFonts w:ascii="Arial" w:cs="Arial" w:eastAsia="Arial" w:hAnsi="Arial"/>
          <w:sz w:val="14"/>
          <w:szCs w:val="14"/>
          <w:color w:val="000000"/>
        </w:rPr>
        <w:t>. Each of the parties hereto represents and warrants to the other that no broker, finder or other financial consultant has acted on its behalf in</w:t>
      </w:r>
      <w:r>
        <w:rPr>
          <w:rFonts w:ascii="Arial" w:cs="Arial" w:eastAsia="Arial" w:hAnsi="Arial"/>
          <w:sz w:val="14"/>
          <w:szCs w:val="14"/>
          <w:color w:val="010000"/>
        </w:rPr>
        <w:t xml:space="preserve"> </w:t>
      </w:r>
      <w:r>
        <w:rPr>
          <w:rFonts w:ascii="Arial" w:cs="Arial" w:eastAsia="Arial" w:hAnsi="Arial"/>
          <w:sz w:val="14"/>
          <w:szCs w:val="14"/>
          <w:color w:val="000000"/>
        </w:rPr>
        <w:t>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431" w:name="page432"/>
    <w:bookmarkEnd w:id="431"/>
    <w:p>
      <w:pPr>
        <w:ind w:left="7" w:right="20" w:firstLine="559"/>
        <w:spacing w:after="0" w:line="258" w:lineRule="auto"/>
        <w:rPr>
          <w:sz w:val="20"/>
          <w:szCs w:val="20"/>
          <w:color w:val="auto"/>
        </w:rPr>
      </w:pPr>
      <w:r>
        <w:rPr>
          <w:rFonts w:ascii="Arial" w:cs="Arial" w:eastAsia="Arial" w:hAnsi="Arial"/>
          <w:sz w:val="16"/>
          <w:szCs w:val="16"/>
          <w:color w:val="010000"/>
        </w:rPr>
        <w:t xml:space="preserve">6.13 </w:t>
      </w:r>
      <w:r>
        <w:rPr>
          <w:rFonts w:ascii="Arial" w:cs="Arial" w:eastAsia="Arial" w:hAnsi="Arial"/>
          <w:sz w:val="16"/>
          <w:szCs w:val="16"/>
          <w:u w:val="single" w:color="auto"/>
          <w:color w:val="000000"/>
        </w:rPr>
        <w:t>Headings and Captions</w:t>
      </w:r>
      <w:r>
        <w:rPr>
          <w:rFonts w:ascii="Arial" w:cs="Arial" w:eastAsia="Arial" w:hAnsi="Arial"/>
          <w:sz w:val="16"/>
          <w:szCs w:val="16"/>
          <w:color w:val="000000"/>
        </w:rPr>
        <w:t>. The headings and captions of the various subdivisions of this Agreement are for convenience of reference only and shall in no way modify</w:t>
      </w:r>
      <w:r>
        <w:rPr>
          <w:rFonts w:ascii="Arial" w:cs="Arial" w:eastAsia="Arial" w:hAnsi="Arial"/>
          <w:sz w:val="16"/>
          <w:szCs w:val="16"/>
          <w:color w:val="010000"/>
        </w:rPr>
        <w:t xml:space="preserve"> </w:t>
      </w:r>
      <w:r>
        <w:rPr>
          <w:rFonts w:ascii="Arial" w:cs="Arial" w:eastAsia="Arial" w:hAnsi="Arial"/>
          <w:sz w:val="16"/>
          <w:szCs w:val="16"/>
          <w:color w:val="000000"/>
        </w:rPr>
        <w:t>or affect the meaning or construction of any of the terms or provisions hereof.</w:t>
      </w:r>
    </w:p>
    <w:p>
      <w:pPr>
        <w:spacing w:after="0" w:line="163" w:lineRule="exact"/>
        <w:rPr>
          <w:sz w:val="20"/>
          <w:szCs w:val="20"/>
          <w:color w:val="auto"/>
        </w:rPr>
      </w:pPr>
    </w:p>
    <w:p>
      <w:pPr>
        <w:ind w:left="7" w:firstLine="559"/>
        <w:spacing w:after="0" w:line="294" w:lineRule="auto"/>
        <w:rPr>
          <w:sz w:val="20"/>
          <w:szCs w:val="20"/>
          <w:color w:val="auto"/>
        </w:rPr>
      </w:pPr>
      <w:r>
        <w:rPr>
          <w:rFonts w:ascii="Arial" w:cs="Arial" w:eastAsia="Arial" w:hAnsi="Arial"/>
          <w:sz w:val="14"/>
          <w:szCs w:val="14"/>
          <w:color w:val="010000"/>
        </w:rPr>
        <w:t xml:space="preserve">6.14 </w:t>
      </w:r>
      <w:r>
        <w:rPr>
          <w:rFonts w:ascii="Arial" w:cs="Arial" w:eastAsia="Arial" w:hAnsi="Arial"/>
          <w:sz w:val="14"/>
          <w:szCs w:val="14"/>
          <w:u w:val="single" w:color="auto"/>
          <w:color w:val="000000"/>
        </w:rPr>
        <w:t>Counterparts</w:t>
      </w:r>
      <w:r>
        <w:rPr>
          <w:rFonts w:ascii="Arial" w:cs="Arial" w:eastAsia="Arial" w:hAnsi="Arial"/>
          <w:sz w:val="14"/>
          <w:szCs w:val="14"/>
          <w:color w:val="000000"/>
        </w:rPr>
        <w:t>. This Agreement may be executed in one or more counterparts, all of which when taken together shall be considered one and the same agreement and</w:t>
      </w:r>
      <w:r>
        <w:rPr>
          <w:rFonts w:ascii="Arial" w:cs="Arial" w:eastAsia="Arial" w:hAnsi="Arial"/>
          <w:sz w:val="14"/>
          <w:szCs w:val="14"/>
          <w:color w:val="010000"/>
        </w:rPr>
        <w:t xml:space="preserve"> </w:t>
      </w:r>
      <w:r>
        <w:rPr>
          <w:rFonts w:ascii="Arial" w:cs="Arial" w:eastAsia="Arial" w:hAnsi="Arial"/>
          <w:sz w:val="14"/>
          <w:szCs w:val="14"/>
          <w:color w:val="000000"/>
        </w:rPr>
        <w:t>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42" w:lineRule="exact"/>
        <w:rPr>
          <w:sz w:val="20"/>
          <w:szCs w:val="20"/>
          <w:color w:val="auto"/>
        </w:rPr>
      </w:pPr>
    </w:p>
    <w:p>
      <w:pPr>
        <w:ind w:left="7" w:right="80" w:firstLine="559"/>
        <w:spacing w:after="0" w:line="284" w:lineRule="auto"/>
        <w:rPr>
          <w:sz w:val="20"/>
          <w:szCs w:val="20"/>
          <w:color w:val="auto"/>
        </w:rPr>
      </w:pPr>
      <w:r>
        <w:rPr>
          <w:rFonts w:ascii="Arial" w:cs="Arial" w:eastAsia="Arial" w:hAnsi="Arial"/>
          <w:sz w:val="14"/>
          <w:szCs w:val="14"/>
          <w:color w:val="010000"/>
        </w:rPr>
        <w:t xml:space="preserve">6.15 </w:t>
      </w:r>
      <w:r>
        <w:rPr>
          <w:rFonts w:ascii="Arial" w:cs="Arial" w:eastAsia="Arial" w:hAnsi="Arial"/>
          <w:sz w:val="14"/>
          <w:szCs w:val="14"/>
          <w:u w:val="single" w:color="auto"/>
          <w:color w:val="000000"/>
        </w:rPr>
        <w:t>Construction</w:t>
      </w:r>
      <w:r>
        <w:rPr>
          <w:rFonts w:ascii="Arial" w:cs="Arial" w:eastAsia="Arial" w:hAnsi="Arial"/>
          <w:sz w:val="14"/>
          <w:szCs w:val="14"/>
          <w:color w:val="000000"/>
        </w:rPr>
        <w:t>. The parties hereto have participated jointly in the negotiation and drafting of this Agreement. If an ambiguity or question of intent or interpretation</w:t>
      </w:r>
      <w:r>
        <w:rPr>
          <w:rFonts w:ascii="Arial" w:cs="Arial" w:eastAsia="Arial" w:hAnsi="Arial"/>
          <w:sz w:val="14"/>
          <w:szCs w:val="14"/>
          <w:color w:val="010000"/>
        </w:rPr>
        <w:t xml:space="preserve"> </w:t>
      </w:r>
      <w:r>
        <w:rPr>
          <w:rFonts w:ascii="Arial" w:cs="Arial" w:eastAsia="Arial" w:hAnsi="Arial"/>
          <w:sz w:val="14"/>
          <w:szCs w:val="14"/>
          <w:color w:val="000000"/>
        </w:rPr>
        <w:t>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4"/>
          <w:szCs w:val="14"/>
          <w:i w:val="1"/>
          <w:iCs w:val="1"/>
          <w:color w:val="000000"/>
        </w:rPr>
        <w:t>include</w:t>
      </w:r>
      <w:r>
        <w:rPr>
          <w:rFonts w:ascii="Arial" w:cs="Arial" w:eastAsia="Arial" w:hAnsi="Arial"/>
          <w:sz w:val="14"/>
          <w:szCs w:val="14"/>
          <w:color w:val="000000"/>
        </w:rPr>
        <w:t>,” “</w:t>
      </w:r>
      <w:r>
        <w:rPr>
          <w:rFonts w:ascii="Arial" w:cs="Arial" w:eastAsia="Arial" w:hAnsi="Arial"/>
          <w:sz w:val="14"/>
          <w:szCs w:val="14"/>
          <w:i w:val="1"/>
          <w:iCs w:val="1"/>
          <w:color w:val="000000"/>
        </w:rPr>
        <w:t>includes</w:t>
      </w:r>
      <w:r>
        <w:rPr>
          <w:rFonts w:ascii="Arial" w:cs="Arial" w:eastAsia="Arial" w:hAnsi="Arial"/>
          <w:sz w:val="14"/>
          <w:szCs w:val="14"/>
          <w:color w:val="000000"/>
        </w:rPr>
        <w:t>,” and “</w:t>
      </w:r>
      <w:r>
        <w:rPr>
          <w:rFonts w:ascii="Arial" w:cs="Arial" w:eastAsia="Arial" w:hAnsi="Arial"/>
          <w:sz w:val="14"/>
          <w:szCs w:val="14"/>
          <w:i w:val="1"/>
          <w:iCs w:val="1"/>
          <w:color w:val="000000"/>
        </w:rPr>
        <w:t>including</w:t>
      </w:r>
      <w:r>
        <w:rPr>
          <w:rFonts w:ascii="Arial" w:cs="Arial" w:eastAsia="Arial" w:hAnsi="Arial"/>
          <w:sz w:val="14"/>
          <w:szCs w:val="14"/>
          <w:color w:val="000000"/>
        </w:rPr>
        <w:t>” will be deemed to be followed by “</w:t>
      </w:r>
      <w:r>
        <w:rPr>
          <w:rFonts w:ascii="Arial" w:cs="Arial" w:eastAsia="Arial" w:hAnsi="Arial"/>
          <w:sz w:val="14"/>
          <w:szCs w:val="14"/>
          <w:i w:val="1"/>
          <w:iCs w:val="1"/>
          <w:color w:val="000000"/>
        </w:rPr>
        <w:t>without limitation</w:t>
      </w:r>
      <w:r>
        <w:rPr>
          <w:rFonts w:ascii="Arial" w:cs="Arial" w:eastAsia="Arial" w:hAnsi="Arial"/>
          <w:sz w:val="14"/>
          <w:szCs w:val="14"/>
          <w:color w:val="000000"/>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4"/>
          <w:szCs w:val="14"/>
          <w:i w:val="1"/>
          <w:iCs w:val="1"/>
          <w:color w:val="000000"/>
        </w:rPr>
        <w:t>this Agreement</w:t>
      </w:r>
      <w:r>
        <w:rPr>
          <w:rFonts w:ascii="Arial" w:cs="Arial" w:eastAsia="Arial" w:hAnsi="Arial"/>
          <w:sz w:val="14"/>
          <w:szCs w:val="14"/>
          <w:color w:val="000000"/>
        </w:rPr>
        <w:t>,” “</w:t>
      </w:r>
      <w:r>
        <w:rPr>
          <w:rFonts w:ascii="Arial" w:cs="Arial" w:eastAsia="Arial" w:hAnsi="Arial"/>
          <w:sz w:val="14"/>
          <w:szCs w:val="14"/>
          <w:i w:val="1"/>
          <w:iCs w:val="1"/>
          <w:color w:val="000000"/>
        </w:rPr>
        <w:t>herein</w:t>
      </w:r>
      <w:r>
        <w:rPr>
          <w:rFonts w:ascii="Arial" w:cs="Arial" w:eastAsia="Arial" w:hAnsi="Arial"/>
          <w:sz w:val="14"/>
          <w:szCs w:val="14"/>
          <w:color w:val="000000"/>
        </w:rPr>
        <w:t>,” “</w:t>
      </w:r>
      <w:r>
        <w:rPr>
          <w:rFonts w:ascii="Arial" w:cs="Arial" w:eastAsia="Arial" w:hAnsi="Arial"/>
          <w:sz w:val="14"/>
          <w:szCs w:val="14"/>
          <w:i w:val="1"/>
          <w:iCs w:val="1"/>
          <w:color w:val="000000"/>
        </w:rPr>
        <w:t>hereof</w:t>
      </w:r>
      <w:r>
        <w:rPr>
          <w:rFonts w:ascii="Arial" w:cs="Arial" w:eastAsia="Arial" w:hAnsi="Arial"/>
          <w:sz w:val="14"/>
          <w:szCs w:val="14"/>
          <w:color w:val="000000"/>
        </w:rPr>
        <w:t>,” “</w:t>
      </w:r>
      <w:r>
        <w:rPr>
          <w:rFonts w:ascii="Arial" w:cs="Arial" w:eastAsia="Arial" w:hAnsi="Arial"/>
          <w:sz w:val="14"/>
          <w:szCs w:val="14"/>
          <w:i w:val="1"/>
          <w:iCs w:val="1"/>
          <w:color w:val="000000"/>
        </w:rPr>
        <w:t>hereby</w:t>
      </w:r>
      <w:r>
        <w:rPr>
          <w:rFonts w:ascii="Arial" w:cs="Arial" w:eastAsia="Arial" w:hAnsi="Arial"/>
          <w:sz w:val="14"/>
          <w:szCs w:val="14"/>
          <w:color w:val="000000"/>
        </w:rPr>
        <w:t>,” “</w:t>
      </w:r>
      <w:r>
        <w:rPr>
          <w:rFonts w:ascii="Arial" w:cs="Arial" w:eastAsia="Arial" w:hAnsi="Arial"/>
          <w:sz w:val="14"/>
          <w:szCs w:val="14"/>
          <w:i w:val="1"/>
          <w:iCs w:val="1"/>
          <w:color w:val="000000"/>
        </w:rPr>
        <w:t>hereunder</w:t>
      </w:r>
      <w:r>
        <w:rPr>
          <w:rFonts w:ascii="Arial" w:cs="Arial" w:eastAsia="Arial" w:hAnsi="Arial"/>
          <w:sz w:val="14"/>
          <w:szCs w:val="14"/>
          <w:color w:val="000000"/>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47" w:lineRule="exact"/>
        <w:rPr>
          <w:sz w:val="20"/>
          <w:szCs w:val="20"/>
          <w:color w:val="auto"/>
        </w:rPr>
      </w:pPr>
    </w:p>
    <w:p>
      <w:pPr>
        <w:ind w:left="7" w:right="220" w:firstLine="559"/>
        <w:spacing w:after="0" w:line="258" w:lineRule="auto"/>
        <w:rPr>
          <w:sz w:val="20"/>
          <w:szCs w:val="20"/>
          <w:color w:val="auto"/>
        </w:rPr>
      </w:pPr>
      <w:r>
        <w:rPr>
          <w:rFonts w:ascii="Arial" w:cs="Arial" w:eastAsia="Arial" w:hAnsi="Arial"/>
          <w:sz w:val="16"/>
          <w:szCs w:val="16"/>
          <w:color w:val="010000"/>
        </w:rPr>
        <w:t xml:space="preserve">6.16 </w:t>
      </w:r>
      <w:r>
        <w:rPr>
          <w:rFonts w:ascii="Arial" w:cs="Arial" w:eastAsia="Arial" w:hAnsi="Arial"/>
          <w:sz w:val="16"/>
          <w:szCs w:val="16"/>
          <w:u w:val="single" w:color="auto"/>
          <w:color w:val="000000"/>
        </w:rPr>
        <w:t>Mutual Drafting</w:t>
      </w:r>
      <w:r>
        <w:rPr>
          <w:rFonts w:ascii="Arial" w:cs="Arial" w:eastAsia="Arial" w:hAnsi="Arial"/>
          <w:sz w:val="16"/>
          <w:szCs w:val="16"/>
          <w:color w:val="000000"/>
        </w:rPr>
        <w:t>. This Agreement is the joint product of the Subscriber and the Company and each provision hereof has been subject to the mutual consultation,</w:t>
      </w:r>
      <w:r>
        <w:rPr>
          <w:rFonts w:ascii="Arial" w:cs="Arial" w:eastAsia="Arial" w:hAnsi="Arial"/>
          <w:sz w:val="16"/>
          <w:szCs w:val="16"/>
          <w:color w:val="010000"/>
        </w:rPr>
        <w:t xml:space="preserve"> </w:t>
      </w:r>
      <w:r>
        <w:rPr>
          <w:rFonts w:ascii="Arial" w:cs="Arial" w:eastAsia="Arial" w:hAnsi="Arial"/>
          <w:sz w:val="16"/>
          <w:szCs w:val="16"/>
          <w:color w:val="000000"/>
        </w:rPr>
        <w:t>negotiation and agreement of such parties and shall not be construed for or against any party hereto.</w:t>
      </w:r>
    </w:p>
    <w:p>
      <w:pPr>
        <w:spacing w:after="0" w:line="163" w:lineRule="exact"/>
        <w:rPr>
          <w:sz w:val="20"/>
          <w:szCs w:val="20"/>
          <w:color w:val="auto"/>
        </w:rPr>
      </w:pPr>
    </w:p>
    <w:p>
      <w:pPr>
        <w:ind w:left="7" w:hanging="7"/>
        <w:spacing w:after="0" w:line="303" w:lineRule="auto"/>
        <w:tabs>
          <w:tab w:leader="none" w:pos="627" w:val="left"/>
        </w:tabs>
        <w:numPr>
          <w:ilvl w:val="0"/>
          <w:numId w:val="467"/>
        </w:numPr>
        <w:rPr>
          <w:rFonts w:ascii="Arial" w:cs="Arial" w:eastAsia="Arial" w:hAnsi="Arial"/>
          <w:sz w:val="14"/>
          <w:szCs w:val="14"/>
          <w:color w:val="010000"/>
        </w:rPr>
      </w:pPr>
      <w:r>
        <w:rPr>
          <w:rFonts w:ascii="Arial" w:cs="Arial" w:eastAsia="Arial" w:hAnsi="Arial"/>
          <w:sz w:val="14"/>
          <w:szCs w:val="14"/>
          <w:u w:val="single" w:color="auto"/>
          <w:color w:val="auto"/>
        </w:rPr>
        <w:t>Voting and Redemption of Shares</w:t>
      </w:r>
      <w:r>
        <w:rPr>
          <w:rFonts w:ascii="Arial" w:cs="Arial" w:eastAsia="Arial" w:hAnsi="Arial"/>
          <w:sz w:val="14"/>
          <w:szCs w:val="14"/>
          <w:color w:val="auto"/>
        </w:rPr>
        <w:t>. Subscriber agrees to vote the Shares in favor of an initial business combination that the Company negotiates and submits for approval to the Company’s shareholders and shall not seek redemption with respect to such Shares. Additionally, the Subscriber agrees not to redeem any Shares in connection with a tender offer presented to the Company’s shareholders in connection with an initial business combination negotiated by the Company.</w:t>
      </w:r>
    </w:p>
    <w:p>
      <w:pPr>
        <w:spacing w:after="0" w:line="135"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33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47"/>
          </w:cols>
          <w:pgMar w:left="313" w:top="315" w:right="339" w:bottom="1440" w:gutter="0" w:footer="0" w:header="0"/>
        </w:sectPr>
      </w:pPr>
    </w:p>
    <w:bookmarkStart w:id="432" w:name="page433"/>
    <w:bookmarkEnd w:id="432"/>
    <w:p>
      <w:pPr>
        <w:ind w:left="5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Very truly yours,</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tbl>
      <w:tblPr>
        <w:tblLayout w:type="fixed"/>
        <w:tblInd w:w="5640" w:type="dxa"/>
        <w:tblCellMar>
          <w:top w:w="0" w:type="dxa"/>
          <w:left w:w="0" w:type="dxa"/>
          <w:bottom w:w="0" w:type="dxa"/>
          <w:right w:w="0" w:type="dxa"/>
        </w:tblCellMar>
      </w:tblPr>
      <w:tr>
        <w:trPr>
          <w:trHeight w:val="196"/>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Samuel Cohn</w:t>
            </w:r>
          </w:p>
        </w:tc>
      </w:tr>
      <w:tr>
        <w:trPr>
          <w:trHeight w:val="167"/>
        </w:trPr>
        <w:tc>
          <w:tcPr>
            <w:tcW w:w="560" w:type="dxa"/>
            <w:vAlign w:val="bottom"/>
          </w:tcPr>
          <w:p>
            <w:pPr>
              <w:spacing w:after="0"/>
              <w:rPr>
                <w:sz w:val="14"/>
                <w:szCs w:val="14"/>
                <w:color w:val="auto"/>
              </w:rPr>
            </w:pPr>
          </w:p>
        </w:tc>
        <w:tc>
          <w:tcPr>
            <w:tcW w:w="5060" w:type="dxa"/>
            <w:vAlign w:val="bottom"/>
          </w:tcPr>
          <w:p>
            <w:pPr>
              <w:spacing w:after="0" w:line="168" w:lineRule="exact"/>
              <w:rPr>
                <w:sz w:val="20"/>
                <w:szCs w:val="20"/>
                <w:color w:val="auto"/>
              </w:rPr>
            </w:pPr>
            <w:r>
              <w:rPr>
                <w:rFonts w:ascii="Arial" w:cs="Arial" w:eastAsia="Arial" w:hAnsi="Arial"/>
                <w:sz w:val="16"/>
                <w:szCs w:val="16"/>
                <w:color w:val="auto"/>
              </w:rPr>
              <w:t>Name: Samuel Cohn</w:t>
            </w:r>
          </w:p>
        </w:tc>
      </w:tr>
      <w:tr>
        <w:trPr>
          <w:trHeight w:val="196"/>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Title: Secretary</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as of the date first written above.</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ARYA Sciences Holdings III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Samuel Cohn</w:t>
            </w:r>
          </w:p>
        </w:tc>
      </w:tr>
      <w:tr>
        <w:trPr>
          <w:trHeight w:val="167"/>
        </w:trPr>
        <w:tc>
          <w:tcPr>
            <w:tcW w:w="560" w:type="dxa"/>
            <w:vAlign w:val="bottom"/>
          </w:tcPr>
          <w:p>
            <w:pPr>
              <w:spacing w:after="0"/>
              <w:rPr>
                <w:sz w:val="14"/>
                <w:szCs w:val="14"/>
                <w:color w:val="auto"/>
              </w:rPr>
            </w:pPr>
          </w:p>
        </w:tc>
        <w:tc>
          <w:tcPr>
            <w:tcW w:w="5060" w:type="dxa"/>
            <w:vAlign w:val="bottom"/>
          </w:tcPr>
          <w:p>
            <w:pPr>
              <w:spacing w:after="0" w:line="168" w:lineRule="exact"/>
              <w:rPr>
                <w:sz w:val="20"/>
                <w:szCs w:val="20"/>
                <w:color w:val="auto"/>
              </w:rPr>
            </w:pPr>
            <w:r>
              <w:rPr>
                <w:rFonts w:ascii="Arial" w:cs="Arial" w:eastAsia="Arial" w:hAnsi="Arial"/>
                <w:sz w:val="16"/>
                <w:szCs w:val="16"/>
                <w:color w:val="auto"/>
              </w:rPr>
              <w:t>Name: Samuel Cohn</w:t>
            </w:r>
          </w:p>
        </w:tc>
      </w:tr>
      <w:tr>
        <w:trPr>
          <w:trHeight w:val="196"/>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Title: Secretary</w:t>
            </w:r>
          </w:p>
        </w:tc>
      </w:tr>
    </w:tbl>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Subscription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451485</wp:posOffset>
            </wp:positionV>
            <wp:extent cx="7151370" cy="146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433" w:name="page434"/>
    <w:bookmarkEnd w:id="43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10.8</w:t>
      </w:r>
    </w:p>
    <w:p>
      <w:pPr>
        <w:spacing w:after="0" w:line="204" w:lineRule="exact"/>
        <w:rPr>
          <w:sz w:val="20"/>
          <w:szCs w:val="20"/>
          <w:color w:val="auto"/>
        </w:rPr>
      </w:pPr>
    </w:p>
    <w:p>
      <w:pPr>
        <w:ind w:left="7740"/>
        <w:spacing w:after="0"/>
        <w:rPr>
          <w:sz w:val="20"/>
          <w:szCs w:val="20"/>
          <w:color w:val="auto"/>
        </w:rPr>
      </w:pPr>
      <w:r>
        <w:rPr>
          <w:rFonts w:ascii="Arial" w:cs="Arial" w:eastAsia="Arial" w:hAnsi="Arial"/>
          <w:sz w:val="19"/>
          <w:szCs w:val="19"/>
          <w:color w:val="auto"/>
        </w:rPr>
        <w:t>August [●], 2020</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ARYA Sciences Acquisition Corp III</w:t>
      </w:r>
    </w:p>
    <w:p>
      <w:pPr>
        <w:spacing w:after="0" w:line="237" w:lineRule="auto"/>
        <w:rPr>
          <w:sz w:val="20"/>
          <w:szCs w:val="20"/>
          <w:color w:val="auto"/>
        </w:rPr>
      </w:pPr>
      <w:r>
        <w:rPr>
          <w:rFonts w:ascii="Arial" w:cs="Arial" w:eastAsia="Arial" w:hAnsi="Arial"/>
          <w:sz w:val="19"/>
          <w:szCs w:val="19"/>
          <w:color w:val="auto"/>
        </w:rPr>
        <w:t>51 Astor Place, 10th Floor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10003</w:t>
      </w:r>
    </w:p>
    <w:p>
      <w:pPr>
        <w:spacing w:after="0" w:line="161" w:lineRule="exact"/>
        <w:rPr>
          <w:sz w:val="20"/>
          <w:szCs w:val="20"/>
          <w:color w:val="auto"/>
        </w:rPr>
      </w:pPr>
    </w:p>
    <w:p>
      <w:pPr>
        <w:ind w:left="560"/>
        <w:spacing w:after="0"/>
        <w:tabs>
          <w:tab w:leader="none" w:pos="126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Initial Public Offering</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77" w:lineRule="exact"/>
        <w:rPr>
          <w:sz w:val="20"/>
          <w:szCs w:val="20"/>
          <w:color w:val="auto"/>
        </w:rPr>
      </w:pPr>
    </w:p>
    <w:p>
      <w:pPr>
        <w:ind w:firstLine="559"/>
        <w:spacing w:after="0" w:line="247" w:lineRule="auto"/>
        <w:rPr>
          <w:sz w:val="20"/>
          <w:szCs w:val="20"/>
          <w:color w:val="auto"/>
        </w:rPr>
      </w:pPr>
      <w:r>
        <w:rPr>
          <w:rFonts w:ascii="Arial" w:cs="Arial" w:eastAsia="Arial" w:hAnsi="Arial"/>
          <w:sz w:val="18"/>
          <w:szCs w:val="18"/>
          <w:color w:val="auto"/>
        </w:rPr>
        <w:t>This letter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is being delivered to you in accordance with the Underwriting Agreement (the “</w:t>
      </w:r>
      <w:r>
        <w:rPr>
          <w:rFonts w:ascii="Arial" w:cs="Arial" w:eastAsia="Arial" w:hAnsi="Arial"/>
          <w:sz w:val="18"/>
          <w:szCs w:val="18"/>
          <w:b w:val="1"/>
          <w:bCs w:val="1"/>
          <w:i w:val="1"/>
          <w:iCs w:val="1"/>
          <w:color w:val="auto"/>
        </w:rPr>
        <w:t>Underwriting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entered into by and among ARYA Sciences Acquisition Corp III,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Jefferies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Goldman Sachs &amp; Co. LLC, as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of the several underwriters named therein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relating to an underwritten initial public offering (the “</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of 14,375,000 of the Company’s Class A ordinary shares, par value $0.0001 per share (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(including 1,875,000 Ordinary Shares that may be purchased pursuant to the Underwriters’ option to purchase additional Ordinary Shares). The Ordinary Shares will be sold in the Public Offering pursuant to a registration statement on Form S-1 and a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filed by the Company with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xml:space="preserve">”). Certain capitalized terms used herein are defined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hereof.</w:t>
      </w:r>
    </w:p>
    <w:p>
      <w:pPr>
        <w:spacing w:after="0" w:line="157" w:lineRule="exact"/>
        <w:rPr>
          <w:sz w:val="20"/>
          <w:szCs w:val="20"/>
          <w:color w:val="auto"/>
        </w:rPr>
      </w:pPr>
    </w:p>
    <w:p>
      <w:pPr>
        <w:ind w:right="260" w:firstLine="559"/>
        <w:spacing w:after="0" w:line="283"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Public Offering and for other good and valuable consideration, the receipt and sufficiency of which are hereby acknowledged, ARYA Sciences Holdings III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each of the undersigned (each,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 hereby agree with the Company as follows:</w:t>
      </w:r>
    </w:p>
    <w:p>
      <w:pPr>
        <w:spacing w:after="0" w:line="123" w:lineRule="exact"/>
        <w:rPr>
          <w:sz w:val="20"/>
          <w:szCs w:val="20"/>
          <w:color w:val="auto"/>
        </w:rPr>
      </w:pPr>
    </w:p>
    <w:p>
      <w:pPr>
        <w:ind w:right="40" w:firstLine="552"/>
        <w:spacing w:after="0" w:line="260" w:lineRule="auto"/>
        <w:tabs>
          <w:tab w:leader="none" w:pos="1163"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(i)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shall mean a merger, share exchange, asset acquisition, share purchase, reorganization or similar business combination with one or more businesses or entities; (ii)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shall mean the 3,593,750 Class B ordinary shares of the Company, par value $0.0001 per share, outstanding prior to the consummation of the Public Offering; (iii)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mean the Ordinary Shares that will be acquired by the Sponsor for an aggregate purchase price of $4,500,000 (or up to $4,875,000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exercise their option to purchase additional Ordinary Shares in full) in a private placement that shall close simultaneously with the consummation of the Public Offering; (iv) “</w:t>
      </w:r>
      <w:r>
        <w:rPr>
          <w:rFonts w:ascii="Arial" w:cs="Arial" w:eastAsia="Arial" w:hAnsi="Arial"/>
          <w:sz w:val="17"/>
          <w:szCs w:val="17"/>
          <w:b w:val="1"/>
          <w:bCs w:val="1"/>
          <w:i w:val="1"/>
          <w:iCs w:val="1"/>
          <w:color w:val="auto"/>
        </w:rPr>
        <w:t>Public Shareholders</w:t>
      </w:r>
      <w:r>
        <w:rPr>
          <w:rFonts w:ascii="Arial" w:cs="Arial" w:eastAsia="Arial" w:hAnsi="Arial"/>
          <w:sz w:val="17"/>
          <w:szCs w:val="17"/>
          <w:color w:val="auto"/>
        </w:rPr>
        <w:t>” shall mean the holders of Ordinary Shares issued in the Public Offering; (v) “</w:t>
      </w:r>
      <w:r>
        <w:rPr>
          <w:rFonts w:ascii="Arial" w:cs="Arial" w:eastAsia="Arial" w:hAnsi="Arial"/>
          <w:sz w:val="17"/>
          <w:szCs w:val="17"/>
          <w:b w:val="1"/>
          <w:bCs w:val="1"/>
          <w:i w:val="1"/>
          <w:i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mean the Ordinary Shares issued in the Public Offering; (vi)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shall mean the trust account into which a portion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proceeds of the Public Offering and the sale of the Private Placement Shares shall be deposited; (vii)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(viii)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shall mean the Company’s Amended and Restated Memorandum and Articles of Association, as the same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51370" cy="146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434" w:name="page435"/>
    <w:bookmarkEnd w:id="434"/>
    <w:p>
      <w:pPr>
        <w:ind w:left="1160" w:hanging="608"/>
        <w:spacing w:after="0"/>
        <w:tabs>
          <w:tab w:leader="none" w:pos="1160" w:val="left"/>
        </w:tabs>
        <w:numPr>
          <w:ilvl w:val="0"/>
          <w:numId w:val="46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p>
    <w:p>
      <w:pPr>
        <w:spacing w:after="0" w:line="200" w:lineRule="exact"/>
        <w:rPr>
          <w:rFonts w:ascii="Arial" w:cs="Arial" w:eastAsia="Arial" w:hAnsi="Arial"/>
          <w:sz w:val="19"/>
          <w:szCs w:val="19"/>
          <w:color w:val="auto"/>
        </w:rPr>
      </w:pPr>
    </w:p>
    <w:p>
      <w:pPr>
        <w:ind w:right="60" w:firstLine="1110"/>
        <w:spacing w:after="0" w:line="270" w:lineRule="auto"/>
        <w:tabs>
          <w:tab w:leader="none" w:pos="1789" w:val="left"/>
        </w:tabs>
        <w:numPr>
          <w:ilvl w:val="1"/>
          <w:numId w:val="469"/>
        </w:numPr>
        <w:rPr>
          <w:rFonts w:ascii="Arial" w:cs="Arial" w:eastAsia="Arial" w:hAnsi="Arial"/>
          <w:sz w:val="17"/>
          <w:szCs w:val="17"/>
          <w:color w:val="auto"/>
        </w:rPr>
      </w:pPr>
      <w:r>
        <w:rPr>
          <w:rFonts w:ascii="Arial" w:cs="Arial" w:eastAsia="Arial" w:hAnsi="Arial"/>
          <w:sz w:val="17"/>
          <w:szCs w:val="17"/>
          <w:color w:val="auto"/>
        </w:rPr>
        <w:t>The Sponsor and each Insider, with respect to itself, herself or himself, represent and warrant to the Company that it, she or he has the full right and power, without violating any agreement to which it, she or he is bound (including, without limitation, any non-competition or non-solicitation agreement with any employer or former employer), to enter into this Letter Agreement, and, as applicable, to serve as an officer of the Company and/or a director on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as applicable, and each Insider hereby consents to being named in the Prospectus, road show and any other materials as an officer and/or director of the Company, as applicable.</w:t>
      </w:r>
    </w:p>
    <w:p>
      <w:pPr>
        <w:spacing w:after="0" w:line="156" w:lineRule="exact"/>
        <w:rPr>
          <w:rFonts w:ascii="Arial" w:cs="Arial" w:eastAsia="Arial" w:hAnsi="Arial"/>
          <w:sz w:val="17"/>
          <w:szCs w:val="17"/>
          <w:color w:val="auto"/>
        </w:rPr>
      </w:pPr>
    </w:p>
    <w:p>
      <w:pPr>
        <w:ind w:firstLine="1110"/>
        <w:spacing w:after="0" w:line="247" w:lineRule="auto"/>
        <w:tabs>
          <w:tab w:leader="none" w:pos="1799" w:val="left"/>
        </w:tabs>
        <w:numPr>
          <w:ilvl w:val="1"/>
          <w:numId w:val="469"/>
        </w:numPr>
        <w:rPr>
          <w:rFonts w:ascii="Arial" w:cs="Arial" w:eastAsia="Arial" w:hAnsi="Arial"/>
          <w:sz w:val="18"/>
          <w:szCs w:val="18"/>
          <w:color w:val="auto"/>
        </w:rPr>
      </w:pPr>
      <w:r>
        <w:rPr>
          <w:rFonts w:ascii="Arial" w:cs="Arial" w:eastAsia="Arial" w:hAnsi="Arial"/>
          <w:sz w:val="18"/>
          <w:szCs w:val="18"/>
          <w:color w:val="auto"/>
        </w:rPr>
        <w:t>Each Insider represents and warrants, with respect to herself or himself, that such Insider’s biographical information furnished to the Company (including any such information included in the Prospectus) is true and accurate in all material respects and does not omit any material information with respect to such Insider’s background. The Insider’s questionnaire furnished to the Company is true and accurate in all material respects. Each Insider represents and warrants that such Insider is not subject to or a respondent in any legal action for, any injunction, cease-and-desist order or order or stipulation to desist or refrain from any act or practice relating to the offering of securities in any jurisdiction; such Insider has never been convicted of, or pleaded guilty to, any crime (i) involving fraud, (ii) relating to any financial transaction or handling of funds of another person, or (iii) pertaining to any dealings in any securities and such Insider is not currently a defendant in any such criminal proceeding; and such Insider has never been suspended or expelled from membership in any securities or commodities exchange or association or had a securities or commodities license or registration denied, suspended or revoked.</w:t>
      </w:r>
    </w:p>
    <w:p>
      <w:pPr>
        <w:spacing w:after="0" w:line="176" w:lineRule="exact"/>
        <w:rPr>
          <w:rFonts w:ascii="Arial" w:cs="Arial" w:eastAsia="Arial" w:hAnsi="Arial"/>
          <w:sz w:val="18"/>
          <w:szCs w:val="18"/>
          <w:color w:val="auto"/>
        </w:rPr>
      </w:pPr>
    </w:p>
    <w:p>
      <w:pPr>
        <w:ind w:right="280" w:firstLine="552"/>
        <w:spacing w:after="0" w:line="287" w:lineRule="auto"/>
        <w:tabs>
          <w:tab w:leader="none" w:pos="1163" w:val="left"/>
        </w:tabs>
        <w:numPr>
          <w:ilvl w:val="0"/>
          <w:numId w:val="469"/>
        </w:numPr>
        <w:rPr>
          <w:rFonts w:ascii="Arial" w:cs="Arial" w:eastAsia="Arial" w:hAnsi="Arial"/>
          <w:sz w:val="16"/>
          <w:szCs w:val="16"/>
          <w:color w:val="auto"/>
        </w:rPr>
      </w:pPr>
      <w:r>
        <w:rPr>
          <w:rFonts w:ascii="Arial" w:cs="Arial" w:eastAsia="Arial" w:hAnsi="Arial"/>
          <w:sz w:val="16"/>
          <w:szCs w:val="16"/>
          <w:u w:val="single" w:color="auto"/>
          <w:color w:val="auto"/>
        </w:rPr>
        <w:t>Business Combination Vote</w:t>
      </w:r>
      <w:r>
        <w:rPr>
          <w:rFonts w:ascii="Arial" w:cs="Arial" w:eastAsia="Arial" w:hAnsi="Arial"/>
          <w:sz w:val="16"/>
          <w:szCs w:val="16"/>
          <w:color w:val="auto"/>
        </w:rPr>
        <w:t>. It is acknowledged and agreed that the Company shall not enter into a definitive agreement regarding a proposed Business Combination without the prior consent of the Sponsor. The Sponsor and each Insider, with respect to itself or herself or himself, agrees that if the Company seeks shareholder approval of a proposed initial Business Combination, then in connection with such proposed initial Business Combination, it, she or he, as applicable, shall vote all Founder Shares, Private Placement Shares and any Public Shares held by it, her or him, as applicable, in favor of such proposed initial Business Combination (including any proposals recommended by the Board in connection with such Business Combination) and not redeem any Public Shares held by it, her or him, as applicable, in connection with such shareholder approval.</w:t>
      </w:r>
    </w:p>
    <w:p>
      <w:pPr>
        <w:spacing w:after="0" w:line="145" w:lineRule="exact"/>
        <w:rPr>
          <w:rFonts w:ascii="Arial" w:cs="Arial" w:eastAsia="Arial" w:hAnsi="Arial"/>
          <w:sz w:val="16"/>
          <w:szCs w:val="16"/>
          <w:color w:val="auto"/>
        </w:rPr>
      </w:pPr>
    </w:p>
    <w:p>
      <w:pPr>
        <w:ind w:left="1160" w:hanging="608"/>
        <w:spacing w:after="0"/>
        <w:tabs>
          <w:tab w:leader="none" w:pos="1160" w:val="left"/>
        </w:tabs>
        <w:numPr>
          <w:ilvl w:val="0"/>
          <w:numId w:val="469"/>
        </w:numPr>
        <w:rPr>
          <w:rFonts w:ascii="Arial" w:cs="Arial" w:eastAsia="Arial" w:hAnsi="Arial"/>
          <w:sz w:val="19"/>
          <w:szCs w:val="19"/>
          <w:color w:val="auto"/>
        </w:rPr>
      </w:pPr>
      <w:r>
        <w:rPr>
          <w:rFonts w:ascii="Arial" w:cs="Arial" w:eastAsia="Arial" w:hAnsi="Arial"/>
          <w:sz w:val="19"/>
          <w:szCs w:val="19"/>
          <w:u w:val="single" w:color="auto"/>
          <w:color w:val="auto"/>
        </w:rPr>
        <w:t>Failure to Consummate a Business Combination; Trust Account Waiver.</w:t>
      </w:r>
    </w:p>
    <w:p>
      <w:pPr>
        <w:spacing w:after="0" w:line="200" w:lineRule="exact"/>
        <w:rPr>
          <w:rFonts w:ascii="Arial" w:cs="Arial" w:eastAsia="Arial" w:hAnsi="Arial"/>
          <w:sz w:val="19"/>
          <w:szCs w:val="19"/>
          <w:color w:val="auto"/>
        </w:rPr>
      </w:pPr>
    </w:p>
    <w:p>
      <w:pPr>
        <w:ind w:right="20" w:firstLine="1110"/>
        <w:spacing w:after="0" w:line="277" w:lineRule="auto"/>
        <w:tabs>
          <w:tab w:leader="none" w:pos="1789" w:val="left"/>
        </w:tabs>
        <w:numPr>
          <w:ilvl w:val="1"/>
          <w:numId w:val="469"/>
        </w:numPr>
        <w:rPr>
          <w:rFonts w:ascii="Arial" w:cs="Arial" w:eastAsia="Arial" w:hAnsi="Arial"/>
          <w:sz w:val="16"/>
          <w:szCs w:val="16"/>
          <w:color w:val="auto"/>
        </w:rPr>
      </w:pPr>
      <w:r>
        <w:rPr>
          <w:rFonts w:ascii="Arial" w:cs="Arial" w:eastAsia="Arial" w:hAnsi="Arial"/>
          <w:sz w:val="16"/>
          <w:szCs w:val="16"/>
          <w:color w:val="auto"/>
        </w:rPr>
        <w:t>The Sponsor and each Insider hereby agree, with respect to itself, herself or himself, that in the event that the Company fails to consummate its initial Business Combination within the time period set forth in the Charter, the Sponsor and each Insider shall take all reasonable steps to cause the Company to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released to the Company to pay income taxes (less up to $100,000 of interest to pay dissolution expenses), divided by the number of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Board, liquidate and dissolve, subject in the case of clauses (ii) and (iii) to the Company’s obligations under Cayman Islands law to provide for claims of creditors and in all cases subject to the other requirements of applicable law. The Sponsor and each Insider agree not to propose any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does not complete an initial Business Combination within the required time period set forth in the Charter or (ii) with respect to any provision relating to the rights of holders of Public Shares unless the Company provides its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the Company to pay income taxes, if any, divided by the number of then-outstanding Public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35" w:name="page436"/>
    <w:bookmarkEnd w:id="435"/>
    <w:p>
      <w:pPr>
        <w:ind w:firstLine="1110"/>
        <w:spacing w:after="0" w:line="281" w:lineRule="auto"/>
        <w:tabs>
          <w:tab w:leader="none" w:pos="1799" w:val="left"/>
        </w:tabs>
        <w:numPr>
          <w:ilvl w:val="1"/>
          <w:numId w:val="470"/>
        </w:numPr>
        <w:rPr>
          <w:rFonts w:ascii="Arial" w:cs="Arial" w:eastAsia="Arial" w:hAnsi="Arial"/>
          <w:sz w:val="16"/>
          <w:szCs w:val="16"/>
          <w:color w:val="auto"/>
        </w:rPr>
      </w:pPr>
      <w:r>
        <w:rPr>
          <w:rFonts w:ascii="Arial" w:cs="Arial" w:eastAsia="Arial" w:hAnsi="Arial"/>
          <w:sz w:val="16"/>
          <w:szCs w:val="16"/>
          <w:color w:val="auto"/>
        </w:rPr>
        <w:t>The Sponsor and each Insider, with respect to itself, herself or himself, acknowledges that it, she or he has no right, title, interest or claim of any kind in or to any monies held in the Trust Account or any other asset of the Company as a result of any liquidation of the Company with respect to the Founder Shares and Private Placement Shares held by it, her or him, if any. The Sponsor and each Insider hereby further waives, with respect to any Founder Shares, Private Placement Shares and Public Shares held by it, her or him, as applicable, any redemption rights it, she or he may have in connection with (x) the completion of of the Company’s initial Business Combination, and (y) a shareholder vote to approve an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in the Charter or (ii) with respect to any provision relating to the rights of holders of Public Shares (although the Sponsor and the Insiders shall be entitled to liquidation rights with respect to any Public Shares they hold if the Company fails to consummate a Business Combination within the required time period set forth in the Charter).</w:t>
      </w:r>
    </w:p>
    <w:p>
      <w:pPr>
        <w:spacing w:after="0" w:line="149" w:lineRule="exact"/>
        <w:rPr>
          <w:rFonts w:ascii="Arial" w:cs="Arial" w:eastAsia="Arial" w:hAnsi="Arial"/>
          <w:sz w:val="16"/>
          <w:szCs w:val="16"/>
          <w:color w:val="auto"/>
        </w:rPr>
      </w:pPr>
    </w:p>
    <w:p>
      <w:pPr>
        <w:ind w:left="1160" w:hanging="608"/>
        <w:spacing w:after="0"/>
        <w:tabs>
          <w:tab w:leader="none" w:pos="1160" w:val="left"/>
        </w:tabs>
        <w:numPr>
          <w:ilvl w:val="0"/>
          <w:numId w:val="471"/>
        </w:numPr>
        <w:rPr>
          <w:rFonts w:ascii="Arial" w:cs="Arial" w:eastAsia="Arial" w:hAnsi="Arial"/>
          <w:sz w:val="19"/>
          <w:szCs w:val="19"/>
          <w:color w:val="auto"/>
        </w:rPr>
      </w:pPr>
      <w:r>
        <w:rPr>
          <w:rFonts w:ascii="Arial" w:cs="Arial" w:eastAsia="Arial" w:hAnsi="Arial"/>
          <w:sz w:val="19"/>
          <w:szCs w:val="19"/>
          <w:u w:val="single" w:color="auto"/>
          <w:color w:val="auto"/>
        </w:rPr>
        <w:t>Lock-up; Transfer Restrictions.</w:t>
      </w:r>
    </w:p>
    <w:p>
      <w:pPr>
        <w:spacing w:after="0" w:line="200" w:lineRule="exact"/>
        <w:rPr>
          <w:rFonts w:ascii="Arial" w:cs="Arial" w:eastAsia="Arial" w:hAnsi="Arial"/>
          <w:sz w:val="19"/>
          <w:szCs w:val="19"/>
          <w:color w:val="auto"/>
        </w:rPr>
      </w:pPr>
    </w:p>
    <w:p>
      <w:pPr>
        <w:ind w:right="80" w:firstLine="1110"/>
        <w:spacing w:after="0" w:line="247" w:lineRule="auto"/>
        <w:tabs>
          <w:tab w:leader="none" w:pos="178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Sponsor and the Insiders agree that they shall not Transfer any Founder Shares (the “</w:t>
      </w:r>
      <w:r>
        <w:rPr>
          <w:rFonts w:ascii="Arial" w:cs="Arial" w:eastAsia="Arial" w:hAnsi="Arial"/>
          <w:sz w:val="18"/>
          <w:szCs w:val="18"/>
          <w:b w:val="1"/>
          <w:bCs w:val="1"/>
          <w:i w:val="1"/>
          <w:iCs w:val="1"/>
          <w:color w:val="auto"/>
        </w:rPr>
        <w:t>Founder Shares Lock-up</w:t>
      </w:r>
      <w:r>
        <w:rPr>
          <w:rFonts w:ascii="Arial" w:cs="Arial" w:eastAsia="Arial" w:hAnsi="Arial"/>
          <w:sz w:val="18"/>
          <w:szCs w:val="18"/>
          <w:color w:val="auto"/>
        </w:rPr>
        <w:t>”) until the earliest of (A) one year after the completion of the Company’s initial Business Combination and (B) the date following the completion of an initial Business Combination on which the Company completes a liquidation, merger, share exchange, reorganization or other similar transaction that results in all of the Public Shareholders having the right to exchange their Ordinary Shares for cash, securities or other property (the “</w:t>
      </w:r>
      <w:r>
        <w:rPr>
          <w:rFonts w:ascii="Arial" w:cs="Arial" w:eastAsia="Arial" w:hAnsi="Arial"/>
          <w:sz w:val="18"/>
          <w:szCs w:val="18"/>
          <w:b w:val="1"/>
          <w:bCs w:val="1"/>
          <w:i w:val="1"/>
          <w:iCs w:val="1"/>
          <w:color w:val="auto"/>
        </w:rPr>
        <w:t>Founder Shares Lock-up Period</w:t>
      </w:r>
      <w:r>
        <w:rPr>
          <w:rFonts w:ascii="Arial" w:cs="Arial" w:eastAsia="Arial" w:hAnsi="Arial"/>
          <w:sz w:val="18"/>
          <w:szCs w:val="18"/>
          <w:color w:val="auto"/>
        </w:rPr>
        <w:t>”). Notwithstanding the foregoing, if, subsequent to a Business Combination, the closing price of the Ordinary Shares equals or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$12.00 per share (as adjusted for share splits, share capitalizations, reorganizations, recapitalizations and the like) for any 20 trading days within any 30-trading day period commencing at least 150 days after the Company’s initial Business Combination, the Founder Shares shall be released from the Founder Shares Lock-up.</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51370" cy="146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36" w:name="page437"/>
    <w:bookmarkEnd w:id="436"/>
    <w:p>
      <w:pPr>
        <w:ind w:left="-20" w:right="80" w:firstLine="1110"/>
        <w:spacing w:after="0" w:line="249" w:lineRule="auto"/>
        <w:tabs>
          <w:tab w:leader="none" w:pos="1779" w:val="left"/>
        </w:tabs>
        <w:numPr>
          <w:ilvl w:val="1"/>
          <w:numId w:val="472"/>
        </w:numPr>
        <w:rPr>
          <w:rFonts w:ascii="Arial" w:cs="Arial" w:eastAsia="Arial" w:hAnsi="Arial"/>
          <w:sz w:val="19"/>
          <w:szCs w:val="19"/>
          <w:color w:val="auto"/>
        </w:rPr>
      </w:pPr>
      <w:r>
        <w:rPr>
          <w:rFonts w:ascii="Arial" w:cs="Arial" w:eastAsia="Arial" w:hAnsi="Arial"/>
          <w:sz w:val="19"/>
          <w:szCs w:val="19"/>
          <w:color w:val="auto"/>
        </w:rPr>
        <w:t xml:space="preserve">Subject to the provisions set forth in </w:t>
      </w:r>
      <w:r>
        <w:rPr>
          <w:rFonts w:ascii="Arial" w:cs="Arial" w:eastAsia="Arial" w:hAnsi="Arial"/>
          <w:sz w:val="19"/>
          <w:szCs w:val="19"/>
          <w:u w:val="single" w:color="auto"/>
          <w:color w:val="auto"/>
        </w:rPr>
        <w:t>paragraph 5(c)</w:t>
      </w:r>
      <w:r>
        <w:rPr>
          <w:rFonts w:ascii="Arial" w:cs="Arial" w:eastAsia="Arial" w:hAnsi="Arial"/>
          <w:sz w:val="19"/>
          <w:szCs w:val="19"/>
          <w:color w:val="auto"/>
        </w:rPr>
        <w:t>, the Sponsor and Insiders agree that they shall not effectuate any Transfer of Private Placement Shares until 30 days after the completion of an initial Business Combination.</w:t>
      </w:r>
    </w:p>
    <w:p>
      <w:pPr>
        <w:spacing w:after="0" w:line="173" w:lineRule="exact"/>
        <w:rPr>
          <w:rFonts w:ascii="Arial" w:cs="Arial" w:eastAsia="Arial" w:hAnsi="Arial"/>
          <w:sz w:val="19"/>
          <w:szCs w:val="19"/>
          <w:color w:val="auto"/>
        </w:rPr>
      </w:pPr>
    </w:p>
    <w:p>
      <w:pPr>
        <w:ind w:left="-20" w:firstLine="1110"/>
        <w:spacing w:after="0" w:line="279" w:lineRule="auto"/>
        <w:tabs>
          <w:tab w:leader="none" w:pos="1769" w:val="left"/>
        </w:tabs>
        <w:numPr>
          <w:ilvl w:val="1"/>
          <w:numId w:val="472"/>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paragraphs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Transfers of the Founder Shares and Private Placement Shares are permitted (a) to the Company’s officers or directors, any affiliates or family member of any of the Company’s officers or directors, any members or partners of the Sponsor or their affiliates, any affiliates of the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or Private Placement Shares, as applicable, were originally purchased; (f) by virtue of the Sponsor’s organizational documents upon liquidation or dissolution of the Sponsor; (g) to the Company for no value for cancellation in connection with the consummation of its initial Business Combination, (h) in the event of the Company’s liquidation prior to the completion of its initial Business Combination; or (i) in the event of completion of a liquidation, merger, share exchange or other similar transaction which results in all of the Company’s Public Shareholders having the right to exchange their Ordinary Shares for cash, securities or other property subsequent to the completion of an initial Business Combination; provided, however, that in the case of clauses (a) through (f) these permitted transferees must enter into a written agreement agreeing to be bound by these transfer restrictions.</w:t>
      </w:r>
    </w:p>
    <w:p>
      <w:pPr>
        <w:spacing w:after="0" w:line="151" w:lineRule="exact"/>
        <w:rPr>
          <w:rFonts w:ascii="Arial" w:cs="Arial" w:eastAsia="Arial" w:hAnsi="Arial"/>
          <w:sz w:val="16"/>
          <w:szCs w:val="16"/>
          <w:color w:val="auto"/>
        </w:rPr>
      </w:pPr>
    </w:p>
    <w:p>
      <w:pPr>
        <w:ind w:left="-20" w:right="100" w:firstLine="1110"/>
        <w:spacing w:after="0" w:line="237" w:lineRule="auto"/>
        <w:tabs>
          <w:tab w:leader="none" w:pos="1779" w:val="left"/>
        </w:tabs>
        <w:numPr>
          <w:ilvl w:val="1"/>
          <w:numId w:val="472"/>
        </w:numPr>
        <w:rPr>
          <w:rFonts w:ascii="Arial" w:cs="Arial" w:eastAsia="Arial" w:hAnsi="Arial"/>
          <w:sz w:val="19"/>
          <w:szCs w:val="19"/>
          <w:color w:val="auto"/>
        </w:rPr>
      </w:pPr>
      <w:r>
        <w:rPr>
          <w:rFonts w:ascii="Arial" w:cs="Arial" w:eastAsia="Arial" w:hAnsi="Arial"/>
          <w:sz w:val="19"/>
          <w:szCs w:val="19"/>
          <w:color w:val="auto"/>
        </w:rPr>
        <w:t>During the period commencing on the effective date of the Underwriting Agreement and ending 180 days after such date, the Sponsor and each Insider shall not, without the prior written consent of the Representatives, Transfer any Ordinary Shares or any other securities convertible into, or exercisable or exchangeable for, Ordinary Shares held by it, her or him, as applicable, subject to certain exceptions enumerated in Section 3(p) of the Underwriting Agreement.</w:t>
      </w:r>
    </w:p>
    <w:p>
      <w:pPr>
        <w:spacing w:after="0" w:line="184" w:lineRule="exact"/>
        <w:rPr>
          <w:rFonts w:ascii="Arial" w:cs="Arial" w:eastAsia="Arial" w:hAnsi="Arial"/>
          <w:sz w:val="19"/>
          <w:szCs w:val="19"/>
          <w:color w:val="auto"/>
        </w:rPr>
      </w:pPr>
    </w:p>
    <w:p>
      <w:pPr>
        <w:ind w:left="-20" w:right="80" w:firstLine="552"/>
        <w:spacing w:after="0" w:line="274" w:lineRule="auto"/>
        <w:tabs>
          <w:tab w:leader="none" w:pos="1143"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The Sponsor and each of the Insiders hereby agree and acknowledge that (i) each of the Underwriters and the Company would be irreparably injured in the event of a breach by the Sponsor or such Insider of its, her or his obligations, as applicable under </w:t>
      </w:r>
      <w:r>
        <w:rPr>
          <w:rFonts w:ascii="Arial" w:cs="Arial" w:eastAsia="Arial" w:hAnsi="Arial"/>
          <w:sz w:val="17"/>
          <w:szCs w:val="17"/>
          <w:u w:val="single" w:color="auto"/>
          <w:color w:val="auto"/>
        </w:rPr>
        <w:t>paragraphs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54" w:lineRule="exact"/>
        <w:rPr>
          <w:rFonts w:ascii="Arial" w:cs="Arial" w:eastAsia="Arial" w:hAnsi="Arial"/>
          <w:sz w:val="17"/>
          <w:szCs w:val="17"/>
          <w:color w:val="auto"/>
        </w:rPr>
      </w:pPr>
    </w:p>
    <w:p>
      <w:pPr>
        <w:ind w:left="-20" w:right="60" w:firstLine="552"/>
        <w:spacing w:after="0" w:line="274" w:lineRule="auto"/>
        <w:tabs>
          <w:tab w:leader="none" w:pos="1143"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Payments by the Company</w:t>
      </w:r>
      <w:r>
        <w:rPr>
          <w:rFonts w:ascii="Arial" w:cs="Arial" w:eastAsia="Arial" w:hAnsi="Arial"/>
          <w:sz w:val="17"/>
          <w:szCs w:val="17"/>
          <w:color w:val="auto"/>
        </w:rPr>
        <w:t>. Except as disclosed in the Prospectus, neither the Sponsor nor any affiliate of the Sponsor nor any director or officer of the Company nor any affiliate of the directors and officers shall receive from the Company any finder’s fee, reimbursement, consulting fee, monies in respect of any payment of a loan or other compensation prior to, or in connection with any services rendered in order to effectuate the consummation of the Company’s initial Business Combination (regardless of the type of transaction that it 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7151370" cy="146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437" w:name="page438"/>
    <w:bookmarkEnd w:id="437"/>
    <w:p>
      <w:pPr>
        <w:ind w:left="7" w:right="60" w:firstLine="552"/>
        <w:spacing w:after="0" w:line="241" w:lineRule="auto"/>
        <w:tabs>
          <w:tab w:leader="none" w:pos="1170" w:val="left"/>
        </w:tabs>
        <w:numPr>
          <w:ilvl w:val="1"/>
          <w:numId w:val="474"/>
        </w:numPr>
        <w:rPr>
          <w:rFonts w:ascii="Arial" w:cs="Arial" w:eastAsia="Arial" w:hAnsi="Arial"/>
          <w:sz w:val="19"/>
          <w:szCs w:val="19"/>
          <w:color w:val="auto"/>
        </w:rPr>
      </w:pPr>
      <w:r>
        <w:rPr>
          <w:rFonts w:ascii="Arial" w:cs="Arial" w:eastAsia="Arial" w:hAnsi="Arial"/>
          <w:sz w:val="19"/>
          <w:szCs w:val="19"/>
          <w:u w:val="single" w:color="auto"/>
          <w:color w:val="auto"/>
        </w:rPr>
        <w:t>Director and Officer Liability Insurance</w:t>
      </w:r>
      <w:r>
        <w:rPr>
          <w:rFonts w:ascii="Arial" w:cs="Arial" w:eastAsia="Arial" w:hAnsi="Arial"/>
          <w:sz w:val="19"/>
          <w:szCs w:val="19"/>
          <w:color w:val="auto"/>
        </w:rPr>
        <w:t>. The Company will maintain an insurance policy or policies providing directors’ and officers’ liability insurance, and the Insiders shall be covered by such policy or policies, in accordance with its or their terms, to the maximum extent of the coverage available for any of the Company’s directors or officers.</w:t>
      </w:r>
    </w:p>
    <w:p>
      <w:pPr>
        <w:spacing w:after="0" w:line="180" w:lineRule="exact"/>
        <w:rPr>
          <w:rFonts w:ascii="Arial" w:cs="Arial" w:eastAsia="Arial" w:hAnsi="Arial"/>
          <w:sz w:val="19"/>
          <w:szCs w:val="19"/>
          <w:color w:val="auto"/>
        </w:rPr>
      </w:pPr>
    </w:p>
    <w:p>
      <w:pPr>
        <w:ind w:left="7" w:right="200" w:firstLine="552"/>
        <w:spacing w:after="0" w:line="283" w:lineRule="auto"/>
        <w:tabs>
          <w:tab w:leader="none" w:pos="1170" w:val="left"/>
        </w:tabs>
        <w:numPr>
          <w:ilvl w:val="1"/>
          <w:numId w:val="47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Letter Agreement shall terminate on the earlier of (i) the expiration of the Founder Shares Lock-up Period and (ii) the liquidation of the Company; provided, however, that this Letter Agreement shall terminate in the event that the Public Offering is not consummated and closed by December 31, 2020; provided further that paragraph 10 of this Letter Agreement shall survive such liquidation.</w:t>
      </w:r>
    </w:p>
    <w:p>
      <w:pPr>
        <w:spacing w:after="0" w:line="146" w:lineRule="exact"/>
        <w:rPr>
          <w:rFonts w:ascii="Arial" w:cs="Arial" w:eastAsia="Arial" w:hAnsi="Arial"/>
          <w:sz w:val="17"/>
          <w:szCs w:val="17"/>
          <w:color w:val="auto"/>
        </w:rPr>
      </w:pPr>
    </w:p>
    <w:p>
      <w:pPr>
        <w:ind w:left="7" w:firstLine="552"/>
        <w:spacing w:after="0" w:line="275" w:lineRule="auto"/>
        <w:tabs>
          <w:tab w:leader="none" w:pos="1264" w:val="left"/>
        </w:tabs>
        <w:numPr>
          <w:ilvl w:val="1"/>
          <w:numId w:val="47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(except for the Company’s independent auditors) or (ii) any prospective target business with which the Company has discussed entering into a transaction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of the Company by the Indemnitor (x) shall apply only to the extent necessary to ensure that such claims by a third party for services rendered or products sold to the Company or a Target do not reduce the amount of funds in the Trust Account to below the lesser of</w:t>
      </w:r>
    </w:p>
    <w:p>
      <w:pPr>
        <w:spacing w:after="0" w:line="4" w:lineRule="exact"/>
        <w:rPr>
          <w:rFonts w:ascii="Arial" w:cs="Arial" w:eastAsia="Arial" w:hAnsi="Arial"/>
          <w:sz w:val="16"/>
          <w:szCs w:val="16"/>
          <w:color w:val="auto"/>
        </w:rPr>
      </w:pPr>
    </w:p>
    <w:p>
      <w:pPr>
        <w:ind w:left="7" w:right="80" w:hanging="7"/>
        <w:spacing w:after="0" w:line="262" w:lineRule="auto"/>
        <w:tabs>
          <w:tab w:leader="none" w:pos="229" w:val="left"/>
        </w:tabs>
        <w:numPr>
          <w:ilvl w:val="0"/>
          <w:numId w:val="475"/>
        </w:numPr>
        <w:rPr>
          <w:rFonts w:ascii="Arial" w:cs="Arial" w:eastAsia="Arial" w:hAnsi="Arial"/>
          <w:sz w:val="17"/>
          <w:szCs w:val="17"/>
          <w:color w:val="auto"/>
        </w:rPr>
      </w:pPr>
      <w:r>
        <w:rPr>
          <w:rFonts w:ascii="Arial" w:cs="Arial" w:eastAsia="Arial" w:hAnsi="Arial"/>
          <w:sz w:val="17"/>
          <w:szCs w:val="17"/>
          <w:color w:val="auto"/>
        </w:rPr>
        <w:t>$10.00 per Public Share and (ii) the actual amount per Public Share held in the Trust Account as of the date of the liquidation of the Trust Account if less than $10.00 per Public Share due to reductions in the value of the trust assets, in each case net of interest that may be withdrawn to pay the Company’s tax obligations, (y) shall not apply to any claims by a third party or Target who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65" w:lineRule="exact"/>
        <w:rPr>
          <w:rFonts w:ascii="Arial" w:cs="Arial" w:eastAsia="Arial" w:hAnsi="Arial"/>
          <w:sz w:val="17"/>
          <w:szCs w:val="17"/>
          <w:color w:val="auto"/>
        </w:rPr>
      </w:pPr>
    </w:p>
    <w:p>
      <w:pPr>
        <w:ind w:left="7" w:firstLine="552"/>
        <w:spacing w:after="0" w:line="247" w:lineRule="auto"/>
        <w:tabs>
          <w:tab w:leader="none" w:pos="1257"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Forfeiture of Founder Shares</w:t>
      </w:r>
      <w:r>
        <w:rPr>
          <w:rFonts w:ascii="Arial" w:cs="Arial" w:eastAsia="Arial" w:hAnsi="Arial"/>
          <w:sz w:val="18"/>
          <w:szCs w:val="18"/>
          <w:color w:val="auto"/>
        </w:rPr>
        <w:t>. To the extent that the Underwriters do not exercise their option to purchase additional Ordinary Shares within 45 days from the date of the Prospectus in full (as further described in the Prospectus), the Sponsor agrees to automatically surrender to the Company for no consideration, for cancellation at no cost, an aggregate number of Founder Shares so that the number of Founder Shares will equal of 20% of the sum of the total number of Ordinary Shares (excluding the Private Placement Shares) and Founder Shares outstanding at such time. The Sponsor and Insiders further agree that to the extent that the size of the Public Offering is increased or decreased, the Company will effect a share capitalization or a share repurchase, as applicable, with respect to the Founder Shares immediately prior to the consummation of the Public Offering in such amount as to maintain the number of Founder Shares at 20% of the sum of the total number of Ordinary Shares (excluding the Private Placement Shares) and Founder Shares outstanding at such time.</w:t>
      </w:r>
    </w:p>
    <w:p>
      <w:pPr>
        <w:spacing w:after="0" w:line="126"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0" w:right="359" w:bottom="1440" w:gutter="0" w:footer="0" w:header="0"/>
        </w:sectPr>
      </w:pPr>
    </w:p>
    <w:bookmarkStart w:id="438" w:name="page439"/>
    <w:bookmarkEnd w:id="438"/>
    <w:p>
      <w:pPr>
        <w:ind w:left="7" w:right="200" w:firstLine="552"/>
        <w:spacing w:after="0" w:line="278" w:lineRule="auto"/>
        <w:tabs>
          <w:tab w:leader="none" w:pos="1264" w:val="left"/>
        </w:tabs>
        <w:numPr>
          <w:ilvl w:val="1"/>
          <w:numId w:val="47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w:t>
      </w:r>
    </w:p>
    <w:p>
      <w:pPr>
        <w:ind w:left="267" w:hanging="267"/>
        <w:spacing w:after="0"/>
        <w:tabs>
          <w:tab w:leader="none" w:pos="267" w:val="left"/>
        </w:tabs>
        <w:numPr>
          <w:ilvl w:val="0"/>
          <w:numId w:val="477"/>
        </w:numPr>
        <w:rPr>
          <w:rFonts w:ascii="Arial" w:cs="Arial" w:eastAsia="Arial" w:hAnsi="Arial"/>
          <w:sz w:val="19"/>
          <w:szCs w:val="19"/>
          <w:color w:val="auto"/>
        </w:rPr>
      </w:pPr>
      <w:r>
        <w:rPr>
          <w:rFonts w:ascii="Arial" w:cs="Arial" w:eastAsia="Arial" w:hAnsi="Arial"/>
          <w:sz w:val="19"/>
          <w:szCs w:val="19"/>
          <w:color w:val="auto"/>
        </w:rPr>
        <w:t>each Insider that is the subject of any such change, amendment, modification or waiver and (2) the Sponsor.</w:t>
      </w:r>
    </w:p>
    <w:p>
      <w:pPr>
        <w:spacing w:after="0" w:line="184" w:lineRule="exact"/>
        <w:rPr>
          <w:rFonts w:ascii="Arial" w:cs="Arial" w:eastAsia="Arial" w:hAnsi="Arial"/>
          <w:sz w:val="19"/>
          <w:szCs w:val="19"/>
          <w:color w:val="auto"/>
        </w:rPr>
      </w:pPr>
    </w:p>
    <w:p>
      <w:pPr>
        <w:ind w:left="7" w:right="80" w:firstLine="552"/>
        <w:spacing w:after="0" w:line="274" w:lineRule="auto"/>
        <w:tabs>
          <w:tab w:leader="none" w:pos="1264"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each of the Insiders and each of their respective successors, heirs, personal representatives and assigns and permitted transferees.</w:t>
      </w:r>
    </w:p>
    <w:p>
      <w:pPr>
        <w:spacing w:after="0" w:line="154" w:lineRule="exact"/>
        <w:rPr>
          <w:rFonts w:ascii="Arial" w:cs="Arial" w:eastAsia="Arial" w:hAnsi="Arial"/>
          <w:sz w:val="17"/>
          <w:szCs w:val="17"/>
          <w:color w:val="auto"/>
        </w:rPr>
      </w:pPr>
    </w:p>
    <w:p>
      <w:pPr>
        <w:ind w:left="7" w:right="320" w:firstLine="552"/>
        <w:spacing w:after="0" w:line="343" w:lineRule="auto"/>
        <w:tabs>
          <w:tab w:leader="none" w:pos="1264" w:val="left"/>
        </w:tabs>
        <w:numPr>
          <w:ilvl w:val="1"/>
          <w:numId w:val="47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02" w:lineRule="exact"/>
        <w:rPr>
          <w:rFonts w:ascii="Arial" w:cs="Arial" w:eastAsia="Arial" w:hAnsi="Arial"/>
          <w:sz w:val="16"/>
          <w:szCs w:val="16"/>
          <w:color w:val="auto"/>
        </w:rPr>
      </w:pPr>
    </w:p>
    <w:p>
      <w:pPr>
        <w:ind w:left="7" w:right="200" w:firstLine="552"/>
        <w:spacing w:after="0" w:line="251" w:lineRule="auto"/>
        <w:tabs>
          <w:tab w:leader="none" w:pos="1264" w:val="left"/>
        </w:tabs>
        <w:numPr>
          <w:ilvl w:val="1"/>
          <w:numId w:val="477"/>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paragraph headings herein are for convenience only and are not part of this Letter Agreement and shall not affect the interpretation thereof.</w:t>
      </w:r>
    </w:p>
    <w:p>
      <w:pPr>
        <w:spacing w:after="0" w:line="171" w:lineRule="exact"/>
        <w:rPr>
          <w:rFonts w:ascii="Arial" w:cs="Arial" w:eastAsia="Arial" w:hAnsi="Arial"/>
          <w:sz w:val="19"/>
          <w:szCs w:val="19"/>
          <w:color w:val="auto"/>
        </w:rPr>
      </w:pPr>
    </w:p>
    <w:p>
      <w:pPr>
        <w:jc w:val="both"/>
        <w:ind w:left="7" w:firstLine="552"/>
        <w:spacing w:after="0" w:line="254" w:lineRule="auto"/>
        <w:tabs>
          <w:tab w:leader="none" w:pos="1264" w:val="left"/>
        </w:tabs>
        <w:numPr>
          <w:ilvl w:val="1"/>
          <w:numId w:val="47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70" w:lineRule="exact"/>
        <w:rPr>
          <w:rFonts w:ascii="Arial" w:cs="Arial" w:eastAsia="Arial" w:hAnsi="Arial"/>
          <w:sz w:val="18"/>
          <w:szCs w:val="18"/>
          <w:color w:val="auto"/>
        </w:rPr>
      </w:pPr>
    </w:p>
    <w:p>
      <w:pPr>
        <w:ind w:left="7" w:right="20" w:firstLine="552"/>
        <w:spacing w:after="0" w:line="270" w:lineRule="auto"/>
        <w:tabs>
          <w:tab w:leader="none" w:pos="1264"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56" w:lineRule="exact"/>
        <w:rPr>
          <w:rFonts w:ascii="Arial" w:cs="Arial" w:eastAsia="Arial" w:hAnsi="Arial"/>
          <w:sz w:val="17"/>
          <w:szCs w:val="17"/>
          <w:color w:val="auto"/>
        </w:rPr>
      </w:pPr>
    </w:p>
    <w:p>
      <w:pPr>
        <w:ind w:left="7" w:right="180" w:firstLine="552"/>
        <w:spacing w:after="0"/>
        <w:tabs>
          <w:tab w:leader="none" w:pos="1264" w:val="left"/>
        </w:tabs>
        <w:numPr>
          <w:ilvl w:val="1"/>
          <w:numId w:val="47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consent or request to be given in connection with any of the terms or provisions of this Letter Agreement shall be in writing and shall be sent by express mail or similar private courier service, by certified mail (return receipt requested), by hand delivery or facsimile or other electronic transmission.</w:t>
      </w:r>
    </w:p>
    <w:p>
      <w:pPr>
        <w:spacing w:after="0" w:line="182" w:lineRule="exact"/>
        <w:rPr>
          <w:sz w:val="20"/>
          <w:szCs w:val="20"/>
          <w:color w:val="auto"/>
        </w:rPr>
      </w:pPr>
    </w:p>
    <w:p>
      <w:pPr>
        <w:jc w:val="center"/>
        <w:ind w:right="-4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145"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1370" cy="146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27"/>
          </w:cols>
          <w:pgMar w:left="313" w:top="121" w:right="359" w:bottom="1440" w:gutter="0" w:footer="0" w:header="0"/>
        </w:sectPr>
      </w:pPr>
    </w:p>
    <w:bookmarkStart w:id="439" w:name="page440"/>
    <w:bookmarkEnd w:id="439"/>
    <w:p>
      <w:pPr>
        <w:ind w:left="4520"/>
        <w:spacing w:after="0"/>
        <w:rPr>
          <w:sz w:val="20"/>
          <w:szCs w:val="20"/>
          <w:color w:val="auto"/>
        </w:rPr>
      </w:pPr>
      <w:r>
        <w:rPr>
          <w:rFonts w:ascii="Arial" w:cs="Arial" w:eastAsia="Arial" w:hAnsi="Arial"/>
          <w:sz w:val="16"/>
          <w:szCs w:val="16"/>
          <w:color w:val="auto"/>
        </w:rPr>
        <w:t>Sincerely,</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ARYA SCIENCES HOLDINGS III</w:t>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15240</wp:posOffset>
            </wp:positionV>
            <wp:extent cx="3213735" cy="146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Adam Stone</w:t>
      </w:r>
    </w:p>
    <w:p>
      <w:pPr>
        <w:spacing w:after="0" w:line="2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Title:</w:t>
        <w:tab/>
        <w:t>Authorized Signatory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440" w:name="page441"/>
    <w:bookmarkEnd w:id="440"/>
    <w:p>
      <w:pPr>
        <w:ind w:left="45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3575685" cy="14605"/>
                    </a:xfrm>
                    <a:prstGeom prst="rect">
                      <a:avLst/>
                    </a:prstGeom>
                    <a:noFill/>
                  </pic:spPr>
                </pic:pic>
              </a:graphicData>
            </a:graphic>
          </wp:anchor>
        </w:drawing>
        <w:t>Joseph Edelman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1" w:name="page442"/>
    <w:bookmarkEnd w:id="441"/>
    <w:p>
      <w:pPr>
        <w:ind w:left="45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3575685" cy="14605"/>
                    </a:xfrm>
                    <a:prstGeom prst="rect">
                      <a:avLst/>
                    </a:prstGeom>
                    <a:noFill/>
                  </pic:spPr>
                </pic:pic>
              </a:graphicData>
            </a:graphic>
          </wp:anchor>
        </w:drawing>
        <w:t>Adam Stone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2" w:name="page443"/>
    <w:bookmarkEnd w:id="442"/>
    <w:p>
      <w:pPr>
        <w:ind w:left="45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3575685" cy="14605"/>
                    </a:xfrm>
                    <a:prstGeom prst="rect">
                      <a:avLst/>
                    </a:prstGeom>
                    <a:noFill/>
                  </pic:spPr>
                </pic:pic>
              </a:graphicData>
            </a:graphic>
          </wp:anchor>
        </w:drawing>
        <w:t>Michael Altman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3" w:name="page444"/>
    <w:bookmarkEnd w:id="443"/>
    <w:p>
      <w:pPr>
        <w:ind w:left="45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3575685" cy="14605"/>
                    </a:xfrm>
                    <a:prstGeom prst="rect">
                      <a:avLst/>
                    </a:prstGeom>
                    <a:noFill/>
                  </pic:spPr>
                </pic:pic>
              </a:graphicData>
            </a:graphic>
          </wp:anchor>
        </w:drawing>
        <w:t>Konstantin Poukalov</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4" w:name="page445"/>
    <w:bookmarkEnd w:id="444"/>
    <w:p>
      <w:pPr>
        <w:ind w:left="45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3575685" cy="14605"/>
                    </a:xfrm>
                    <a:prstGeom prst="rect">
                      <a:avLst/>
                    </a:prstGeom>
                    <a:noFill/>
                  </pic:spPr>
                </pic:pic>
              </a:graphicData>
            </a:graphic>
          </wp:anchor>
        </w:drawing>
        <w:t>Saqib Islam</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5" w:name="page446"/>
    <w:bookmarkEnd w:id="445"/>
    <w:p>
      <w:pPr>
        <w:ind w:left="45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3575685" cy="14605"/>
                    </a:xfrm>
                    <a:prstGeom prst="rect">
                      <a:avLst/>
                    </a:prstGeom>
                    <a:noFill/>
                  </pic:spPr>
                </pic:pic>
              </a:graphicData>
            </a:graphic>
          </wp:anchor>
        </w:drawing>
        <w:t>Bradley L. Campbell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6" w:name="page447"/>
    <w:bookmarkEnd w:id="446"/>
    <w:p>
      <w:pPr>
        <w:ind w:left="45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3774440</wp:posOffset>
            </wp:positionH>
            <wp:positionV relativeFrom="page">
              <wp:posOffset>347345</wp:posOffset>
            </wp:positionV>
            <wp:extent cx="3575685" cy="146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3575685" cy="14605"/>
                    </a:xfrm>
                    <a:prstGeom prst="rect">
                      <a:avLst/>
                    </a:prstGeom>
                    <a:noFill/>
                  </pic:spPr>
                </pic:pic>
              </a:graphicData>
            </a:graphic>
          </wp:anchor>
        </w:drawing>
        <w:t>Todd Wider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47625</wp:posOffset>
            </wp:positionV>
            <wp:extent cx="7151370" cy="146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47" w:name="page448"/>
    <w:bookmarkEnd w:id="447"/>
    <w:p>
      <w:pPr>
        <w:spacing w:after="0"/>
        <w:rPr>
          <w:sz w:val="20"/>
          <w:szCs w:val="20"/>
          <w:color w:val="auto"/>
        </w:rPr>
      </w:pPr>
      <w:r>
        <w:rPr>
          <w:rFonts w:ascii="Arial" w:cs="Arial" w:eastAsia="Arial" w:hAnsi="Arial"/>
          <w:sz w:val="16"/>
          <w:szCs w:val="16"/>
          <w:color w:val="auto"/>
        </w:rPr>
        <w:t>Acknowledged and Agreed: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ARYA SCIENCES ACQUISITION CORP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3213735" cy="146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3213735" cy="14605"/>
                    </a:xfrm>
                    <a:prstGeom prst="rect">
                      <a:avLst/>
                    </a:prstGeom>
                    <a:noFill/>
                  </pic:spPr>
                </pic:pic>
              </a:graphicData>
            </a:graphic>
          </wp:anchor>
        </w:drawing>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Adam Stone</w:t>
      </w:r>
    </w:p>
    <w:p>
      <w:pPr>
        <w:spacing w:after="0" w:line="2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206"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51370" cy="146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448" w:name="page449"/>
    <w:bookmarkEnd w:id="448"/>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4"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We hereby consent to the use in this Registration Statement on Amendment No. 1 to Form S-1, of our report dated July 29, 2020, relating to the balance sheet of ARYA Sciences Acquisition Corp III as of April 2, 2020, and the related statements of operations, changes in shareholder’s equity and cash flows for the period from March 27, 2020 (inception) through April 2, 2020 and to the reference to our Firm under the caption “Experts” in the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 WithumSmith+Brown, PC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51370" cy="146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sectPr>
      </w:pPr>
    </w:p>
    <w:bookmarkStart w:id="449" w:name="page450"/>
    <w:bookmarkEnd w:id="44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99.2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BRADLEY CAMPBELL</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ARYA Sciences Acquisition Corp III (the “Company”) intends to file a Registration Statement on Form S-1(together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July 29,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ind w:left="5640"/>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Bradley Campbell</w:t>
            </w:r>
          </w:p>
        </w:tc>
      </w:tr>
      <w:tr>
        <w:trPr>
          <w:trHeight w:val="188"/>
        </w:trPr>
        <w:tc>
          <w:tcPr>
            <w:tcW w:w="6200" w:type="dxa"/>
            <w:vAlign w:val="bottom"/>
          </w:tcPr>
          <w:p>
            <w:pPr>
              <w:ind w:left="5640"/>
              <w:spacing w:after="0" w:line="176" w:lineRule="exact"/>
              <w:rPr>
                <w:sz w:val="20"/>
                <w:szCs w:val="20"/>
                <w:color w:val="auto"/>
              </w:rPr>
            </w:pPr>
            <w:r>
              <w:rPr>
                <w:rFonts w:ascii="Arial" w:cs="Arial" w:eastAsia="Arial" w:hAnsi="Arial"/>
                <w:sz w:val="16"/>
                <w:szCs w:val="16"/>
                <w:color w:val="auto"/>
              </w:rPr>
              <w:t>Name:</w:t>
            </w:r>
          </w:p>
        </w:tc>
        <w:tc>
          <w:tcPr>
            <w:tcW w:w="5060" w:type="dxa"/>
            <w:vAlign w:val="bottom"/>
          </w:tcPr>
          <w:p>
            <w:pPr>
              <w:spacing w:after="0"/>
              <w:rPr>
                <w:sz w:val="20"/>
                <w:szCs w:val="20"/>
                <w:color w:val="auto"/>
              </w:rPr>
            </w:pPr>
            <w:r>
              <w:rPr>
                <w:rFonts w:ascii="Arial" w:cs="Arial" w:eastAsia="Arial" w:hAnsi="Arial"/>
                <w:sz w:val="16"/>
                <w:szCs w:val="16"/>
                <w:color w:val="auto"/>
              </w:rPr>
              <w:t>Bradley Campbell</w:t>
            </w:r>
          </w:p>
        </w:tc>
      </w:tr>
      <w:tr>
        <w:trPr>
          <w:trHeight w:val="296"/>
        </w:trPr>
        <w:tc>
          <w:tcPr>
            <w:tcW w:w="62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62" w:right="319" w:bottom="1440" w:gutter="0" w:footer="0" w:header="0"/>
        </w:sectPr>
      </w:pPr>
    </w:p>
    <w:bookmarkStart w:id="450" w:name="page451"/>
    <w:bookmarkEnd w:id="45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292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51370" cy="29210"/>
                    </a:xfrm>
                    <a:prstGeom prst="rect">
                      <a:avLst/>
                    </a:prstGeom>
                    <a:noFill/>
                  </pic:spPr>
                </pic:pic>
              </a:graphicData>
            </a:graphic>
          </wp:anchor>
        </w:drawing>
        <w:t>Exhibit 99.3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SAQIB ISLAM</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ARYA Sciences Acquisition Corp III (the “Company”) intends to file a Registration Statement on Form S-1(together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July 29,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ind w:left="5640"/>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Saqib Islam</w:t>
            </w:r>
          </w:p>
        </w:tc>
      </w:tr>
      <w:tr>
        <w:trPr>
          <w:trHeight w:val="188"/>
        </w:trPr>
        <w:tc>
          <w:tcPr>
            <w:tcW w:w="6200" w:type="dxa"/>
            <w:vAlign w:val="bottom"/>
          </w:tcPr>
          <w:p>
            <w:pPr>
              <w:ind w:left="5640"/>
              <w:spacing w:after="0" w:line="176" w:lineRule="exact"/>
              <w:rPr>
                <w:sz w:val="20"/>
                <w:szCs w:val="20"/>
                <w:color w:val="auto"/>
              </w:rPr>
            </w:pPr>
            <w:r>
              <w:rPr>
                <w:rFonts w:ascii="Arial" w:cs="Arial" w:eastAsia="Arial" w:hAnsi="Arial"/>
                <w:sz w:val="16"/>
                <w:szCs w:val="16"/>
                <w:color w:val="auto"/>
              </w:rPr>
              <w:t>Name:</w:t>
            </w:r>
          </w:p>
        </w:tc>
        <w:tc>
          <w:tcPr>
            <w:tcW w:w="5060" w:type="dxa"/>
            <w:vAlign w:val="bottom"/>
          </w:tcPr>
          <w:p>
            <w:pPr>
              <w:spacing w:after="0"/>
              <w:rPr>
                <w:sz w:val="20"/>
                <w:szCs w:val="20"/>
                <w:color w:val="auto"/>
              </w:rPr>
            </w:pPr>
            <w:r>
              <w:rPr>
                <w:rFonts w:ascii="Arial" w:cs="Arial" w:eastAsia="Arial" w:hAnsi="Arial"/>
                <w:sz w:val="16"/>
                <w:szCs w:val="16"/>
                <w:color w:val="auto"/>
              </w:rPr>
              <w:t>Saqib Islam</w:t>
            </w:r>
          </w:p>
        </w:tc>
      </w:tr>
      <w:tr>
        <w:trPr>
          <w:trHeight w:val="459"/>
        </w:trPr>
        <w:tc>
          <w:tcPr>
            <w:tcW w:w="62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2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D38D"/>
    <w:multiLevelType w:val="hybridMultilevel"/>
    <w:lvl w:ilvl="0">
      <w:lvlJc w:val="left"/>
      <w:lvlText w:val="(%1)"/>
      <w:numFmt w:val="decimal"/>
      <w:start w:val="1"/>
    </w:lvl>
  </w:abstractNum>
  <w:abstractNum w:abstractNumId="1">
    <w:nsid w:val="822C0EF"/>
    <w:multiLevelType w:val="hybridMultilevel"/>
    <w:lvl w:ilvl="0">
      <w:lvlJc w:val="left"/>
      <w:lvlText w:val="(%1)"/>
      <w:numFmt w:val="decimal"/>
      <w:start w:val="1"/>
    </w:lvl>
  </w:abstractNum>
  <w:abstractNum w:abstractNumId="2">
    <w:nsid w:val="57C5BB4F"/>
    <w:multiLevelType w:val="hybridMultilevel"/>
    <w:lvl w:ilvl="0">
      <w:lvlJc w:val="left"/>
      <w:lvlText w:val="(%1)"/>
      <w:numFmt w:val="decimal"/>
      <w:start w:val="1"/>
    </w:lvl>
  </w:abstractNum>
  <w:abstractNum w:abstractNumId="3">
    <w:nsid w:val="1803D089"/>
    <w:multiLevelType w:val="hybridMultilevel"/>
    <w:lvl w:ilvl="0">
      <w:lvlJc w:val="left"/>
      <w:lvlText w:val="•"/>
      <w:numFmt w:val="bullet"/>
      <w:start w:val="1"/>
    </w:lvl>
  </w:abstractNum>
  <w:abstractNum w:abstractNumId="4">
    <w:nsid w:val="4F3A06D4"/>
    <w:multiLevelType w:val="hybridMultilevel"/>
    <w:lvl w:ilvl="0">
      <w:lvlJc w:val="left"/>
      <w:lvlText w:val="(%1)"/>
      <w:numFmt w:val="upperLetter"/>
      <w:start w:val="1"/>
    </w:lvl>
  </w:abstractNum>
  <w:abstractNum w:abstractNumId="5">
    <w:nsid w:val="59A377B6"/>
    <w:multiLevelType w:val="hybridMultilevel"/>
    <w:lvl w:ilvl="0">
      <w:lvlJc w:val="left"/>
      <w:lvlText w:val="•"/>
      <w:numFmt w:val="bullet"/>
      <w:start w:val="1"/>
    </w:lvl>
  </w:abstractNum>
  <w:abstractNum w:abstractNumId="6">
    <w:nsid w:val="48AEB063"/>
    <w:multiLevelType w:val="hybridMultilevel"/>
    <w:lvl w:ilvl="0">
      <w:lvlJc w:val="left"/>
      <w:lvlText w:val="(%1)"/>
      <w:numFmt w:val="lowerRoman"/>
      <w:start w:val="3"/>
    </w:lvl>
  </w:abstractNum>
  <w:abstractNum w:abstractNumId="7">
    <w:nsid w:val="24E135"/>
    <w:multiLevelType w:val="hybridMultilevel"/>
    <w:lvl w:ilvl="0">
      <w:lvlJc w:val="left"/>
      <w:lvlText w:val="(%1)"/>
      <w:numFmt w:val="lowerRoman"/>
      <w:start w:val="3"/>
    </w:lvl>
  </w:abstractNum>
  <w:abstractNum w:abstractNumId="8">
    <w:nsid w:val="BB13C1"/>
    <w:multiLevelType w:val="hybridMultilevel"/>
    <w:lvl w:ilvl="0">
      <w:lvlJc w:val="left"/>
      <w:lvlText w:val="(%1)"/>
      <w:numFmt w:val="decimal"/>
      <w:start w:val="1"/>
    </w:lvl>
  </w:abstractNum>
  <w:abstractNum w:abstractNumId="9">
    <w:nsid w:val="271210C7"/>
    <w:multiLevelType w:val="hybridMultilevel"/>
    <w:lvl w:ilvl="0">
      <w:lvlJc w:val="left"/>
      <w:lvlText w:val="(%1)"/>
      <w:numFmt w:val="decimal"/>
      <w:start w:val="4"/>
    </w:lvl>
  </w:abstractNum>
  <w:abstractNum w:abstractNumId="10">
    <w:nsid w:val="217B22E4"/>
    <w:multiLevelType w:val="hybridMultilevel"/>
    <w:lvl w:ilvl="0">
      <w:lvlJc w:val="left"/>
      <w:lvlText w:val="(%1)"/>
      <w:numFmt w:val="upperLetter"/>
      <w:start w:val="1"/>
    </w:lvl>
  </w:abstractNum>
  <w:abstractNum w:abstractNumId="11">
    <w:nsid w:val="53E31A24"/>
    <w:multiLevelType w:val="hybridMultilevel"/>
    <w:lvl w:ilvl="0">
      <w:lvlJc w:val="left"/>
      <w:lvlText w:val="(%1)"/>
      <w:numFmt w:val="decimal"/>
      <w:start w:val="1"/>
    </w:lvl>
  </w:abstractNum>
  <w:abstractNum w:abstractNumId="12">
    <w:nsid w:val="6DC45E83"/>
    <w:multiLevelType w:val="hybridMultilevel"/>
    <w:lvl w:ilvl="0">
      <w:lvlJc w:val="left"/>
      <w:lvlText w:val="(%1)"/>
      <w:numFmt w:val="decimal"/>
      <w:start w:val="1"/>
    </w:lvl>
  </w:abstractNum>
  <w:abstractNum w:abstractNumId="13">
    <w:nsid w:val="17304A67"/>
    <w:multiLevelType w:val="hybridMultilevel"/>
    <w:lvl w:ilvl="0">
      <w:lvlJc w:val="left"/>
      <w:lvlText w:val="(%1)"/>
      <w:numFmt w:val="decimal"/>
      <w:start w:val="1"/>
    </w:lvl>
  </w:abstractNum>
  <w:abstractNum w:abstractNumId="14">
    <w:nsid w:val="2BB180D8"/>
    <w:multiLevelType w:val="hybridMultilevel"/>
    <w:lvl w:ilvl="0">
      <w:lvlJc w:val="left"/>
      <w:lvlText w:val="(%1)"/>
      <w:numFmt w:val="lowerRoman"/>
      <w:start w:val="2"/>
    </w:lvl>
  </w:abstractNum>
  <w:abstractNum w:abstractNumId="15">
    <w:nsid w:val="556B69ED"/>
    <w:multiLevelType w:val="hybridMultilevel"/>
    <w:lvl w:ilvl="0">
      <w:lvlJc w:val="left"/>
      <w:lvlText w:val="%1"/>
      <w:numFmt w:val="upperLetter"/>
      <w:start w:val="35"/>
    </w:lvl>
  </w:abstractNum>
  <w:abstractNum w:abstractNumId="16">
    <w:nsid w:val="70836196"/>
    <w:multiLevelType w:val="hybridMultilevel"/>
    <w:lvl w:ilvl="0">
      <w:lvlJc w:val="left"/>
      <w:lvlText w:val="(%1)"/>
      <w:numFmt w:val="lowerLetter"/>
      <w:start w:val="2"/>
    </w:lvl>
  </w:abstractNum>
  <w:abstractNum w:abstractNumId="17">
    <w:nsid w:val="539F7F12"/>
    <w:multiLevelType w:val="hybridMultilevel"/>
    <w:lvl w:ilvl="0">
      <w:lvlJc w:val="left"/>
      <w:lvlText w:val="(%1)"/>
      <w:numFmt w:val="lowerRoman"/>
      <w:start w:val="2"/>
    </w:lvl>
  </w:abstractNum>
  <w:abstractNum w:abstractNumId="18">
    <w:nsid w:val="2817E7EC"/>
    <w:multiLevelType w:val="hybridMultilevel"/>
    <w:lvl w:ilvl="0">
      <w:lvlJc w:val="left"/>
      <w:lvlText w:val="(%1)"/>
      <w:numFmt w:val="upperLetter"/>
      <w:start w:val="2"/>
    </w:lvl>
  </w:abstractNum>
  <w:abstractNum w:abstractNumId="19">
    <w:nsid w:val="71482545"/>
    <w:multiLevelType w:val="hybridMultilevel"/>
    <w:lvl w:ilvl="0">
      <w:lvlJc w:val="left"/>
      <w:lvlText w:val="(%1)"/>
      <w:numFmt w:val="lowerRoman"/>
      <w:start w:val="1"/>
    </w:lvl>
  </w:abstractNum>
  <w:abstractNum w:abstractNumId="20">
    <w:nsid w:val="17D78639"/>
    <w:multiLevelType w:val="hybridMultilevel"/>
    <w:lvl w:ilvl="0">
      <w:lvlJc w:val="left"/>
      <w:lvlText w:val="(%1)"/>
      <w:numFmt w:val="lowerLetter"/>
      <w:start w:val="3"/>
    </w:lvl>
  </w:abstractNum>
  <w:abstractNum w:abstractNumId="21">
    <w:nsid w:val="141D2302"/>
    <w:multiLevelType w:val="hybridMultilevel"/>
    <w:lvl w:ilvl="0">
      <w:lvlJc w:val="left"/>
      <w:lvlText w:val="*"/>
      <w:numFmt w:val="bullet"/>
      <w:start w:val="1"/>
    </w:lvl>
  </w:abstractNum>
  <w:abstractNum w:abstractNumId="22">
    <w:nsid w:val="407168D8"/>
    <w:multiLevelType w:val="hybridMultilevel"/>
    <w:lvl w:ilvl="0">
      <w:lvlJc w:val="left"/>
      <w:lvlText w:val="(%1)"/>
      <w:numFmt w:val="decimal"/>
      <w:start w:val="1"/>
    </w:lvl>
  </w:abstractNum>
  <w:abstractNum w:abstractNumId="23">
    <w:nsid w:val="6A1B45E5"/>
    <w:multiLevelType w:val="hybridMultilevel"/>
    <w:lvl w:ilvl="0">
      <w:lvlJc w:val="left"/>
      <w:lvlText w:val="(%1)"/>
      <w:numFmt w:val="upperLetter"/>
      <w:start w:val="1"/>
    </w:lvl>
  </w:abstractNum>
  <w:abstractNum w:abstractNumId="24">
    <w:nsid w:val="567BD50A"/>
    <w:multiLevelType w:val="hybridMultilevel"/>
    <w:lvl w:ilvl="0">
      <w:lvlJc w:val="left"/>
      <w:lvlText w:val="(%1)"/>
      <w:numFmt w:val="lowerLetter"/>
      <w:start w:val="4"/>
    </w:lvl>
  </w:abstractNum>
  <w:abstractNum w:abstractNumId="25">
    <w:nsid w:val="73BBD7F8"/>
    <w:multiLevelType w:val="hybridMultilevel"/>
    <w:lvl w:ilvl="0">
      <w:lvlJc w:val="left"/>
      <w:lvlText w:val="(%1)"/>
      <w:numFmt w:val="upperLetter"/>
      <w:start w:val="2"/>
    </w:lvl>
  </w:abstractNum>
  <w:abstractNum w:abstractNumId="26">
    <w:nsid w:val="1876589D"/>
    <w:multiLevelType w:val="hybridMultilevel"/>
    <w:lvl w:ilvl="0">
      <w:lvlJc w:val="left"/>
      <w:lvlText w:val="(%1)"/>
      <w:numFmt w:val="lowerLetter"/>
      <w:start w:val="1"/>
    </w:lvl>
  </w:abstractNum>
  <w:abstractNum w:abstractNumId="27">
    <w:nsid w:val="327FAC77"/>
    <w:multiLevelType w:val="hybridMultilevel"/>
    <w:lvl w:ilvl="0">
      <w:lvlJc w:val="left"/>
      <w:lvlText w:val="(%1)"/>
      <w:numFmt w:val="lowerLetter"/>
      <w:start w:val="1"/>
    </w:lvl>
  </w:abstractNum>
  <w:abstractNum w:abstractNumId="28">
    <w:nsid w:val="5A606509"/>
    <w:multiLevelType w:val="hybridMultilevel"/>
    <w:lvl w:ilvl="0">
      <w:lvlJc w:val="left"/>
      <w:lvlText w:val="(%1)"/>
      <w:numFmt w:val="lowerLetter"/>
      <w:start w:val="8"/>
    </w:lvl>
  </w:abstractNum>
  <w:abstractNum w:abstractNumId="29">
    <w:nsid w:val="6F38E6D1"/>
    <w:multiLevelType w:val="hybridMultilevel"/>
    <w:lvl w:ilvl="0">
      <w:lvlJc w:val="left"/>
      <w:lvlText w:val="(%1)"/>
      <w:numFmt w:val="upperLetter"/>
      <w:start w:val="2"/>
    </w:lvl>
  </w:abstractNum>
  <w:abstractNum w:abstractNumId="30">
    <w:nsid w:val="46111BA5"/>
    <w:multiLevelType w:val="hybridMultilevel"/>
    <w:lvl w:ilvl="0">
      <w:lvlJc w:val="left"/>
      <w:lvlText w:val="%1."/>
      <w:numFmt w:val="decimal"/>
      <w:start w:val="2"/>
    </w:lvl>
  </w:abstractNum>
  <w:abstractNum w:abstractNumId="31">
    <w:nsid w:val="5E963896"/>
    <w:multiLevelType w:val="hybridMultilevel"/>
    <w:lvl w:ilvl="0">
      <w:lvlJc w:val="left"/>
      <w:lvlText w:val="(%1)"/>
      <w:numFmt w:val="lowerRoman"/>
      <w:start w:val="2"/>
    </w:lvl>
  </w:abstractNum>
  <w:abstractNum w:abstractNumId="32">
    <w:nsid w:val="775BA7C1"/>
    <w:multiLevelType w:val="hybridMultilevel"/>
    <w:lvl w:ilvl="0">
      <w:lvlJc w:val="left"/>
      <w:lvlText w:val="(%1)"/>
      <w:numFmt w:val="decimal"/>
      <w:start w:val="1"/>
    </w:lvl>
  </w:abstractNum>
  <w:abstractNum w:abstractNumId="33">
    <w:nsid w:val="1DD6D6F4"/>
    <w:multiLevelType w:val="hybridMultilevel"/>
    <w:lvl w:ilvl="0">
      <w:lvlJc w:val="left"/>
      <w:lvlText w:val="(%1)"/>
      <w:numFmt w:val="decimal"/>
      <w:start w:val="1"/>
    </w:lvl>
  </w:abstractNum>
  <w:abstractNum w:abstractNumId="34">
    <w:nsid w:val="769A091F"/>
    <w:multiLevelType w:val="hybridMultilevel"/>
    <w:lvl w:ilvl="0">
      <w:lvlJc w:val="left"/>
      <w:lvlText w:val="(%1)"/>
      <w:numFmt w:val="lowerRoman"/>
      <w:start w:val="2"/>
    </w:lvl>
  </w:abstractNum>
  <w:abstractNum w:abstractNumId="35">
    <w:nsid w:val="4695AE95"/>
    <w:multiLevelType w:val="hybridMultilevel"/>
    <w:lvl w:ilvl="0">
      <w:lvlJc w:val="left"/>
      <w:lvlText w:val="(%1)"/>
      <w:numFmt w:val="decimal"/>
      <w:start w:val="1"/>
    </w:lvl>
  </w:abstractNum>
  <w:abstractNum w:abstractNumId="36">
    <w:nsid w:val="777A4EAA"/>
    <w:multiLevelType w:val="hybridMultilevel"/>
    <w:lvl w:ilvl="0">
      <w:lvlJc w:val="left"/>
      <w:lvlText w:val="(%1)"/>
      <w:numFmt w:val="decimal"/>
      <w:start w:val="1"/>
    </w:lvl>
  </w:abstractNum>
  <w:abstractNum w:abstractNumId="37">
    <w:nsid w:val="3F48B982"/>
    <w:multiLevelType w:val="hybridMultilevel"/>
    <w:lvl w:ilvl="0">
      <w:lvlJc w:val="left"/>
      <w:lvlText w:val="(%1)"/>
      <w:numFmt w:val="decimal"/>
      <w:start w:val="1"/>
    </w:lvl>
  </w:abstractNum>
  <w:abstractNum w:abstractNumId="38">
    <w:nsid w:val="46BA8FCA"/>
    <w:multiLevelType w:val="hybridMultilevel"/>
    <w:lvl w:ilvl="0">
      <w:lvlJc w:val="left"/>
      <w:lvlText w:val="(%1)"/>
      <w:numFmt w:val="lowerRoman"/>
      <w:start w:val="3"/>
    </w:lvl>
  </w:abstractNum>
  <w:abstractNum w:abstractNumId="39">
    <w:nsid w:val="7835626C"/>
    <w:multiLevelType w:val="hybridMultilevel"/>
    <w:lvl w:ilvl="0">
      <w:lvlJc w:val="left"/>
      <w:lvlText w:val="(%1)"/>
      <w:numFmt w:val="lowerRoman"/>
      <w:start w:val="1"/>
    </w:lvl>
  </w:abstractNum>
  <w:abstractNum w:abstractNumId="40">
    <w:nsid w:val="665ACA49"/>
    <w:multiLevelType w:val="hybridMultilevel"/>
    <w:lvl w:ilvl="0">
      <w:lvlJc w:val="left"/>
      <w:lvlText w:val="(%1)"/>
      <w:numFmt w:val="decimal"/>
      <w:start w:val="1"/>
    </w:lvl>
  </w:abstractNum>
  <w:abstractNum w:abstractNumId="41">
    <w:nsid w:val="6835B2AE"/>
    <w:multiLevelType w:val="hybridMultilevel"/>
    <w:lvl w:ilvl="0">
      <w:lvlJc w:val="left"/>
      <w:lvlText w:val="(%1)"/>
      <w:numFmt w:val="lowerLetter"/>
      <w:start w:val="1"/>
    </w:lvl>
  </w:abstractNum>
  <w:abstractNum w:abstractNumId="42">
    <w:nsid w:val="4C187C90"/>
    <w:multiLevelType w:val="hybridMultilevel"/>
    <w:lvl w:ilvl="0">
      <w:lvlJc w:val="left"/>
      <w:lvlText w:val="(%1)"/>
      <w:numFmt w:val="lowerLetter"/>
      <w:start w:val="1"/>
    </w:lvl>
    <w:lvl w:ilvl="1">
      <w:lvlJc w:val="left"/>
      <w:lvlText w:val="(%2)"/>
      <w:numFmt w:val="decimal"/>
      <w:start w:val="1"/>
    </w:lvl>
  </w:abstractNum>
  <w:abstractNum w:abstractNumId="43">
    <w:nsid w:val="541F28CD"/>
    <w:multiLevelType w:val="hybridMultilevel"/>
    <w:lvl w:ilvl="0">
      <w:lvlJc w:val="left"/>
      <w:lvlText w:val="%1"/>
      <w:numFmt w:val="decimal"/>
      <w:start w:val="24"/>
    </w:lvl>
  </w:abstractNum>
  <w:abstractNum w:abstractNumId="44">
    <w:nsid w:val="7F65FD16"/>
    <w:multiLevelType w:val="hybridMultilevel"/>
    <w:lvl w:ilvl="0">
      <w:lvlJc w:val="left"/>
      <w:lvlText w:val="*"/>
      <w:numFmt w:val="bullet"/>
      <w:start w:val="1"/>
    </w:lvl>
  </w:abstractNum>
  <w:abstractNum w:abstractNumId="45">
    <w:nsid w:val="77C9FD68"/>
    <w:multiLevelType w:val="hybridMultilevel"/>
    <w:lvl w:ilvl="0">
      <w:lvlJc w:val="left"/>
      <w:lvlText w:val="(%1)"/>
      <w:numFmt w:val="lowerLetter"/>
      <w:start w:val="1"/>
    </w:lvl>
  </w:abstractNum>
  <w:abstractNum w:abstractNumId="46">
    <w:nsid w:val="298A92BA"/>
    <w:multiLevelType w:val="hybridMultilevel"/>
    <w:lvl w:ilvl="0">
      <w:lvlJc w:val="left"/>
      <w:lvlText w:val="(%1)"/>
      <w:numFmt w:val="lowerLetter"/>
      <w:start w:val="3"/>
    </w:lvl>
  </w:abstractNum>
  <w:abstractNum w:abstractNumId="47">
    <w:nsid w:val="6FE95EAC"/>
    <w:multiLevelType w:val="hybridMultilevel"/>
    <w:lvl w:ilvl="0">
      <w:lvlJc w:val="left"/>
      <w:lvlText w:val="(%1)"/>
      <w:numFmt w:val="lowerLetter"/>
      <w:start w:val="8"/>
    </w:lvl>
  </w:abstractNum>
  <w:abstractNum w:abstractNumId="48">
    <w:nsid w:val="4B697C7A"/>
    <w:multiLevelType w:val="hybridMultilevel"/>
    <w:lvl w:ilvl="0">
      <w:lvlJc w:val="left"/>
      <w:lvlText w:val="(%1)"/>
      <w:numFmt w:val="lowerLetter"/>
      <w:start w:val="17"/>
    </w:lvl>
  </w:abstractNum>
  <w:abstractNum w:abstractNumId="49">
    <w:nsid w:val="51A27AA6"/>
    <w:multiLevelType w:val="hybridMultilevel"/>
    <w:lvl w:ilvl="0">
      <w:lvlJc w:val="left"/>
      <w:lvlText w:val="(%1)"/>
      <w:numFmt w:val="lowerLetter"/>
      <w:start w:val="22"/>
    </w:lvl>
  </w:abstractNum>
  <w:abstractNum w:abstractNumId="50">
    <w:nsid w:val="613183F2"/>
    <w:multiLevelType w:val="hybridMultilevel"/>
    <w:lvl w:ilvl="0">
      <w:lvlJc w:val="left"/>
      <w:lvlText w:val="(%1)"/>
      <w:numFmt w:val="lowerLetter"/>
      <w:start w:val="27"/>
    </w:lvl>
  </w:abstractNum>
  <w:abstractNum w:abstractNumId="51">
    <w:nsid w:val="634102B4"/>
    <w:multiLevelType w:val="hybridMultilevel"/>
    <w:lvl w:ilvl="0">
      <w:lvlJc w:val="left"/>
      <w:lvlText w:val="(%1)"/>
      <w:numFmt w:val="lowerLetter"/>
      <w:start w:val="29"/>
    </w:lvl>
  </w:abstractNum>
  <w:abstractNum w:abstractNumId="52">
    <w:nsid w:val="65BF9DA8"/>
    <w:multiLevelType w:val="hybridMultilevel"/>
    <w:lvl w:ilvl="0">
      <w:lvlJc w:val="left"/>
      <w:lvlText w:val="(%1)"/>
      <w:numFmt w:val="lowerLetter"/>
      <w:start w:val="32"/>
    </w:lvl>
  </w:abstractNum>
  <w:abstractNum w:abstractNumId="53">
    <w:nsid w:val="21A2ECCA"/>
    <w:multiLevelType w:val="hybridMultilevel"/>
    <w:lvl w:ilvl="0">
      <w:lvlJc w:val="left"/>
      <w:lvlText w:val="%1"/>
      <w:numFmt w:val="lowerLetter"/>
      <w:start w:val="1"/>
    </w:lvl>
    <w:lvl w:ilvl="1">
      <w:lvlJc w:val="left"/>
      <w:lvlText w:val="(%2)"/>
      <w:numFmt w:val="lowerLetter"/>
      <w:start w:val="40"/>
    </w:lvl>
  </w:abstractNum>
  <w:abstractNum w:abstractNumId="54">
    <w:nsid w:val="4D5C4899"/>
    <w:multiLevelType w:val="hybridMultilevel"/>
    <w:lvl w:ilvl="0">
      <w:lvlJc w:val="left"/>
      <w:lvlText w:val="(%1)"/>
      <w:numFmt w:val="lowerLetter"/>
      <w:start w:val="35"/>
    </w:lvl>
    <w:lvl w:ilvl="1">
      <w:lvlJc w:val="left"/>
      <w:lvlText w:val="(%2)"/>
      <w:numFmt w:val="lowerLetter"/>
      <w:start w:val="43"/>
    </w:lvl>
  </w:abstractNum>
  <w:abstractNum w:abstractNumId="55">
    <w:nsid w:val="3C3B72B2"/>
    <w:multiLevelType w:val="hybridMultilevel"/>
    <w:lvl w:ilvl="0">
      <w:lvlJc w:val="left"/>
      <w:lvlText w:val="(%1)"/>
      <w:numFmt w:val="lowerLetter"/>
      <w:start w:val="47"/>
    </w:lvl>
  </w:abstractNum>
  <w:abstractNum w:abstractNumId="56">
    <w:nsid w:val="155EC4C2"/>
    <w:multiLevelType w:val="hybridMultilevel"/>
    <w:lvl w:ilvl="0">
      <w:lvlJc w:val="left"/>
      <w:lvlText w:val="(%1)"/>
      <w:numFmt w:val="lowerLetter"/>
      <w:start w:val="51"/>
    </w:lvl>
  </w:abstractNum>
  <w:abstractNum w:abstractNumId="57">
    <w:nsid w:val="65D2A137"/>
    <w:multiLevelType w:val="hybridMultilevel"/>
    <w:lvl w:ilvl="0">
      <w:lvlJc w:val="left"/>
      <w:lvlText w:val="(%1)"/>
      <w:numFmt w:val="lowerLetter"/>
      <w:start w:val="53"/>
    </w:lvl>
  </w:abstractNum>
  <w:abstractNum w:abstractNumId="58">
    <w:nsid w:val="6EBB1F2A"/>
    <w:multiLevelType w:val="hybridMultilevel"/>
    <w:lvl w:ilvl="0">
      <w:lvlJc w:val="left"/>
      <w:lvlText w:val="(%1)"/>
      <w:numFmt w:val="lowerLetter"/>
      <w:start w:val="1"/>
    </w:lvl>
  </w:abstractNum>
  <w:abstractNum w:abstractNumId="59">
    <w:nsid w:val="6FBF29CB"/>
    <w:multiLevelType w:val="hybridMultilevel"/>
    <w:lvl w:ilvl="0">
      <w:lvlJc w:val="left"/>
      <w:lvlText w:val="(%1)"/>
      <w:numFmt w:val="lowerLetter"/>
      <w:start w:val="3"/>
    </w:lvl>
    <w:lvl w:ilvl="1">
      <w:lvlJc w:val="left"/>
      <w:lvlText w:val="(%2)"/>
      <w:numFmt w:val="lowerLetter"/>
      <w:start w:val="35"/>
    </w:lvl>
  </w:abstractNum>
  <w:abstractNum w:abstractNumId="60">
    <w:nsid w:val="550B8808"/>
    <w:multiLevelType w:val="hybridMultilevel"/>
    <w:lvl w:ilvl="0">
      <w:lvlJc w:val="left"/>
      <w:lvlText w:val="(%1)"/>
      <w:numFmt w:val="lowerRoman"/>
      <w:start w:val="3"/>
    </w:lvl>
  </w:abstractNum>
  <w:abstractNum w:abstractNumId="61">
    <w:nsid w:val="34CC3ACF"/>
    <w:multiLevelType w:val="hybridMultilevel"/>
    <w:lvl w:ilvl="0">
      <w:lvlJc w:val="left"/>
      <w:lvlText w:val="(%1)"/>
      <w:numFmt w:val="lowerLetter"/>
      <w:start w:val="1"/>
    </w:lvl>
  </w:abstractNum>
  <w:abstractNum w:abstractNumId="62">
    <w:nsid w:val="4E556261"/>
    <w:multiLevelType w:val="hybridMultilevel"/>
    <w:lvl w:ilvl="0">
      <w:lvlJc w:val="left"/>
      <w:lvlText w:val="%1"/>
      <w:numFmt w:val="lowerLetter"/>
      <w:start w:val="1"/>
    </w:lvl>
    <w:lvl w:ilvl="1">
      <w:lvlJc w:val="left"/>
      <w:lvlText w:val="(%2)"/>
      <w:numFmt w:val="lowerLetter"/>
      <w:start w:val="2"/>
    </w:lvl>
  </w:abstractNum>
  <w:abstractNum w:abstractNumId="63">
    <w:nsid w:val="4C672FC9"/>
    <w:multiLevelType w:val="hybridMultilevel"/>
    <w:lvl w:ilvl="0">
      <w:lvlJc w:val="left"/>
      <w:lvlText w:val="(%1)"/>
      <w:numFmt w:val="lowerLetter"/>
      <w:start w:val="61"/>
    </w:lvl>
    <w:lvl w:ilvl="1">
      <w:lvlJc w:val="left"/>
      <w:lvlText w:val="%2"/>
      <w:numFmt w:val="lowerLetter"/>
      <w:start w:val="1"/>
    </w:lvl>
  </w:abstractNum>
  <w:abstractNum w:abstractNumId="64">
    <w:nsid w:val="52A311C3"/>
    <w:multiLevelType w:val="hybridMultilevel"/>
    <w:lvl w:ilvl="0">
      <w:lvlJc w:val="left"/>
      <w:lvlText w:val="(%1)"/>
      <w:numFmt w:val="lowerLetter"/>
      <w:start w:val="6"/>
    </w:lvl>
  </w:abstractNum>
  <w:abstractNum w:abstractNumId="65">
    <w:nsid w:val="44EF6B80"/>
    <w:multiLevelType w:val="hybridMultilevel"/>
    <w:lvl w:ilvl="0">
      <w:lvlJc w:val="left"/>
      <w:lvlText w:val="(%1)"/>
      <w:numFmt w:val="lowerLetter"/>
      <w:start w:val="10"/>
    </w:lvl>
  </w:abstractNum>
  <w:abstractNum w:abstractNumId="66">
    <w:nsid w:val="12FCDE5E"/>
    <w:multiLevelType w:val="hybridMultilevel"/>
    <w:lvl w:ilvl="0">
      <w:lvlJc w:val="left"/>
      <w:lvlText w:val="(%1)"/>
      <w:numFmt w:val="lowerLetter"/>
      <w:start w:val="17"/>
    </w:lvl>
  </w:abstractNum>
  <w:abstractNum w:abstractNumId="67">
    <w:nsid w:val="4A1D606E"/>
    <w:multiLevelType w:val="hybridMultilevel"/>
    <w:lvl w:ilvl="0">
      <w:lvlJc w:val="left"/>
      <w:lvlText w:val="%1"/>
      <w:numFmt w:val="lowerLetter"/>
      <w:start w:val="1"/>
    </w:lvl>
    <w:lvl w:ilvl="1">
      <w:lvlJc w:val="left"/>
      <w:lvlText w:val="(%2)"/>
      <w:numFmt w:val="lowerLetter"/>
      <w:start w:val="21"/>
    </w:lvl>
  </w:abstractNum>
  <w:abstractNum w:abstractNumId="68">
    <w:nsid w:val="4382503"/>
    <w:multiLevelType w:val="hybridMultilevel"/>
    <w:lvl w:ilvl="0">
      <w:lvlJc w:val="left"/>
      <w:lvlText w:val="(%1)"/>
      <w:numFmt w:val="lowerLetter"/>
      <w:start w:val="9"/>
    </w:lvl>
    <w:lvl w:ilvl="1">
      <w:lvlJc w:val="left"/>
      <w:lvlText w:val="(%2)"/>
      <w:numFmt w:val="lowerLetter"/>
      <w:start w:val="22"/>
    </w:lvl>
  </w:abstractNum>
  <w:abstractNum w:abstractNumId="69">
    <w:nsid w:val="59B76E28"/>
    <w:multiLevelType w:val="hybridMultilevel"/>
    <w:lvl w:ilvl="0">
      <w:lvlJc w:val="left"/>
      <w:lvlText w:val="(%1)"/>
      <w:numFmt w:val="lowerLetter"/>
      <w:start w:val="26"/>
    </w:lvl>
  </w:abstractNum>
  <w:abstractNum w:abstractNumId="70">
    <w:nsid w:val="4252C2DA"/>
    <w:multiLevelType w:val="hybridMultilevel"/>
    <w:lvl w:ilvl="0">
      <w:lvlJc w:val="left"/>
      <w:lvlText w:val="(%1)"/>
      <w:numFmt w:val="lowerLetter"/>
      <w:start w:val="27"/>
    </w:lvl>
  </w:abstractNum>
  <w:abstractNum w:abstractNumId="71">
    <w:nsid w:val="6A92EF4C"/>
    <w:multiLevelType w:val="hybridMultilevel"/>
    <w:lvl w:ilvl="0">
      <w:lvlJc w:val="left"/>
      <w:lvlText w:val="(%1)"/>
      <w:numFmt w:val="lowerLetter"/>
      <w:start w:val="30"/>
    </w:lvl>
  </w:abstractNum>
  <w:abstractNum w:abstractNumId="72">
    <w:nsid w:val="41ED20D7"/>
    <w:multiLevelType w:val="hybridMultilevel"/>
    <w:lvl w:ilvl="0">
      <w:lvlJc w:val="left"/>
      <w:lvlText w:val="(%1)"/>
      <w:numFmt w:val="lowerLetter"/>
      <w:start w:val="37"/>
    </w:lvl>
  </w:abstractNum>
  <w:abstractNum w:abstractNumId="73">
    <w:nsid w:val="E6B3F6A"/>
    <w:multiLevelType w:val="hybridMultilevel"/>
    <w:lvl w:ilvl="0">
      <w:lvlJc w:val="left"/>
      <w:lvlText w:val="(%1)"/>
      <w:numFmt w:val="lowerLetter"/>
      <w:start w:val="1"/>
    </w:lvl>
    <w:lvl w:ilvl="1">
      <w:lvlJc w:val="left"/>
      <w:lvlText w:val="(%2)"/>
      <w:numFmt w:val="lowerRoman"/>
      <w:start w:val="1"/>
    </w:lvl>
  </w:abstractNum>
  <w:abstractNum w:abstractNumId="74">
    <w:nsid w:val="3EB21819"/>
    <w:multiLevelType w:val="hybridMultilevel"/>
    <w:lvl w:ilvl="0">
      <w:lvlJc w:val="left"/>
      <w:lvlText w:val="(%1)"/>
      <w:numFmt w:val="lowerLetter"/>
      <w:start w:val="3"/>
    </w:lvl>
    <w:lvl w:ilvl="1">
      <w:lvlJc w:val="left"/>
      <w:lvlText w:val="(%2)"/>
      <w:numFmt w:val="lowerRoman"/>
      <w:start w:val="1"/>
    </w:lvl>
  </w:abstractNum>
  <w:abstractNum w:abstractNumId="75">
    <w:nsid w:val="41531DED"/>
    <w:multiLevelType w:val="hybridMultilevel"/>
    <w:lvl w:ilvl="0">
      <w:lvlJc w:val="left"/>
      <w:lvlText w:val="(%1)"/>
      <w:numFmt w:val="lowerLetter"/>
      <w:start w:val="11"/>
    </w:lvl>
  </w:abstractNum>
  <w:abstractNum w:abstractNumId="76">
    <w:nsid w:val="6353CD2"/>
    <w:multiLevelType w:val="hybridMultilevel"/>
    <w:lvl w:ilvl="0">
      <w:lvlJc w:val="left"/>
      <w:lvlText w:val="(%1)"/>
      <w:numFmt w:val="lowerLetter"/>
      <w:start w:val="1"/>
    </w:lvl>
  </w:abstractNum>
  <w:abstractNum w:abstractNumId="77">
    <w:nsid w:val="683CAAD3"/>
    <w:multiLevelType w:val="hybridMultilevel"/>
    <w:lvl w:ilvl="0">
      <w:lvlJc w:val="left"/>
      <w:lvlText w:val="(%1)"/>
      <w:numFmt w:val="lowerLetter"/>
      <w:start w:val="2"/>
    </w:lvl>
  </w:abstractNum>
  <w:abstractNum w:abstractNumId="78">
    <w:nsid w:val="313C7C99"/>
    <w:multiLevelType w:val="hybridMultilevel"/>
    <w:lvl w:ilvl="0">
      <w:lvlJc w:val="left"/>
      <w:lvlText w:val="(%1)"/>
      <w:numFmt w:val="lowerLetter"/>
      <w:start w:val="4"/>
    </w:lvl>
  </w:abstractNum>
  <w:abstractNum w:abstractNumId="79">
    <w:nsid w:val="519EB94C"/>
    <w:multiLevelType w:val="hybridMultilevel"/>
    <w:lvl w:ilvl="0">
      <w:lvlJc w:val="left"/>
      <w:lvlText w:val="(%1)"/>
      <w:numFmt w:val="lowerRoman"/>
      <w:start w:val="3"/>
    </w:lvl>
  </w:abstractNum>
  <w:abstractNum w:abstractNumId="80">
    <w:nsid w:val="39DF2579"/>
    <w:multiLevelType w:val="hybridMultilevel"/>
    <w:lvl w:ilvl="0">
      <w:lvlJc w:val="left"/>
      <w:lvlText w:val="(%1)"/>
      <w:numFmt w:val="upperLetter"/>
      <w:start w:val="4"/>
    </w:lvl>
  </w:abstractNum>
  <w:abstractNum w:abstractNumId="81">
    <w:nsid w:val="126E008B"/>
    <w:multiLevelType w:val="hybridMultilevel"/>
    <w:lvl w:ilvl="0">
      <w:lvlJc w:val="left"/>
      <w:lvlText w:val="%1."/>
      <w:numFmt w:val="decimal"/>
      <w:start w:val="1"/>
    </w:lvl>
  </w:abstractNum>
  <w:abstractNum w:abstractNumId="82">
    <w:nsid w:val="34DFBC00"/>
    <w:multiLevelType w:val="hybridMultilevel"/>
    <w:lvl w:ilvl="0">
      <w:lvlJc w:val="left"/>
      <w:lvlText w:val="1"/>
      <w:numFmt w:val="bullet"/>
      <w:start w:val="1"/>
    </w:lvl>
  </w:abstractNum>
  <w:abstractNum w:abstractNumId="83">
    <w:nsid w:val="1F9EC322"/>
    <w:multiLevelType w:val="hybridMultilevel"/>
    <w:lvl w:ilvl="0">
      <w:lvlJc w:val="left"/>
      <w:lvlText w:val="2"/>
      <w:numFmt w:val="bullet"/>
      <w:start w:val="1"/>
    </w:lvl>
  </w:abstractNum>
  <w:abstractNum w:abstractNumId="84">
    <w:nsid w:val="3410ED56"/>
    <w:multiLevelType w:val="hybridMultilevel"/>
    <w:lvl w:ilvl="0">
      <w:lvlJc w:val="left"/>
      <w:lvlText w:val="3"/>
      <w:numFmt w:val="bullet"/>
      <w:start w:val="1"/>
    </w:lvl>
  </w:abstractNum>
  <w:abstractNum w:abstractNumId="85">
    <w:nsid w:val="23C049A"/>
    <w:multiLevelType w:val="hybridMultilevel"/>
    <w:lvl w:ilvl="0">
      <w:lvlJc w:val="left"/>
      <w:lvlText w:val="4"/>
      <w:numFmt w:val="bullet"/>
      <w:start w:val="1"/>
    </w:lvl>
  </w:abstractNum>
  <w:abstractNum w:abstractNumId="86">
    <w:nsid w:val="5BDA35D4"/>
    <w:multiLevelType w:val="hybridMultilevel"/>
    <w:lvl w:ilvl="0">
      <w:lvlJc w:val="left"/>
      <w:lvlText w:val="5"/>
      <w:numFmt w:val="bullet"/>
      <w:start w:val="1"/>
    </w:lvl>
    <w:lvl w:ilvl="1">
      <w:lvlJc w:val="left"/>
      <w:lvlText w:val="(%2)"/>
      <w:numFmt w:val="lowerLetter"/>
      <w:start w:val="1"/>
    </w:lvl>
  </w:abstractNum>
  <w:abstractNum w:abstractNumId="87">
    <w:nsid w:val="496FB218"/>
    <w:multiLevelType w:val="hybridMultilevel"/>
    <w:lvl w:ilvl="0">
      <w:lvlJc w:val="left"/>
      <w:lvlText w:val="6"/>
      <w:numFmt w:val="bullet"/>
      <w:start w:val="1"/>
    </w:lvl>
  </w:abstractNum>
  <w:abstractNum w:abstractNumId="88">
    <w:nsid w:val="680EA5D1"/>
    <w:multiLevelType w:val="hybridMultilevel"/>
    <w:lvl w:ilvl="0">
      <w:lvlJc w:val="left"/>
      <w:lvlText w:val="7"/>
      <w:numFmt w:val="bullet"/>
      <w:start w:val="1"/>
    </w:lvl>
  </w:abstractNum>
  <w:abstractNum w:abstractNumId="89">
    <w:nsid w:val="4A9554FE"/>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90">
    <w:nsid w:val="392EDBE4"/>
    <w:multiLevelType w:val="hybridMultilevel"/>
    <w:lvl w:ilvl="0">
      <w:lvlJc w:val="left"/>
      <w:lvlText w:val="(%1)"/>
      <w:numFmt w:val="lowerLetter"/>
      <w:start w:val="4"/>
    </w:lvl>
  </w:abstractNum>
  <w:abstractNum w:abstractNumId="91">
    <w:nsid w:val="3D1A2DD9"/>
    <w:multiLevelType w:val="hybridMultilevel"/>
    <w:lvl w:ilvl="0">
      <w:lvlJc w:val="left"/>
      <w:lvlText w:val="9"/>
      <w:numFmt w:val="bullet"/>
      <w:start w:val="1"/>
    </w:lvl>
  </w:abstractNum>
  <w:abstractNum w:abstractNumId="92">
    <w:nsid w:val="7F618FCD"/>
    <w:multiLevelType w:val="hybridMultilevel"/>
    <w:lvl w:ilvl="0">
      <w:lvlJc w:val="left"/>
      <w:lvlText w:val="1"/>
      <w:numFmt w:val="bullet"/>
      <w:start w:val="1"/>
    </w:lvl>
  </w:abstractNum>
  <w:abstractNum w:abstractNumId="93">
    <w:nsid w:val="7843E45"/>
    <w:multiLevelType w:val="hybridMultilevel"/>
    <w:lvl w:ilvl="0">
      <w:lvlJc w:val="left"/>
      <w:lvlText w:val="(%1)"/>
      <w:numFmt w:val="lowerLetter"/>
      <w:start w:val="1"/>
    </w:lvl>
  </w:abstractNum>
  <w:abstractNum w:abstractNumId="94">
    <w:nsid w:val="9815DA3"/>
    <w:multiLevelType w:val="hybridMultilevel"/>
    <w:lvl w:ilvl="0">
      <w:lvlJc w:val="left"/>
      <w:lvlText w:val="(%1)"/>
      <w:numFmt w:val="lowerLetter"/>
      <w:start w:val="1"/>
    </w:lvl>
  </w:abstractNum>
  <w:abstractNum w:abstractNumId="95">
    <w:nsid w:val="5204A191"/>
    <w:multiLevelType w:val="hybridMultilevel"/>
    <w:lvl w:ilvl="0">
      <w:lvlJc w:val="left"/>
      <w:lvlText w:val="(%1)"/>
      <w:numFmt w:val="lowerLetter"/>
      <w:start w:val="1"/>
    </w:lvl>
  </w:abstractNum>
  <w:abstractNum w:abstractNumId="96">
    <w:nsid w:val="4C73A9C6"/>
    <w:multiLevelType w:val="hybridMultilevel"/>
    <w:lvl w:ilvl="0">
      <w:lvlJc w:val="left"/>
      <w:lvlText w:val="(%1)"/>
      <w:numFmt w:val="lowerLetter"/>
      <w:start w:val="1"/>
    </w:lvl>
  </w:abstractNum>
  <w:abstractNum w:abstractNumId="97">
    <w:nsid w:val="1C7E3C01"/>
    <w:multiLevelType w:val="hybridMultilevel"/>
    <w:lvl w:ilvl="0">
      <w:lvlJc w:val="left"/>
      <w:lvlText w:val="(%1)"/>
      <w:numFmt w:val="lowerLetter"/>
      <w:start w:val="1"/>
    </w:lvl>
    <w:lvl w:ilvl="1">
      <w:lvlJc w:val="left"/>
      <w:lvlText w:val="(%2)"/>
      <w:numFmt w:val="lowerLetter"/>
      <w:start w:val="35"/>
    </w:lvl>
  </w:abstractNum>
  <w:abstractNum w:abstractNumId="98">
    <w:nsid w:val="1C2201FF"/>
    <w:multiLevelType w:val="hybridMultilevel"/>
    <w:lvl w:ilvl="0">
      <w:lvlJc w:val="left"/>
      <w:lvlText w:val="(%1)"/>
      <w:numFmt w:val="lowerLetter"/>
      <w:start w:val="2"/>
    </w:lvl>
  </w:abstractNum>
  <w:abstractNum w:abstractNumId="99">
    <w:nsid w:val="50ABCEC9"/>
    <w:multiLevelType w:val="hybridMultilevel"/>
    <w:lvl w:ilvl="0">
      <w:lvlJc w:val="left"/>
      <w:lvlText w:val="2"/>
      <w:numFmt w:val="bullet"/>
      <w:start w:val="1"/>
    </w:lvl>
  </w:abstractNum>
  <w:abstractNum w:abstractNumId="100">
    <w:nsid w:val="7635AA2A"/>
    <w:multiLevelType w:val="hybridMultilevel"/>
    <w:lvl w:ilvl="0">
      <w:lvlJc w:val="left"/>
      <w:lvlText w:val="(%1)"/>
      <w:numFmt w:val="lowerLetter"/>
      <w:start w:val="1"/>
    </w:lvl>
  </w:abstractNum>
  <w:abstractNum w:abstractNumId="101">
    <w:nsid w:val="5E74C4D9"/>
    <w:multiLevelType w:val="hybridMultilevel"/>
    <w:lvl w:ilvl="0">
      <w:lvlJc w:val="left"/>
      <w:lvlText w:val="(%1)"/>
      <w:numFmt w:val="lowerLetter"/>
      <w:start w:val="1"/>
    </w:lvl>
  </w:abstractNum>
  <w:abstractNum w:abstractNumId="102">
    <w:nsid w:val="3B3EBE15"/>
    <w:multiLevelType w:val="hybridMultilevel"/>
    <w:lvl w:ilvl="0">
      <w:lvlJc w:val="left"/>
      <w:lvlText w:val="(%1)"/>
      <w:numFmt w:val="lowerLetter"/>
      <w:start w:val="1"/>
    </w:lvl>
  </w:abstractNum>
  <w:abstractNum w:abstractNumId="103">
    <w:nsid w:val="3822CB01"/>
    <w:multiLevelType w:val="hybridMultilevel"/>
    <w:lvl w:ilvl="0">
      <w:lvlJc w:val="left"/>
      <w:lvlText w:val="(%1)"/>
      <w:numFmt w:val="lowerLetter"/>
      <w:start w:val="1"/>
    </w:lvl>
  </w:abstractNum>
  <w:abstractNum w:abstractNumId="104">
    <w:nsid w:val="6CE00443"/>
    <w:multiLevelType w:val="hybridMultilevel"/>
    <w:lvl w:ilvl="0">
      <w:lvlJc w:val="left"/>
      <w:lvlText w:val="(%1)"/>
      <w:numFmt w:val="lowerLetter"/>
      <w:start w:val="1"/>
    </w:lvl>
  </w:abstractNum>
  <w:abstractNum w:abstractNumId="105">
    <w:nsid w:val="79F0D62F"/>
    <w:multiLevelType w:val="hybridMultilevel"/>
    <w:lvl w:ilvl="0">
      <w:lvlJc w:val="left"/>
      <w:lvlText w:val="(%1)"/>
      <w:numFmt w:val="lowerLetter"/>
      <w:start w:val="1"/>
    </w:lvl>
    <w:lvl w:ilvl="1">
      <w:lvlJc w:val="left"/>
      <w:lvlText w:val="(%2)"/>
      <w:numFmt w:val="lowerRoman"/>
      <w:start w:val="1"/>
    </w:lvl>
  </w:abstractNum>
  <w:abstractNum w:abstractNumId="106">
    <w:nsid w:val="7975E8EE"/>
    <w:multiLevelType w:val="hybridMultilevel"/>
    <w:lvl w:ilvl="0">
      <w:lvlJc w:val="left"/>
      <w:lvlText w:val="(%1)"/>
      <w:numFmt w:val="lowerLetter"/>
      <w:start w:val="3"/>
    </w:lvl>
  </w:abstractNum>
  <w:abstractNum w:abstractNumId="107">
    <w:nsid w:val="73154115"/>
    <w:multiLevelType w:val="hybridMultilevel"/>
    <w:lvl w:ilvl="0">
      <w:lvlJc w:val="left"/>
      <w:lvlText w:val="(%1)"/>
      <w:numFmt w:val="lowerLetter"/>
      <w:start w:val="1"/>
    </w:lvl>
  </w:abstractNum>
  <w:abstractNum w:abstractNumId="108">
    <w:nsid w:val="622D8102"/>
    <w:multiLevelType w:val="hybridMultilevel"/>
    <w:lvl w:ilvl="0">
      <w:lvlJc w:val="left"/>
      <w:lvlText w:val="(%1)"/>
      <w:numFmt w:val="lowerLetter"/>
      <w:start w:val="1"/>
    </w:lvl>
  </w:abstractNum>
  <w:abstractNum w:abstractNumId="109">
    <w:nsid w:val="2AB26587"/>
    <w:multiLevelType w:val="hybridMultilevel"/>
    <w:lvl w:ilvl="0">
      <w:lvlJc w:val="left"/>
      <w:lvlText w:val="3"/>
      <w:numFmt w:val="bullet"/>
      <w:start w:val="1"/>
    </w:lvl>
  </w:abstractNum>
  <w:abstractNum w:abstractNumId="110">
    <w:nsid w:val="44B3FA61"/>
    <w:multiLevelType w:val="hybridMultilevel"/>
    <w:lvl w:ilvl="0">
      <w:lvlJc w:val="left"/>
      <w:lvlText w:val="(%1)"/>
      <w:numFmt w:val="lowerLetter"/>
      <w:start w:val="1"/>
    </w:lvl>
  </w:abstractNum>
  <w:abstractNum w:abstractNumId="111">
    <w:nsid w:val="1C0CA67C"/>
    <w:multiLevelType w:val="hybridMultilevel"/>
    <w:lvl w:ilvl="0">
      <w:lvlJc w:val="left"/>
      <w:lvlText w:val="(%1)"/>
      <w:numFmt w:val="lowerLetter"/>
      <w:start w:val="1"/>
    </w:lvl>
  </w:abstractNum>
  <w:abstractNum w:abstractNumId="112">
    <w:nsid w:val="3D206613"/>
    <w:multiLevelType w:val="hybridMultilevel"/>
    <w:lvl w:ilvl="0">
      <w:lvlJc w:val="left"/>
      <w:lvlText w:val="4"/>
      <w:numFmt w:val="bullet"/>
      <w:start w:val="1"/>
    </w:lvl>
  </w:abstractNum>
  <w:abstractNum w:abstractNumId="113">
    <w:nsid w:val="7993B662"/>
    <w:multiLevelType w:val="hybridMultilevel"/>
    <w:lvl w:ilvl="0">
      <w:lvlJc w:val="left"/>
      <w:lvlText w:val="(%1)"/>
      <w:numFmt w:val="lowerLetter"/>
      <w:start w:val="1"/>
    </w:lvl>
  </w:abstractNum>
  <w:abstractNum w:abstractNumId="114">
    <w:nsid w:val="3BAB699E"/>
    <w:multiLevelType w:val="hybridMultilevel"/>
    <w:lvl w:ilvl="0">
      <w:lvlJc w:val="left"/>
      <w:lvlText w:val="(%1)"/>
      <w:numFmt w:val="lowerLetter"/>
      <w:start w:val="1"/>
    </w:lvl>
  </w:abstractNum>
  <w:abstractNum w:abstractNumId="115">
    <w:nsid w:val="71315369"/>
    <w:multiLevelType w:val="hybridMultilevel"/>
    <w:lvl w:ilvl="0">
      <w:lvlJc w:val="left"/>
      <w:lvlText w:val="(%1)"/>
      <w:numFmt w:val="lowerLetter"/>
      <w:start w:val="1"/>
    </w:lvl>
  </w:abstractNum>
  <w:abstractNum w:abstractNumId="116">
    <w:nsid w:val="7BCFBAFC"/>
    <w:multiLevelType w:val="hybridMultilevel"/>
    <w:lvl w:ilvl="0">
      <w:lvlJc w:val="left"/>
      <w:lvlText w:val="(%1)"/>
      <w:numFmt w:val="lowerLetter"/>
      <w:start w:val="1"/>
    </w:lvl>
  </w:abstractNum>
  <w:abstractNum w:abstractNumId="117">
    <w:nsid w:val="17859F72"/>
    <w:multiLevelType w:val="hybridMultilevel"/>
    <w:lvl w:ilvl="0">
      <w:lvlJc w:val="left"/>
      <w:lvlText w:val="(%1)"/>
      <w:numFmt w:val="lowerLetter"/>
      <w:start w:val="1"/>
    </w:lvl>
  </w:abstractNum>
  <w:abstractNum w:abstractNumId="118">
    <w:nsid w:val="3AA10581"/>
    <w:multiLevelType w:val="hybridMultilevel"/>
    <w:lvl w:ilvl="0">
      <w:lvlJc w:val="left"/>
      <w:lvlText w:val="5"/>
      <w:numFmt w:val="bullet"/>
      <w:start w:val="1"/>
    </w:lvl>
  </w:abstractNum>
  <w:abstractNum w:abstractNumId="119">
    <w:nsid w:val="63DE60CD"/>
    <w:multiLevelType w:val="hybridMultilevel"/>
    <w:lvl w:ilvl="0">
      <w:lvlJc w:val="left"/>
      <w:lvlText w:val="(%1)"/>
      <w:numFmt w:val="lowerLetter"/>
      <w:start w:val="1"/>
    </w:lvl>
  </w:abstractNum>
  <w:abstractNum w:abstractNumId="120">
    <w:nsid w:val="621AF471"/>
    <w:multiLevelType w:val="hybridMultilevel"/>
    <w:lvl w:ilvl="0">
      <w:lvlJc w:val="left"/>
      <w:lvlText w:val="(%1)"/>
      <w:numFmt w:val="lowerLetter"/>
      <w:start w:val="1"/>
    </w:lvl>
  </w:abstractNum>
  <w:abstractNum w:abstractNumId="121">
    <w:nsid w:val="73CFE165"/>
    <w:multiLevelType w:val="hybridMultilevel"/>
    <w:lvl w:ilvl="0">
      <w:lvlJc w:val="left"/>
      <w:lvlText w:val="(%1)"/>
      <w:numFmt w:val="lowerLetter"/>
      <w:start w:val="1"/>
    </w:lvl>
  </w:abstractNum>
  <w:abstractNum w:abstractNumId="122">
    <w:nsid w:val="20F88EA6"/>
    <w:multiLevelType w:val="hybridMultilevel"/>
    <w:lvl w:ilvl="0">
      <w:lvlJc w:val="left"/>
      <w:lvlText w:val="(%1)"/>
      <w:numFmt w:val="lowerLetter"/>
      <w:start w:val="1"/>
    </w:lvl>
  </w:abstractNum>
  <w:abstractNum w:abstractNumId="123">
    <w:nsid w:val="617C843E"/>
    <w:multiLevelType w:val="hybridMultilevel"/>
    <w:lvl w:ilvl="0">
      <w:lvlJc w:val="left"/>
      <w:lvlText w:val="(%1)"/>
      <w:numFmt w:val="lowerLetter"/>
      <w:start w:val="1"/>
    </w:lvl>
    <w:lvl w:ilvl="1">
      <w:lvlJc w:val="left"/>
      <w:lvlText w:val="(%2)"/>
      <w:numFmt w:val="lowerRoman"/>
      <w:start w:val="1"/>
    </w:lvl>
  </w:abstractNum>
  <w:abstractNum w:abstractNumId="124">
    <w:nsid w:val="7B541FAB"/>
    <w:multiLevelType w:val="hybridMultilevel"/>
    <w:lvl w:ilvl="0">
      <w:lvlJc w:val="left"/>
      <w:lvlText w:val="(%1)"/>
      <w:numFmt w:val="lowerLetter"/>
      <w:start w:val="1"/>
    </w:lvl>
  </w:abstractNum>
  <w:abstractNum w:abstractNumId="125">
    <w:nsid w:val="2A79EC49"/>
    <w:multiLevelType w:val="hybridMultilevel"/>
    <w:lvl w:ilvl="0">
      <w:lvlJc w:val="left"/>
      <w:lvlText w:val="6"/>
      <w:numFmt w:val="bullet"/>
      <w:start w:val="1"/>
    </w:lvl>
  </w:abstractNum>
  <w:abstractNum w:abstractNumId="126">
    <w:nsid w:val="338125CF"/>
    <w:multiLevelType w:val="hybridMultilevel"/>
    <w:lvl w:ilvl="0">
      <w:lvlJc w:val="left"/>
      <w:lvlText w:val="(%1)"/>
      <w:numFmt w:val="lowerLetter"/>
      <w:start w:val="1"/>
    </w:lvl>
  </w:abstractNum>
  <w:abstractNum w:abstractNumId="127">
    <w:nsid w:val="47C7C971"/>
    <w:multiLevelType w:val="hybridMultilevel"/>
    <w:lvl w:ilvl="0">
      <w:lvlJc w:val="left"/>
      <w:lvlText w:val="7"/>
      <w:numFmt w:val="bullet"/>
      <w:start w:val="1"/>
    </w:lvl>
  </w:abstractNum>
  <w:abstractNum w:abstractNumId="128">
    <w:nsid w:val="46F8284B"/>
    <w:multiLevelType w:val="hybridMultilevel"/>
    <w:lvl w:ilvl="0">
      <w:lvlJc w:val="left"/>
      <w:lvlText w:val="(%1)"/>
      <w:numFmt w:val="lowerLetter"/>
      <w:start w:val="1"/>
    </w:lvl>
  </w:abstractNum>
  <w:abstractNum w:abstractNumId="129">
    <w:nsid w:val="4FA327CE"/>
    <w:multiLevelType w:val="hybridMultilevel"/>
    <w:lvl w:ilvl="0">
      <w:lvlJc w:val="left"/>
      <w:lvlText w:val="(%1)"/>
      <w:numFmt w:val="lowerLetter"/>
      <w:start w:val="1"/>
    </w:lvl>
  </w:abstractNum>
  <w:abstractNum w:abstractNumId="130">
    <w:nsid w:val="1873983A"/>
    <w:multiLevelType w:val="hybridMultilevel"/>
    <w:lvl w:ilvl="0">
      <w:lvlJc w:val="left"/>
      <w:lvlText w:val="(%1)"/>
      <w:numFmt w:val="lowerLetter"/>
      <w:start w:val="1"/>
    </w:lvl>
  </w:abstractNum>
  <w:abstractNum w:abstractNumId="131">
    <w:nsid w:val="3D2DD275"/>
    <w:multiLevelType w:val="hybridMultilevel"/>
    <w:lvl w:ilvl="0">
      <w:lvlJc w:val="left"/>
      <w:lvlText w:val="8"/>
      <w:numFmt w:val="bullet"/>
      <w:start w:val="1"/>
    </w:lvl>
  </w:abstractNum>
  <w:abstractNum w:abstractNumId="132">
    <w:nsid w:val="2E17ECA7"/>
    <w:multiLevelType w:val="hybridMultilevel"/>
    <w:lvl w:ilvl="0">
      <w:lvlJc w:val="left"/>
      <w:lvlText w:val="(%1)"/>
      <w:numFmt w:val="lowerLetter"/>
      <w:start w:val="1"/>
    </w:lvl>
  </w:abstractNum>
  <w:abstractNum w:abstractNumId="133">
    <w:nsid w:val="53B2564F"/>
    <w:multiLevelType w:val="hybridMultilevel"/>
    <w:lvl w:ilvl="0">
      <w:lvlJc w:val="left"/>
      <w:lvlText w:val="(%1)"/>
      <w:numFmt w:val="lowerLetter"/>
      <w:start w:val="1"/>
    </w:lvl>
  </w:abstractNum>
  <w:abstractNum w:abstractNumId="134">
    <w:nsid w:val="75509D76"/>
    <w:multiLevelType w:val="hybridMultilevel"/>
    <w:lvl w:ilvl="0">
      <w:lvlJc w:val="left"/>
      <w:lvlText w:val="9"/>
      <w:numFmt w:val="bullet"/>
      <w:start w:val="1"/>
    </w:lvl>
  </w:abstractNum>
  <w:abstractNum w:abstractNumId="135">
    <w:nsid w:val="1AF7F0EA"/>
    <w:multiLevelType w:val="hybridMultilevel"/>
    <w:lvl w:ilvl="0">
      <w:lvlJc w:val="left"/>
      <w:lvlText w:val="(%1)"/>
      <w:numFmt w:val="lowerLetter"/>
      <w:start w:val="1"/>
    </w:lvl>
  </w:abstractNum>
  <w:abstractNum w:abstractNumId="136">
    <w:nsid w:val="4DA32C7E"/>
    <w:multiLevelType w:val="hybridMultilevel"/>
    <w:lvl w:ilvl="0">
      <w:lvlJc w:val="left"/>
      <w:lvlText w:val="(%1)"/>
      <w:numFmt w:val="lowerLetter"/>
      <w:start w:val="1"/>
    </w:lvl>
    <w:lvl w:ilvl="1">
      <w:lvlJc w:val="left"/>
      <w:lvlText w:val="(%2)"/>
      <w:numFmt w:val="lowerRoman"/>
      <w:start w:val="1"/>
    </w:lvl>
  </w:abstractNum>
  <w:abstractNum w:abstractNumId="137">
    <w:nsid w:val="6EC68664"/>
    <w:multiLevelType w:val="hybridMultilevel"/>
    <w:lvl w:ilvl="0">
      <w:lvlJc w:val="left"/>
      <w:lvlText w:val="%1"/>
      <w:numFmt w:val="decimal"/>
      <w:start w:val="10"/>
    </w:lvl>
  </w:abstractNum>
  <w:abstractNum w:abstractNumId="138">
    <w:nsid w:val="E0D31FF"/>
    <w:multiLevelType w:val="hybridMultilevel"/>
    <w:lvl w:ilvl="0">
      <w:lvlJc w:val="left"/>
      <w:lvlText w:val="(%1)"/>
      <w:numFmt w:val="lowerLetter"/>
      <w:start w:val="1"/>
    </w:lvl>
  </w:abstractNum>
  <w:abstractNum w:abstractNumId="139">
    <w:nsid w:val="2FD0AD81"/>
    <w:multiLevelType w:val="hybridMultilevel"/>
    <w:lvl w:ilvl="0">
      <w:lvlJc w:val="left"/>
      <w:lvlText w:val="(%1)"/>
      <w:numFmt w:val="lowerLetter"/>
      <w:start w:val="1"/>
    </w:lvl>
  </w:abstractNum>
  <w:abstractNum w:abstractNumId="140">
    <w:nsid w:val="1978EBEB"/>
    <w:multiLevelType w:val="hybridMultilevel"/>
    <w:lvl w:ilvl="0">
      <w:lvlJc w:val="left"/>
      <w:lvlText w:val="(%1)"/>
      <w:numFmt w:val="lowerLetter"/>
      <w:start w:val="1"/>
    </w:lvl>
  </w:abstractNum>
  <w:abstractNum w:abstractNumId="141">
    <w:nsid w:val="52C12C61"/>
    <w:multiLevelType w:val="hybridMultilevel"/>
    <w:lvl w:ilvl="0">
      <w:lvlJc w:val="left"/>
      <w:lvlText w:val="(%1)"/>
      <w:numFmt w:val="lowerLetter"/>
      <w:start w:val="1"/>
    </w:lvl>
  </w:abstractNum>
  <w:abstractNum w:abstractNumId="142">
    <w:nsid w:val="4BDD53FD"/>
    <w:multiLevelType w:val="hybridMultilevel"/>
    <w:lvl w:ilvl="0">
      <w:lvlJc w:val="left"/>
      <w:lvlText w:val="(%1)"/>
      <w:numFmt w:val="lowerLetter"/>
      <w:start w:val="1"/>
    </w:lvl>
  </w:abstractNum>
  <w:abstractNum w:abstractNumId="143">
    <w:nsid w:val="569951FE"/>
    <w:multiLevelType w:val="hybridMultilevel"/>
    <w:lvl w:ilvl="0">
      <w:lvlJc w:val="left"/>
      <w:lvlText w:val="(%1)"/>
      <w:numFmt w:val="lowerLetter"/>
      <w:start w:val="1"/>
    </w:lvl>
  </w:abstractNum>
  <w:abstractNum w:abstractNumId="144">
    <w:nsid w:val="4C54E2C3"/>
    <w:multiLevelType w:val="hybridMultilevel"/>
    <w:lvl w:ilvl="0">
      <w:lvlJc w:val="left"/>
      <w:lvlText w:val="(%1)"/>
      <w:numFmt w:val="lowerLetter"/>
      <w:start w:val="1"/>
    </w:lvl>
  </w:abstractNum>
  <w:abstractNum w:abstractNumId="145">
    <w:nsid w:val="788BD9B"/>
    <w:multiLevelType w:val="hybridMultilevel"/>
    <w:lvl w:ilvl="0">
      <w:lvlJc w:val="left"/>
      <w:lvlText w:val="%1"/>
      <w:numFmt w:val="decimal"/>
      <w:start w:val="12"/>
    </w:lvl>
  </w:abstractNum>
  <w:abstractNum w:abstractNumId="146">
    <w:nsid w:val="47CAA567"/>
    <w:multiLevelType w:val="hybridMultilevel"/>
    <w:lvl w:ilvl="0">
      <w:lvlJc w:val="left"/>
      <w:lvlText w:val="(%1)"/>
      <w:numFmt w:val="lowerLetter"/>
      <w:start w:val="1"/>
    </w:lvl>
  </w:abstractNum>
  <w:abstractNum w:abstractNumId="147">
    <w:nsid w:val="48249DBF"/>
    <w:multiLevelType w:val="hybridMultilevel"/>
    <w:lvl w:ilvl="0">
      <w:lvlJc w:val="left"/>
      <w:lvlText w:val="(%1)"/>
      <w:numFmt w:val="lowerLetter"/>
      <w:start w:val="1"/>
    </w:lvl>
  </w:abstractNum>
  <w:abstractNum w:abstractNumId="148">
    <w:nsid w:val="1F0E5D0D"/>
    <w:multiLevelType w:val="hybridMultilevel"/>
    <w:lvl w:ilvl="0">
      <w:lvlJc w:val="left"/>
      <w:lvlText w:val="(%1)"/>
      <w:numFmt w:val="lowerLetter"/>
      <w:start w:val="1"/>
    </w:lvl>
  </w:abstractNum>
  <w:abstractNum w:abstractNumId="149">
    <w:nsid w:val="26BAAE9"/>
    <w:multiLevelType w:val="hybridMultilevel"/>
    <w:lvl w:ilvl="0">
      <w:lvlJc w:val="left"/>
      <w:lvlText w:val="(%1)"/>
      <w:numFmt w:val="lowerLetter"/>
      <w:start w:val="1"/>
    </w:lvl>
  </w:abstractNum>
  <w:abstractNum w:abstractNumId="150">
    <w:nsid w:val="2C02FE8C"/>
    <w:multiLevelType w:val="hybridMultilevel"/>
    <w:lvl w:ilvl="0">
      <w:lvlJc w:val="left"/>
      <w:lvlText w:val="(%1)"/>
      <w:numFmt w:val="lowerLetter"/>
      <w:start w:val="2"/>
    </w:lvl>
  </w:abstractNum>
  <w:abstractNum w:abstractNumId="151">
    <w:nsid w:val="129517E"/>
    <w:multiLevelType w:val="hybridMultilevel"/>
    <w:lvl w:ilvl="0">
      <w:lvlJc w:val="left"/>
      <w:lvlText w:val="(%1)"/>
      <w:numFmt w:val="lowerLetter"/>
      <w:start w:val="1"/>
    </w:lvl>
  </w:abstractNum>
  <w:abstractNum w:abstractNumId="152">
    <w:nsid w:val="763B8C4E"/>
    <w:multiLevelType w:val="hybridMultilevel"/>
    <w:lvl w:ilvl="0">
      <w:lvlJc w:val="left"/>
      <w:lvlText w:val="(%1)"/>
      <w:numFmt w:val="lowerLetter"/>
      <w:start w:val="1"/>
    </w:lvl>
    <w:lvl w:ilvl="1">
      <w:lvlJc w:val="left"/>
      <w:lvlText w:val="(%2)"/>
      <w:numFmt w:val="lowerRoman"/>
      <w:start w:val="1"/>
    </w:lvl>
  </w:abstractNum>
  <w:abstractNum w:abstractNumId="153">
    <w:nsid w:val="4CFB8D32"/>
    <w:multiLevelType w:val="hybridMultilevel"/>
    <w:lvl w:ilvl="0">
      <w:lvlJc w:val="left"/>
      <w:lvlText w:val="%1"/>
      <w:numFmt w:val="decimal"/>
      <w:start w:val="13"/>
    </w:lvl>
  </w:abstractNum>
  <w:abstractNum w:abstractNumId="154">
    <w:nsid w:val="62A5D5BD"/>
    <w:multiLevelType w:val="hybridMultilevel"/>
    <w:lvl w:ilvl="0">
      <w:lvlJc w:val="left"/>
      <w:lvlText w:val="(%1)"/>
      <w:numFmt w:val="lowerLetter"/>
      <w:start w:val="1"/>
    </w:lvl>
  </w:abstractNum>
  <w:abstractNum w:abstractNumId="155">
    <w:nsid w:val="718FABF9"/>
    <w:multiLevelType w:val="hybridMultilevel"/>
    <w:lvl w:ilvl="0">
      <w:lvlJc w:val="left"/>
      <w:lvlText w:val="(%1)"/>
      <w:numFmt w:val="lowerLetter"/>
      <w:start w:val="1"/>
    </w:lvl>
    <w:lvl w:ilvl="1">
      <w:lvlJc w:val="left"/>
      <w:lvlText w:val="(%2)"/>
      <w:numFmt w:val="lowerRoman"/>
      <w:start w:val="1"/>
    </w:lvl>
  </w:abstractNum>
  <w:abstractNum w:abstractNumId="156">
    <w:nsid w:val="7775797C"/>
    <w:multiLevelType w:val="hybridMultilevel"/>
    <w:lvl w:ilvl="0">
      <w:lvlJc w:val="left"/>
      <w:lvlText w:val="(%1)"/>
      <w:numFmt w:val="lowerLetter"/>
      <w:start w:val="1"/>
    </w:lvl>
  </w:abstractNum>
  <w:abstractNum w:abstractNumId="157">
    <w:nsid w:val="1626FB8C"/>
    <w:multiLevelType w:val="hybridMultilevel"/>
    <w:lvl w:ilvl="0">
      <w:lvlJc w:val="left"/>
      <w:lvlText w:val="(%1)"/>
      <w:numFmt w:val="lowerLetter"/>
      <w:start w:val="2"/>
    </w:lvl>
  </w:abstractNum>
  <w:abstractNum w:abstractNumId="158">
    <w:nsid w:val="3957756A"/>
    <w:multiLevelType w:val="hybridMultilevel"/>
    <w:lvl w:ilvl="0">
      <w:lvlJc w:val="left"/>
      <w:lvlText w:val="%1"/>
      <w:numFmt w:val="decimal"/>
      <w:start w:val="15"/>
    </w:lvl>
  </w:abstractNum>
  <w:abstractNum w:abstractNumId="159">
    <w:nsid w:val="3E6DA1C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0">
    <w:nsid w:val="65CA235B"/>
    <w:multiLevelType w:val="hybridMultilevel"/>
    <w:lvl w:ilvl="0">
      <w:lvlJc w:val="left"/>
      <w:lvlText w:val="(%1)"/>
      <w:numFmt w:val="lowerLetter"/>
      <w:start w:val="1"/>
    </w:lvl>
  </w:abstractNum>
  <w:abstractNum w:abstractNumId="161">
    <w:nsid w:val="51CB0DA4"/>
    <w:multiLevelType w:val="hybridMultilevel"/>
    <w:lvl w:ilvl="0">
      <w:lvlJc w:val="left"/>
      <w:lvlText w:val="%1"/>
      <w:numFmt w:val="decimal"/>
      <w:start w:val="16"/>
    </w:lvl>
  </w:abstractNum>
  <w:abstractNum w:abstractNumId="162">
    <w:nsid w:val="7B9B743C"/>
    <w:multiLevelType w:val="hybridMultilevel"/>
    <w:lvl w:ilvl="0">
      <w:lvlJc w:val="left"/>
      <w:lvlText w:val="(%1)"/>
      <w:numFmt w:val="lowerLetter"/>
      <w:start w:val="1"/>
    </w:lvl>
  </w:abstractNum>
  <w:abstractNum w:abstractNumId="163">
    <w:nsid w:val="13E21002"/>
    <w:multiLevelType w:val="hybridMultilevel"/>
    <w:lvl w:ilvl="0">
      <w:lvlJc w:val="left"/>
      <w:lvlText w:val="(%1)"/>
      <w:numFmt w:val="lowerLetter"/>
      <w:start w:val="1"/>
    </w:lvl>
  </w:abstractNum>
  <w:abstractNum w:abstractNumId="164">
    <w:nsid w:val="257D63F4"/>
    <w:multiLevelType w:val="hybridMultilevel"/>
    <w:lvl w:ilvl="0">
      <w:lvlJc w:val="left"/>
      <w:lvlText w:val="(%1)"/>
      <w:numFmt w:val="lowerLetter"/>
      <w:start w:val="1"/>
    </w:lvl>
  </w:abstractNum>
  <w:abstractNum w:abstractNumId="165">
    <w:nsid w:val="70EC11B2"/>
    <w:multiLevelType w:val="hybridMultilevel"/>
    <w:lvl w:ilvl="0">
      <w:lvlJc w:val="left"/>
      <w:lvlText w:val="%1"/>
      <w:numFmt w:val="decimal"/>
      <w:start w:val="17"/>
    </w:lvl>
  </w:abstractNum>
  <w:abstractNum w:abstractNumId="166">
    <w:nsid w:val="2EDA00ED"/>
    <w:multiLevelType w:val="hybridMultilevel"/>
    <w:lvl w:ilvl="0">
      <w:lvlJc w:val="left"/>
      <w:lvlText w:val="(%1)"/>
      <w:numFmt w:val="lowerLetter"/>
      <w:start w:val="1"/>
    </w:lvl>
  </w:abstractNum>
  <w:abstractNum w:abstractNumId="167">
    <w:nsid w:val="73209072"/>
    <w:multiLevelType w:val="hybridMultilevel"/>
    <w:lvl w:ilvl="0">
      <w:lvlJc w:val="left"/>
      <w:lvlText w:val="(%1)"/>
      <w:numFmt w:val="lowerLetter"/>
      <w:start w:val="1"/>
    </w:lvl>
  </w:abstractNum>
  <w:abstractNum w:abstractNumId="168">
    <w:nsid w:val="5FB29816"/>
    <w:multiLevelType w:val="hybridMultilevel"/>
    <w:lvl w:ilvl="0">
      <w:lvlJc w:val="left"/>
      <w:lvlText w:val="(%1)"/>
      <w:numFmt w:val="lowerLetter"/>
      <w:start w:val="1"/>
    </w:lvl>
  </w:abstractNum>
  <w:abstractNum w:abstractNumId="169">
    <w:nsid w:val="3CE732EC"/>
    <w:multiLevelType w:val="hybridMultilevel"/>
    <w:lvl w:ilvl="0">
      <w:lvlJc w:val="left"/>
      <w:lvlText w:val="(%1)"/>
      <w:numFmt w:val="lowerLetter"/>
      <w:start w:val="1"/>
    </w:lvl>
  </w:abstractNum>
  <w:abstractNum w:abstractNumId="170">
    <w:nsid w:val="22F13DF3"/>
    <w:multiLevelType w:val="hybridMultilevel"/>
    <w:lvl w:ilvl="0">
      <w:lvlJc w:val="left"/>
      <w:lvlText w:val="(%1)"/>
      <w:numFmt w:val="lowerLetter"/>
      <w:start w:val="1"/>
    </w:lvl>
  </w:abstractNum>
  <w:abstractNum w:abstractNumId="171">
    <w:nsid w:val="792B8401"/>
    <w:multiLevelType w:val="hybridMultilevel"/>
    <w:lvl w:ilvl="0">
      <w:lvlJc w:val="left"/>
      <w:lvlText w:val="%1"/>
      <w:numFmt w:val="decimal"/>
      <w:start w:val="19"/>
    </w:lvl>
  </w:abstractNum>
  <w:abstractNum w:abstractNumId="172">
    <w:nsid w:val="FA85F4D"/>
    <w:multiLevelType w:val="hybridMultilevel"/>
    <w:lvl w:ilvl="0">
      <w:lvlJc w:val="left"/>
      <w:lvlText w:val="(%1)"/>
      <w:numFmt w:val="lowerLetter"/>
      <w:start w:val="1"/>
    </w:lvl>
  </w:abstractNum>
  <w:abstractNum w:abstractNumId="173">
    <w:nsid w:val="6ECE91F0"/>
    <w:multiLevelType w:val="hybridMultilevel"/>
    <w:lvl w:ilvl="0">
      <w:lvlJc w:val="left"/>
      <w:lvlText w:val="%1"/>
      <w:numFmt w:val="decimal"/>
      <w:start w:val="20"/>
    </w:lvl>
  </w:abstractNum>
  <w:abstractNum w:abstractNumId="174">
    <w:nsid w:val="4FC4D600"/>
    <w:multiLevelType w:val="hybridMultilevel"/>
    <w:lvl w:ilvl="0">
      <w:lvlJc w:val="left"/>
      <w:lvlText w:val="(%1)"/>
      <w:numFmt w:val="lowerLetter"/>
      <w:start w:val="1"/>
    </w:lvl>
  </w:abstractNum>
  <w:abstractNum w:abstractNumId="175">
    <w:nsid w:val="5BFD4210"/>
    <w:multiLevelType w:val="hybridMultilevel"/>
    <w:lvl w:ilvl="0">
      <w:lvlJc w:val="left"/>
      <w:lvlText w:val="(%1)"/>
      <w:numFmt w:val="lowerLetter"/>
      <w:start w:val="1"/>
    </w:lvl>
  </w:abstractNum>
  <w:abstractNum w:abstractNumId="176">
    <w:nsid w:val="76574F8B"/>
    <w:multiLevelType w:val="hybridMultilevel"/>
    <w:lvl w:ilvl="0">
      <w:lvlJc w:val="left"/>
      <w:lvlText w:val="%1"/>
      <w:numFmt w:val="decimal"/>
      <w:start w:val="22"/>
    </w:lvl>
  </w:abstractNum>
  <w:abstractNum w:abstractNumId="177">
    <w:nsid w:val="178F7B67"/>
    <w:multiLevelType w:val="hybridMultilevel"/>
    <w:lvl w:ilvl="0">
      <w:lvlJc w:val="left"/>
      <w:lvlText w:val="(%1)"/>
      <w:numFmt w:val="lowerLetter"/>
      <w:start w:val="1"/>
    </w:lvl>
    <w:lvl w:ilvl="1">
      <w:lvlJc w:val="left"/>
      <w:lvlText w:val="(%2)"/>
      <w:numFmt w:val="lowerRoman"/>
      <w:start w:val="1"/>
    </w:lvl>
  </w:abstractNum>
  <w:abstractNum w:abstractNumId="178">
    <w:nsid w:val="2421DFCF"/>
    <w:multiLevelType w:val="hybridMultilevel"/>
    <w:lvl w:ilvl="0">
      <w:lvlJc w:val="left"/>
      <w:lvlText w:val="(%1)"/>
      <w:numFmt w:val="lowerLetter"/>
      <w:start w:val="1"/>
    </w:lvl>
  </w:abstractNum>
  <w:abstractNum w:abstractNumId="179">
    <w:nsid w:val="1565AC99"/>
    <w:multiLevelType w:val="hybridMultilevel"/>
    <w:lvl w:ilvl="0">
      <w:lvlJc w:val="left"/>
      <w:lvlText w:val="(%1)"/>
      <w:numFmt w:val="lowerLetter"/>
      <w:start w:val="1"/>
    </w:lvl>
  </w:abstractNum>
  <w:abstractNum w:abstractNumId="180">
    <w:nsid w:val="19FB2650"/>
    <w:multiLevelType w:val="hybridMultilevel"/>
    <w:lvl w:ilvl="0">
      <w:lvlJc w:val="left"/>
      <w:lvlText w:val="%1"/>
      <w:numFmt w:val="decimal"/>
      <w:start w:val="23"/>
    </w:lvl>
    <w:lvl w:ilvl="1">
      <w:lvlJc w:val="left"/>
      <w:lvlText w:val="(%2)"/>
      <w:numFmt w:val="lowerLetter"/>
      <w:start w:val="1"/>
    </w:lvl>
  </w:abstractNum>
  <w:abstractNum w:abstractNumId="181">
    <w:nsid w:val="5024DE5B"/>
    <w:multiLevelType w:val="hybridMultilevel"/>
    <w:lvl w:ilvl="0">
      <w:lvlJc w:val="left"/>
      <w:lvlText w:val="(%1)"/>
      <w:numFmt w:val="lowerLetter"/>
      <w:start w:val="1"/>
    </w:lvl>
  </w:abstractNum>
  <w:abstractNum w:abstractNumId="182">
    <w:nsid w:val="168EFE17"/>
    <w:multiLevelType w:val="hybridMultilevel"/>
    <w:lvl w:ilvl="0">
      <w:lvlJc w:val="left"/>
      <w:lvlText w:val="(%1)"/>
      <w:numFmt w:val="lowerLetter"/>
      <w:start w:val="1"/>
    </w:lvl>
  </w:abstractNum>
  <w:abstractNum w:abstractNumId="183">
    <w:nsid w:val="1036B29F"/>
    <w:multiLevelType w:val="hybridMultilevel"/>
    <w:lvl w:ilvl="0">
      <w:lvlJc w:val="left"/>
      <w:lvlText w:val="(%1)"/>
      <w:numFmt w:val="lowerLetter"/>
      <w:start w:val="1"/>
    </w:lvl>
  </w:abstractNum>
  <w:abstractNum w:abstractNumId="184">
    <w:nsid w:val="1D206B8E"/>
    <w:multiLevelType w:val="hybridMultilevel"/>
    <w:lvl w:ilvl="0">
      <w:lvlJc w:val="left"/>
      <w:lvlText w:val="(%1)"/>
      <w:numFmt w:val="lowerLetter"/>
      <w:start w:val="1"/>
    </w:lvl>
  </w:abstractNum>
  <w:abstractNum w:abstractNumId="185">
    <w:nsid w:val="7934D3D4"/>
    <w:multiLevelType w:val="hybridMultilevel"/>
    <w:lvl w:ilvl="0">
      <w:lvlJc w:val="left"/>
      <w:lvlText w:val="(%1)"/>
      <w:numFmt w:val="lowerLetter"/>
      <w:start w:val="1"/>
    </w:lvl>
  </w:abstractNum>
  <w:abstractNum w:abstractNumId="186">
    <w:nsid w:val="1C65E98"/>
    <w:multiLevelType w:val="hybridMultilevel"/>
    <w:lvl w:ilvl="0">
      <w:lvlJc w:val="left"/>
      <w:lvlText w:val="(%1)"/>
      <w:numFmt w:val="lowerLetter"/>
      <w:start w:val="2"/>
    </w:lvl>
  </w:abstractNum>
  <w:abstractNum w:abstractNumId="187">
    <w:nsid w:val="1495E50A"/>
    <w:multiLevelType w:val="hybridMultilevel"/>
    <w:lvl w:ilvl="0">
      <w:lvlJc w:val="left"/>
      <w:lvlText w:val="(%1)"/>
      <w:numFmt w:val="lowerLetter"/>
      <w:start w:val="1"/>
    </w:lvl>
  </w:abstractNum>
  <w:abstractNum w:abstractNumId="188">
    <w:nsid w:val="F5BCF61"/>
    <w:multiLevelType w:val="hybridMultilevel"/>
    <w:lvl w:ilvl="0">
      <w:lvlJc w:val="left"/>
      <w:lvlText w:val="(%1)"/>
      <w:numFmt w:val="lowerLetter"/>
      <w:start w:val="3"/>
    </w:lvl>
  </w:abstractNum>
  <w:abstractNum w:abstractNumId="189">
    <w:nsid w:val="3B1DD403"/>
    <w:multiLevelType w:val="hybridMultilevel"/>
    <w:lvl w:ilvl="0">
      <w:lvlJc w:val="left"/>
      <w:lvlText w:val="(%1)"/>
      <w:numFmt w:val="lowerLetter"/>
      <w:start w:val="1"/>
    </w:lvl>
  </w:abstractNum>
  <w:abstractNum w:abstractNumId="190">
    <w:nsid w:val="530386D1"/>
    <w:multiLevelType w:val="hybridMultilevel"/>
    <w:lvl w:ilvl="0">
      <w:lvlJc w:val="left"/>
      <w:lvlText w:val="%1"/>
      <w:numFmt w:val="decimal"/>
      <w:start w:val="28"/>
    </w:lvl>
  </w:abstractNum>
  <w:abstractNum w:abstractNumId="191">
    <w:nsid w:val="7525F2BC"/>
    <w:multiLevelType w:val="hybridMultilevel"/>
    <w:lvl w:ilvl="0">
      <w:lvlJc w:val="left"/>
      <w:lvlText w:val="(%1)"/>
      <w:numFmt w:val="lowerLetter"/>
      <w:start w:val="1"/>
    </w:lvl>
  </w:abstractNum>
  <w:abstractNum w:abstractNumId="192">
    <w:nsid w:val="CE8E1A7"/>
    <w:multiLevelType w:val="hybridMultilevel"/>
    <w:lvl w:ilvl="0">
      <w:lvlJc w:val="left"/>
      <w:lvlText w:val="(%1)"/>
      <w:numFmt w:val="lowerLetter"/>
      <w:start w:val="1"/>
    </w:lvl>
  </w:abstractNum>
  <w:abstractNum w:abstractNumId="193">
    <w:nsid w:val="4E9EFB0D"/>
    <w:multiLevelType w:val="hybridMultilevel"/>
    <w:lvl w:ilvl="0">
      <w:lvlJc w:val="left"/>
      <w:lvlText w:val="(%1)"/>
      <w:numFmt w:val="lowerLetter"/>
      <w:start w:val="1"/>
    </w:lvl>
  </w:abstractNum>
  <w:abstractNum w:abstractNumId="194">
    <w:nsid w:val="90802BE"/>
    <w:multiLevelType w:val="hybridMultilevel"/>
    <w:lvl w:ilvl="0">
      <w:lvlJc w:val="left"/>
      <w:lvlText w:val="%1"/>
      <w:numFmt w:val="decimal"/>
      <w:start w:val="29"/>
    </w:lvl>
  </w:abstractNum>
  <w:abstractNum w:abstractNumId="195">
    <w:nsid w:val="3266459B"/>
    <w:multiLevelType w:val="hybridMultilevel"/>
    <w:lvl w:ilvl="0">
      <w:lvlJc w:val="left"/>
      <w:lvlText w:val="(%1)"/>
      <w:numFmt w:val="lowerLetter"/>
      <w:start w:val="1"/>
    </w:lvl>
  </w:abstractNum>
  <w:abstractNum w:abstractNumId="196">
    <w:nsid w:val="3F8B0CBF"/>
    <w:multiLevelType w:val="hybridMultilevel"/>
    <w:lvl w:ilvl="0">
      <w:lvlJc w:val="left"/>
      <w:lvlText w:val="(%1)"/>
      <w:numFmt w:val="lowerLetter"/>
      <w:start w:val="2"/>
    </w:lvl>
  </w:abstractNum>
  <w:abstractNum w:abstractNumId="197">
    <w:nsid w:val="37E203AB"/>
    <w:multiLevelType w:val="hybridMultilevel"/>
    <w:lvl w:ilvl="0">
      <w:lvlJc w:val="left"/>
      <w:lvlText w:val="(%1)"/>
      <w:numFmt w:val="lowerLetter"/>
      <w:start w:val="1"/>
    </w:lvl>
    <w:lvl w:ilvl="1">
      <w:lvlJc w:val="left"/>
      <w:lvlText w:val="(%2)"/>
      <w:numFmt w:val="lowerRoman"/>
      <w:start w:val="1"/>
    </w:lvl>
  </w:abstractNum>
  <w:abstractNum w:abstractNumId="198">
    <w:nsid w:val="2586D60E"/>
    <w:multiLevelType w:val="hybridMultilevel"/>
    <w:lvl w:ilvl="0">
      <w:lvlJc w:val="left"/>
      <w:lvlText w:val="(%1)"/>
      <w:numFmt w:val="lowerLetter"/>
      <w:start w:val="2"/>
    </w:lvl>
  </w:abstractNum>
  <w:abstractNum w:abstractNumId="199">
    <w:nsid w:val="1F3DA4D5"/>
    <w:multiLevelType w:val="hybridMultilevel"/>
    <w:lvl w:ilvl="0">
      <w:lvlJc w:val="left"/>
      <w:lvlText w:val="%1"/>
      <w:numFmt w:val="decimal"/>
      <w:start w:val="30"/>
    </w:lvl>
  </w:abstractNum>
  <w:abstractNum w:abstractNumId="200">
    <w:nsid w:val="74C93698"/>
    <w:multiLevelType w:val="hybridMultilevel"/>
    <w:lvl w:ilvl="0">
      <w:lvlJc w:val="left"/>
      <w:lvlText w:val="(%1)"/>
      <w:numFmt w:val="lowerLetter"/>
      <w:start w:val="1"/>
    </w:lvl>
  </w:abstractNum>
  <w:abstractNum w:abstractNumId="201">
    <w:nsid w:val="48781401"/>
    <w:multiLevelType w:val="hybridMultilevel"/>
    <w:lvl w:ilvl="0">
      <w:lvlJc w:val="left"/>
      <w:lvlText w:val="(%1)"/>
      <w:numFmt w:val="lowerLetter"/>
      <w:start w:val="1"/>
    </w:lvl>
  </w:abstractNum>
  <w:abstractNum w:abstractNumId="202">
    <w:nsid w:val="186928D6"/>
    <w:multiLevelType w:val="hybridMultilevel"/>
    <w:lvl w:ilvl="0">
      <w:lvlJc w:val="left"/>
      <w:lvlText w:val="%1"/>
      <w:numFmt w:val="decimal"/>
      <w:start w:val="31"/>
    </w:lvl>
  </w:abstractNum>
  <w:abstractNum w:abstractNumId="203">
    <w:nsid w:val="47195E5"/>
    <w:multiLevelType w:val="hybridMultilevel"/>
    <w:lvl w:ilvl="0">
      <w:lvlJc w:val="left"/>
      <w:lvlText w:val="(%1)"/>
      <w:numFmt w:val="lowerLetter"/>
      <w:start w:val="1"/>
    </w:lvl>
  </w:abstractNum>
  <w:abstractNum w:abstractNumId="204">
    <w:nsid w:val="3746A5F2"/>
    <w:multiLevelType w:val="hybridMultilevel"/>
    <w:lvl w:ilvl="0">
      <w:lvlJc w:val="left"/>
      <w:lvlText w:val="(%1)"/>
      <w:numFmt w:val="lowerLetter"/>
      <w:start w:val="2"/>
    </w:lvl>
  </w:abstractNum>
  <w:abstractNum w:abstractNumId="205">
    <w:nsid w:val="682DFED6"/>
    <w:multiLevelType w:val="hybridMultilevel"/>
    <w:lvl w:ilvl="0">
      <w:lvlJc w:val="left"/>
      <w:lvlText w:val="(%1)"/>
      <w:numFmt w:val="lowerLetter"/>
      <w:start w:val="1"/>
    </w:lvl>
  </w:abstractNum>
  <w:abstractNum w:abstractNumId="206">
    <w:nsid w:val="606ED7F6"/>
    <w:multiLevelType w:val="hybridMultilevel"/>
    <w:lvl w:ilvl="0">
      <w:lvlJc w:val="left"/>
      <w:lvlText w:val="(%1)"/>
      <w:numFmt w:val="lowerLetter"/>
      <w:start w:val="1"/>
    </w:lvl>
  </w:abstractNum>
  <w:abstractNum w:abstractNumId="207">
    <w:nsid w:val="2D9DF57D"/>
    <w:multiLevelType w:val="hybridMultilevel"/>
    <w:lvl w:ilvl="0">
      <w:lvlJc w:val="left"/>
      <w:lvlText w:val="(%1)"/>
      <w:numFmt w:val="lowerLetter"/>
      <w:start w:val="1"/>
    </w:lvl>
  </w:abstractNum>
  <w:abstractNum w:abstractNumId="208">
    <w:nsid w:val="7FBD7A3E"/>
    <w:multiLevelType w:val="hybridMultilevel"/>
    <w:lvl w:ilvl="0">
      <w:lvlJc w:val="left"/>
      <w:lvlText w:val="(%1)"/>
      <w:numFmt w:val="lowerLetter"/>
      <w:start w:val="1"/>
    </w:lvl>
  </w:abstractNum>
  <w:abstractNum w:abstractNumId="209">
    <w:nsid w:val="490B7C5"/>
    <w:multiLevelType w:val="hybridMultilevel"/>
    <w:lvl w:ilvl="0">
      <w:lvlJc w:val="left"/>
      <w:lvlText w:val="%1"/>
      <w:numFmt w:val="decimal"/>
      <w:start w:val="33"/>
    </w:lvl>
  </w:abstractNum>
  <w:abstractNum w:abstractNumId="210">
    <w:nsid w:val="4303A216"/>
    <w:multiLevelType w:val="hybridMultilevel"/>
    <w:lvl w:ilvl="0">
      <w:lvlJc w:val="left"/>
      <w:lvlText w:val="(%1)"/>
      <w:numFmt w:val="lowerLetter"/>
      <w:start w:val="1"/>
    </w:lvl>
  </w:abstractNum>
  <w:abstractNum w:abstractNumId="211">
    <w:nsid w:val="19B8A08E"/>
    <w:multiLevelType w:val="hybridMultilevel"/>
    <w:lvl w:ilvl="0">
      <w:lvlJc w:val="left"/>
      <w:lvlText w:val="%1"/>
      <w:numFmt w:val="decimal"/>
      <w:start w:val="34"/>
    </w:lvl>
  </w:abstractNum>
  <w:abstractNum w:abstractNumId="212">
    <w:nsid w:val="54B59621"/>
    <w:multiLevelType w:val="hybridMultilevel"/>
    <w:lvl w:ilvl="0">
      <w:lvlJc w:val="left"/>
      <w:lvlText w:val="(%1)"/>
      <w:numFmt w:val="lowerLetter"/>
      <w:start w:val="1"/>
    </w:lvl>
  </w:abstractNum>
  <w:abstractNum w:abstractNumId="213">
    <w:nsid w:val="5992A02E"/>
    <w:multiLevelType w:val="hybridMultilevel"/>
    <w:lvl w:ilvl="0">
      <w:lvlJc w:val="left"/>
      <w:lvlText w:val="1"/>
      <w:numFmt w:val="bullet"/>
      <w:start w:val="1"/>
    </w:lvl>
  </w:abstractNum>
  <w:abstractNum w:abstractNumId="214">
    <w:nsid w:val="29EF532D"/>
    <w:multiLevelType w:val="hybridMultilevel"/>
    <w:lvl w:ilvl="0">
      <w:lvlJc w:val="left"/>
      <w:lvlText w:val="2"/>
      <w:numFmt w:val="bullet"/>
      <w:start w:val="1"/>
    </w:lvl>
  </w:abstractNum>
  <w:abstractNum w:abstractNumId="215">
    <w:nsid w:val="71D601AF"/>
    <w:multiLevelType w:val="hybridMultilevel"/>
    <w:lvl w:ilvl="0">
      <w:lvlJc w:val="left"/>
      <w:lvlText w:val="3"/>
      <w:numFmt w:val="bullet"/>
      <w:start w:val="1"/>
    </w:lvl>
  </w:abstractNum>
  <w:abstractNum w:abstractNumId="216">
    <w:nsid w:val="52C77402"/>
    <w:multiLevelType w:val="hybridMultilevel"/>
    <w:lvl w:ilvl="0">
      <w:lvlJc w:val="left"/>
      <w:lvlText w:val="4"/>
      <w:numFmt w:val="bullet"/>
      <w:start w:val="1"/>
    </w:lvl>
  </w:abstractNum>
  <w:abstractNum w:abstractNumId="217">
    <w:nsid w:val="2BB5B1C6"/>
    <w:multiLevelType w:val="hybridMultilevel"/>
    <w:lvl w:ilvl="0">
      <w:lvlJc w:val="left"/>
      <w:lvlText w:val="5"/>
      <w:numFmt w:val="bullet"/>
      <w:start w:val="1"/>
    </w:lvl>
    <w:lvl w:ilvl="1">
      <w:lvlJc w:val="left"/>
      <w:lvlText w:val="(%2)"/>
      <w:numFmt w:val="lowerLetter"/>
      <w:start w:val="1"/>
    </w:lvl>
  </w:abstractNum>
  <w:abstractNum w:abstractNumId="218">
    <w:nsid w:val="66BE6B9"/>
    <w:multiLevelType w:val="hybridMultilevel"/>
    <w:lvl w:ilvl="0">
      <w:lvlJc w:val="left"/>
      <w:lvlText w:val="6"/>
      <w:numFmt w:val="bullet"/>
      <w:start w:val="1"/>
    </w:lvl>
  </w:abstractNum>
  <w:abstractNum w:abstractNumId="219">
    <w:nsid w:val="62234363"/>
    <w:multiLevelType w:val="hybridMultilevel"/>
    <w:lvl w:ilvl="0">
      <w:lvlJc w:val="left"/>
      <w:lvlText w:val="7"/>
      <w:numFmt w:val="bullet"/>
      <w:start w:val="1"/>
    </w:lvl>
  </w:abstractNum>
  <w:abstractNum w:abstractNumId="220">
    <w:nsid w:val="66D385C9"/>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221">
    <w:nsid w:val="596F6D8A"/>
    <w:multiLevelType w:val="hybridMultilevel"/>
    <w:lvl w:ilvl="0">
      <w:lvlJc w:val="left"/>
      <w:lvlText w:val="(%1)"/>
      <w:numFmt w:val="lowerLetter"/>
      <w:start w:val="4"/>
    </w:lvl>
  </w:abstractNum>
  <w:abstractNum w:abstractNumId="222">
    <w:nsid w:val="5749361F"/>
    <w:multiLevelType w:val="hybridMultilevel"/>
    <w:lvl w:ilvl="0">
      <w:lvlJc w:val="left"/>
      <w:lvlText w:val="9"/>
      <w:numFmt w:val="bullet"/>
      <w:start w:val="1"/>
    </w:lvl>
  </w:abstractNum>
  <w:abstractNum w:abstractNumId="223">
    <w:nsid w:val="73BC6770"/>
    <w:multiLevelType w:val="hybridMultilevel"/>
    <w:lvl w:ilvl="0">
      <w:lvlJc w:val="left"/>
      <w:lvlText w:val="1"/>
      <w:numFmt w:val="bullet"/>
      <w:start w:val="1"/>
    </w:lvl>
  </w:abstractNum>
  <w:abstractNum w:abstractNumId="224">
    <w:nsid w:val="280E6897"/>
    <w:multiLevelType w:val="hybridMultilevel"/>
    <w:lvl w:ilvl="0">
      <w:lvlJc w:val="left"/>
      <w:lvlText w:val="(%1)"/>
      <w:numFmt w:val="lowerLetter"/>
      <w:start w:val="1"/>
    </w:lvl>
  </w:abstractNum>
  <w:abstractNum w:abstractNumId="225">
    <w:nsid w:val="605138DE"/>
    <w:multiLevelType w:val="hybridMultilevel"/>
    <w:lvl w:ilvl="0">
      <w:lvlJc w:val="left"/>
      <w:lvlText w:val="(%1)"/>
      <w:numFmt w:val="lowerLetter"/>
      <w:start w:val="1"/>
    </w:lvl>
  </w:abstractNum>
  <w:abstractNum w:abstractNumId="226">
    <w:nsid w:val="2622AD0C"/>
    <w:multiLevelType w:val="hybridMultilevel"/>
    <w:lvl w:ilvl="0">
      <w:lvlJc w:val="left"/>
      <w:lvlText w:val="(%1)"/>
      <w:numFmt w:val="lowerLetter"/>
      <w:start w:val="1"/>
    </w:lvl>
  </w:abstractNum>
  <w:abstractNum w:abstractNumId="227">
    <w:nsid w:val="67997556"/>
    <w:multiLevelType w:val="hybridMultilevel"/>
    <w:lvl w:ilvl="0">
      <w:lvlJc w:val="left"/>
      <w:lvlText w:val="(%1)"/>
      <w:numFmt w:val="lowerLetter"/>
      <w:start w:val="1"/>
    </w:lvl>
  </w:abstractNum>
  <w:abstractNum w:abstractNumId="228">
    <w:nsid w:val="18333C89"/>
    <w:multiLevelType w:val="hybridMultilevel"/>
    <w:lvl w:ilvl="0">
      <w:lvlJc w:val="left"/>
      <w:lvlText w:val="(%1)"/>
      <w:numFmt w:val="lowerLetter"/>
      <w:start w:val="1"/>
    </w:lvl>
    <w:lvl w:ilvl="1">
      <w:lvlJc w:val="left"/>
      <w:lvlText w:val="(%2)"/>
      <w:numFmt w:val="lowerRoman"/>
      <w:start w:val="1"/>
    </w:lvl>
  </w:abstractNum>
  <w:abstractNum w:abstractNumId="229">
    <w:nsid w:val="4BA9831A"/>
    <w:multiLevelType w:val="hybridMultilevel"/>
    <w:lvl w:ilvl="0">
      <w:lvlJc w:val="left"/>
      <w:lvlText w:val="(%1)"/>
      <w:numFmt w:val="lowerLetter"/>
      <w:start w:val="2"/>
    </w:lvl>
  </w:abstractNum>
  <w:abstractNum w:abstractNumId="230">
    <w:nsid w:val="6D71A2B"/>
    <w:multiLevelType w:val="hybridMultilevel"/>
    <w:lvl w:ilvl="0">
      <w:lvlJc w:val="left"/>
      <w:lvlText w:val="(%1)"/>
      <w:numFmt w:val="lowerLetter"/>
      <w:start w:val="4"/>
    </w:lvl>
  </w:abstractNum>
  <w:abstractNum w:abstractNumId="231">
    <w:nsid w:val="CFC7321"/>
    <w:multiLevelType w:val="hybridMultilevel"/>
    <w:lvl w:ilvl="0">
      <w:lvlJc w:val="left"/>
      <w:lvlText w:val="2"/>
      <w:numFmt w:val="bullet"/>
      <w:start w:val="1"/>
    </w:lvl>
  </w:abstractNum>
  <w:abstractNum w:abstractNumId="232">
    <w:nsid w:val="1421971B"/>
    <w:multiLevelType w:val="hybridMultilevel"/>
    <w:lvl w:ilvl="0">
      <w:lvlJc w:val="left"/>
      <w:lvlText w:val="3"/>
      <w:numFmt w:val="bullet"/>
      <w:start w:val="1"/>
    </w:lvl>
  </w:abstractNum>
  <w:abstractNum w:abstractNumId="233">
    <w:nsid w:val="1F404301"/>
    <w:multiLevelType w:val="hybridMultilevel"/>
    <w:lvl w:ilvl="0">
      <w:lvlJc w:val="left"/>
      <w:lvlText w:val="(%1)"/>
      <w:numFmt w:val="lowerLetter"/>
      <w:start w:val="1"/>
    </w:lvl>
  </w:abstractNum>
  <w:abstractNum w:abstractNumId="234">
    <w:nsid w:val="116E0907"/>
    <w:multiLevelType w:val="hybridMultilevel"/>
    <w:lvl w:ilvl="0">
      <w:lvlJc w:val="left"/>
      <w:lvlText w:val="(%1)"/>
      <w:numFmt w:val="lowerLetter"/>
      <w:start w:val="1"/>
    </w:lvl>
  </w:abstractNum>
  <w:abstractNum w:abstractNumId="235">
    <w:nsid w:val="4B683D0D"/>
    <w:multiLevelType w:val="hybridMultilevel"/>
    <w:lvl w:ilvl="0">
      <w:lvlJc w:val="left"/>
      <w:lvlText w:val="(%1)"/>
      <w:numFmt w:val="lowerLetter"/>
      <w:start w:val="1"/>
    </w:lvl>
  </w:abstractNum>
  <w:abstractNum w:abstractNumId="236">
    <w:nsid w:val="76E41D8"/>
    <w:multiLevelType w:val="hybridMultilevel"/>
    <w:lvl w:ilvl="0">
      <w:lvlJc w:val="left"/>
      <w:lvlText w:val="(%1)"/>
      <w:numFmt w:val="lowerLetter"/>
      <w:start w:val="2"/>
    </w:lvl>
  </w:abstractNum>
  <w:abstractNum w:abstractNumId="237">
    <w:nsid w:val="71DCE0FD"/>
    <w:multiLevelType w:val="hybridMultilevel"/>
    <w:lvl w:ilvl="0">
      <w:lvlJc w:val="left"/>
      <w:lvlText w:val="(%1)"/>
      <w:numFmt w:val="lowerLetter"/>
      <w:start w:val="1"/>
    </w:lvl>
  </w:abstractNum>
  <w:abstractNum w:abstractNumId="238">
    <w:nsid w:val="7906328B"/>
    <w:multiLevelType w:val="hybridMultilevel"/>
    <w:lvl w:ilvl="0">
      <w:lvlJc w:val="left"/>
      <w:lvlText w:val="(%1)"/>
      <w:numFmt w:val="lowerLetter"/>
      <w:start w:val="1"/>
    </w:lvl>
  </w:abstractNum>
  <w:abstractNum w:abstractNumId="239">
    <w:nsid w:val="72BBC16"/>
    <w:multiLevelType w:val="hybridMultilevel"/>
    <w:lvl w:ilvl="0">
      <w:lvlJc w:val="left"/>
      <w:lvlText w:val="(%1)"/>
      <w:numFmt w:val="lowerLetter"/>
      <w:start w:val="1"/>
    </w:lvl>
    <w:lvl w:ilvl="1">
      <w:lvlJc w:val="left"/>
      <w:lvlText w:val="(%2)"/>
      <w:numFmt w:val="lowerLetter"/>
      <w:start w:val="9"/>
    </w:lvl>
  </w:abstractNum>
  <w:abstractNum w:abstractNumId="240">
    <w:nsid w:val="766D98C2"/>
    <w:multiLevelType w:val="hybridMultilevel"/>
    <w:lvl w:ilvl="0">
      <w:lvlJc w:val="left"/>
      <w:lvlText w:val="%1"/>
      <w:numFmt w:val="lowerLetter"/>
      <w:start w:val="1"/>
    </w:lvl>
    <w:lvl w:ilvl="1">
      <w:lvlJc w:val="left"/>
      <w:lvlText w:val="(%2)"/>
      <w:numFmt w:val="lowerLetter"/>
      <w:start w:val="35"/>
    </w:lvl>
  </w:abstractNum>
  <w:abstractNum w:abstractNumId="241">
    <w:nsid w:val="3C09D4A1"/>
    <w:multiLevelType w:val="hybridMultilevel"/>
    <w:lvl w:ilvl="0">
      <w:lvlJc w:val="left"/>
      <w:lvlText w:val="(%1)"/>
      <w:numFmt w:val="lowerLetter"/>
      <w:start w:val="3"/>
    </w:lvl>
    <w:lvl w:ilvl="1">
      <w:lvlJc w:val="left"/>
      <w:lvlText w:val="%2"/>
      <w:numFmt w:val="lowerLetter"/>
      <w:start w:val="1"/>
    </w:lvl>
  </w:abstractNum>
  <w:abstractNum w:abstractNumId="242">
    <w:nsid w:val="20E45CA4"/>
    <w:multiLevelType w:val="hybridMultilevel"/>
    <w:lvl w:ilvl="0">
      <w:lvlJc w:val="left"/>
      <w:lvlText w:val="(%1)"/>
      <w:numFmt w:val="lowerLetter"/>
      <w:start w:val="1"/>
    </w:lvl>
  </w:abstractNum>
  <w:abstractNum w:abstractNumId="243">
    <w:nsid w:val="4B232EE3"/>
    <w:multiLevelType w:val="hybridMultilevel"/>
    <w:lvl w:ilvl="0">
      <w:lvlJc w:val="left"/>
      <w:lvlText w:val="(%1)"/>
      <w:numFmt w:val="lowerLetter"/>
      <w:start w:val="1"/>
    </w:lvl>
  </w:abstractNum>
  <w:abstractNum w:abstractNumId="244">
    <w:nsid w:val="159C74CF"/>
    <w:multiLevelType w:val="hybridMultilevel"/>
    <w:lvl w:ilvl="0">
      <w:lvlJc w:val="left"/>
      <w:lvlText w:val="4"/>
      <w:numFmt w:val="bullet"/>
      <w:start w:val="1"/>
    </w:lvl>
  </w:abstractNum>
  <w:abstractNum w:abstractNumId="245">
    <w:nsid w:val="4AD3AFD2"/>
    <w:multiLevelType w:val="hybridMultilevel"/>
    <w:lvl w:ilvl="0">
      <w:lvlJc w:val="left"/>
      <w:lvlText w:val="5"/>
      <w:numFmt w:val="bullet"/>
      <w:start w:val="1"/>
    </w:lvl>
  </w:abstractNum>
  <w:abstractNum w:abstractNumId="246">
    <w:nsid w:val="3CF93092"/>
    <w:multiLevelType w:val="hybridMultilevel"/>
    <w:lvl w:ilvl="0">
      <w:lvlJc w:val="left"/>
      <w:lvlText w:val="(%1)"/>
      <w:numFmt w:val="lowerLetter"/>
      <w:start w:val="1"/>
    </w:lvl>
  </w:abstractNum>
  <w:abstractNum w:abstractNumId="247">
    <w:nsid w:val="6863E8D2"/>
    <w:multiLevelType w:val="hybridMultilevel"/>
    <w:lvl w:ilvl="0">
      <w:lvlJc w:val="left"/>
      <w:lvlText w:val="(%1)"/>
      <w:numFmt w:val="lowerLetter"/>
      <w:start w:val="1"/>
    </w:lvl>
  </w:abstractNum>
  <w:abstractNum w:abstractNumId="248">
    <w:nsid w:val="76896198"/>
    <w:multiLevelType w:val="hybridMultilevel"/>
    <w:lvl w:ilvl="0">
      <w:lvlJc w:val="left"/>
      <w:lvlText w:val="6"/>
      <w:numFmt w:val="bullet"/>
      <w:start w:val="1"/>
    </w:lvl>
  </w:abstractNum>
  <w:abstractNum w:abstractNumId="249">
    <w:nsid w:val="4365174B"/>
    <w:multiLevelType w:val="hybridMultilevel"/>
    <w:lvl w:ilvl="0">
      <w:lvlJc w:val="left"/>
      <w:lvlText w:val="(%1)"/>
      <w:numFmt w:val="lowerLetter"/>
      <w:start w:val="1"/>
    </w:lvl>
  </w:abstractNum>
  <w:abstractNum w:abstractNumId="250">
    <w:nsid w:val="4A872C35"/>
    <w:multiLevelType w:val="hybridMultilevel"/>
    <w:lvl w:ilvl="0">
      <w:lvlJc w:val="left"/>
      <w:lvlText w:val="(%1)"/>
      <w:numFmt w:val="lowerLetter"/>
      <w:start w:val="1"/>
    </w:lvl>
  </w:abstractNum>
  <w:abstractNum w:abstractNumId="251">
    <w:nsid w:val="5D5CE761"/>
    <w:multiLevelType w:val="hybridMultilevel"/>
    <w:lvl w:ilvl="0">
      <w:lvlJc w:val="left"/>
      <w:lvlText w:val="(%1)"/>
      <w:numFmt w:val="lowerLetter"/>
      <w:start w:val="1"/>
    </w:lvl>
  </w:abstractNum>
  <w:abstractNum w:abstractNumId="252">
    <w:nsid w:val="1CD484D5"/>
    <w:multiLevelType w:val="hybridMultilevel"/>
    <w:lvl w:ilvl="0">
      <w:lvlJc w:val="left"/>
      <w:lvlText w:val="(%1)"/>
      <w:numFmt w:val="lowerLetter"/>
      <w:start w:val="2"/>
    </w:lvl>
  </w:abstractNum>
  <w:abstractNum w:abstractNumId="253">
    <w:nsid w:val="21D06255"/>
    <w:multiLevelType w:val="hybridMultilevel"/>
    <w:lvl w:ilvl="0">
      <w:lvlJc w:val="left"/>
      <w:lvlText w:val="(%1)"/>
      <w:numFmt w:val="lowerLetter"/>
      <w:start w:val="1"/>
    </w:lvl>
  </w:abstractNum>
  <w:abstractNum w:abstractNumId="254">
    <w:nsid w:val="51194ED1"/>
    <w:multiLevelType w:val="hybridMultilevel"/>
    <w:lvl w:ilvl="0">
      <w:lvlJc w:val="left"/>
      <w:lvlText w:val="7"/>
      <w:numFmt w:val="bullet"/>
      <w:start w:val="1"/>
    </w:lvl>
  </w:abstractNum>
  <w:abstractNum w:abstractNumId="255">
    <w:nsid w:val="44E2ED6C"/>
    <w:multiLevelType w:val="hybridMultilevel"/>
    <w:lvl w:ilvl="0">
      <w:lvlJc w:val="left"/>
      <w:lvlText w:val="(%1)"/>
      <w:numFmt w:val="lowerLetter"/>
      <w:start w:val="1"/>
    </w:lvl>
  </w:abstractNum>
  <w:abstractNum w:abstractNumId="256">
    <w:nsid w:val="2219B33"/>
    <w:multiLevelType w:val="hybridMultilevel"/>
    <w:lvl w:ilvl="0">
      <w:lvlJc w:val="left"/>
      <w:lvlText w:val="(%1)"/>
      <w:numFmt w:val="lowerLetter"/>
      <w:start w:val="1"/>
    </w:lvl>
  </w:abstractNum>
  <w:abstractNum w:abstractNumId="257">
    <w:nsid w:val="773BFBDD"/>
    <w:multiLevelType w:val="hybridMultilevel"/>
    <w:lvl w:ilvl="0">
      <w:lvlJc w:val="left"/>
      <w:lvlText w:val="(%1)"/>
      <w:numFmt w:val="lowerLetter"/>
      <w:start w:val="3"/>
    </w:lvl>
  </w:abstractNum>
  <w:abstractNum w:abstractNumId="258">
    <w:nsid w:val="2C7C62C2"/>
    <w:multiLevelType w:val="hybridMultilevel"/>
    <w:lvl w:ilvl="0">
      <w:lvlJc w:val="left"/>
      <w:lvlText w:val="(%1)"/>
      <w:numFmt w:val="lowerLetter"/>
      <w:start w:val="1"/>
    </w:lvl>
  </w:abstractNum>
  <w:abstractNum w:abstractNumId="259">
    <w:nsid w:val="1A54D7BC"/>
    <w:multiLevelType w:val="hybridMultilevel"/>
    <w:lvl w:ilvl="0">
      <w:lvlJc w:val="left"/>
      <w:lvlText w:val="(%1)"/>
      <w:numFmt w:val="lowerLetter"/>
      <w:start w:val="1"/>
    </w:lvl>
  </w:abstractNum>
  <w:abstractNum w:abstractNumId="260">
    <w:nsid w:val="42E57EF7"/>
    <w:multiLevelType w:val="hybridMultilevel"/>
    <w:lvl w:ilvl="0">
      <w:lvlJc w:val="left"/>
      <w:lvlText w:val="(%1)"/>
      <w:numFmt w:val="lowerLetter"/>
      <w:start w:val="1"/>
    </w:lvl>
  </w:abstractNum>
  <w:abstractNum w:abstractNumId="261">
    <w:nsid w:val="33537CED"/>
    <w:multiLevelType w:val="hybridMultilevel"/>
    <w:lvl w:ilvl="0">
      <w:lvlJc w:val="left"/>
      <w:lvlText w:val="(%1)"/>
      <w:numFmt w:val="lowerLetter"/>
      <w:start w:val="2"/>
    </w:lvl>
    <w:lvl w:ilvl="1">
      <w:lvlJc w:val="left"/>
      <w:lvlText w:val="(%2)"/>
      <w:numFmt w:val="lowerRoman"/>
      <w:start w:val="1"/>
    </w:lvl>
  </w:abstractNum>
  <w:abstractNum w:abstractNumId="262">
    <w:nsid w:val="27514ADE"/>
    <w:multiLevelType w:val="hybridMultilevel"/>
    <w:lvl w:ilvl="0">
      <w:lvlJc w:val="left"/>
      <w:lvlText w:val="(%1)"/>
      <w:numFmt w:val="lowerLetter"/>
      <w:start w:val="1"/>
    </w:lvl>
  </w:abstractNum>
  <w:abstractNum w:abstractNumId="263">
    <w:nsid w:val="57071613"/>
    <w:multiLevelType w:val="hybridMultilevel"/>
    <w:lvl w:ilvl="0">
      <w:lvlJc w:val="left"/>
      <w:lvlText w:val="8"/>
      <w:numFmt w:val="bullet"/>
      <w:start w:val="1"/>
    </w:lvl>
  </w:abstractNum>
  <w:abstractNum w:abstractNumId="264">
    <w:nsid w:val="5293BFEF"/>
    <w:multiLevelType w:val="hybridMultilevel"/>
    <w:lvl w:ilvl="0">
      <w:lvlJc w:val="left"/>
      <w:lvlText w:val="(%1)"/>
      <w:numFmt w:val="lowerLetter"/>
      <w:start w:val="1"/>
    </w:lvl>
  </w:abstractNum>
  <w:abstractNum w:abstractNumId="265">
    <w:nsid w:val="38BF53E5"/>
    <w:multiLevelType w:val="hybridMultilevel"/>
    <w:lvl w:ilvl="0">
      <w:lvlJc w:val="left"/>
      <w:lvlText w:val="9"/>
      <w:numFmt w:val="bullet"/>
      <w:start w:val="1"/>
    </w:lvl>
  </w:abstractNum>
  <w:abstractNum w:abstractNumId="266">
    <w:nsid w:val="226F5320"/>
    <w:multiLevelType w:val="hybridMultilevel"/>
    <w:lvl w:ilvl="0">
      <w:lvlJc w:val="left"/>
      <w:lvlText w:val="(%1)"/>
      <w:numFmt w:val="lowerLetter"/>
      <w:start w:val="1"/>
    </w:lvl>
  </w:abstractNum>
  <w:abstractNum w:abstractNumId="267">
    <w:nsid w:val="5A0201C7"/>
    <w:multiLevelType w:val="hybridMultilevel"/>
    <w:lvl w:ilvl="0">
      <w:lvlJc w:val="left"/>
      <w:lvlText w:val="(%1)"/>
      <w:numFmt w:val="lowerLetter"/>
      <w:start w:val="1"/>
    </w:lvl>
  </w:abstractNum>
  <w:abstractNum w:abstractNumId="268">
    <w:nsid w:val="2A9C34E2"/>
    <w:multiLevelType w:val="hybridMultilevel"/>
    <w:lvl w:ilvl="0">
      <w:lvlJc w:val="left"/>
      <w:lvlText w:val="(%1)"/>
      <w:numFmt w:val="lowerLetter"/>
      <w:start w:val="1"/>
    </w:lvl>
  </w:abstractNum>
  <w:abstractNum w:abstractNumId="269">
    <w:nsid w:val="1B7585AB"/>
    <w:multiLevelType w:val="hybridMultilevel"/>
    <w:lvl w:ilvl="0">
      <w:lvlJc w:val="left"/>
      <w:lvlText w:val="(%1)"/>
      <w:numFmt w:val="lowerLetter"/>
      <w:start w:val="2"/>
    </w:lvl>
  </w:abstractNum>
  <w:abstractNum w:abstractNumId="270">
    <w:nsid w:val="612DBDDD"/>
    <w:multiLevelType w:val="hybridMultilevel"/>
    <w:lvl w:ilvl="0">
      <w:lvlJc w:val="left"/>
      <w:lvlText w:val="(%1)"/>
      <w:numFmt w:val="lowerLetter"/>
      <w:start w:val="1"/>
    </w:lvl>
  </w:abstractNum>
  <w:abstractNum w:abstractNumId="271">
    <w:nsid w:val="2109CDA4"/>
    <w:multiLevelType w:val="hybridMultilevel"/>
    <w:lvl w:ilvl="0">
      <w:lvlJc w:val="left"/>
      <w:lvlText w:val="(%1)"/>
      <w:numFmt w:val="lowerLetter"/>
      <w:start w:val="1"/>
    </w:lvl>
  </w:abstractNum>
  <w:abstractNum w:abstractNumId="272">
    <w:nsid w:val="577F5A4D"/>
    <w:multiLevelType w:val="hybridMultilevel"/>
    <w:lvl w:ilvl="0">
      <w:lvlJc w:val="left"/>
      <w:lvlText w:val="(%1)"/>
      <w:numFmt w:val="lowerLetter"/>
      <w:start w:val="1"/>
    </w:lvl>
  </w:abstractNum>
  <w:abstractNum w:abstractNumId="273">
    <w:nsid w:val="2121A81"/>
    <w:multiLevelType w:val="hybridMultilevel"/>
    <w:lvl w:ilvl="0">
      <w:lvlJc w:val="left"/>
      <w:lvlText w:val="(%1)"/>
      <w:numFmt w:val="lowerLetter"/>
      <w:start w:val="1"/>
    </w:lvl>
  </w:abstractNum>
  <w:abstractNum w:abstractNumId="274">
    <w:nsid w:val="6C2CFC88"/>
    <w:multiLevelType w:val="hybridMultilevel"/>
    <w:lvl w:ilvl="0">
      <w:lvlJc w:val="left"/>
      <w:lvlText w:val="(%1)"/>
      <w:numFmt w:val="lowerLetter"/>
      <w:start w:val="2"/>
    </w:lvl>
  </w:abstractNum>
  <w:abstractNum w:abstractNumId="275">
    <w:nsid w:val="6D1BCF1C"/>
    <w:multiLevelType w:val="hybridMultilevel"/>
    <w:lvl w:ilvl="0">
      <w:lvlJc w:val="left"/>
      <w:lvlText w:val="(%1)"/>
      <w:numFmt w:val="lowerLetter"/>
      <w:start w:val="1"/>
    </w:lvl>
    <w:lvl w:ilvl="1">
      <w:lvlJc w:val="left"/>
      <w:lvlText w:val="(%2)"/>
      <w:numFmt w:val="lowerRoman"/>
      <w:start w:val="1"/>
    </w:lvl>
  </w:abstractNum>
  <w:abstractNum w:abstractNumId="276">
    <w:nsid w:val="4CE5CA53"/>
    <w:multiLevelType w:val="hybridMultilevel"/>
    <w:lvl w:ilvl="0">
      <w:lvlJc w:val="left"/>
      <w:lvlText w:val="(%1)"/>
      <w:numFmt w:val="lowerLetter"/>
      <w:start w:val="1"/>
    </w:lvl>
  </w:abstractNum>
  <w:abstractNum w:abstractNumId="277">
    <w:nsid w:val="29262D1A"/>
    <w:multiLevelType w:val="hybridMultilevel"/>
    <w:lvl w:ilvl="0">
      <w:lvlJc w:val="left"/>
      <w:lvlText w:val="(%1)"/>
      <w:numFmt w:val="lowerLetter"/>
      <w:start w:val="1"/>
    </w:lvl>
  </w:abstractNum>
  <w:abstractNum w:abstractNumId="278">
    <w:nsid w:val="557FB7EE"/>
    <w:multiLevelType w:val="hybridMultilevel"/>
    <w:lvl w:ilvl="0">
      <w:lvlJc w:val="left"/>
      <w:lvlText w:val="(%1)"/>
      <w:numFmt w:val="lowerLetter"/>
      <w:start w:val="1"/>
    </w:lvl>
  </w:abstractNum>
  <w:abstractNum w:abstractNumId="279">
    <w:nsid w:val="436F2BEB"/>
    <w:multiLevelType w:val="hybridMultilevel"/>
    <w:lvl w:ilvl="0">
      <w:lvlJc w:val="left"/>
      <w:lvlText w:val="(%1)"/>
      <w:numFmt w:val="lowerLetter"/>
      <w:start w:val="1"/>
    </w:lvl>
  </w:abstractNum>
  <w:abstractNum w:abstractNumId="280">
    <w:nsid w:val="6C8B4466"/>
    <w:multiLevelType w:val="hybridMultilevel"/>
    <w:lvl w:ilvl="0">
      <w:lvlJc w:val="left"/>
      <w:lvlText w:val="(%1)"/>
      <w:numFmt w:val="lowerLetter"/>
      <w:start w:val="1"/>
    </w:lvl>
  </w:abstractNum>
  <w:abstractNum w:abstractNumId="281">
    <w:nsid w:val="2006E424"/>
    <w:multiLevelType w:val="hybridMultilevel"/>
    <w:lvl w:ilvl="0">
      <w:lvlJc w:val="left"/>
      <w:lvlText w:val="(%1)"/>
      <w:numFmt w:val="lowerLetter"/>
      <w:start w:val="1"/>
    </w:lvl>
  </w:abstractNum>
  <w:abstractNum w:abstractNumId="282">
    <w:nsid w:val="20CC134C"/>
    <w:multiLevelType w:val="hybridMultilevel"/>
    <w:lvl w:ilvl="0">
      <w:lvlJc w:val="left"/>
      <w:lvlText w:val="(%1)"/>
      <w:numFmt w:val="lowerLetter"/>
      <w:start w:val="3"/>
    </w:lvl>
  </w:abstractNum>
  <w:abstractNum w:abstractNumId="283">
    <w:nsid w:val="95FC93B"/>
    <w:multiLevelType w:val="hybridMultilevel"/>
    <w:lvl w:ilvl="0">
      <w:lvlJc w:val="left"/>
      <w:lvlText w:val="(%1)"/>
      <w:numFmt w:val="lowerLetter"/>
      <w:start w:val="1"/>
    </w:lvl>
  </w:abstractNum>
  <w:abstractNum w:abstractNumId="284">
    <w:nsid w:val="41D74679"/>
    <w:multiLevelType w:val="hybridMultilevel"/>
    <w:lvl w:ilvl="0">
      <w:lvlJc w:val="left"/>
      <w:lvlText w:val="(%1)"/>
      <w:numFmt w:val="lowerLetter"/>
      <w:start w:val="1"/>
    </w:lvl>
  </w:abstractNum>
  <w:abstractNum w:abstractNumId="285">
    <w:nsid w:val="71E5621E"/>
    <w:multiLevelType w:val="hybridMultilevel"/>
    <w:lvl w:ilvl="0">
      <w:lvlJc w:val="left"/>
      <w:lvlText w:val="(%1)"/>
      <w:numFmt w:val="lowerLetter"/>
      <w:start w:val="1"/>
    </w:lvl>
  </w:abstractNum>
  <w:abstractNum w:abstractNumId="286">
    <w:nsid w:val="4E42B6A8"/>
    <w:multiLevelType w:val="hybridMultilevel"/>
    <w:lvl w:ilvl="0">
      <w:lvlJc w:val="left"/>
      <w:lvlText w:val="(%1)"/>
      <w:numFmt w:val="lowerLetter"/>
      <w:start w:val="1"/>
    </w:lvl>
  </w:abstractNum>
  <w:abstractNum w:abstractNumId="287">
    <w:nsid w:val="43F8E1AC"/>
    <w:multiLevelType w:val="hybridMultilevel"/>
    <w:lvl w:ilvl="0">
      <w:lvlJc w:val="left"/>
      <w:lvlText w:val="(%1)"/>
      <w:numFmt w:val="lowerLetter"/>
      <w:start w:val="1"/>
    </w:lvl>
  </w:abstractNum>
  <w:abstractNum w:abstractNumId="288">
    <w:nsid w:val="69215DFB"/>
    <w:multiLevelType w:val="hybridMultilevel"/>
    <w:lvl w:ilvl="0">
      <w:lvlJc w:val="left"/>
      <w:lvlText w:val="(%1)"/>
      <w:numFmt w:val="lowerLetter"/>
      <w:start w:val="2"/>
    </w:lvl>
  </w:abstractNum>
  <w:abstractNum w:abstractNumId="289">
    <w:nsid w:val="7ABF196A"/>
    <w:multiLevelType w:val="hybridMultilevel"/>
    <w:lvl w:ilvl="0">
      <w:lvlJc w:val="left"/>
      <w:lvlText w:val="(%1)"/>
      <w:numFmt w:val="lowerLetter"/>
      <w:start w:val="1"/>
    </w:lvl>
  </w:abstractNum>
  <w:abstractNum w:abstractNumId="290">
    <w:nsid w:val="5E4DB968"/>
    <w:multiLevelType w:val="hybridMultilevel"/>
    <w:lvl w:ilvl="0">
      <w:lvlJc w:val="left"/>
      <w:lvlText w:val="(%1)"/>
      <w:numFmt w:val="lowerLetter"/>
      <w:start w:val="1"/>
    </w:lvl>
    <w:lvl w:ilvl="1">
      <w:lvlJc w:val="left"/>
      <w:lvlText w:val="(%2)"/>
      <w:numFmt w:val="lowerRoman"/>
      <w:start w:val="1"/>
    </w:lvl>
  </w:abstractNum>
  <w:abstractNum w:abstractNumId="291">
    <w:nsid w:val="2C06DCF3"/>
    <w:multiLevelType w:val="hybridMultilevel"/>
    <w:lvl w:ilvl="0">
      <w:lvlJc w:val="left"/>
      <w:lvlText w:val="(%1)"/>
      <w:numFmt w:val="lowerLetter"/>
      <w:start w:val="1"/>
    </w:lvl>
  </w:abstractNum>
  <w:abstractNum w:abstractNumId="292">
    <w:nsid w:val="2E129658"/>
    <w:multiLevelType w:val="hybridMultilevel"/>
    <w:lvl w:ilvl="0">
      <w:lvlJc w:val="left"/>
      <w:lvlText w:val="(%1)"/>
      <w:numFmt w:val="lowerLetter"/>
      <w:start w:val="3"/>
    </w:lvl>
  </w:abstractNum>
  <w:abstractNum w:abstractNumId="293">
    <w:nsid w:val="59F0446"/>
    <w:multiLevelType w:val="hybridMultilevel"/>
    <w:lvl w:ilvl="0">
      <w:lvlJc w:val="left"/>
      <w:lvlText w:val="(%1)"/>
      <w:numFmt w:val="lowerLetter"/>
      <w:start w:val="1"/>
    </w:lvl>
    <w:lvl w:ilvl="1">
      <w:lvlJc w:val="left"/>
      <w:lvlText w:val="(%2)"/>
      <w:numFmt w:val="lowerRoman"/>
      <w:start w:val="1"/>
    </w:lvl>
  </w:abstractNum>
  <w:abstractNum w:abstractNumId="294">
    <w:nsid w:val="30DF306"/>
    <w:multiLevelType w:val="hybridMultilevel"/>
    <w:lvl w:ilvl="0">
      <w:lvlJc w:val="left"/>
      <w:lvlText w:val="(%1)"/>
      <w:numFmt w:val="lowerLetter"/>
      <w:start w:val="1"/>
    </w:lvl>
  </w:abstractNum>
  <w:abstractNum w:abstractNumId="295">
    <w:nsid w:val="A65647"/>
    <w:multiLevelType w:val="hybridMultilevel"/>
    <w:lvl w:ilvl="0">
      <w:lvlJc w:val="left"/>
      <w:lvlText w:val="(%1)"/>
      <w:numFmt w:val="lowerLetter"/>
      <w:start w:val="2"/>
    </w:lvl>
  </w:abstractNum>
  <w:abstractNum w:abstractNumId="296">
    <w:nsid w:val="3E5E582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7">
    <w:nsid w:val="257D4626"/>
    <w:multiLevelType w:val="hybridMultilevel"/>
    <w:lvl w:ilvl="0">
      <w:lvlJc w:val="left"/>
      <w:lvlText w:val="(%1)"/>
      <w:numFmt w:val="lowerRoman"/>
      <w:start w:val="2"/>
    </w:lvl>
  </w:abstractNum>
  <w:abstractNum w:abstractNumId="298">
    <w:nsid w:val="5AA8580E"/>
    <w:multiLevelType w:val="hybridMultilevel"/>
    <w:lvl w:ilvl="0">
      <w:lvlJc w:val="left"/>
      <w:lvlText w:val="(%1)"/>
      <w:numFmt w:val="lowerLetter"/>
      <w:start w:val="1"/>
    </w:lvl>
  </w:abstractNum>
  <w:abstractNum w:abstractNumId="299">
    <w:nsid w:val="68FA8D0D"/>
    <w:multiLevelType w:val="hybridMultilevel"/>
    <w:lvl w:ilvl="0">
      <w:lvlJc w:val="left"/>
      <w:lvlText w:val="(%1)"/>
      <w:numFmt w:val="lowerLetter"/>
      <w:start w:val="1"/>
    </w:lvl>
  </w:abstractNum>
  <w:abstractNum w:abstractNumId="300">
    <w:nsid w:val="40F2CBD2"/>
    <w:multiLevelType w:val="hybridMultilevel"/>
    <w:lvl w:ilvl="0">
      <w:lvlJc w:val="left"/>
      <w:lvlText w:val="(%1)"/>
      <w:numFmt w:val="lowerLetter"/>
      <w:start w:val="1"/>
    </w:lvl>
  </w:abstractNum>
  <w:abstractNum w:abstractNumId="301">
    <w:nsid w:val="3BD615EB"/>
    <w:multiLevelType w:val="hybridMultilevel"/>
    <w:lvl w:ilvl="0">
      <w:lvlJc w:val="left"/>
      <w:lvlText w:val="(%1)"/>
      <w:numFmt w:val="lowerLetter"/>
      <w:start w:val="4"/>
    </w:lvl>
  </w:abstractNum>
  <w:abstractNum w:abstractNumId="302">
    <w:nsid w:val="A045AB2"/>
    <w:multiLevelType w:val="hybridMultilevel"/>
    <w:lvl w:ilvl="0">
      <w:lvlJc w:val="left"/>
      <w:lvlText w:val="(%1)"/>
      <w:numFmt w:val="lowerLetter"/>
      <w:start w:val="1"/>
    </w:lvl>
  </w:abstractNum>
  <w:abstractNum w:abstractNumId="303">
    <w:nsid w:val="1872261F"/>
    <w:multiLevelType w:val="hybridMultilevel"/>
    <w:lvl w:ilvl="0">
      <w:lvlJc w:val="left"/>
      <w:lvlText w:val="(%1)"/>
      <w:numFmt w:val="lowerLetter"/>
      <w:start w:val="1"/>
    </w:lvl>
  </w:abstractNum>
  <w:abstractNum w:abstractNumId="304">
    <w:nsid w:val="3DE8306C"/>
    <w:multiLevelType w:val="hybridMultilevel"/>
    <w:lvl w:ilvl="0">
      <w:lvlJc w:val="left"/>
      <w:lvlText w:val="(%1)"/>
      <w:numFmt w:val="lowerLetter"/>
      <w:start w:val="1"/>
    </w:lvl>
  </w:abstractNum>
  <w:abstractNum w:abstractNumId="305">
    <w:nsid w:val="7631573A"/>
    <w:multiLevelType w:val="hybridMultilevel"/>
    <w:lvl w:ilvl="0">
      <w:lvlJc w:val="left"/>
      <w:lvlText w:val="(%1)"/>
      <w:numFmt w:val="lowerLetter"/>
      <w:start w:val="1"/>
    </w:lvl>
  </w:abstractNum>
  <w:abstractNum w:abstractNumId="306">
    <w:nsid w:val="58DF53B"/>
    <w:multiLevelType w:val="hybridMultilevel"/>
    <w:lvl w:ilvl="0">
      <w:lvlJc w:val="left"/>
      <w:lvlText w:val="(%1)"/>
      <w:numFmt w:val="lowerLetter"/>
      <w:start w:val="1"/>
    </w:lvl>
  </w:abstractNum>
  <w:abstractNum w:abstractNumId="307">
    <w:nsid w:val="ACDFAC0"/>
    <w:multiLevelType w:val="hybridMultilevel"/>
    <w:lvl w:ilvl="0">
      <w:lvlJc w:val="left"/>
      <w:lvlText w:val="(%1)"/>
      <w:numFmt w:val="lowerLetter"/>
      <w:start w:val="1"/>
    </w:lvl>
  </w:abstractNum>
  <w:abstractNum w:abstractNumId="308">
    <w:nsid w:val="1F578454"/>
    <w:multiLevelType w:val="hybridMultilevel"/>
    <w:lvl w:ilvl="0">
      <w:lvlJc w:val="left"/>
      <w:lvlText w:val="(%1)"/>
      <w:numFmt w:val="lowerLetter"/>
      <w:start w:val="1"/>
    </w:lvl>
  </w:abstractNum>
  <w:abstractNum w:abstractNumId="309">
    <w:nsid w:val="5B0DAD2A"/>
    <w:multiLevelType w:val="hybridMultilevel"/>
    <w:lvl w:ilvl="0">
      <w:lvlJc w:val="left"/>
      <w:lvlText w:val="(%1)"/>
      <w:numFmt w:val="lowerLetter"/>
      <w:start w:val="1"/>
    </w:lvl>
  </w:abstractNum>
  <w:abstractNum w:abstractNumId="310">
    <w:nsid w:val="4E3D26AB"/>
    <w:multiLevelType w:val="hybridMultilevel"/>
    <w:lvl w:ilvl="0">
      <w:lvlJc w:val="left"/>
      <w:lvlText w:val="(%1)"/>
      <w:numFmt w:val="lowerLetter"/>
      <w:start w:val="1"/>
    </w:lvl>
  </w:abstractNum>
  <w:abstractNum w:abstractNumId="311">
    <w:nsid w:val="BE2C8BA"/>
    <w:multiLevelType w:val="hybridMultilevel"/>
    <w:lvl w:ilvl="0">
      <w:lvlJc w:val="left"/>
      <w:lvlText w:val="(%1)"/>
      <w:numFmt w:val="lowerLetter"/>
      <w:start w:val="1"/>
    </w:lvl>
    <w:lvl w:ilvl="1">
      <w:lvlJc w:val="left"/>
      <w:lvlText w:val="(%2)"/>
      <w:numFmt w:val="lowerRoman"/>
      <w:start w:val="1"/>
    </w:lvl>
  </w:abstractNum>
  <w:abstractNum w:abstractNumId="312">
    <w:nsid w:val="7B14914E"/>
    <w:multiLevelType w:val="hybridMultilevel"/>
    <w:lvl w:ilvl="0">
      <w:lvlJc w:val="left"/>
      <w:lvlText w:val="(%1)"/>
      <w:numFmt w:val="lowerLetter"/>
      <w:start w:val="1"/>
    </w:lvl>
  </w:abstractNum>
  <w:abstractNum w:abstractNumId="313">
    <w:nsid w:val="6F0939F8"/>
    <w:multiLevelType w:val="hybridMultilevel"/>
    <w:lvl w:ilvl="0">
      <w:lvlJc w:val="left"/>
      <w:lvlText w:val="(%1)"/>
      <w:numFmt w:val="lowerLetter"/>
      <w:start w:val="2"/>
    </w:lvl>
  </w:abstractNum>
  <w:abstractNum w:abstractNumId="314">
    <w:nsid w:val="154291F6"/>
    <w:multiLevelType w:val="hybridMultilevel"/>
    <w:lvl w:ilvl="0">
      <w:lvlJc w:val="left"/>
      <w:lvlText w:val="(%1)"/>
      <w:numFmt w:val="lowerLetter"/>
      <w:start w:val="1"/>
    </w:lvl>
  </w:abstractNum>
  <w:abstractNum w:abstractNumId="315">
    <w:nsid w:val="3CEBD7C7"/>
    <w:multiLevelType w:val="hybridMultilevel"/>
    <w:lvl w:ilvl="0">
      <w:lvlJc w:val="left"/>
      <w:lvlText w:val="(%1)"/>
      <w:numFmt w:val="lowerLetter"/>
      <w:start w:val="1"/>
    </w:lvl>
  </w:abstractNum>
  <w:abstractNum w:abstractNumId="316">
    <w:nsid w:val="60EE9C16"/>
    <w:multiLevelType w:val="hybridMultilevel"/>
    <w:lvl w:ilvl="0">
      <w:lvlJc w:val="left"/>
      <w:lvlText w:val="(%1)"/>
      <w:numFmt w:val="lowerLetter"/>
      <w:start w:val="1"/>
    </w:lvl>
  </w:abstractNum>
  <w:abstractNum w:abstractNumId="317">
    <w:nsid w:val="6385489E"/>
    <w:multiLevelType w:val="hybridMultilevel"/>
    <w:lvl w:ilvl="0">
      <w:lvlJc w:val="left"/>
      <w:lvlText w:val="(%1)"/>
      <w:numFmt w:val="lowerLetter"/>
      <w:start w:val="1"/>
    </w:lvl>
  </w:abstractNum>
  <w:abstractNum w:abstractNumId="318">
    <w:nsid w:val="E4B973"/>
    <w:multiLevelType w:val="hybridMultilevel"/>
    <w:lvl w:ilvl="0">
      <w:lvlJc w:val="left"/>
      <w:lvlText w:val="(%1)"/>
      <w:numFmt w:val="lowerLetter"/>
      <w:start w:val="2"/>
    </w:lvl>
  </w:abstractNum>
  <w:abstractNum w:abstractNumId="319">
    <w:nsid w:val="4A0FFA11"/>
    <w:multiLevelType w:val="hybridMultilevel"/>
    <w:lvl w:ilvl="0">
      <w:lvlJc w:val="left"/>
      <w:lvlText w:val="(%1)"/>
      <w:numFmt w:val="lowerLetter"/>
      <w:start w:val="1"/>
    </w:lvl>
  </w:abstractNum>
  <w:abstractNum w:abstractNumId="320">
    <w:nsid w:val="5E446208"/>
    <w:multiLevelType w:val="hybridMultilevel"/>
    <w:lvl w:ilvl="0">
      <w:lvlJc w:val="left"/>
      <w:lvlText w:val="(%1)"/>
      <w:numFmt w:val="lowerLetter"/>
      <w:start w:val="1"/>
    </w:lvl>
  </w:abstractNum>
  <w:abstractNum w:abstractNumId="321">
    <w:nsid w:val="5F3272DB"/>
    <w:multiLevelType w:val="hybridMultilevel"/>
    <w:lvl w:ilvl="0">
      <w:lvlJc w:val="left"/>
      <w:lvlText w:val="(%1)"/>
      <w:numFmt w:val="lowerLetter"/>
      <w:start w:val="2"/>
    </w:lvl>
  </w:abstractNum>
  <w:abstractNum w:abstractNumId="322">
    <w:nsid w:val="7616D704"/>
    <w:multiLevelType w:val="hybridMultilevel"/>
    <w:lvl w:ilvl="0">
      <w:lvlJc w:val="left"/>
      <w:lvlText w:val="(%1)"/>
      <w:numFmt w:val="lowerLetter"/>
      <w:start w:val="1"/>
    </w:lvl>
  </w:abstractNum>
  <w:abstractNum w:abstractNumId="323">
    <w:nsid w:val="C56F860"/>
    <w:multiLevelType w:val="hybridMultilevel"/>
    <w:lvl w:ilvl="0">
      <w:lvlJc w:val="left"/>
      <w:lvlText w:val="(%1)"/>
      <w:numFmt w:val="lowerLetter"/>
      <w:start w:val="1"/>
    </w:lvl>
  </w:abstractNum>
  <w:abstractNum w:abstractNumId="324">
    <w:nsid w:val="64D17722"/>
    <w:multiLevelType w:val="hybridMultilevel"/>
    <w:lvl w:ilvl="0">
      <w:lvlJc w:val="left"/>
      <w:lvlText w:val="(%1)"/>
      <w:numFmt w:val="lowerLetter"/>
      <w:start w:val="1"/>
    </w:lvl>
  </w:abstractNum>
  <w:abstractNum w:abstractNumId="325">
    <w:nsid w:val="7924CA0A"/>
    <w:multiLevelType w:val="hybridMultilevel"/>
    <w:lvl w:ilvl="0">
      <w:lvlJc w:val="left"/>
      <w:lvlText w:val="(%1)"/>
      <w:numFmt w:val="lowerLetter"/>
      <w:start w:val="1"/>
    </w:lvl>
  </w:abstractNum>
  <w:abstractNum w:abstractNumId="326">
    <w:nsid w:val="CFD4EA7"/>
    <w:multiLevelType w:val="hybridMultilevel"/>
    <w:lvl w:ilvl="0">
      <w:lvlJc w:val="left"/>
      <w:lvlText w:val="(%1)"/>
      <w:numFmt w:val="lowerLetter"/>
      <w:start w:val="1"/>
    </w:lvl>
  </w:abstractNum>
  <w:abstractNum w:abstractNumId="327">
    <w:nsid w:val="232FCF4D"/>
    <w:multiLevelType w:val="hybridMultilevel"/>
    <w:lvl w:ilvl="0">
      <w:lvlJc w:val="left"/>
      <w:lvlText w:val="(%1)"/>
      <w:numFmt w:val="lowerLetter"/>
      <w:start w:val="1"/>
    </w:lvl>
  </w:abstractNum>
  <w:abstractNum w:abstractNumId="328">
    <w:nsid w:val="1EA21031"/>
    <w:multiLevelType w:val="hybridMultilevel"/>
    <w:lvl w:ilvl="0">
      <w:lvlJc w:val="left"/>
      <w:lvlText w:val="(%1)"/>
      <w:numFmt w:val="lowerLetter"/>
      <w:start w:val="1"/>
    </w:lvl>
  </w:abstractNum>
  <w:abstractNum w:abstractNumId="329">
    <w:nsid w:val="67A5A6B5"/>
    <w:multiLevelType w:val="hybridMultilevel"/>
    <w:lvl w:ilvl="0">
      <w:lvlJc w:val="left"/>
      <w:lvlText w:val="(%1)"/>
      <w:numFmt w:val="lowerLetter"/>
      <w:start w:val="2"/>
    </w:lvl>
  </w:abstractNum>
  <w:abstractNum w:abstractNumId="330">
    <w:nsid w:val="C2A5C5B"/>
    <w:multiLevelType w:val="hybridMultilevel"/>
    <w:lvl w:ilvl="0">
      <w:lvlJc w:val="left"/>
      <w:lvlText w:val="(%1)"/>
      <w:numFmt w:val="lowerLetter"/>
      <w:start w:val="1"/>
    </w:lvl>
  </w:abstractNum>
  <w:abstractNum w:abstractNumId="331">
    <w:nsid w:val="5F94DC03"/>
    <w:multiLevelType w:val="hybridMultilevel"/>
    <w:lvl w:ilvl="0">
      <w:lvlJc w:val="left"/>
      <w:lvlText w:val="(%1)"/>
      <w:numFmt w:val="lowerLetter"/>
      <w:start w:val="1"/>
    </w:lvl>
  </w:abstractNum>
  <w:abstractNum w:abstractNumId="332">
    <w:nsid w:val="237BBCA0"/>
    <w:multiLevelType w:val="hybridMultilevel"/>
    <w:lvl w:ilvl="0">
      <w:lvlJc w:val="left"/>
      <w:lvlText w:val="(%1)"/>
      <w:numFmt w:val="lowerLetter"/>
      <w:start w:val="1"/>
    </w:lvl>
    <w:lvl w:ilvl="1">
      <w:lvlJc w:val="left"/>
      <w:lvlText w:val="(%2)"/>
      <w:numFmt w:val="lowerRoman"/>
      <w:start w:val="1"/>
    </w:lvl>
  </w:abstractNum>
  <w:abstractNum w:abstractNumId="333">
    <w:nsid w:val="162EB70D"/>
    <w:multiLevelType w:val="hybridMultilevel"/>
    <w:lvl w:ilvl="0">
      <w:lvlJc w:val="left"/>
      <w:lvlText w:val="(%1)"/>
      <w:numFmt w:val="lowerLetter"/>
      <w:start w:val="1"/>
    </w:lvl>
  </w:abstractNum>
  <w:abstractNum w:abstractNumId="334">
    <w:nsid w:val="78070222"/>
    <w:multiLevelType w:val="hybridMultilevel"/>
    <w:lvl w:ilvl="0">
      <w:lvlJc w:val="left"/>
      <w:lvlText w:val="(%1)"/>
      <w:numFmt w:val="lowerLetter"/>
      <w:start w:val="2"/>
    </w:lvl>
  </w:abstractNum>
  <w:abstractNum w:abstractNumId="335">
    <w:nsid w:val="6163ED0D"/>
    <w:multiLevelType w:val="hybridMultilevel"/>
    <w:lvl w:ilvl="0">
      <w:lvlJc w:val="left"/>
      <w:lvlText w:val="(%1)"/>
      <w:numFmt w:val="lowerLetter"/>
      <w:start w:val="1"/>
    </w:lvl>
  </w:abstractNum>
  <w:abstractNum w:abstractNumId="336">
    <w:nsid w:val="C600E47"/>
    <w:multiLevelType w:val="hybridMultilevel"/>
    <w:lvl w:ilvl="0">
      <w:lvlJc w:val="left"/>
      <w:lvlText w:val="(%1)"/>
      <w:numFmt w:val="lowerLetter"/>
      <w:start w:val="1"/>
    </w:lvl>
  </w:abstractNum>
  <w:abstractNum w:abstractNumId="337">
    <w:nsid w:val="7D94F75D"/>
    <w:multiLevelType w:val="hybridMultilevel"/>
    <w:lvl w:ilvl="0">
      <w:lvlJc w:val="left"/>
      <w:lvlText w:val="(%1)"/>
      <w:numFmt w:val="lowerLetter"/>
      <w:start w:val="1"/>
    </w:lvl>
  </w:abstractNum>
  <w:abstractNum w:abstractNumId="338">
    <w:nsid w:val="6C31E7CD"/>
    <w:multiLevelType w:val="hybridMultilevel"/>
    <w:lvl w:ilvl="0">
      <w:lvlJc w:val="left"/>
      <w:lvlText w:val="(%1)"/>
      <w:numFmt w:val="lowerLetter"/>
      <w:start w:val="2"/>
    </w:lvl>
  </w:abstractNum>
  <w:abstractNum w:abstractNumId="339">
    <w:nsid w:val="2BB7929B"/>
    <w:multiLevelType w:val="hybridMultilevel"/>
    <w:lvl w:ilvl="0">
      <w:lvlJc w:val="left"/>
      <w:lvlText w:val="(%1)"/>
      <w:numFmt w:val="lowerLetter"/>
      <w:start w:val="1"/>
    </w:lvl>
  </w:abstractNum>
  <w:abstractNum w:abstractNumId="340">
    <w:nsid w:val="58A2A487"/>
    <w:multiLevelType w:val="hybridMultilevel"/>
    <w:lvl w:ilvl="0">
      <w:lvlJc w:val="left"/>
      <w:lvlText w:val="(%1)"/>
      <w:numFmt w:val="lowerLetter"/>
      <w:start w:val="1"/>
    </w:lvl>
  </w:abstractNum>
  <w:abstractNum w:abstractNumId="341">
    <w:nsid w:val="3A6F0E78"/>
    <w:multiLevelType w:val="hybridMultilevel"/>
    <w:lvl w:ilvl="0">
      <w:lvlJc w:val="left"/>
      <w:lvlText w:val="(%1)"/>
      <w:numFmt w:val="lowerLetter"/>
      <w:start w:val="1"/>
    </w:lvl>
  </w:abstractNum>
  <w:abstractNum w:abstractNumId="342">
    <w:nsid w:val="379A5B56"/>
    <w:multiLevelType w:val="hybridMultilevel"/>
    <w:lvl w:ilvl="0">
      <w:lvlJc w:val="left"/>
      <w:lvlText w:val="(%1)"/>
      <w:numFmt w:val="lowerLetter"/>
      <w:start w:val="2"/>
    </w:lvl>
  </w:abstractNum>
  <w:abstractNum w:abstractNumId="343">
    <w:nsid w:val="53B735D5"/>
    <w:multiLevelType w:val="hybridMultilevel"/>
    <w:lvl w:ilvl="0">
      <w:lvlJc w:val="left"/>
      <w:lvlText w:val="(%1)"/>
      <w:numFmt w:val="lowerLetter"/>
      <w:start w:val="1"/>
    </w:lvl>
  </w:abstractNum>
  <w:abstractNum w:abstractNumId="344">
    <w:nsid w:val="29784870"/>
    <w:multiLevelType w:val="hybridMultilevel"/>
    <w:lvl w:ilvl="0">
      <w:lvlJc w:val="left"/>
      <w:lvlText w:val="(%1)"/>
      <w:numFmt w:val="lowerLetter"/>
      <w:start w:val="1"/>
    </w:lvl>
  </w:abstractNum>
  <w:abstractNum w:abstractNumId="345">
    <w:nsid w:val="4CDCED4C"/>
    <w:multiLevelType w:val="hybridMultilevel"/>
    <w:lvl w:ilvl="0">
      <w:lvlJc w:val="left"/>
      <w:lvlText w:val="(%1)"/>
      <w:numFmt w:val="lowerLetter"/>
      <w:start w:val="1"/>
    </w:lvl>
  </w:abstractNum>
  <w:abstractNum w:abstractNumId="346">
    <w:nsid w:val="10A30D9C"/>
    <w:multiLevelType w:val="hybridMultilevel"/>
    <w:lvl w:ilvl="0">
      <w:lvlJc w:val="left"/>
      <w:lvlText w:val="(%1)"/>
      <w:numFmt w:val="lowerLetter"/>
      <w:start w:val="1"/>
    </w:lvl>
    <w:lvl w:ilvl="1">
      <w:lvlJc w:val="left"/>
      <w:lvlText w:val="(%2)"/>
      <w:numFmt w:val="lowerRoman"/>
      <w:start w:val="1"/>
    </w:lvl>
  </w:abstractNum>
  <w:abstractNum w:abstractNumId="347">
    <w:nsid w:val="A66E486"/>
    <w:multiLevelType w:val="hybridMultilevel"/>
    <w:lvl w:ilvl="0">
      <w:lvlJc w:val="left"/>
      <w:lvlText w:val="(%1)"/>
      <w:numFmt w:val="lowerLetter"/>
      <w:start w:val="1"/>
    </w:lvl>
    <w:lvl w:ilvl="1">
      <w:lvlJc w:val="left"/>
      <w:lvlText w:val="(%2)"/>
      <w:numFmt w:val="lowerRoman"/>
      <w:start w:val="1"/>
    </w:lvl>
  </w:abstractNum>
  <w:abstractNum w:abstractNumId="348">
    <w:nsid w:val="306235EA"/>
    <w:multiLevelType w:val="hybridMultilevel"/>
    <w:lvl w:ilvl="0">
      <w:lvlJc w:val="left"/>
      <w:lvlText w:val="(%1)"/>
      <w:numFmt w:val="lowerLetter"/>
      <w:start w:val="1"/>
    </w:lvl>
  </w:abstractNum>
  <w:abstractNum w:abstractNumId="349">
    <w:nsid w:val="1187C70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50">
    <w:nsid w:val="5476DE98"/>
    <w:multiLevelType w:val="hybridMultilevel"/>
    <w:lvl w:ilvl="0">
      <w:lvlJc w:val="left"/>
      <w:lvlText w:val="(%1)"/>
      <w:numFmt w:val="lowerLetter"/>
      <w:start w:val="1"/>
    </w:lvl>
  </w:abstractNum>
  <w:abstractNum w:abstractNumId="351">
    <w:nsid w:val="EA697F2"/>
    <w:multiLevelType w:val="hybridMultilevel"/>
    <w:lvl w:ilvl="0">
      <w:lvlJc w:val="left"/>
      <w:lvlText w:val="1"/>
      <w:numFmt w:val="bullet"/>
      <w:start w:val="1"/>
    </w:lvl>
  </w:abstractNum>
  <w:abstractNum w:abstractNumId="352">
    <w:nsid w:val="70BA39EB"/>
    <w:multiLevelType w:val="hybridMultilevel"/>
    <w:lvl w:ilvl="0">
      <w:lvlJc w:val="left"/>
      <w:lvlText w:val="2"/>
      <w:numFmt w:val="bullet"/>
      <w:start w:val="1"/>
    </w:lvl>
  </w:abstractNum>
  <w:abstractNum w:abstractNumId="353">
    <w:nsid w:val="4A8DB59C"/>
    <w:multiLevelType w:val="hybridMultilevel"/>
    <w:lvl w:ilvl="0">
      <w:lvlJc w:val="left"/>
      <w:lvlText w:val="3"/>
      <w:numFmt w:val="bullet"/>
      <w:start w:val="1"/>
    </w:lvl>
  </w:abstractNum>
  <w:abstractNum w:abstractNumId="354">
    <w:nsid w:val="1AFD9053"/>
    <w:multiLevelType w:val="hybridMultilevel"/>
    <w:lvl w:ilvl="0">
      <w:lvlJc w:val="left"/>
      <w:lvlText w:val="(%1)"/>
      <w:numFmt w:val="lowerLetter"/>
      <w:start w:val="1"/>
    </w:lvl>
  </w:abstractNum>
  <w:abstractNum w:abstractNumId="355">
    <w:nsid w:val="558BB10D"/>
    <w:multiLevelType w:val="hybridMultilevel"/>
    <w:lvl w:ilvl="0">
      <w:lvlJc w:val="left"/>
      <w:lvlText w:val="(%1)"/>
      <w:numFmt w:val="lowerLetter"/>
      <w:start w:val="2"/>
    </w:lvl>
  </w:abstractNum>
  <w:abstractNum w:abstractNumId="356">
    <w:nsid w:val="43B27FA7"/>
    <w:multiLevelType w:val="hybridMultilevel"/>
    <w:lvl w:ilvl="0">
      <w:lvlJc w:val="left"/>
      <w:lvlText w:val="(%1)"/>
      <w:numFmt w:val="lowerLetter"/>
      <w:start w:val="3"/>
    </w:lvl>
    <w:lvl w:ilvl="1">
      <w:lvlJc w:val="left"/>
      <w:lvlText w:val="(%2)"/>
      <w:numFmt w:val="lowerRoman"/>
      <w:start w:val="1"/>
    </w:lvl>
  </w:abstractNum>
  <w:abstractNum w:abstractNumId="357">
    <w:nsid w:val="27FADEFA"/>
    <w:multiLevelType w:val="hybridMultilevel"/>
    <w:lvl w:ilvl="0">
      <w:lvlJc w:val="left"/>
      <w:lvlText w:val="(%1)"/>
      <w:numFmt w:val="lowerLetter"/>
      <w:start w:val="4"/>
    </w:lvl>
    <w:lvl w:ilvl="1">
      <w:lvlJc w:val="left"/>
      <w:lvlText w:val="(%2)"/>
      <w:numFmt w:val="lowerRoman"/>
      <w:start w:val="1"/>
    </w:lvl>
  </w:abstractNum>
  <w:abstractNum w:abstractNumId="358">
    <w:nsid w:val="78BB805A"/>
    <w:multiLevelType w:val="hybridMultilevel"/>
    <w:lvl w:ilvl="0">
      <w:lvlJc w:val="left"/>
      <w:lvlText w:val="(%1)"/>
      <w:numFmt w:val="lowerRoman"/>
      <w:start w:val="2"/>
    </w:lvl>
  </w:abstractNum>
  <w:abstractNum w:abstractNumId="359">
    <w:nsid w:val="62548FD8"/>
    <w:multiLevelType w:val="hybridMultilevel"/>
    <w:lvl w:ilvl="0">
      <w:lvlJc w:val="left"/>
      <w:lvlText w:val="4"/>
      <w:numFmt w:val="bullet"/>
      <w:start w:val="1"/>
    </w:lvl>
  </w:abstractNum>
  <w:abstractNum w:abstractNumId="360">
    <w:nsid w:val="FA085B0"/>
    <w:multiLevelType w:val="hybridMultilevel"/>
    <w:lvl w:ilvl="0">
      <w:lvlJc w:val="left"/>
      <w:lvlText w:val="(%1)"/>
      <w:numFmt w:val="lowerLetter"/>
      <w:start w:val="1"/>
    </w:lvl>
  </w:abstractNum>
  <w:abstractNum w:abstractNumId="361">
    <w:nsid w:val="4E5DCB5"/>
    <w:multiLevelType w:val="hybridMultilevel"/>
    <w:lvl w:ilvl="0">
      <w:lvlJc w:val="left"/>
      <w:lvlText w:val="5"/>
      <w:numFmt w:val="bullet"/>
      <w:start w:val="1"/>
    </w:lvl>
  </w:abstractNum>
  <w:abstractNum w:abstractNumId="362">
    <w:nsid w:val="41E96BDB"/>
    <w:multiLevelType w:val="hybridMultilevel"/>
    <w:lvl w:ilvl="0">
      <w:lvlJc w:val="left"/>
      <w:lvlText w:val="(%1)"/>
      <w:numFmt w:val="lowerLetter"/>
      <w:start w:val="1"/>
    </w:lvl>
  </w:abstractNum>
  <w:abstractNum w:abstractNumId="363">
    <w:nsid w:val="331C4250"/>
    <w:multiLevelType w:val="hybridMultilevel"/>
    <w:lvl w:ilvl="0">
      <w:lvlJc w:val="left"/>
      <w:lvlText w:val="6"/>
      <w:numFmt w:val="bullet"/>
      <w:start w:val="1"/>
    </w:lvl>
  </w:abstractNum>
  <w:abstractNum w:abstractNumId="364">
    <w:nsid w:val="1B1493C2"/>
    <w:multiLevelType w:val="hybridMultilevel"/>
    <w:lvl w:ilvl="0">
      <w:lvlJc w:val="left"/>
      <w:lvlText w:val="1"/>
      <w:numFmt w:val="bullet"/>
      <w:start w:val="1"/>
    </w:lvl>
  </w:abstractNum>
  <w:abstractNum w:abstractNumId="365">
    <w:nsid w:val="39F06DFD"/>
    <w:multiLevelType w:val="hybridMultilevel"/>
    <w:lvl w:ilvl="0">
      <w:lvlJc w:val="left"/>
      <w:lvlText w:val="2"/>
      <w:numFmt w:val="bullet"/>
      <w:start w:val="1"/>
    </w:lvl>
  </w:abstractNum>
  <w:abstractNum w:abstractNumId="366">
    <w:nsid w:val="14802F5D"/>
    <w:multiLevelType w:val="hybridMultilevel"/>
    <w:lvl w:ilvl="0">
      <w:lvlJc w:val="left"/>
      <w:lvlText w:val="5"/>
      <w:numFmt w:val="bullet"/>
      <w:start w:val="1"/>
    </w:lvl>
  </w:abstractNum>
  <w:abstractNum w:abstractNumId="367">
    <w:nsid w:val="2774A209"/>
    <w:multiLevelType w:val="hybridMultilevel"/>
    <w:lvl w:ilvl="0">
      <w:lvlJc w:val="left"/>
      <w:lvlText w:val="6"/>
      <w:numFmt w:val="bullet"/>
      <w:start w:val="1"/>
    </w:lvl>
  </w:abstractNum>
  <w:abstractNum w:abstractNumId="368">
    <w:nsid w:val="3785655A"/>
    <w:multiLevelType w:val="hybridMultilevel"/>
    <w:lvl w:ilvl="0">
      <w:lvlJc w:val="left"/>
      <w:lvlText w:val="1"/>
      <w:numFmt w:val="bullet"/>
      <w:start w:val="1"/>
    </w:lvl>
  </w:abstractNum>
  <w:abstractNum w:abstractNumId="369">
    <w:nsid w:val="B2172A"/>
    <w:multiLevelType w:val="hybridMultilevel"/>
    <w:lvl w:ilvl="0">
      <w:lvlJc w:val="left"/>
      <w:lvlText w:val="2"/>
      <w:numFmt w:val="bullet"/>
      <w:start w:val="1"/>
    </w:lvl>
  </w:abstractNum>
  <w:abstractNum w:abstractNumId="370">
    <w:nsid w:val="532C34A5"/>
    <w:multiLevelType w:val="hybridMultilevel"/>
    <w:lvl w:ilvl="0">
      <w:lvlJc w:val="left"/>
      <w:lvlText w:val="5"/>
      <w:numFmt w:val="bullet"/>
      <w:start w:val="1"/>
    </w:lvl>
  </w:abstractNum>
  <w:abstractNum w:abstractNumId="371">
    <w:nsid w:val="102809E2"/>
    <w:multiLevelType w:val="hybridMultilevel"/>
    <w:lvl w:ilvl="0">
      <w:lvlJc w:val="left"/>
      <w:lvlText w:val="6"/>
      <w:numFmt w:val="bullet"/>
      <w:start w:val="1"/>
    </w:lvl>
  </w:abstractNum>
  <w:abstractNum w:abstractNumId="372">
    <w:nsid w:val="3B2125A3"/>
    <w:multiLevelType w:val="hybridMultilevel"/>
    <w:lvl w:ilvl="0">
      <w:lvlJc w:val="left"/>
      <w:lvlText w:val="7"/>
      <w:numFmt w:val="bullet"/>
      <w:start w:val="1"/>
    </w:lvl>
  </w:abstractNum>
  <w:abstractNum w:abstractNumId="373">
    <w:nsid w:val="AC68FFB"/>
    <w:multiLevelType w:val="hybridMultilevel"/>
    <w:lvl w:ilvl="0">
      <w:lvlJc w:val="left"/>
      <w:lvlText w:val="8"/>
      <w:numFmt w:val="bullet"/>
      <w:start w:val="1"/>
    </w:lvl>
    <w:lvl w:ilvl="1">
      <w:lvlJc w:val="left"/>
      <w:lvlText w:val="(%2)"/>
      <w:numFmt w:val="lowerLetter"/>
      <w:start w:val="1"/>
    </w:lvl>
  </w:abstractNum>
  <w:abstractNum w:abstractNumId="374">
    <w:nsid w:val="63DF3FB7"/>
    <w:multiLevelType w:val="hybridMultilevel"/>
    <w:lvl w:ilvl="0">
      <w:lvlJc w:val="left"/>
      <w:lvlText w:val="9"/>
      <w:numFmt w:val="bullet"/>
      <w:start w:val="1"/>
    </w:lvl>
  </w:abstractNum>
  <w:abstractNum w:abstractNumId="375">
    <w:nsid w:val="64996E13"/>
    <w:multiLevelType w:val="hybridMultilevel"/>
    <w:lvl w:ilvl="0">
      <w:lvlJc w:val="left"/>
      <w:lvlText w:val="%1"/>
      <w:numFmt w:val="decimal"/>
      <w:start w:val="10"/>
    </w:lvl>
  </w:abstractNum>
  <w:abstractNum w:abstractNumId="376">
    <w:nsid w:val="57A37D47"/>
    <w:multiLevelType w:val="hybridMultilevel"/>
    <w:lvl w:ilvl="0">
      <w:lvlJc w:val="left"/>
      <w:lvlText w:val="%1"/>
      <w:numFmt w:val="decimal"/>
      <w:start w:val="11"/>
    </w:lvl>
  </w:abstractNum>
  <w:abstractNum w:abstractNumId="377">
    <w:nsid w:val="74824D54"/>
    <w:multiLevelType w:val="hybridMultilevel"/>
    <w:lvl w:ilvl="0">
      <w:lvlJc w:val="left"/>
      <w:lvlText w:val="1"/>
      <w:numFmt w:val="bullet"/>
      <w:start w:val="1"/>
    </w:lvl>
  </w:abstractNum>
  <w:abstractNum w:abstractNumId="378">
    <w:nsid w:val="6F00529A"/>
    <w:multiLevelType w:val="hybridMultilevel"/>
    <w:lvl w:ilvl="0">
      <w:lvlJc w:val="left"/>
      <w:lvlText w:val="2"/>
      <w:numFmt w:val="bullet"/>
      <w:start w:val="1"/>
    </w:lvl>
  </w:abstractNum>
  <w:abstractNum w:abstractNumId="379">
    <w:nsid w:val="805B331"/>
    <w:multiLevelType w:val="hybridMultilevel"/>
    <w:lvl w:ilvl="0">
      <w:lvlJc w:val="left"/>
      <w:lvlText w:val="3"/>
      <w:numFmt w:val="bullet"/>
      <w:start w:val="1"/>
    </w:lvl>
  </w:abstractNum>
  <w:abstractNum w:abstractNumId="380">
    <w:nsid w:val="60A1463"/>
    <w:multiLevelType w:val="hybridMultilevel"/>
    <w:lvl w:ilvl="0">
      <w:lvlJc w:val="left"/>
      <w:lvlText w:val="4"/>
      <w:numFmt w:val="bullet"/>
      <w:start w:val="1"/>
    </w:lvl>
  </w:abstractNum>
  <w:abstractNum w:abstractNumId="381">
    <w:nsid w:val="43773132"/>
    <w:multiLevelType w:val="hybridMultilevel"/>
    <w:lvl w:ilvl="0">
      <w:lvlJc w:val="left"/>
      <w:lvlText w:val="5"/>
      <w:numFmt w:val="bullet"/>
      <w:start w:val="1"/>
    </w:lvl>
    <w:lvl w:ilvl="1">
      <w:lvlJc w:val="left"/>
      <w:lvlText w:val="(%2)"/>
      <w:numFmt w:val="lowerLetter"/>
      <w:start w:val="1"/>
    </w:lvl>
  </w:abstractNum>
  <w:abstractNum w:abstractNumId="382">
    <w:nsid w:val="16AC4B23"/>
    <w:multiLevelType w:val="hybridMultilevel"/>
    <w:lvl w:ilvl="0">
      <w:lvlJc w:val="left"/>
      <w:lvlText w:val="%1."/>
      <w:numFmt w:val="decimal"/>
      <w:start w:val="1"/>
    </w:lvl>
    <w:lvl w:ilvl="1">
      <w:lvlJc w:val="left"/>
      <w:lvlText w:val="(%2)"/>
      <w:numFmt w:val="lowerLetter"/>
      <w:start w:val="1"/>
    </w:lvl>
  </w:abstractNum>
  <w:abstractNum w:abstractNumId="383">
    <w:nsid w:val="76C44E4E"/>
    <w:multiLevelType w:val="hybridMultilevel"/>
    <w:lvl w:ilvl="0">
      <w:lvlJc w:val="left"/>
      <w:lvlText w:val="(%1)"/>
      <w:numFmt w:val="lowerLetter"/>
      <w:start w:val="2"/>
    </w:lvl>
  </w:abstractNum>
  <w:abstractNum w:abstractNumId="384">
    <w:nsid w:val="E04E6CE"/>
    <w:multiLevelType w:val="hybridMultilevel"/>
    <w:lvl w:ilvl="0">
      <w:lvlJc w:val="left"/>
      <w:lvlText w:val="%1"/>
      <w:numFmt w:val="decimal"/>
      <w:start w:val="1"/>
    </w:lvl>
    <w:lvl w:ilvl="1">
      <w:lvlJc w:val="left"/>
      <w:lvlText w:val="(%2)"/>
      <w:numFmt w:val="lowerLetter"/>
      <w:start w:val="10"/>
    </w:lvl>
  </w:abstractNum>
  <w:abstractNum w:abstractNumId="385">
    <w:nsid w:val="31A9DB76"/>
    <w:multiLevelType w:val="hybridMultilevel"/>
    <w:lvl w:ilvl="0">
      <w:lvlJc w:val="left"/>
      <w:lvlText w:val="%1."/>
      <w:numFmt w:val="decimal"/>
      <w:start w:val="2"/>
    </w:lvl>
    <w:lvl w:ilvl="1">
      <w:lvlJc w:val="left"/>
      <w:lvlText w:val="(%2)"/>
      <w:numFmt w:val="lowerLetter"/>
      <w:start w:val="1"/>
    </w:lvl>
  </w:abstractNum>
  <w:abstractNum w:abstractNumId="386">
    <w:nsid w:val="4C4FFF5B"/>
    <w:multiLevelType w:val="hybridMultilevel"/>
    <w:lvl w:ilvl="0">
      <w:lvlJc w:val="left"/>
      <w:lvlText w:val="(%1)"/>
      <w:numFmt w:val="lowerLetter"/>
      <w:start w:val="3"/>
    </w:lvl>
  </w:abstractNum>
  <w:abstractNum w:abstractNumId="387">
    <w:nsid w:val="51B76675"/>
    <w:multiLevelType w:val="hybridMultilevel"/>
    <w:lvl w:ilvl="0">
      <w:lvlJc w:val="left"/>
      <w:lvlText w:val="%1"/>
      <w:numFmt w:val="decimal"/>
      <w:start w:val="1"/>
    </w:lvl>
    <w:lvl w:ilvl="1">
      <w:lvlJc w:val="left"/>
      <w:lvlText w:val="(%2)"/>
      <w:numFmt w:val="lowerLetter"/>
      <w:start w:val="9"/>
    </w:lvl>
  </w:abstractNum>
  <w:abstractNum w:abstractNumId="388">
    <w:nsid w:val="59A4BA71"/>
    <w:multiLevelType w:val="hybridMultilevel"/>
    <w:lvl w:ilvl="0">
      <w:lvlJc w:val="left"/>
      <w:lvlText w:val="%1."/>
      <w:numFmt w:val="decimal"/>
      <w:start w:val="3"/>
    </w:lvl>
    <w:lvl w:ilvl="1">
      <w:lvlJc w:val="left"/>
      <w:lvlText w:val="(%2)"/>
      <w:numFmt w:val="lowerLetter"/>
      <w:start w:val="1"/>
    </w:lvl>
  </w:abstractNum>
  <w:abstractNum w:abstractNumId="389">
    <w:nsid w:val="450B7FB6"/>
    <w:multiLevelType w:val="hybridMultilevel"/>
    <w:lvl w:ilvl="0">
      <w:lvlJc w:val="left"/>
      <w:lvlText w:val="%1"/>
      <w:numFmt w:val="decimal"/>
      <w:start w:val="1"/>
    </w:lvl>
    <w:lvl w:ilvl="1">
      <w:lvlJc w:val="left"/>
      <w:lvlText w:val="(%2)"/>
      <w:numFmt w:val="lowerLetter"/>
      <w:start w:val="8"/>
    </w:lvl>
  </w:abstractNum>
  <w:abstractNum w:abstractNumId="390">
    <w:nsid w:val="340BF64D"/>
    <w:multiLevelType w:val="hybridMultilevel"/>
    <w:lvl w:ilvl="0">
      <w:lvlJc w:val="left"/>
      <w:lvlText w:val="%1."/>
      <w:numFmt w:val="decimal"/>
      <w:start w:val="4"/>
    </w:lvl>
    <w:lvl w:ilvl="1">
      <w:lvlJc w:val="left"/>
      <w:lvlText w:val="(%2)"/>
      <w:numFmt w:val="lowerLetter"/>
      <w:start w:val="1"/>
    </w:lvl>
  </w:abstractNum>
  <w:abstractNum w:abstractNumId="391">
    <w:nsid w:val="69454021"/>
    <w:multiLevelType w:val="hybridMultilevel"/>
    <w:lvl w:ilvl="0">
      <w:lvlJc w:val="left"/>
      <w:lvlText w:val="%1."/>
      <w:numFmt w:val="decimal"/>
      <w:start w:val="6"/>
    </w:lvl>
    <w:lvl w:ilvl="1">
      <w:lvlJc w:val="left"/>
      <w:lvlText w:val="(%2)"/>
      <w:numFmt w:val="lowerLetter"/>
      <w:start w:val="1"/>
    </w:lvl>
  </w:abstractNum>
  <w:abstractNum w:abstractNumId="392">
    <w:nsid w:val="49F15C6B"/>
    <w:multiLevelType w:val="hybridMultilevel"/>
    <w:lvl w:ilvl="0">
      <w:lvlJc w:val="left"/>
      <w:lvlText w:val="(%1)"/>
      <w:numFmt w:val="lowerLetter"/>
      <w:start w:val="6"/>
    </w:lvl>
  </w:abstractNum>
  <w:abstractNum w:abstractNumId="393">
    <w:nsid w:val="75F56228"/>
    <w:multiLevelType w:val="hybridMultilevel"/>
    <w:lvl w:ilvl="0">
      <w:lvlJc w:val="left"/>
      <w:lvlText w:val="%1:"/>
      <w:numFmt w:val="lowerLetter"/>
      <w:start w:val="29"/>
    </w:lvl>
  </w:abstractNum>
  <w:abstractNum w:abstractNumId="394">
    <w:nsid w:val="1C618271"/>
    <w:multiLevelType w:val="hybridMultilevel"/>
    <w:lvl w:ilvl="0">
      <w:lvlJc w:val="left"/>
      <w:lvlText w:val="%1:"/>
      <w:numFmt w:val="lowerLetter"/>
      <w:start w:val="29"/>
    </w:lvl>
  </w:abstractNum>
  <w:abstractNum w:abstractNumId="395">
    <w:nsid w:val="6505F02E"/>
    <w:multiLevelType w:val="hybridMultilevel"/>
    <w:lvl w:ilvl="0">
      <w:lvlJc w:val="left"/>
      <w:lvlText w:val="%1:"/>
      <w:numFmt w:val="lowerLetter"/>
      <w:start w:val="29"/>
    </w:lvl>
  </w:abstractNum>
  <w:abstractNum w:abstractNumId="396">
    <w:nsid w:val="2FE5D025"/>
    <w:multiLevelType w:val="hybridMultilevel"/>
    <w:lvl w:ilvl="0">
      <w:lvlJc w:val="left"/>
      <w:lvlText w:val="%1:"/>
      <w:numFmt w:val="lowerLetter"/>
      <w:start w:val="29"/>
    </w:lvl>
  </w:abstractNum>
  <w:abstractNum w:abstractNumId="397">
    <w:nsid w:val="30E1B1CF"/>
    <w:multiLevelType w:val="hybridMultilevel"/>
    <w:lvl w:ilvl="0">
      <w:lvlJc w:val="left"/>
      <w:lvlText w:val="(%1)"/>
      <w:numFmt w:val="lowerLetter"/>
      <w:start w:val="4"/>
    </w:lvl>
  </w:abstractNum>
  <w:abstractNum w:abstractNumId="398">
    <w:nsid w:val="C7A9237"/>
    <w:multiLevelType w:val="hybridMultilevel"/>
    <w:lvl w:ilvl="0">
      <w:lvlJc w:val="left"/>
      <w:lvlText w:val="(%1)"/>
      <w:numFmt w:val="upperLetter"/>
      <w:start w:val="1"/>
    </w:lvl>
  </w:abstractNum>
  <w:abstractNum w:abstractNumId="399">
    <w:nsid w:val="676B3580"/>
    <w:multiLevelType w:val="hybridMultilevel"/>
    <w:lvl w:ilvl="0">
      <w:lvlJc w:val="left"/>
      <w:lvlText w:val="(%1)"/>
      <w:numFmt w:val="lowerRoman"/>
      <w:start w:val="1"/>
    </w:lvl>
  </w:abstractNum>
  <w:abstractNum w:abstractNumId="400">
    <w:nsid w:val="3193C8F9"/>
    <w:multiLevelType w:val="hybridMultilevel"/>
    <w:lvl w:ilvl="0">
      <w:lvlJc w:val="left"/>
      <w:lvlText w:val="(%1)"/>
      <w:numFmt w:val="lowerLetter"/>
      <w:start w:val="1"/>
    </w:lvl>
  </w:abstractNum>
  <w:abstractNum w:abstractNumId="401">
    <w:nsid w:val="5FA6C6DC"/>
    <w:multiLevelType w:val="hybridMultilevel"/>
    <w:lvl w:ilvl="0">
      <w:lvlJc w:val="left"/>
      <w:lvlText w:val="%1."/>
      <w:numFmt w:val="upperLetter"/>
      <w:start w:val="1"/>
    </w:lvl>
    <w:lvl w:ilvl="1">
      <w:lvlJc w:val="left"/>
      <w:lvlText w:val="(%2)"/>
      <w:numFmt w:val="lowerRoman"/>
      <w:start w:val="1"/>
    </w:lvl>
  </w:abstractNum>
  <w:abstractNum w:abstractNumId="402">
    <w:nsid w:val="77933F62"/>
    <w:multiLevelType w:val="hybridMultilevel"/>
    <w:lvl w:ilvl="0">
      <w:lvlJc w:val="left"/>
      <w:lvlText w:val="%1"/>
      <w:numFmt w:val="upperLetter"/>
      <w:start w:val="1"/>
    </w:lvl>
    <w:lvl w:ilvl="1">
      <w:lvlJc w:val="left"/>
      <w:lvlText w:val="(%2)"/>
      <w:numFmt w:val="lowerRoman"/>
      <w:start w:val="2"/>
    </w:lvl>
  </w:abstractNum>
  <w:abstractNum w:abstractNumId="403">
    <w:nsid w:val="6CB4EE9C"/>
    <w:multiLevelType w:val="hybridMultilevel"/>
    <w:lvl w:ilvl="0">
      <w:lvlJc w:val="left"/>
      <w:lvlText w:val="%1."/>
      <w:numFmt w:val="upperLetter"/>
      <w:start w:val="3"/>
    </w:lvl>
    <w:lvl w:ilvl="1">
      <w:lvlJc w:val="left"/>
      <w:lvlText w:val="(%2)"/>
      <w:numFmt w:val="lowerRoman"/>
      <w:start w:val="1"/>
    </w:lvl>
  </w:abstractNum>
  <w:abstractNum w:abstractNumId="404">
    <w:nsid w:val="6A6D56D7"/>
    <w:multiLevelType w:val="hybridMultilevel"/>
    <w:lvl w:ilvl="0">
      <w:lvlJc w:val="left"/>
      <w:lvlText w:val="%1."/>
      <w:numFmt w:val="upperLetter"/>
      <w:start w:val="1"/>
    </w:lvl>
  </w:abstractNum>
  <w:abstractNum w:abstractNumId="405">
    <w:nsid w:val="5B727F19"/>
    <w:multiLevelType w:val="hybridMultilevel"/>
    <w:lvl w:ilvl="0">
      <w:lvlJc w:val="left"/>
      <w:lvlText w:val="(%1)"/>
      <w:numFmt w:val="lowerRoman"/>
      <w:start w:val="1"/>
    </w:lvl>
  </w:abstractNum>
  <w:abstractNum w:abstractNumId="406">
    <w:nsid w:val="514E5CB0"/>
    <w:multiLevelType w:val="hybridMultilevel"/>
    <w:lvl w:ilvl="0">
      <w:lvlJc w:val="left"/>
      <w:lvlText w:val="%1"/>
      <w:numFmt w:val="upperLetter"/>
      <w:start w:val="1"/>
    </w:lvl>
    <w:lvl w:ilvl="1">
      <w:lvlJc w:val="left"/>
      <w:lvlText w:val="(%2)"/>
      <w:numFmt w:val="lowerRoman"/>
      <w:start w:val="2"/>
    </w:lvl>
  </w:abstractNum>
  <w:abstractNum w:abstractNumId="407">
    <w:nsid w:val="4210D41E"/>
    <w:multiLevelType w:val="hybridMultilevel"/>
    <w:lvl w:ilvl="0">
      <w:lvlJc w:val="left"/>
      <w:lvlText w:val="%1."/>
      <w:numFmt w:val="upperLetter"/>
      <w:start w:val="3"/>
    </w:lvl>
    <w:lvl w:ilvl="1">
      <w:lvlJc w:val="left"/>
      <w:lvlText w:val="%2"/>
      <w:numFmt w:val="lowerRoman"/>
      <w:start w:val="1"/>
    </w:lvl>
  </w:abstractNum>
  <w:abstractNum w:abstractNumId="408">
    <w:nsid w:val="4FF4CC6D"/>
    <w:multiLevelType w:val="hybridMultilevel"/>
    <w:lvl w:ilvl="0">
      <w:lvlJc w:val="left"/>
      <w:lvlText w:val="%1."/>
      <w:numFmt w:val="upperLetter"/>
      <w:start w:val="1"/>
    </w:lvl>
    <w:lvl w:ilvl="1">
      <w:lvlJc w:val="left"/>
      <w:lvlText w:val="(%2)"/>
      <w:numFmt w:val="lowerRoman"/>
      <w:start w:val="1"/>
    </w:lvl>
  </w:abstractNum>
  <w:abstractNum w:abstractNumId="409">
    <w:nsid w:val="404EAF4A"/>
    <w:multiLevelType w:val="hybridMultilevel"/>
    <w:lvl w:ilvl="0">
      <w:lvlJc w:val="left"/>
      <w:lvlText w:val="(%1)"/>
      <w:numFmt w:val="lowerRoman"/>
      <w:start w:val="6"/>
    </w:lvl>
  </w:abstractNum>
  <w:abstractNum w:abstractNumId="410">
    <w:nsid w:val="4A16874F"/>
    <w:multiLevelType w:val="hybridMultilevel"/>
    <w:lvl w:ilvl="0">
      <w:lvlJc w:val="left"/>
      <w:lvlText w:val="%1."/>
      <w:numFmt w:val="upperLetter"/>
      <w:start w:val="1"/>
    </w:lvl>
  </w:abstractNum>
  <w:abstractNum w:abstractNumId="411">
    <w:nsid w:val="55FEE0D1"/>
    <w:multiLevelType w:val="hybridMultilevel"/>
    <w:lvl w:ilvl="0">
      <w:lvlJc w:val="left"/>
      <w:lvlText w:val="%1."/>
      <w:numFmt w:val="upperLetter"/>
      <w:start w:val="1"/>
    </w:lvl>
  </w:abstractNum>
  <w:abstractNum w:abstractNumId="412">
    <w:nsid w:val="3C5E07C"/>
    <w:multiLevelType w:val="hybridMultilevel"/>
    <w:lvl w:ilvl="0">
      <w:lvlJc w:val="left"/>
      <w:lvlText w:val="%1."/>
      <w:numFmt w:val="upperLetter"/>
      <w:start w:val="1"/>
    </w:lvl>
  </w:abstractNum>
  <w:abstractNum w:abstractNumId="413">
    <w:nsid w:val="60C2D273"/>
    <w:multiLevelType w:val="hybridMultilevel"/>
    <w:lvl w:ilvl="0">
      <w:lvlJc w:val="left"/>
      <w:lvlText w:val="%1."/>
      <w:numFmt w:val="decimal"/>
      <w:start w:val="1"/>
    </w:lvl>
  </w:abstractNum>
  <w:abstractNum w:abstractNumId="414">
    <w:nsid w:val="4CC32F1F"/>
    <w:multiLevelType w:val="hybridMultilevel"/>
    <w:lvl w:ilvl="0">
      <w:lvlJc w:val="left"/>
      <w:lvlText w:val="%1."/>
      <w:numFmt w:val="decimal"/>
      <w:start w:val="2"/>
    </w:lvl>
  </w:abstractNum>
  <w:abstractNum w:abstractNumId="415">
    <w:nsid w:val="11CAC74A"/>
    <w:multiLevelType w:val="hybridMultilevel"/>
    <w:lvl w:ilvl="0">
      <w:lvlJc w:val="left"/>
      <w:lvlText w:val="(%1)"/>
      <w:numFmt w:val="lowerLetter"/>
      <w:start w:val="1"/>
    </w:lvl>
    <w:lvl w:ilvl="1">
      <w:lvlJc w:val="left"/>
      <w:lvlText w:val="(%2)"/>
      <w:numFmt w:val="lowerRoman"/>
      <w:start w:val="1"/>
    </w:lvl>
  </w:abstractNum>
  <w:abstractNum w:abstractNumId="416">
    <w:nsid w:val="126CADE9"/>
    <w:multiLevelType w:val="hybridMultilevel"/>
    <w:lvl w:ilvl="0">
      <w:lvlJc w:val="left"/>
      <w:lvlText w:val="%1"/>
      <w:numFmt w:val="lowerLetter"/>
      <w:start w:val="1"/>
    </w:lvl>
    <w:lvl w:ilvl="1">
      <w:lvlJc w:val="left"/>
      <w:lvlText w:val="(%2)"/>
      <w:numFmt w:val="lowerRoman"/>
      <w:start w:val="3"/>
    </w:lvl>
  </w:abstractNum>
  <w:abstractNum w:abstractNumId="417">
    <w:nsid w:val="19132E7B"/>
    <w:multiLevelType w:val="hybridMultilevel"/>
    <w:lvl w:ilvl="0">
      <w:lvlJc w:val="left"/>
      <w:lvlText w:val="(%1)"/>
      <w:numFmt w:val="lowerLetter"/>
      <w:start w:val="4"/>
    </w:lvl>
    <w:lvl w:ilvl="1">
      <w:lvlJc w:val="left"/>
      <w:lvlText w:val="%2"/>
      <w:numFmt w:val="lowerRoman"/>
      <w:start w:val="1"/>
    </w:lvl>
  </w:abstractNum>
  <w:abstractNum w:abstractNumId="418">
    <w:nsid w:val="63822DC0"/>
    <w:multiLevelType w:val="hybridMultilevel"/>
    <w:lvl w:ilvl="0">
      <w:lvlJc w:val="left"/>
      <w:lvlText w:val="(%1)"/>
      <w:numFmt w:val="lowerLetter"/>
      <w:start w:val="5"/>
    </w:lvl>
  </w:abstractNum>
  <w:abstractNum w:abstractNumId="419">
    <w:nsid w:val="6C11685A"/>
    <w:multiLevelType w:val="hybridMultilevel"/>
    <w:lvl w:ilvl="0">
      <w:lvlJc w:val="left"/>
      <w:lvlText w:val="(%1)"/>
      <w:numFmt w:val="lowerLetter"/>
      <w:start w:val="12"/>
    </w:lvl>
  </w:abstractNum>
  <w:abstractNum w:abstractNumId="420">
    <w:nsid w:val="5E1EAE31"/>
    <w:multiLevelType w:val="hybridMultilevel"/>
    <w:lvl w:ilvl="0">
      <w:lvlJc w:val="left"/>
      <w:lvlText w:val="%1."/>
      <w:numFmt w:val="decimal"/>
      <w:start w:val="3"/>
    </w:lvl>
  </w:abstractNum>
  <w:abstractNum w:abstractNumId="421">
    <w:nsid w:val="178E240D"/>
    <w:multiLevelType w:val="hybridMultilevel"/>
    <w:lvl w:ilvl="0">
      <w:lvlJc w:val="left"/>
      <w:lvlText w:val="%1."/>
      <w:numFmt w:val="decimal"/>
      <w:start w:val="4"/>
    </w:lvl>
  </w:abstractNum>
  <w:abstractNum w:abstractNumId="422">
    <w:nsid w:val="5556A87B"/>
    <w:multiLevelType w:val="hybridMultilevel"/>
    <w:lvl w:ilvl="0">
      <w:lvlJc w:val="left"/>
      <w:lvlText w:val="%1."/>
      <w:numFmt w:val="decimal"/>
      <w:start w:val="5"/>
    </w:lvl>
  </w:abstractNum>
  <w:abstractNum w:abstractNumId="423">
    <w:nsid w:val="28100A9C"/>
    <w:multiLevelType w:val="hybridMultilevel"/>
    <w:lvl w:ilvl="0">
      <w:lvlJc w:val="left"/>
      <w:lvlText w:val="%1."/>
      <w:numFmt w:val="decimal"/>
      <w:start w:val="6"/>
    </w:lvl>
  </w:abstractNum>
  <w:abstractNum w:abstractNumId="424">
    <w:nsid w:val="D838636"/>
    <w:multiLevelType w:val="hybridMultilevel"/>
    <w:lvl w:ilvl="0">
      <w:lvlJc w:val="left"/>
      <w:lvlText w:val="%1."/>
      <w:numFmt w:val="decimal"/>
      <w:start w:val="7"/>
    </w:lvl>
  </w:abstractNum>
  <w:abstractNum w:abstractNumId="425">
    <w:nsid w:val="71B82AED"/>
    <w:multiLevelType w:val="hybridMultilevel"/>
    <w:lvl w:ilvl="0">
      <w:lvlJc w:val="left"/>
      <w:lvlText w:val="%1."/>
      <w:numFmt w:val="decimal"/>
      <w:start w:val="8"/>
    </w:lvl>
    <w:lvl w:ilvl="1">
      <w:lvlJc w:val="left"/>
      <w:lvlText w:val="(%2)"/>
      <w:numFmt w:val="lowerLetter"/>
      <w:start w:val="1"/>
    </w:lvl>
  </w:abstractNum>
  <w:abstractNum w:abstractNumId="426">
    <w:nsid w:val="D15FACA"/>
    <w:multiLevelType w:val="hybridMultilevel"/>
    <w:lvl w:ilvl="0">
      <w:lvlJc w:val="left"/>
      <w:lvlText w:val="%1"/>
      <w:numFmt w:val="decimal"/>
      <w:start w:val="1"/>
    </w:lvl>
    <w:lvl w:ilvl="1">
      <w:lvlJc w:val="left"/>
      <w:lvlText w:val="(%2)"/>
      <w:numFmt w:val="lowerLetter"/>
      <w:start w:val="2"/>
    </w:lvl>
  </w:abstractNum>
  <w:abstractNum w:abstractNumId="427">
    <w:nsid w:val="3D69565B"/>
    <w:multiLevelType w:val="hybridMultilevel"/>
    <w:lvl w:ilvl="0">
      <w:lvlJc w:val="left"/>
      <w:lvlText w:val="%1."/>
      <w:numFmt w:val="decimal"/>
      <w:start w:val="9"/>
    </w:lvl>
    <w:lvl w:ilvl="1">
      <w:lvlJc w:val="left"/>
      <w:lvlText w:val="%2"/>
      <w:numFmt w:val="lowerLetter"/>
      <w:start w:val="1"/>
    </w:lvl>
  </w:abstractNum>
  <w:abstractNum w:abstractNumId="428">
    <w:nsid w:val="2299DCBC"/>
    <w:multiLevelType w:val="hybridMultilevel"/>
    <w:lvl w:ilvl="0">
      <w:lvlJc w:val="left"/>
      <w:lvlText w:val="%1"/>
      <w:numFmt w:val="decimal"/>
      <w:start w:val="1"/>
    </w:lvl>
    <w:lvl w:ilvl="1">
      <w:lvlJc w:val="left"/>
      <w:lvlText w:val="(%2)"/>
      <w:numFmt w:val="lowerLetter"/>
      <w:start w:val="1"/>
    </w:lvl>
  </w:abstractNum>
  <w:abstractNum w:abstractNumId="429">
    <w:nsid w:val="19908D02"/>
    <w:multiLevelType w:val="hybridMultilevel"/>
    <w:lvl w:ilvl="0">
      <w:lvlJc w:val="left"/>
      <w:lvlText w:val="%1."/>
      <w:numFmt w:val="decimal"/>
      <w:start w:val="10"/>
    </w:lvl>
    <w:lvl w:ilvl="1">
      <w:lvlJc w:val="left"/>
      <w:lvlText w:val="(%2)"/>
      <w:numFmt w:val="lowerLetter"/>
      <w:start w:val="1"/>
    </w:lvl>
  </w:abstractNum>
  <w:abstractNum w:abstractNumId="430">
    <w:nsid w:val="24D48BDB"/>
    <w:multiLevelType w:val="hybridMultilevel"/>
    <w:lvl w:ilvl="0">
      <w:lvlJc w:val="left"/>
      <w:lvlText w:val="%1"/>
      <w:numFmt w:val="decimal"/>
      <w:start w:val="1"/>
    </w:lvl>
    <w:lvl w:ilvl="1">
      <w:lvlJc w:val="left"/>
      <w:lvlText w:val="(%2)"/>
      <w:numFmt w:val="lowerLetter"/>
      <w:start w:val="2"/>
    </w:lvl>
  </w:abstractNum>
  <w:abstractNum w:abstractNumId="431">
    <w:nsid w:val="542DA5B5"/>
    <w:multiLevelType w:val="hybridMultilevel"/>
    <w:lvl w:ilvl="0">
      <w:lvlJc w:val="left"/>
      <w:lvlText w:val="%1."/>
      <w:numFmt w:val="decimal"/>
      <w:start w:val="11"/>
    </w:lvl>
    <w:lvl w:ilvl="1">
      <w:lvlJc w:val="left"/>
      <w:lvlText w:val="(%2)"/>
      <w:numFmt w:val="lowerLetter"/>
      <w:start w:val="1"/>
    </w:lvl>
  </w:abstractNum>
  <w:abstractNum w:abstractNumId="432">
    <w:nsid w:val="793753DE"/>
    <w:multiLevelType w:val="hybridMultilevel"/>
    <w:lvl w:ilvl="0">
      <w:lvlJc w:val="left"/>
      <w:lvlText w:val="%1."/>
      <w:numFmt w:val="decimal"/>
      <w:start w:val="12"/>
    </w:lvl>
  </w:abstractNum>
  <w:abstractNum w:abstractNumId="433">
    <w:nsid w:val="1C67CB3D"/>
    <w:multiLevelType w:val="hybridMultilevel"/>
    <w:lvl w:ilvl="0">
      <w:lvlJc w:val="left"/>
      <w:lvlText w:val="(%1)"/>
      <w:numFmt w:val="lowerLetter"/>
      <w:start w:val="1"/>
    </w:lvl>
    <w:lvl w:ilvl="1">
      <w:lvlJc w:val="left"/>
      <w:lvlText w:val="(%2)"/>
      <w:numFmt w:val="lowerLetter"/>
      <w:start w:val="1"/>
    </w:lvl>
  </w:abstractNum>
  <w:abstractNum w:abstractNumId="434">
    <w:nsid w:val="40E29452"/>
    <w:multiLevelType w:val="hybridMultilevel"/>
    <w:lvl w:ilvl="0">
      <w:lvlJc w:val="left"/>
      <w:lvlText w:val="%1."/>
      <w:numFmt w:val="decimal"/>
      <w:start w:val="13"/>
    </w:lvl>
    <w:lvl w:ilvl="1">
      <w:lvlJc w:val="left"/>
      <w:lvlText w:val="(%2)"/>
      <w:numFmt w:val="lowerLetter"/>
      <w:start w:val="1"/>
    </w:lvl>
  </w:abstractNum>
  <w:abstractNum w:abstractNumId="435">
    <w:nsid w:val="63A4AAB6"/>
    <w:multiLevelType w:val="hybridMultilevel"/>
    <w:lvl w:ilvl="0">
      <w:lvlJc w:val="left"/>
      <w:lvlText w:val="%1"/>
      <w:numFmt w:val="decimal"/>
      <w:start w:val="1"/>
    </w:lvl>
    <w:lvl w:ilvl="1">
      <w:lvlJc w:val="left"/>
      <w:lvlText w:val="(%2)"/>
      <w:numFmt w:val="lowerLetter"/>
      <w:start w:val="3"/>
    </w:lvl>
  </w:abstractNum>
  <w:abstractNum w:abstractNumId="436">
    <w:nsid w:val="77DA4A57"/>
    <w:multiLevelType w:val="hybridMultilevel"/>
    <w:lvl w:ilvl="0">
      <w:lvlJc w:val="left"/>
      <w:lvlText w:val="%1."/>
      <w:numFmt w:val="decimal"/>
      <w:start w:val="14"/>
    </w:lvl>
    <w:lvl w:ilvl="1">
      <w:lvlJc w:val="left"/>
      <w:lvlText w:val="(%2)"/>
      <w:numFmt w:val="lowerLetter"/>
      <w:start w:val="1"/>
    </w:lvl>
  </w:abstractNum>
  <w:abstractNum w:abstractNumId="437">
    <w:nsid w:val="1230F102"/>
    <w:multiLevelType w:val="hybridMultilevel"/>
    <w:lvl w:ilvl="0">
      <w:lvlJc w:val="left"/>
      <w:lvlText w:val="(%1)"/>
      <w:numFmt w:val="lowerLetter"/>
      <w:start w:val="2"/>
    </w:lvl>
  </w:abstractNum>
  <w:abstractNum w:abstractNumId="438">
    <w:nsid w:val="25B57ED4"/>
    <w:multiLevelType w:val="hybridMultilevel"/>
    <w:lvl w:ilvl="0">
      <w:lvlJc w:val="left"/>
      <w:lvlText w:val="%1"/>
      <w:numFmt w:val="decimal"/>
      <w:start w:val="1"/>
    </w:lvl>
    <w:lvl w:ilvl="1">
      <w:lvlJc w:val="left"/>
      <w:lvlText w:val="(%2)"/>
      <w:numFmt w:val="lowerLetter"/>
      <w:start w:val="7"/>
    </w:lvl>
  </w:abstractNum>
  <w:abstractNum w:abstractNumId="439">
    <w:nsid w:val="47CF16C4"/>
    <w:multiLevelType w:val="hybridMultilevel"/>
    <w:lvl w:ilvl="0">
      <w:lvlJc w:val="left"/>
      <w:lvlText w:val="%1."/>
      <w:numFmt w:val="decimal"/>
      <w:start w:val="15"/>
    </w:lvl>
    <w:lvl w:ilvl="1">
      <w:lvlJc w:val="left"/>
      <w:lvlText w:val="%2"/>
      <w:numFmt w:val="lowerLetter"/>
      <w:start w:val="1"/>
    </w:lvl>
  </w:abstractNum>
  <w:abstractNum w:abstractNumId="440">
    <w:nsid w:val="527FA04C"/>
    <w:multiLevelType w:val="hybridMultilevel"/>
    <w:lvl w:ilvl="0">
      <w:lvlJc w:val="left"/>
      <w:lvlText w:val="%1."/>
      <w:numFmt w:val="decimal"/>
      <w:start w:val="16"/>
    </w:lvl>
    <w:lvl w:ilvl="1">
      <w:lvlJc w:val="left"/>
      <w:lvlText w:val="(%2)"/>
      <w:numFmt w:val="lowerLetter"/>
      <w:start w:val="1"/>
    </w:lvl>
  </w:abstractNum>
  <w:abstractNum w:abstractNumId="441">
    <w:nsid w:val="6FCC0624"/>
    <w:multiLevelType w:val="hybridMultilevel"/>
    <w:lvl w:ilvl="0">
      <w:lvlJc w:val="left"/>
      <w:lvlText w:val="(%1)"/>
      <w:numFmt w:val="lowerLetter"/>
      <w:start w:val="2"/>
    </w:lvl>
  </w:abstractNum>
  <w:abstractNum w:abstractNumId="442">
    <w:nsid w:val="1DCDF795"/>
    <w:multiLevelType w:val="hybridMultilevel"/>
    <w:lvl w:ilvl="0">
      <w:lvlJc w:val="left"/>
      <w:lvlText w:val="%1"/>
      <w:numFmt w:val="decimal"/>
      <w:start w:val="1"/>
    </w:lvl>
    <w:lvl w:ilvl="1">
      <w:lvlJc w:val="left"/>
      <w:lvlText w:val="(%2)"/>
      <w:numFmt w:val="lowerLetter"/>
      <w:start w:val="6"/>
    </w:lvl>
  </w:abstractNum>
  <w:abstractNum w:abstractNumId="443">
    <w:nsid w:val="564580C8"/>
    <w:multiLevelType w:val="hybridMultilevel"/>
    <w:lvl w:ilvl="0">
      <w:lvlJc w:val="left"/>
      <w:lvlText w:val="%1."/>
      <w:numFmt w:val="decimal"/>
      <w:start w:val="17"/>
    </w:lvl>
    <w:lvl w:ilvl="1">
      <w:lvlJc w:val="left"/>
      <w:lvlText w:val="%2"/>
      <w:numFmt w:val="lowerLetter"/>
      <w:start w:val="1"/>
    </w:lvl>
  </w:abstractNum>
  <w:abstractNum w:abstractNumId="444">
    <w:nsid w:val="508ED897"/>
    <w:multiLevelType w:val="hybridMultilevel"/>
    <w:lvl w:ilvl="0">
      <w:lvlJc w:val="left"/>
      <w:lvlText w:val="%1."/>
      <w:numFmt w:val="decimal"/>
      <w:start w:val="18"/>
    </w:lvl>
  </w:abstractNum>
  <w:abstractNum w:abstractNumId="445">
    <w:nsid w:val="6A9126B5"/>
    <w:multiLevelType w:val="hybridMultilevel"/>
    <w:lvl w:ilvl="0">
      <w:lvlJc w:val="left"/>
      <w:lvlText w:val="%1."/>
      <w:numFmt w:val="decimal"/>
      <w:start w:val="19"/>
    </w:lvl>
    <w:lvl w:ilvl="1">
      <w:lvlJc w:val="left"/>
      <w:lvlText w:val="(%2)"/>
      <w:numFmt w:val="lowerLetter"/>
      <w:start w:val="1"/>
    </w:lvl>
  </w:abstractNum>
  <w:abstractNum w:abstractNumId="446">
    <w:nsid w:val="68104812"/>
    <w:multiLevelType w:val="hybridMultilevel"/>
    <w:lvl w:ilvl="0">
      <w:lvlJc w:val="left"/>
      <w:lvlText w:val="(%1)"/>
      <w:numFmt w:val="lowerLetter"/>
      <w:start w:val="2"/>
    </w:lvl>
  </w:abstractNum>
  <w:abstractNum w:abstractNumId="447">
    <w:nsid w:val="62FB8680"/>
    <w:multiLevelType w:val="hybridMultilevel"/>
    <w:lvl w:ilvl="0">
      <w:lvlJc w:val="left"/>
      <w:lvlText w:val="%1."/>
      <w:numFmt w:val="decimal"/>
      <w:start w:val="20"/>
    </w:lvl>
  </w:abstractNum>
  <w:abstractNum w:abstractNumId="448">
    <w:nsid w:val="3A45530"/>
    <w:multiLevelType w:val="hybridMultilevel"/>
    <w:lvl w:ilvl="0">
      <w:lvlJc w:val="left"/>
      <w:lvlText w:val="%1."/>
      <w:numFmt w:val="decimal"/>
      <w:start w:val="21"/>
    </w:lvl>
  </w:abstractNum>
  <w:abstractNum w:abstractNumId="449">
    <w:nsid w:val="4B9275D2"/>
    <w:multiLevelType w:val="hybridMultilevel"/>
    <w:lvl w:ilvl="0">
      <w:lvlJc w:val="left"/>
      <w:lvlText w:val="(%1)"/>
      <w:numFmt w:val="lowerLetter"/>
      <w:start w:val="1"/>
    </w:lvl>
  </w:abstractNum>
  <w:abstractNum w:abstractNumId="450">
    <w:nsid w:val="4F0CEEDB"/>
    <w:multiLevelType w:val="hybridMultilevel"/>
    <w:lvl w:ilvl="0">
      <w:lvlJc w:val="left"/>
      <w:lvlText w:val="%1."/>
      <w:numFmt w:val="decimal"/>
      <w:start w:val="22"/>
    </w:lvl>
  </w:abstractNum>
  <w:abstractNum w:abstractNumId="451">
    <w:nsid w:val="61C30361"/>
    <w:multiLevelType w:val="hybridMultilevel"/>
    <w:lvl w:ilvl="0">
      <w:lvlJc w:val="left"/>
      <w:lvlText w:val="%1."/>
      <w:numFmt w:val="decimal"/>
      <w:start w:val="23"/>
    </w:lvl>
  </w:abstractNum>
  <w:abstractNum w:abstractNumId="452">
    <w:nsid w:val="632099E0"/>
    <w:multiLevelType w:val="hybridMultilevel"/>
    <w:lvl w:ilvl="0">
      <w:lvlJc w:val="left"/>
      <w:lvlText w:val="%1."/>
      <w:numFmt w:val="decimal"/>
      <w:start w:val="24"/>
    </w:lvl>
  </w:abstractNum>
  <w:abstractNum w:abstractNumId="453">
    <w:nsid w:val="24639756"/>
    <w:multiLevelType w:val="hybridMultilevel"/>
    <w:lvl w:ilvl="0">
      <w:lvlJc w:val="left"/>
      <w:lvlText w:val="%1."/>
      <w:numFmt w:val="decimal"/>
      <w:start w:val="25"/>
    </w:lvl>
  </w:abstractNum>
  <w:abstractNum w:abstractNumId="454">
    <w:nsid w:val="9D30DFD"/>
    <w:multiLevelType w:val="hybridMultilevel"/>
    <w:lvl w:ilvl="0">
      <w:lvlJc w:val="left"/>
      <w:lvlText w:val="%1."/>
      <w:numFmt w:val="decimal"/>
      <w:start w:val="26"/>
    </w:lvl>
  </w:abstractNum>
  <w:abstractNum w:abstractNumId="455">
    <w:nsid w:val="70A42016"/>
    <w:multiLevelType w:val="hybridMultilevel"/>
    <w:lvl w:ilvl="0">
      <w:lvlJc w:val="left"/>
      <w:lvlText w:val="%1."/>
      <w:numFmt w:val="decimal"/>
      <w:start w:val="27"/>
    </w:lvl>
  </w:abstractNum>
  <w:abstractNum w:abstractNumId="456">
    <w:nsid w:val="161BC243"/>
    <w:multiLevelType w:val="hybridMultilevel"/>
    <w:lvl w:ilvl="0">
      <w:lvlJc w:val="left"/>
      <w:lvlText w:val="%1."/>
      <w:numFmt w:val="decimal"/>
      <w:start w:val="28"/>
    </w:lvl>
  </w:abstractNum>
  <w:abstractNum w:abstractNumId="457">
    <w:nsid w:val="16E908C8"/>
    <w:multiLevelType w:val="hybridMultilevel"/>
    <w:lvl w:ilvl="0">
      <w:lvlJc w:val="left"/>
      <w:lvlText w:val="%1."/>
      <w:numFmt w:val="decimal"/>
      <w:start w:val="1"/>
    </w:lvl>
    <w:lvl w:ilvl="1">
      <w:lvlJc w:val="left"/>
      <w:lvlText w:val="(%2)"/>
      <w:numFmt w:val="lowerLetter"/>
      <w:start w:val="1"/>
    </w:lvl>
  </w:abstractNum>
  <w:abstractNum w:abstractNumId="458">
    <w:nsid w:val="2E0D7671"/>
    <w:multiLevelType w:val="hybridMultilevel"/>
    <w:lvl w:ilvl="0">
      <w:lvlJc w:val="left"/>
      <w:lvlText w:val="%1"/>
      <w:numFmt w:val="decimal"/>
      <w:start w:val="1"/>
    </w:lvl>
    <w:lvl w:ilvl="1">
      <w:lvlJc w:val="left"/>
      <w:lvlText w:val="(%2)"/>
      <w:numFmt w:val="lowerLetter"/>
      <w:start w:val="3"/>
    </w:lvl>
  </w:abstractNum>
  <w:abstractNum w:abstractNumId="459">
    <w:nsid w:val="38B59EFF"/>
    <w:multiLevelType w:val="hybridMultilevel"/>
    <w:lvl w:ilvl="0">
      <w:lvlJc w:val="left"/>
      <w:lvlText w:val="%1."/>
      <w:numFmt w:val="decimal"/>
      <w:start w:val="6"/>
    </w:lvl>
    <w:lvl w:ilvl="1">
      <w:lvlJc w:val="left"/>
      <w:lvlText w:val="(%2)"/>
      <w:numFmt w:val="lowerLetter"/>
      <w:start w:val="1"/>
    </w:lvl>
  </w:abstractNum>
  <w:abstractNum w:abstractNumId="460">
    <w:nsid w:val="307995CA"/>
    <w:multiLevelType w:val="hybridMultilevel"/>
    <w:lvl w:ilvl="0">
      <w:lvlJc w:val="left"/>
      <w:lvlText w:val="%1."/>
      <w:numFmt w:val="decimal"/>
      <w:start w:val="10"/>
    </w:lvl>
  </w:abstractNum>
  <w:abstractNum w:abstractNumId="461">
    <w:nsid w:val="52E2024D"/>
    <w:multiLevelType w:val="hybridMultilevel"/>
    <w:lvl w:ilvl="0">
      <w:lvlJc w:val="left"/>
      <w:lvlText w:val="%1."/>
      <w:numFmt w:val="decimal"/>
      <w:start w:val="1"/>
    </w:lvl>
  </w:abstractNum>
  <w:abstractNum w:abstractNumId="462">
    <w:nsid w:val="CE344B5"/>
    <w:multiLevelType w:val="hybridMultilevel"/>
    <w:lvl w:ilvl="0">
      <w:lvlJc w:val="left"/>
      <w:lvlText w:val="%1."/>
      <w:numFmt w:val="decimal"/>
      <w:start w:val="2"/>
    </w:lvl>
  </w:abstractNum>
  <w:abstractNum w:abstractNumId="463">
    <w:nsid w:val="29B0E9A8"/>
    <w:multiLevelType w:val="hybridMultilevel"/>
    <w:lvl w:ilvl="0">
      <w:lvlJc w:val="left"/>
      <w:lvlText w:val="%1."/>
      <w:numFmt w:val="decimal"/>
      <w:start w:val="3"/>
    </w:lvl>
  </w:abstractNum>
  <w:abstractNum w:abstractNumId="464">
    <w:nsid w:val="6F49CD8A"/>
    <w:multiLevelType w:val="hybridMultilevel"/>
    <w:lvl w:ilvl="0">
      <w:lvlJc w:val="left"/>
      <w:lvlText w:val="%1."/>
      <w:numFmt w:val="decimal"/>
      <w:start w:val="4"/>
    </w:lvl>
  </w:abstractNum>
  <w:abstractNum w:abstractNumId="465">
    <w:nsid w:val="4DC5D907"/>
    <w:multiLevelType w:val="hybridMultilevel"/>
    <w:lvl w:ilvl="0">
      <w:lvlJc w:val="left"/>
      <w:lvlText w:val="%1."/>
      <w:numFmt w:val="decimal"/>
      <w:start w:val="6"/>
    </w:lvl>
  </w:abstractNum>
  <w:abstractNum w:abstractNumId="466">
    <w:nsid w:val="D55945E"/>
    <w:multiLevelType w:val="hybridMultilevel"/>
    <w:lvl w:ilvl="0">
      <w:lvlJc w:val="left"/>
      <w:lvlText w:val="%1."/>
      <w:numFmt w:val="decimal"/>
      <w:start w:val="7"/>
    </w:lvl>
  </w:abstractNum>
  <w:abstractNum w:abstractNumId="467">
    <w:nsid w:val="672417E1"/>
    <w:multiLevelType w:val="hybridMultilevel"/>
    <w:lvl w:ilvl="0">
      <w:lvlJc w:val="left"/>
      <w:lvlText w:val="%1."/>
      <w:numFmt w:val="decimal"/>
      <w:start w:val="1"/>
    </w:lvl>
  </w:abstractNum>
  <w:abstractNum w:abstractNumId="468">
    <w:nsid w:val="5FF6CA09"/>
    <w:multiLevelType w:val="hybridMultilevel"/>
    <w:lvl w:ilvl="0">
      <w:lvlJc w:val="left"/>
      <w:lvlText w:val="%1."/>
      <w:numFmt w:val="decimal"/>
      <w:start w:val="2"/>
    </w:lvl>
    <w:lvl w:ilvl="1">
      <w:lvlJc w:val="left"/>
      <w:lvlText w:val="(%2)"/>
      <w:numFmt w:val="lowerLetter"/>
      <w:start w:val="1"/>
    </w:lvl>
  </w:abstractNum>
  <w:abstractNum w:abstractNumId="469">
    <w:nsid w:val="330B1333"/>
    <w:multiLevelType w:val="hybridMultilevel"/>
    <w:lvl w:ilvl="0">
      <w:lvlJc w:val="left"/>
      <w:lvlText w:val="%1"/>
      <w:numFmt w:val="decimal"/>
      <w:start w:val="1"/>
    </w:lvl>
    <w:lvl w:ilvl="1">
      <w:lvlJc w:val="left"/>
      <w:lvlText w:val="(%2)"/>
      <w:numFmt w:val="lowerLetter"/>
      <w:start w:val="2"/>
    </w:lvl>
  </w:abstractNum>
  <w:abstractNum w:abstractNumId="470">
    <w:nsid w:val="2EF32EA6"/>
    <w:multiLevelType w:val="hybridMultilevel"/>
    <w:lvl w:ilvl="0">
      <w:lvlJc w:val="left"/>
      <w:lvlText w:val="%1."/>
      <w:numFmt w:val="decimal"/>
      <w:start w:val="5"/>
    </w:lvl>
    <w:lvl w:ilvl="1">
      <w:lvlJc w:val="left"/>
      <w:lvlText w:val="(%2)"/>
      <w:numFmt w:val="lowerLetter"/>
      <w:start w:val="1"/>
    </w:lvl>
  </w:abstractNum>
  <w:abstractNum w:abstractNumId="471">
    <w:nsid w:val="32766A55"/>
    <w:multiLevelType w:val="hybridMultilevel"/>
    <w:lvl w:ilvl="0">
      <w:lvlJc w:val="left"/>
      <w:lvlText w:val="%1"/>
      <w:numFmt w:val="decimal"/>
      <w:start w:val="1"/>
    </w:lvl>
    <w:lvl w:ilvl="1">
      <w:lvlJc w:val="left"/>
      <w:lvlText w:val="(%2)"/>
      <w:numFmt w:val="lowerLetter"/>
      <w:start w:val="2"/>
    </w:lvl>
  </w:abstractNum>
  <w:abstractNum w:abstractNumId="472">
    <w:nsid w:val="22D71957"/>
    <w:multiLevelType w:val="hybridMultilevel"/>
    <w:lvl w:ilvl="0">
      <w:lvlJc w:val="left"/>
      <w:lvlText w:val="%1."/>
      <w:numFmt w:val="decimal"/>
      <w:start w:val="6"/>
    </w:lvl>
    <w:lvl w:ilvl="1">
      <w:lvlJc w:val="left"/>
      <w:lvlText w:val="%2"/>
      <w:numFmt w:val="lowerLetter"/>
      <w:start w:val="1"/>
    </w:lvl>
  </w:abstractNum>
  <w:abstractNum w:abstractNumId="473">
    <w:nsid w:val="4CC1263B"/>
    <w:multiLevelType w:val="hybridMultilevel"/>
    <w:lvl w:ilvl="0">
      <w:lvlJc w:val="left"/>
      <w:lvlText w:val="%1"/>
      <w:numFmt w:val="lowerRoman"/>
      <w:start w:val="1"/>
    </w:lvl>
    <w:lvl w:ilvl="1">
      <w:lvlJc w:val="left"/>
      <w:lvlText w:val="%2."/>
      <w:numFmt w:val="decimal"/>
      <w:start w:val="8"/>
    </w:lvl>
  </w:abstractNum>
  <w:abstractNum w:abstractNumId="474">
    <w:nsid w:val="8BBEB1D"/>
    <w:multiLevelType w:val="hybridMultilevel"/>
    <w:lvl w:ilvl="0">
      <w:lvlJc w:val="left"/>
      <w:lvlText w:val="(%1)"/>
      <w:numFmt w:val="lowerRoman"/>
      <w:start w:val="1"/>
    </w:lvl>
    <w:lvl w:ilvl="1">
      <w:lvlJc w:val="left"/>
      <w:lvlText w:val="%2."/>
      <w:numFmt w:val="decimal"/>
      <w:start w:val="11"/>
    </w:lvl>
  </w:abstractNum>
  <w:abstractNum w:abstractNumId="475">
    <w:nsid w:val="7365F1EE"/>
    <w:multiLevelType w:val="hybridMultilevel"/>
    <w:lvl w:ilvl="0">
      <w:lvlJc w:val="left"/>
      <w:lvlText w:val="%1"/>
      <w:numFmt w:val="decimal"/>
      <w:start w:val="1"/>
    </w:lvl>
    <w:lvl w:ilvl="1">
      <w:lvlJc w:val="left"/>
      <w:lvlText w:val="%2."/>
      <w:numFmt w:val="decimal"/>
      <w:start w:val="12"/>
    </w:lvl>
  </w:abstractNum>
  <w:abstractNum w:abstractNumId="476">
    <w:nsid w:val="37524CF0"/>
    <w:multiLevelType w:val="hybridMultilevel"/>
    <w:lvl w:ilvl="0">
      <w:lvlJc w:val="left"/>
      <w:lvlText w:val="(%1)"/>
      <w:numFmt w:val="decimal"/>
      <w:start w:val="1"/>
    </w:lvl>
    <w:lvl w:ilvl="1">
      <w:lvlJc w:val="left"/>
      <w:lvlText w:val="%2."/>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jpe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jpe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jpe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jpe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273" Type="http://schemas.openxmlformats.org/officeDocument/2006/relationships/hyperlink" Target="https://www.sec.gov/Archives/edgar/data/1808805/000114036120016469/nt10013610x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2020-07-30T05:30:27Z</dcterms:created>
  <dcterms:modified xsi:type="dcterms:W3CDTF">2020-07-30T05:30:27Z</dcterms:modified>
</cp:coreProperties>
</file>