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96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679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line="181" w:lineRule="exact"/>
              <w:rPr>
                <w:rFonts w:ascii="Arial" w:cs="Arial" w:eastAsia="Arial" w:hAnsi="Arial"/>
                <w:sz w:val="16"/>
                <w:szCs w:val="16"/>
                <w:color w:val="0000EE"/>
                <w:w w:val="96"/>
              </w:rPr>
            </w:pPr>
            <w:hyperlink r:id="rId11">
              <w:r>
                <w:rPr>
                  <w:rFonts w:ascii="Arial" w:cs="Arial" w:eastAsia="Arial" w:hAnsi="Arial"/>
                  <w:sz w:val="16"/>
                  <w:szCs w:val="16"/>
                  <w:color w:val="0000EE"/>
                  <w:w w:val="96"/>
                </w:rPr>
                <w:t>NAZEM FARZAD</w:t>
              </w:r>
            </w:hyperlink>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bottom w:val="single" w:sz="8" w:color="0000EE"/>
            </w:tcBorders>
            <w:gridSpan w:val="2"/>
            <w:vMerge w:val="continue"/>
          </w:tcPr>
          <w:p>
            <w:pPr>
              <w:spacing w:after="0"/>
              <w:rPr>
                <w:sz w:val="9"/>
                <w:szCs w:val="9"/>
                <w:color w:val="auto"/>
              </w:rPr>
            </w:pPr>
          </w:p>
        </w:tc>
        <w:tc>
          <w:tcPr>
            <w:tcW w:w="7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7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1,888,146</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3260" w:type="dxa"/>
            <w:vAlign w:val="bottom"/>
            <w:tcBorders>
              <w:bottom w:val="single" w:sz="8" w:color="2C2C2C"/>
            </w:tcBorders>
            <w:gridSpan w:val="4"/>
          </w:tcPr>
          <w:p>
            <w:pPr>
              <w:ind w:left="440"/>
              <w:spacing w:after="0"/>
              <w:rPr>
                <w:sz w:val="20"/>
                <w:szCs w:val="20"/>
                <w:color w:val="auto"/>
              </w:rPr>
            </w:pPr>
            <w:r>
              <w:rPr>
                <w:rFonts w:ascii="Arial" w:cs="Arial" w:eastAsia="Arial" w:hAnsi="Arial"/>
                <w:sz w:val="13"/>
                <w:szCs w:val="13"/>
                <w:color w:val="0000FF"/>
              </w:rPr>
              <w:t>By HAND Capital, LLC</w:t>
            </w:r>
            <w:r>
              <w:rPr>
                <w:rFonts w:ascii="Arial" w:cs="Arial" w:eastAsia="Arial" w:hAnsi="Arial"/>
                <w:sz w:val="16"/>
                <w:szCs w:val="16"/>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jc w:val="right"/>
              <w:ind w:right="404"/>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01/31/2031</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right"/>
              <w:ind w:right="84"/>
              <w:spacing w:after="0"/>
              <w:rPr>
                <w:sz w:val="20"/>
                <w:szCs w:val="20"/>
                <w:color w:val="auto"/>
              </w:rPr>
            </w:pPr>
            <w:r>
              <w:rPr>
                <w:rFonts w:ascii="Arial" w:cs="Arial" w:eastAsia="Arial" w:hAnsi="Arial"/>
                <w:sz w:val="13"/>
                <w:szCs w:val="13"/>
                <w:color w:val="0000FF"/>
              </w:rPr>
              <w:t>36,280</w:t>
            </w:r>
          </w:p>
        </w:tc>
        <w:tc>
          <w:tcPr>
            <w:tcW w:w="720" w:type="dxa"/>
            <w:vAlign w:val="bottom"/>
          </w:tcPr>
          <w:p>
            <w:pPr>
              <w:ind w:left="320"/>
              <w:spacing w:after="0"/>
              <w:rPr>
                <w:sz w:val="20"/>
                <w:szCs w:val="20"/>
                <w:color w:val="auto"/>
              </w:rPr>
            </w:pPr>
            <w:r>
              <w:rPr>
                <w:rFonts w:ascii="Arial" w:cs="Arial" w:eastAsia="Arial" w:hAnsi="Arial"/>
                <w:sz w:val="13"/>
                <w:szCs w:val="13"/>
                <w:color w:val="0000FF"/>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Shares held by HAND Capital, LLC. The reporting person is the manager of HAND Capital, LLC.</w:t>
      </w:r>
    </w:p>
    <w:p>
      <w:pPr>
        <w:spacing w:after="0" w:line="35" w:lineRule="exact"/>
        <w:rPr>
          <w:rFonts w:ascii="Arial" w:cs="Arial" w:eastAsia="Arial" w:hAnsi="Arial"/>
          <w:sz w:val="10"/>
          <w:szCs w:val="10"/>
          <w:color w:val="008000"/>
        </w:rPr>
      </w:pPr>
    </w:p>
    <w:p>
      <w:pPr>
        <w:ind w:left="40" w:right="160" w:hanging="10"/>
        <w:spacing w:after="0" w:line="281" w:lineRule="auto"/>
        <w:tabs>
          <w:tab w:leader="none" w:pos="140" w:val="left"/>
        </w:tabs>
        <w:numPr>
          <w:ilvl w:val="0"/>
          <w:numId w:val="3"/>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Nautilus Subsidiary, Inc. 2017 Equity Incentive Plan (the "Plan")) through the applicable vesting date, one hundred percent (100%) of the shares subject to the Option shall vest on the earlier of (a) the one (1) year anniversary of the Vesting Commencement Date (as defined below) and (b) the day immediately before the date of the next annual meeting of stockholders of the Company (or in the event of a merger or consolidation involving the Company in which the Company is a wholly-owned subsidiary immediately following such merger or consolidation, the next annual meeting of stockholders of the Company's parent). The Vesting Commencement Date is January 31, 2021.</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Farzad Nazem</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Farzad Nazem</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4663"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2021-06-09T20:45:47Z</dcterms:created>
  <dcterms:modified xsi:type="dcterms:W3CDTF">2021-06-09T20:45:47Z</dcterms:modified>
</cp:coreProperties>
</file>