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09674183.xml.htm"/>
      <w:bookmarkStart w:id="1" w:name="kswkform4_1709674183"/>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60"/>
        <w:gridCol w:w="1888"/>
        <w:gridCol w:w="5968"/>
        <w:gridCol w:w="1989"/>
      </w:tblGrid>
      <w:tr>
        <w:trPr/>
        <w:tc>
          <w:tcPr>
            <w:tcW w:w="2248"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68"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89"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69"/>
            </w:tblGrid>
            <w:tr>
              <w:trPr/>
              <w:tc>
                <w:tcPr>
                  <w:tcW w:w="1869"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5"/>
                    <w:gridCol w:w="668"/>
                  </w:tblGrid>
                  <w:tr>
                    <w:trPr/>
                    <w:tc>
                      <w:tcPr>
                        <w:tcW w:w="1145"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8"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3"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5"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8"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69"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60"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p>
        </w:tc>
        <w:tc>
          <w:tcPr>
            <w:tcW w:w="188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68" w:type="dxa"/>
            <w:vMerge w:val="continue"/>
            <w:tcBorders/>
            <w:vAlign w:val="center"/>
          </w:tcPr>
          <w:p>
            <w:pPr>
              <w:pStyle w:val="Normal"/>
              <w:bidi w:val="0"/>
              <w:jc w:val="left"/>
              <w:rPr/>
            </w:pPr>
            <w:r>
              <w:rPr/>
            </w:r>
          </w:p>
        </w:tc>
        <w:tc>
          <w:tcPr>
            <w:tcW w:w="1989" w:type="dxa"/>
            <w:vMerge w:val="continue"/>
            <w:tcBorders/>
          </w:tcPr>
          <w:p>
            <w:pPr>
              <w:pStyle w:val="Normal"/>
              <w:bidi w:val="0"/>
              <w:jc w:val="left"/>
              <w:rPr/>
            </w:pPr>
            <w:r>
              <w:rPr/>
            </w:r>
          </w:p>
        </w:tc>
      </w:tr>
    </w:tbl>
    <w:tbl>
      <w:tblPr>
        <w:tblW w:w="5000" w:type="pct"/>
        <w:jc w:val="left"/>
        <w:tblInd w:w="-7" w:type="dxa"/>
        <w:tblLayout w:type="fixed"/>
        <w:tblCellMar>
          <w:top w:w="60" w:type="dxa"/>
          <w:left w:w="60" w:type="dxa"/>
          <w:bottom w:w="60" w:type="dxa"/>
          <w:right w:w="60" w:type="dxa"/>
        </w:tblCellMar>
      </w:tblPr>
      <w:tblGrid>
        <w:gridCol w:w="3551"/>
        <w:gridCol w:w="3552"/>
        <w:gridCol w:w="2942"/>
        <w:gridCol w:w="160"/>
      </w:tblGrid>
      <w:tr>
        <w:trPr/>
        <w:tc>
          <w:tcPr>
            <w:tcW w:w="355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31"/>
            </w:tblGrid>
            <w:tr>
              <w:trPr/>
              <w:tc>
                <w:tcPr>
                  <w:tcW w:w="3431" w:type="dxa"/>
                  <w:tcBorders/>
                  <w:vAlign w:val="center"/>
                </w:tcPr>
                <w:p>
                  <w:pPr>
                    <w:pStyle w:val="TableContents"/>
                    <w:bidi w:val="0"/>
                    <w:spacing w:before="0" w:after="283"/>
                    <w:jc w:val="left"/>
                    <w:rPr/>
                  </w:pPr>
                  <w:hyperlink r:id="rId3">
                    <w:r>
                      <w:rPr>
                        <w:rStyle w:val="InternetLink"/>
                      </w:rPr>
                      <w:t>Sankar Subramanian</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31"/>
            </w:tblGrid>
            <w:tr>
              <w:trPr/>
              <w:tc>
                <w:tcPr>
                  <w:tcW w:w="343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NAUTILUS BIOTECHNOLOGY, INC.</w:t>
                  </w:r>
                </w:p>
              </w:tc>
            </w:tr>
            <w:tr>
              <w:trPr/>
              <w:tc>
                <w:tcPr>
                  <w:tcW w:w="343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2701 EASTLAKE AVENUE EAST</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SEATTLE</w:t>
                  </w:r>
                </w:p>
              </w:tc>
              <w:tc>
                <w:tcPr>
                  <w:tcW w:w="1144"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WA</w:t>
                  </w:r>
                </w:p>
              </w:tc>
              <w:tc>
                <w:tcPr>
                  <w:tcW w:w="1144"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98102</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5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4">
              <w:r>
                <w:rPr>
                  <w:rStyle w:val="InternetLink"/>
                </w:rPr>
                <w:t>Nautilus Biotechnology, Inc.</w:t>
              </w:r>
            </w:hyperlink>
            <w:r>
              <w:rPr/>
              <w:t xml:space="preserve"> [ </w:t>
            </w:r>
            <w:r>
              <w:rPr>
                <w:rFonts w:ascii="Times;serif" w:hAnsi="Times;serif"/>
                <w:color w:val="0000FF"/>
                <w:sz w:val="24"/>
                <w:shd w:fill="FFFFFF" w:val="clear"/>
              </w:rPr>
              <w:t>NAUT</w:t>
            </w:r>
            <w:r>
              <w:rPr/>
              <w:t xml:space="preserve"> ] </w:t>
            </w:r>
          </w:p>
        </w:tc>
        <w:tc>
          <w:tcPr>
            <w:tcW w:w="294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22"/>
              <w:gridCol w:w="989"/>
              <w:gridCol w:w="422"/>
              <w:gridCol w:w="989"/>
            </w:tblGrid>
            <w:tr>
              <w:trPr/>
              <w:tc>
                <w:tcPr>
                  <w:tcW w:w="422"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22"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22" w:type="dxa"/>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X</w:t>
                  </w:r>
                </w:p>
              </w:tc>
              <w:tc>
                <w:tcPr>
                  <w:tcW w:w="989"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22"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82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Senior VP, Product Development</w:t>
                  </w:r>
                </w:p>
              </w:tc>
            </w:tr>
          </w:tbl>
          <w:p>
            <w:pPr>
              <w:pStyle w:val="TableContents"/>
              <w:bidi w:val="0"/>
              <w:spacing w:before="0" w:after="283"/>
              <w:jc w:val="left"/>
              <w:rPr>
                <w:sz w:val="4"/>
                <w:szCs w:val="4"/>
              </w:rPr>
            </w:pPr>
            <w:r>
              <w:rPr>
                <w:sz w:val="4"/>
                <w:szCs w:val="4"/>
              </w:rPr>
            </w:r>
          </w:p>
        </w:tc>
        <w:tc>
          <w:tcPr>
            <w:tcW w:w="160"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5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03/01/2024</w:t>
            </w:r>
            <w:r>
              <w:rPr/>
              <w:t xml:space="preserve"> </w:t>
            </w:r>
          </w:p>
        </w:tc>
        <w:tc>
          <w:tcPr>
            <w:tcW w:w="294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60" w:type="dxa"/>
            <w:tcBorders>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52" w:type="dxa"/>
            <w:tcBorders>
              <w:left w:val="single" w:sz="2" w:space="0" w:color="808080"/>
              <w:bottom w:val="single" w:sz="2"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2942" w:type="dxa"/>
            <w:tcBorders>
              <w:left w:val="single" w:sz="2"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22"/>
              <w:gridCol w:w="2400"/>
            </w:tblGrid>
            <w:tr>
              <w:trPr/>
              <w:tc>
                <w:tcPr>
                  <w:tcW w:w="422" w:type="dxa"/>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X</w:t>
                  </w:r>
                </w:p>
              </w:tc>
              <w:tc>
                <w:tcPr>
                  <w:tcW w:w="240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22" w:type="dxa"/>
                  <w:tcBorders/>
                  <w:vAlign w:val="center"/>
                </w:tcPr>
                <w:p>
                  <w:pPr>
                    <w:pStyle w:val="TableContents"/>
                    <w:bidi w:val="0"/>
                    <w:spacing w:before="0" w:after="283"/>
                    <w:jc w:val="left"/>
                    <w:rPr>
                      <w:sz w:val="4"/>
                      <w:szCs w:val="4"/>
                    </w:rPr>
                  </w:pPr>
                  <w:r>
                    <w:rPr>
                      <w:sz w:val="4"/>
                      <w:szCs w:val="4"/>
                    </w:rPr>
                  </w:r>
                </w:p>
              </w:tc>
              <w:tc>
                <w:tcPr>
                  <w:tcW w:w="240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c>
          <w:tcPr>
            <w:tcW w:w="160" w:type="dxa"/>
            <w:tcBorders>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6654" w:type="dxa"/>
            <w:gridSpan w:val="3"/>
            <w:tcBorders>
              <w:left w:val="single" w:sz="2" w:space="0" w:color="808080"/>
              <w:bottom w:val="single" w:sz="6" w:space="0" w:color="808080"/>
              <w:right w:val="single" w:sz="6" w:space="0" w:color="808080"/>
            </w:tcBorders>
          </w:tcPr>
          <w:tbl>
            <w:tblPr>
              <w:tblW w:w="5000" w:type="pct"/>
              <w:jc w:val="left"/>
              <w:tblInd w:w="0" w:type="dxa"/>
              <w:tblLayout w:type="fixed"/>
              <w:tblCellMar>
                <w:top w:w="0" w:type="dxa"/>
                <w:left w:w="0" w:type="dxa"/>
                <w:bottom w:w="0" w:type="dxa"/>
                <w:right w:w="0" w:type="dxa"/>
              </w:tblCellMar>
            </w:tblPr>
            <w:tblGrid>
              <w:gridCol w:w="6534"/>
            </w:tblGrid>
            <w:tr>
              <w:trPr/>
              <w:tc>
                <w:tcPr>
                  <w:tcW w:w="6534" w:type="dxa"/>
                  <w:tcBorders/>
                  <w:vAlign w:val="center"/>
                </w:tcPr>
                <w:p>
                  <w:pPr>
                    <w:pStyle w:val="TableContents"/>
                    <w:bidi w:val="0"/>
                    <w:spacing w:before="0" w:after="283"/>
                    <w:jc w:val="left"/>
                    <w:rPr/>
                  </w:pPr>
                  <w:r>
                    <w:rPr/>
                    <w:t>Rule 10b5-1(c) Transaction Indication</w:t>
                  </w:r>
                </w:p>
              </w:tc>
            </w:tr>
          </w:tbl>
          <w:p>
            <w:pPr>
              <w:pStyle w:val="TableContents"/>
              <w:bidi w:val="0"/>
              <w:spacing w:before="0" w:after="0"/>
              <w:jc w:val="left"/>
              <w:rPr/>
            </w:pPr>
            <w:r>
              <w:rPr/>
            </w:r>
          </w:p>
          <w:tbl>
            <w:tblPr>
              <w:tblW w:w="5000" w:type="pct"/>
              <w:jc w:val="left"/>
              <w:tblInd w:w="0" w:type="dxa"/>
              <w:tblLayout w:type="fixed"/>
              <w:tblCellMar>
                <w:top w:w="0" w:type="dxa"/>
                <w:left w:w="0" w:type="dxa"/>
                <w:bottom w:w="0" w:type="dxa"/>
                <w:right w:w="0" w:type="dxa"/>
              </w:tblCellMar>
            </w:tblPr>
            <w:tblGrid>
              <w:gridCol w:w="179"/>
              <w:gridCol w:w="6355"/>
            </w:tblGrid>
            <w:tr>
              <w:trPr/>
              <w:tc>
                <w:tcPr>
                  <w:tcW w:w="179" w:type="dxa"/>
                  <w:tcBorders/>
                  <w:vAlign w:val="center"/>
                </w:tcPr>
                <w:tbl>
                  <w:tblPr>
                    <w:tblW w:w="266" w:type="dxa"/>
                    <w:jc w:val="left"/>
                    <w:tblInd w:w="0" w:type="dxa"/>
                    <w:tblLayout w:type="fixed"/>
                    <w:tblCellMar>
                      <w:top w:w="28" w:type="dxa"/>
                      <w:left w:w="28" w:type="dxa"/>
                      <w:bottom w:w="28" w:type="dxa"/>
                      <w:right w:w="28" w:type="dxa"/>
                    </w:tblCellMar>
                  </w:tblPr>
                  <w:tblGrid>
                    <w:gridCol w:w="266"/>
                  </w:tblGrid>
                  <w:tr>
                    <w:trPr/>
                    <w:tc>
                      <w:tcPr>
                        <w:tcW w:w="26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left"/>
                          <w:rPr>
                            <w:color w:val="0000FF"/>
                            <w:shd w:fill="FFFFFF" w:val="clear"/>
                          </w:rPr>
                        </w:pPr>
                        <w:r>
                          <w:rPr>
                            <w:color w:val="0000FF"/>
                            <w:shd w:fill="FFFFFF" w:val="clear"/>
                          </w:rPr>
                          <w:t>  </w:t>
                        </w:r>
                      </w:p>
                    </w:tc>
                  </w:tr>
                </w:tbl>
                <w:p>
                  <w:pPr>
                    <w:pStyle w:val="TableContents"/>
                    <w:bidi w:val="0"/>
                    <w:spacing w:before="0" w:after="283"/>
                    <w:jc w:val="left"/>
                    <w:rPr>
                      <w:sz w:val="4"/>
                      <w:szCs w:val="4"/>
                    </w:rPr>
                  </w:pPr>
                  <w:r>
                    <w:rPr>
                      <w:sz w:val="4"/>
                      <w:szCs w:val="4"/>
                    </w:rPr>
                  </w:r>
                </w:p>
              </w:tc>
              <w:tc>
                <w:tcPr>
                  <w:tcW w:w="6355"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that is intended to satisfy the affirmative defense conditions of Rule 10b5-1(c). See Instruction 10.</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78"/>
        <w:gridCol w:w="906"/>
        <w:gridCol w:w="774"/>
        <w:gridCol w:w="602"/>
        <w:gridCol w:w="355"/>
        <w:gridCol w:w="829"/>
        <w:gridCol w:w="473"/>
        <w:gridCol w:w="635"/>
        <w:gridCol w:w="1195"/>
        <w:gridCol w:w="1021"/>
        <w:gridCol w:w="93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7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37"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9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2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78"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90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602"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9"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73"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3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9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02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7"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12254"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816"/>
        <w:gridCol w:w="276"/>
        <w:gridCol w:w="906"/>
        <w:gridCol w:w="801"/>
        <w:gridCol w:w="891"/>
        <w:gridCol w:w="921"/>
        <w:gridCol w:w="801"/>
        <w:gridCol w:w="936"/>
        <w:gridCol w:w="831"/>
        <w:gridCol w:w="846"/>
      </w:tblGrid>
      <w:tr>
        <w:trPr>
          <w:tblHeader w:val="true"/>
        </w:trPr>
        <w:tc>
          <w:tcPr>
            <w:tcW w:w="12254"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10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81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1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92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81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Stock Option (Right to Buy)</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2.72</w:t>
            </w:r>
            <w:r>
              <w:rPr/>
              <w:t xml:space="preserve"> </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03/01/2024</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160,000</w:t>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(1)</w:t>
            </w:r>
            <w:r>
              <w:rPr/>
              <w:t xml:space="preserve"> </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03/01/2034</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92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160,000</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t xml:space="preserve"> </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160,000</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Subject to reporting person's continuous status as a "Service Provider" (as defined in the the Issuer's 2021 Equity Incentive Plan) through each vesting date, twenty-five percent (25%) of the shares subject to the Option shall vest on the one (1) year anniversary of the Vesting Commencement Date (as defined below), and one thirty-sixth (1/36th) of the remaining shares subject to the Option shall vest each month thereafter on the same day of the month as the Vesting Commencement Date (and if there is no corresponding day, on the last day of the month). The Vesting Commencement Date is January 1, 2024.</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Matthew Murphy, as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03/05/2024</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insider-checkbox.png" TargetMode="External"/><Relationship Id="rId3" Type="http://schemas.openxmlformats.org/officeDocument/2006/relationships/hyperlink" Target="http://www.sec.gov/cgi-bin/browse-edgar?action=getcompany&amp;CIK=0001856744" TargetMode="External"/><Relationship Id="rId4" Type="http://schemas.openxmlformats.org/officeDocument/2006/relationships/hyperlink" Target="http://www.sec.gov/cgi-bin/browse-edgar?action=getcompany&amp;CIK=0001808805"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671</Words>
  <Characters>3652</Characters>
  <CharactersWithSpaces>4258</CharactersWithSpaces>
  <Paragraphs>102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