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ectPr>
          <w:pgSz w:w="11880" w:h="15481" w:orient="portrait"/>
          <w:cols w:equalWidth="1" w:num="1" w:space="0"/>
          <w:pgMar w:left="1440" w:top="1440" w:right="1440" w:bottom="875" w:gutter="0" w:footer="0" w:header="0"/>
        </w:sectPr>
      </w:pPr>
    </w:p>
    <w:bookmarkStart w:id="1" w:name="page2"/>
    <w:bookmarkEnd w:id="1"/>
    <w:p>
      <w:pPr>
        <w:spacing w:after="0"/>
        <w:rPr>
          <w:sz w:val="20"/>
          <w:szCs w:val="20"/>
          <w:color w:val="auto"/>
        </w:rPr>
      </w:pPr>
    </w:p>
    <w:p>
      <w:pPr>
        <w:sectPr>
          <w:pgSz w:w="11880" w:h="15481"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3"/>
          <w:szCs w:val="23"/>
          <w:b w:val="1"/>
          <w:bCs w:val="1"/>
          <w:color w:val="auto"/>
        </w:rPr>
        <mc:AlternateContent>
          <mc:Choice Requires="wps">
            <w:drawing>
              <wp:anchor simplePos="0" relativeHeight="251657728" behindDoc="1" locked="0" layoutInCell="0" allowOverlap="1">
                <wp:simplePos x="0" y="0"/>
                <wp:positionH relativeFrom="page">
                  <wp:posOffset>443230</wp:posOffset>
                </wp:positionH>
                <wp:positionV relativeFrom="page">
                  <wp:posOffset>541655</wp:posOffset>
                </wp:positionV>
                <wp:extent cx="645287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2870" cy="4763"/>
                        </a:xfrm>
                        <a:prstGeom prst="line">
                          <a:avLst/>
                        </a:prstGeom>
                        <a:solidFill>
                          <a:srgbClr val="FFFFFF"/>
                        </a:solidFill>
                        <a:ln w="2465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9pt,42.65pt" to="543pt,42.65pt" o:allowincell="f" strokecolor="#000000" strokeweight="1.9411pt">
                <w10:wrap anchorx="page" anchory="page"/>
              </v:line>
            </w:pict>
          </mc:Fallback>
        </mc:AlternateContent>
        <w:t>UNITED STATES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0" w:lineRule="exact"/>
        <w:rPr>
          <w:sz w:val="20"/>
          <w:szCs w:val="20"/>
          <w:color w:val="auto"/>
        </w:rPr>
      </w:pPr>
    </w:p>
    <w:p>
      <w:pPr>
        <w:spacing w:after="0" w:line="311" w:lineRule="exact"/>
        <w:rPr>
          <w:sz w:val="20"/>
          <w:szCs w:val="20"/>
          <w:color w:val="auto"/>
        </w:rPr>
      </w:pPr>
    </w:p>
    <w:p>
      <w:pPr>
        <w:ind w:left="540" w:right="880" w:hanging="490"/>
        <w:spacing w:after="0" w:line="298" w:lineRule="auto"/>
        <w:tabs>
          <w:tab w:leader="none" w:pos="540" w:val="left"/>
        </w:tabs>
        <w:numPr>
          <w:ilvl w:val="0"/>
          <w:numId w:val="1"/>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2024</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186" w:lineRule="exact"/>
        <w:rPr>
          <w:sz w:val="20"/>
          <w:szCs w:val="20"/>
          <w:color w:val="auto"/>
        </w:rPr>
      </w:pPr>
    </w:p>
    <w:p>
      <w:pPr>
        <w:ind w:left="540" w:right="800" w:hanging="490"/>
        <w:spacing w:after="0" w:line="298" w:lineRule="auto"/>
        <w:tabs>
          <w:tab w:leader="none" w:pos="540" w:val="left"/>
        </w:tabs>
        <w:numPr>
          <w:ilvl w:val="0"/>
          <w:numId w:val="2"/>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1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For the transition period from ___________ to ___________</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Commission file number 001-39434</w:t>
      </w: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411"/>
        </w:trPr>
        <w:tc>
          <w:tcPr>
            <w:tcW w:w="8580" w:type="dxa"/>
            <w:vAlign w:val="bottom"/>
            <w:gridSpan w:val="2"/>
          </w:tcPr>
          <w:p>
            <w:pPr>
              <w:jc w:val="center"/>
              <w:ind w:left="1649"/>
              <w:spacing w:after="0"/>
              <w:rPr>
                <w:sz w:val="20"/>
                <w:szCs w:val="20"/>
                <w:color w:val="auto"/>
              </w:rPr>
            </w:pPr>
            <w:r>
              <w:rPr>
                <w:rFonts w:ascii="Times New Roman" w:cs="Times New Roman" w:eastAsia="Times New Roman" w:hAnsi="Times New Roman"/>
                <w:sz w:val="31"/>
                <w:szCs w:val="31"/>
                <w:b w:val="1"/>
                <w:bCs w:val="1"/>
                <w:color w:val="auto"/>
              </w:rPr>
              <w:t>NAUTILUS BIOTECHNOLOGY, INC.</w:t>
            </w:r>
          </w:p>
        </w:tc>
      </w:tr>
      <w:tr>
        <w:trPr>
          <w:trHeight w:val="222"/>
        </w:trPr>
        <w:tc>
          <w:tcPr>
            <w:tcW w:w="8580" w:type="dxa"/>
            <w:vAlign w:val="bottom"/>
            <w:gridSpan w:val="2"/>
          </w:tcPr>
          <w:p>
            <w:pPr>
              <w:jc w:val="center"/>
              <w:ind w:left="1649"/>
              <w:spacing w:after="0"/>
              <w:rPr>
                <w:sz w:val="20"/>
                <w:szCs w:val="20"/>
                <w:color w:val="auto"/>
              </w:rPr>
            </w:pPr>
            <w:r>
              <w:rPr>
                <w:rFonts w:ascii="Times New Roman" w:cs="Times New Roman" w:eastAsia="Times New Roman" w:hAnsi="Times New Roman"/>
                <w:sz w:val="16"/>
                <w:szCs w:val="16"/>
                <w:color w:val="auto"/>
                <w:w w:val="96"/>
              </w:rPr>
              <w:t>(Exact name of registrant as specified in its charter)</w:t>
            </w:r>
          </w:p>
        </w:tc>
      </w:tr>
      <w:tr>
        <w:trPr>
          <w:trHeight w:val="249"/>
        </w:trPr>
        <w:tc>
          <w:tcPr>
            <w:tcW w:w="5020" w:type="dxa"/>
            <w:vAlign w:val="bottom"/>
          </w:tcPr>
          <w:p>
            <w:pPr>
              <w:jc w:val="center"/>
              <w:ind w:right="120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560" w:type="dxa"/>
            <w:vAlign w:val="bottom"/>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98-1541723</w:t>
            </w:r>
          </w:p>
        </w:tc>
      </w:tr>
      <w:tr>
        <w:trPr>
          <w:trHeight w:val="233"/>
        </w:trPr>
        <w:tc>
          <w:tcPr>
            <w:tcW w:w="5020" w:type="dxa"/>
            <w:vAlign w:val="bottom"/>
          </w:tcPr>
          <w:p>
            <w:pPr>
              <w:jc w:val="center"/>
              <w:ind w:right="1209"/>
              <w:spacing w:after="0"/>
              <w:rPr>
                <w:sz w:val="20"/>
                <w:szCs w:val="20"/>
                <w:color w:val="auto"/>
              </w:rPr>
            </w:pPr>
            <w:r>
              <w:rPr>
                <w:rFonts w:ascii="Times New Roman" w:cs="Times New Roman" w:eastAsia="Times New Roman" w:hAnsi="Times New Roman"/>
                <w:sz w:val="16"/>
                <w:szCs w:val="16"/>
                <w:color w:val="auto"/>
                <w:w w:val="97"/>
              </w:rPr>
              <w:t>(State or other jurisdiction of incorporation or organization)</w:t>
            </w:r>
          </w:p>
        </w:tc>
        <w:tc>
          <w:tcPr>
            <w:tcW w:w="356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(I.R.S. Employer Identification No.)</w:t>
            </w:r>
          </w:p>
        </w:tc>
      </w:tr>
      <w:tr>
        <w:trPr>
          <w:trHeight w:val="306"/>
        </w:trPr>
        <w:tc>
          <w:tcPr>
            <w:tcW w:w="5020" w:type="dxa"/>
            <w:vAlign w:val="bottom"/>
          </w:tcPr>
          <w:p>
            <w:pPr>
              <w:jc w:val="center"/>
              <w:ind w:right="1209"/>
              <w:spacing w:after="0"/>
              <w:rPr>
                <w:sz w:val="20"/>
                <w:szCs w:val="20"/>
                <w:color w:val="auto"/>
              </w:rPr>
            </w:pPr>
            <w:r>
              <w:rPr>
                <w:rFonts w:ascii="Times New Roman" w:cs="Times New Roman" w:eastAsia="Times New Roman" w:hAnsi="Times New Roman"/>
                <w:sz w:val="16"/>
                <w:szCs w:val="16"/>
                <w:b w:val="1"/>
                <w:bCs w:val="1"/>
                <w:color w:val="auto"/>
                <w:w w:val="97"/>
              </w:rPr>
              <w:t>2701 Eastlake Avenue East Seattle, Washington</w:t>
            </w:r>
          </w:p>
        </w:tc>
        <w:tc>
          <w:tcPr>
            <w:tcW w:w="3560" w:type="dxa"/>
            <w:vAlign w:val="bottom"/>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98102</w:t>
            </w:r>
          </w:p>
        </w:tc>
      </w:tr>
      <w:tr>
        <w:trPr>
          <w:trHeight w:val="233"/>
        </w:trPr>
        <w:tc>
          <w:tcPr>
            <w:tcW w:w="5020" w:type="dxa"/>
            <w:vAlign w:val="bottom"/>
          </w:tcPr>
          <w:p>
            <w:pPr>
              <w:jc w:val="center"/>
              <w:ind w:right="1189"/>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356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6"/>
              </w:rPr>
              <w:t>(Zip Code)</w:t>
            </w:r>
          </w:p>
        </w:tc>
      </w:tr>
    </w:tbl>
    <w:p>
      <w:pPr>
        <w:spacing w:after="0" w:line="17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(206) 333-2001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880" w:h="15480" w:orient="portrait"/>
          <w:cols w:equalWidth="0" w:num="1">
            <w:col w:w="10480"/>
          </w:cols>
          <w:pgMar w:left="700" w:top="1103" w:right="700" w:bottom="226" w:gutter="0" w:footer="0" w:header="0"/>
        </w:sectPr>
      </w:pPr>
    </w:p>
    <w:p>
      <w:pPr>
        <w:spacing w:after="0" w:line="25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Trading Symbol(s)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63" w:lineRule="exact"/>
        <w:rPr>
          <w:sz w:val="20"/>
          <w:szCs w:val="20"/>
          <w:color w:val="auto"/>
        </w:rPr>
      </w:pPr>
    </w:p>
    <w:p>
      <w:pPr>
        <w:sectPr>
          <w:pgSz w:w="11880" w:h="15480" w:orient="portrait"/>
          <w:cols w:equalWidth="0" w:num="3">
            <w:col w:w="3280" w:space="720"/>
            <w:col w:w="1720" w:space="720"/>
            <w:col w:w="4040"/>
          </w:cols>
          <w:pgMar w:left="700" w:top="1103" w:right="700" w:bottom="226" w:gutter="0" w:footer="0" w:header="0"/>
          <w:type w:val="continuous"/>
        </w:sectPr>
      </w:pPr>
    </w:p>
    <w:p>
      <w:pPr>
        <w:ind w:left="28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NAUT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200" w:lineRule="exact"/>
        <w:rPr>
          <w:sz w:val="20"/>
          <w:szCs w:val="20"/>
          <w:color w:val="auto"/>
        </w:rPr>
      </w:pPr>
    </w:p>
    <w:p>
      <w:pPr>
        <w:sectPr>
          <w:pgSz w:w="11880" w:h="15480" w:orient="portrait"/>
          <w:cols w:equalWidth="0" w:num="3">
            <w:col w:w="3640" w:space="720"/>
            <w:col w:w="1680" w:space="720"/>
            <w:col w:w="3720"/>
          </w:cols>
          <w:pgMar w:left="700" w:top="1103" w:right="700" w:bottom="226" w:gutter="0" w:footer="0" w:header="0"/>
          <w:type w:val="continuous"/>
        </w:sectPr>
      </w:pP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Securities registered pursuant to section 12(g) of the Act: </w:t>
      </w:r>
      <w:r>
        <w:rPr>
          <w:rFonts w:ascii="Times New Roman" w:cs="Times New Roman" w:eastAsia="Times New Roman" w:hAnsi="Times New Roman"/>
          <w:sz w:val="17"/>
          <w:szCs w:val="17"/>
          <w:b w:val="1"/>
          <w:bCs w:val="1"/>
          <w:color w:val="auto"/>
        </w:rPr>
        <w:t>None</w:t>
      </w:r>
    </w:p>
    <w:p>
      <w:pPr>
        <w:spacing w:after="0" w:line="180" w:lineRule="exact"/>
        <w:rPr>
          <w:sz w:val="20"/>
          <w:szCs w:val="20"/>
          <w:color w:val="auto"/>
        </w:rPr>
      </w:pPr>
    </w:p>
    <w:p>
      <w:pPr>
        <w:ind w:left="340" w:right="720"/>
        <w:spacing w:after="0" w:line="320"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b w:val="1"/>
          <w:bCs w:val="1"/>
          <w:color w:val="auto"/>
        </w:rPr>
        <w:t>☒</w:t>
      </w:r>
    </w:p>
    <w:p>
      <w:pPr>
        <w:spacing w:after="0" w:line="141" w:lineRule="exact"/>
        <w:rPr>
          <w:sz w:val="20"/>
          <w:szCs w:val="20"/>
          <w:color w:val="auto"/>
        </w:rPr>
      </w:pPr>
    </w:p>
    <w:p>
      <w:pPr>
        <w:ind w:right="100" w:firstLine="349"/>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w:t>
      </w:r>
    </w:p>
    <w:p>
      <w:pPr>
        <w:spacing w:after="0" w:line="32"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7"/>
          <w:szCs w:val="17"/>
          <w:color w:val="auto"/>
        </w:rPr>
        <w:t xml:space="preserve">405 of Regulation S-T (§232.405 of this chapter) during the preceding 12 months (or for such shorter period that the registrant was required to submit such files). 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w:t>
      </w:r>
    </w:p>
    <w:p>
      <w:pPr>
        <w:spacing w:after="0" w:line="141" w:lineRule="exact"/>
        <w:rPr>
          <w:sz w:val="20"/>
          <w:szCs w:val="20"/>
          <w:color w:val="auto"/>
        </w:rPr>
      </w:pPr>
    </w:p>
    <w:p>
      <w:pPr>
        <w:ind w:right="360" w:firstLine="349"/>
        <w:spacing w:after="0" w:line="27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22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320" w:type="dxa"/>
            <w:vAlign w:val="bottom"/>
          </w:tcPr>
          <w:p>
            <w:pPr>
              <w:ind w:left="64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3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320" w:type="dxa"/>
            <w:vAlign w:val="bottom"/>
          </w:tcPr>
          <w:p>
            <w:pPr>
              <w:ind w:left="64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33"/>
        </w:trPr>
        <w:tc>
          <w:tcPr>
            <w:tcW w:w="20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b w:val="1"/>
                <w:bCs w:val="1"/>
                <w:color w:val="auto"/>
                <w:w w:val="71"/>
              </w:rPr>
              <w:t>☒</w:t>
            </w:r>
          </w:p>
        </w:tc>
      </w:tr>
    </w:tbl>
    <w:p>
      <w:pPr>
        <w:spacing w:after="0" w:line="162" w:lineRule="exact"/>
        <w:rPr>
          <w:sz w:val="20"/>
          <w:szCs w:val="20"/>
          <w:color w:val="auto"/>
        </w:rPr>
      </w:pPr>
    </w:p>
    <w:p>
      <w:pPr>
        <w:ind w:firstLine="349"/>
        <w:spacing w:after="0" w:line="296"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2" w:lineRule="exact"/>
        <w:rPr>
          <w:sz w:val="20"/>
          <w:szCs w:val="20"/>
          <w:color w:val="auto"/>
        </w:rPr>
      </w:pPr>
    </w:p>
    <w:p>
      <w:pPr>
        <w:ind w:firstLine="349"/>
        <w:spacing w:after="0" w:line="277"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ectPr>
          <w:pgSz w:w="11880" w:h="15480" w:orient="portrait"/>
          <w:cols w:equalWidth="0" w:num="1">
            <w:col w:w="10480"/>
          </w:cols>
          <w:pgMar w:left="700" w:top="1103" w:right="700" w:bottom="226" w:gutter="0" w:footer="0" w:header="0"/>
          <w:type w:val="continuous"/>
        </w:sectPr>
      </w:pPr>
    </w:p>
    <w:bookmarkStart w:id="3" w:name="page4"/>
    <w:bookmarkEnd w:id="3"/>
    <w:p>
      <w:pPr>
        <w:ind w:right="520" w:firstLine="349"/>
        <w:spacing w:after="0" w:line="227"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b w:val="1"/>
          <w:bCs w:val="1"/>
          <w:color w:val="auto"/>
        </w:rPr>
        <w:t>☐</w:t>
      </w:r>
    </w:p>
    <w:p>
      <w:pPr>
        <w:spacing w:after="0" w:line="141" w:lineRule="exact"/>
        <w:rPr>
          <w:sz w:val="20"/>
          <w:szCs w:val="20"/>
          <w:color w:val="auto"/>
        </w:rPr>
      </w:pPr>
    </w:p>
    <w:p>
      <w:pPr>
        <w:ind w:right="900" w:firstLine="349"/>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b w:val="1"/>
          <w:bCs w:val="1"/>
          <w:color w:val="auto"/>
        </w:rPr>
        <w:t>☐</w:t>
      </w:r>
    </w:p>
    <w:p>
      <w:pPr>
        <w:spacing w:after="0" w:line="130" w:lineRule="exact"/>
        <w:rPr>
          <w:sz w:val="20"/>
          <w:szCs w:val="20"/>
          <w:color w:val="auto"/>
        </w:rPr>
      </w:pPr>
    </w:p>
    <w:p>
      <w:pPr>
        <w:ind w:left="340"/>
        <w:spacing w:after="0" w:line="196" w:lineRule="exact"/>
        <w:tabs>
          <w:tab w:leader="none" w:pos="776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b w:val="1"/>
          <w:bCs w:val="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b w:val="1"/>
          <w:bCs w:val="1"/>
          <w:color w:val="auto"/>
        </w:rPr>
        <w:t>☒</w:t>
      </w:r>
    </w:p>
    <w:p>
      <w:pPr>
        <w:spacing w:after="0" w:line="200" w:lineRule="exact"/>
        <w:rPr>
          <w:sz w:val="20"/>
          <w:szCs w:val="20"/>
          <w:color w:val="auto"/>
        </w:rPr>
      </w:pPr>
    </w:p>
    <w:p>
      <w:pPr>
        <w:ind w:firstLine="349"/>
        <w:spacing w:after="0" w:line="269" w:lineRule="auto"/>
        <w:rPr>
          <w:sz w:val="20"/>
          <w:szCs w:val="20"/>
          <w:color w:val="auto"/>
        </w:rPr>
      </w:pPr>
      <w:r>
        <w:rPr>
          <w:rFonts w:ascii="Times New Roman" w:cs="Times New Roman" w:eastAsia="Times New Roman" w:hAnsi="Times New Roman"/>
          <w:sz w:val="17"/>
          <w:szCs w:val="17"/>
          <w:color w:val="auto"/>
        </w:rPr>
        <w:t xml:space="preserve">The aggregate market value of the registrant’s common stock held by non-affiliates, based upon the closing price of the common stock on June 30, </w:t>
      </w:r>
      <w:r>
        <w:rPr>
          <w:rFonts w:ascii="Times New Roman" w:cs="Times New Roman" w:eastAsia="Times New Roman" w:hAnsi="Times New Roman"/>
          <w:sz w:val="19"/>
          <w:szCs w:val="19"/>
          <w:color w:val="auto"/>
        </w:rPr>
        <w:t>2024</w:t>
      </w:r>
      <w:r>
        <w:rPr>
          <w:rFonts w:ascii="Times New Roman" w:cs="Times New Roman" w:eastAsia="Times New Roman" w:hAnsi="Times New Roman"/>
          <w:sz w:val="17"/>
          <w:szCs w:val="17"/>
          <w:color w:val="auto"/>
        </w:rPr>
        <w:t>, as reported by The Nasdaq Stock Market LLC, was $113 million. Shares of common stock held by each executive officer and director and by each other person who is deemed to be an affiliate of the registrant have been excluded from such computation. This determination of affiliate status is not necessarily a conclusive determination for other purposes.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The registrant had outstanding 126,148,469 shares of common stock as of </w:t>
      </w:r>
      <w:r>
        <w:rPr>
          <w:rFonts w:ascii="Times New Roman" w:cs="Times New Roman" w:eastAsia="Times New Roman" w:hAnsi="Times New Roman"/>
          <w:sz w:val="19"/>
          <w:szCs w:val="19"/>
          <w:color w:val="auto"/>
        </w:rPr>
        <w:t>February 21, 2025</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3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Portions of the registrant’s definitive Proxy Statement to be filed with the Securities and Exchange Commission in connection with the registrant’s 2025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2024. Except with respect to information specifically incorporated by reference, the Proxy Statement is not deemed to be filed as part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100330</wp:posOffset>
                </wp:positionH>
                <wp:positionV relativeFrom="paragraph">
                  <wp:posOffset>189230</wp:posOffset>
                </wp:positionV>
                <wp:extent cx="645350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53505" cy="4763"/>
                        </a:xfrm>
                        <a:prstGeom prst="line">
                          <a:avLst/>
                        </a:prstGeom>
                        <a:solidFill>
                          <a:srgbClr val="FFFFFF"/>
                        </a:solidFill>
                        <a:ln w="2465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9pt,14.9pt" to="516.05pt,14.9pt" o:allowincell="f" strokecolor="#000000" strokeweight="1.9411pt"/>
            </w:pict>
          </mc:Fallback>
        </mc:AlternateContent>
      </w:r>
    </w:p>
    <w:p>
      <w:pPr>
        <w:sectPr>
          <w:pgSz w:w="11880" w:h="15480" w:orient="portrait"/>
          <w:cols w:equalWidth="0" w:num="1">
            <w:col w:w="10400"/>
          </w:cols>
          <w:pgMar w:left="700" w:top="697" w:right="78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08"/>
        </w:trPr>
        <w:tc>
          <w:tcPr>
            <w:tcW w:w="8880" w:type="dxa"/>
            <w:vAlign w:val="bottom"/>
          </w:tcPr>
          <w:p>
            <w:pPr>
              <w:ind w:left="3960"/>
              <w:spacing w:after="0"/>
              <w:rPr>
                <w:sz w:val="20"/>
                <w:szCs w:val="20"/>
                <w:color w:val="auto"/>
              </w:rPr>
            </w:pPr>
            <w:r>
              <w:rPr>
                <w:rFonts w:ascii="Times New Roman" w:cs="Times New Roman" w:eastAsia="Times New Roman" w:hAnsi="Times New Roman"/>
                <w:sz w:val="23"/>
                <w:szCs w:val="23"/>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1"/>
        </w:trPr>
        <w:tc>
          <w:tcPr>
            <w:tcW w:w="888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9"/>
                <w:szCs w:val="19"/>
                <w:b w:val="1"/>
                <w:bCs w:val="1"/>
                <w:color w:val="auto"/>
                <w:w w:val="97"/>
              </w:rPr>
              <w:t>Page</w:t>
            </w:r>
          </w:p>
        </w:tc>
        <w:tc>
          <w:tcPr>
            <w:tcW w:w="0" w:type="dxa"/>
            <w:vAlign w:val="bottom"/>
          </w:tcPr>
          <w:p>
            <w:pPr>
              <w:spacing w:after="0"/>
              <w:rPr>
                <w:sz w:val="1"/>
                <w:szCs w:val="1"/>
                <w:color w:val="auto"/>
              </w:rPr>
            </w:pPr>
          </w:p>
        </w:tc>
      </w:tr>
      <w:tr>
        <w:trPr>
          <w:trHeight w:val="393"/>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1. Business</w:t>
            </w:r>
          </w:p>
        </w:tc>
        <w:tc>
          <w:tcPr>
            <w:tcW w:w="780" w:type="dxa"/>
            <w:vAlign w:val="bottom"/>
          </w:tcPr>
          <w:p>
            <w:pPr>
              <w:jc w:val="center"/>
              <w:ind w:left="303"/>
              <w:spacing w:after="0"/>
              <w:rPr>
                <w:sz w:val="20"/>
                <w:szCs w:val="20"/>
                <w:color w:val="auto"/>
              </w:rPr>
            </w:pPr>
            <w:r>
              <w:rPr>
                <w:rFonts w:ascii="Times New Roman" w:cs="Times New Roman" w:eastAsia="Times New Roman" w:hAnsi="Times New Roman"/>
                <w:sz w:val="19"/>
                <w:szCs w:val="19"/>
                <w:color w:val="auto"/>
              </w:rPr>
              <w:t>6</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1A. Risk Factors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37</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1B. Unresolved Staff Comments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72</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1C. Cybersecurity</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72</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2. Properties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73</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3. Legal Proceedings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74</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4. Mine Safety Disclosures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74</w:t>
            </w:r>
          </w:p>
        </w:tc>
        <w:tc>
          <w:tcPr>
            <w:tcW w:w="0" w:type="dxa"/>
            <w:vAlign w:val="bottom"/>
          </w:tcPr>
          <w:p>
            <w:pPr>
              <w:spacing w:after="0"/>
              <w:rPr>
                <w:sz w:val="1"/>
                <w:szCs w:val="1"/>
                <w:color w:val="auto"/>
              </w:rPr>
            </w:pPr>
          </w:p>
        </w:tc>
      </w:tr>
      <w:tr>
        <w:trPr>
          <w:trHeight w:val="392"/>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5. Market for Registrant's Common Equity, Related Stockholder Matters and Issuer Purchases of</w:t>
            </w:r>
          </w:p>
        </w:tc>
        <w:tc>
          <w:tcPr>
            <w:tcW w:w="780" w:type="dxa"/>
            <w:vAlign w:val="bottom"/>
            <w:vMerge w:val="restart"/>
          </w:tcPr>
          <w:p>
            <w:pPr>
              <w:jc w:val="center"/>
              <w:ind w:left="283"/>
              <w:spacing w:after="0"/>
              <w:rPr>
                <w:sz w:val="20"/>
                <w:szCs w:val="20"/>
                <w:color w:val="auto"/>
              </w:rPr>
            </w:pPr>
            <w:r>
              <w:rPr>
                <w:rFonts w:ascii="Times New Roman" w:cs="Times New Roman" w:eastAsia="Times New Roman" w:hAnsi="Times New Roman"/>
                <w:sz w:val="19"/>
                <w:szCs w:val="19"/>
                <w:color w:val="auto"/>
              </w:rPr>
              <w:t>75</w:t>
            </w:r>
          </w:p>
        </w:tc>
        <w:tc>
          <w:tcPr>
            <w:tcW w:w="0" w:type="dxa"/>
            <w:vAlign w:val="bottom"/>
          </w:tcPr>
          <w:p>
            <w:pPr>
              <w:spacing w:after="0"/>
              <w:rPr>
                <w:sz w:val="1"/>
                <w:szCs w:val="1"/>
                <w:color w:val="auto"/>
              </w:rPr>
            </w:pPr>
          </w:p>
        </w:tc>
      </w:tr>
      <w:tr>
        <w:trPr>
          <w:trHeight w:val="136"/>
        </w:trPr>
        <w:tc>
          <w:tcPr>
            <w:tcW w:w="8880" w:type="dxa"/>
            <w:vAlign w:val="bottom"/>
            <w:vMerge w:val="restart"/>
          </w:tcPr>
          <w:p>
            <w:pPr>
              <w:ind w:left="580"/>
              <w:spacing w:after="0"/>
              <w:rPr>
                <w:sz w:val="20"/>
                <w:szCs w:val="20"/>
                <w:color w:val="auto"/>
              </w:rPr>
            </w:pPr>
            <w:r>
              <w:rPr>
                <w:rFonts w:ascii="Times New Roman" w:cs="Times New Roman" w:eastAsia="Times New Roman" w:hAnsi="Times New Roman"/>
                <w:sz w:val="19"/>
                <w:szCs w:val="19"/>
                <w:color w:val="464646"/>
              </w:rPr>
              <w:t>Equity Securities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8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6. [ Reserved ]</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75</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7. Management's Discussion and Analysis of Financial Condition and Results of Operations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76</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7A. Quantitative and Qualitative Disclosures About Market Risk</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83</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8. Financial Statements and Supplementary Data</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rPr>
              <w:t>84</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9. Changes in and Disagreements With Accountants on Accounting and Financial Disclosure</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108</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9A. Controls and Procedures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108</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9B. Other Information</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108</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9C. Disclosure Regarding Foreign Jurisdictions that Prevent Inspections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108</w:t>
            </w:r>
          </w:p>
        </w:tc>
        <w:tc>
          <w:tcPr>
            <w:tcW w:w="0" w:type="dxa"/>
            <w:vAlign w:val="bottom"/>
          </w:tcPr>
          <w:p>
            <w:pPr>
              <w:spacing w:after="0"/>
              <w:rPr>
                <w:sz w:val="1"/>
                <w:szCs w:val="1"/>
                <w:color w:val="auto"/>
              </w:rPr>
            </w:pPr>
          </w:p>
        </w:tc>
      </w:tr>
      <w:tr>
        <w:trPr>
          <w:trHeight w:val="392"/>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10. Directors, Executive Officers and Corporate Governance</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109</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11. Executive Compensation</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109</w:t>
            </w:r>
          </w:p>
        </w:tc>
        <w:tc>
          <w:tcPr>
            <w:tcW w:w="0" w:type="dxa"/>
            <w:vAlign w:val="bottom"/>
          </w:tcPr>
          <w:p>
            <w:pPr>
              <w:spacing w:after="0"/>
              <w:rPr>
                <w:sz w:val="1"/>
                <w:szCs w:val="1"/>
                <w:color w:val="auto"/>
              </w:rPr>
            </w:pPr>
          </w:p>
        </w:tc>
      </w:tr>
      <w:tr>
        <w:trPr>
          <w:trHeight w:val="351"/>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12. Security Ownership of Certain Beneficial Owners and Management and Related Stockholder</w:t>
            </w:r>
          </w:p>
        </w:tc>
        <w:tc>
          <w:tcPr>
            <w:tcW w:w="780" w:type="dxa"/>
            <w:vAlign w:val="bottom"/>
            <w:vMerge w:val="restart"/>
          </w:tcPr>
          <w:p>
            <w:pPr>
              <w:jc w:val="center"/>
              <w:ind w:left="283"/>
              <w:spacing w:after="0"/>
              <w:rPr>
                <w:sz w:val="20"/>
                <w:szCs w:val="20"/>
                <w:color w:val="auto"/>
              </w:rPr>
            </w:pPr>
            <w:r>
              <w:rPr>
                <w:rFonts w:ascii="Times New Roman" w:cs="Times New Roman" w:eastAsia="Times New Roman" w:hAnsi="Times New Roman"/>
                <w:sz w:val="19"/>
                <w:szCs w:val="19"/>
                <w:color w:val="auto"/>
                <w:w w:val="98"/>
              </w:rPr>
              <w:t>109</w:t>
            </w:r>
          </w:p>
        </w:tc>
        <w:tc>
          <w:tcPr>
            <w:tcW w:w="0" w:type="dxa"/>
            <w:vAlign w:val="bottom"/>
          </w:tcPr>
          <w:p>
            <w:pPr>
              <w:spacing w:after="0"/>
              <w:rPr>
                <w:sz w:val="1"/>
                <w:szCs w:val="1"/>
                <w:color w:val="auto"/>
              </w:rPr>
            </w:pPr>
          </w:p>
        </w:tc>
      </w:tr>
      <w:tr>
        <w:trPr>
          <w:trHeight w:val="136"/>
        </w:trPr>
        <w:tc>
          <w:tcPr>
            <w:tcW w:w="8880" w:type="dxa"/>
            <w:vAlign w:val="bottom"/>
            <w:vMerge w:val="restart"/>
          </w:tcPr>
          <w:p>
            <w:pPr>
              <w:ind w:left="580"/>
              <w:spacing w:after="0"/>
              <w:rPr>
                <w:sz w:val="20"/>
                <w:szCs w:val="20"/>
                <w:color w:val="auto"/>
              </w:rPr>
            </w:pPr>
            <w:r>
              <w:rPr>
                <w:rFonts w:ascii="Times New Roman" w:cs="Times New Roman" w:eastAsia="Times New Roman" w:hAnsi="Times New Roman"/>
                <w:sz w:val="19"/>
                <w:szCs w:val="19"/>
                <w:color w:val="464646"/>
              </w:rPr>
              <w:t>Matters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88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13. Certain Relationships and Related Transactions, and Director Independence</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109</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14. Principal Accountant Fees and Services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109</w:t>
            </w:r>
          </w:p>
        </w:tc>
        <w:tc>
          <w:tcPr>
            <w:tcW w:w="0" w:type="dxa"/>
            <w:vAlign w:val="bottom"/>
          </w:tcPr>
          <w:p>
            <w:pPr>
              <w:spacing w:after="0"/>
              <w:rPr>
                <w:sz w:val="1"/>
                <w:szCs w:val="1"/>
                <w:color w:val="auto"/>
              </w:rPr>
            </w:pPr>
          </w:p>
        </w:tc>
      </w:tr>
      <w:tr>
        <w:trPr>
          <w:trHeight w:val="392"/>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IV</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15. Exhibit and Financial Statement Schedules</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110</w:t>
            </w:r>
          </w:p>
        </w:tc>
        <w:tc>
          <w:tcPr>
            <w:tcW w:w="0" w:type="dxa"/>
            <w:vAlign w:val="bottom"/>
          </w:tcPr>
          <w:p>
            <w:pPr>
              <w:spacing w:after="0"/>
              <w:rPr>
                <w:sz w:val="1"/>
                <w:szCs w:val="1"/>
                <w:color w:val="auto"/>
              </w:rPr>
            </w:pPr>
          </w:p>
        </w:tc>
      </w:tr>
      <w:tr>
        <w:trPr>
          <w:trHeight w:val="393"/>
        </w:trPr>
        <w:tc>
          <w:tcPr>
            <w:tcW w:w="8880" w:type="dxa"/>
            <w:vAlign w:val="bottom"/>
          </w:tcPr>
          <w:p>
            <w:pPr>
              <w:ind w:left="580"/>
              <w:spacing w:after="0"/>
              <w:rPr>
                <w:sz w:val="20"/>
                <w:szCs w:val="20"/>
                <w:color w:val="auto"/>
              </w:rPr>
            </w:pPr>
            <w:r>
              <w:rPr>
                <w:rFonts w:ascii="Times New Roman" w:cs="Times New Roman" w:eastAsia="Times New Roman" w:hAnsi="Times New Roman"/>
                <w:sz w:val="19"/>
                <w:szCs w:val="19"/>
                <w:color w:val="464646"/>
              </w:rPr>
              <w:t>Item 16. Form 10-K Summary</w:t>
            </w:r>
          </w:p>
        </w:tc>
        <w:tc>
          <w:tcPr>
            <w:tcW w:w="780" w:type="dxa"/>
            <w:vAlign w:val="bottom"/>
          </w:tcPr>
          <w:p>
            <w:pPr>
              <w:jc w:val="center"/>
              <w:ind w:left="283"/>
              <w:spacing w:after="0"/>
              <w:rPr>
                <w:sz w:val="20"/>
                <w:szCs w:val="20"/>
                <w:color w:val="auto"/>
              </w:rPr>
            </w:pPr>
            <w:r>
              <w:rPr>
                <w:rFonts w:ascii="Times New Roman" w:cs="Times New Roman" w:eastAsia="Times New Roman" w:hAnsi="Times New Roman"/>
                <w:sz w:val="19"/>
                <w:szCs w:val="19"/>
                <w:color w:val="auto"/>
                <w:w w:val="98"/>
              </w:rPr>
              <w:t>113</w:t>
            </w:r>
          </w:p>
        </w:tc>
        <w:tc>
          <w:tcPr>
            <w:tcW w:w="0" w:type="dxa"/>
            <w:vAlign w:val="bottom"/>
          </w:tcPr>
          <w:p>
            <w:pPr>
              <w:spacing w:after="0"/>
              <w:rPr>
                <w:sz w:val="1"/>
                <w:szCs w:val="1"/>
                <w:color w:val="auto"/>
              </w:rPr>
            </w:pPr>
          </w:p>
        </w:tc>
      </w:tr>
      <w:tr>
        <w:trPr>
          <w:trHeight w:val="392"/>
        </w:trPr>
        <w:tc>
          <w:tcPr>
            <w:tcW w:w="8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Signatures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660"/>
          </w:cols>
          <w:pgMar w:left="1100" w:top="671"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9660"/>
          </w:cols>
          <w:pgMar w:left="1100" w:top="671" w:right="1120" w:bottom="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SPECIAL NOTE REGARDING FORWARD-LOOKING STATEMENTS</w:t>
      </w:r>
    </w:p>
    <w:p>
      <w:pPr>
        <w:spacing w:after="0" w:line="196" w:lineRule="exact"/>
        <w:rPr>
          <w:sz w:val="20"/>
          <w:szCs w:val="20"/>
          <w:color w:val="auto"/>
        </w:rPr>
      </w:pPr>
    </w:p>
    <w:p>
      <w:pPr>
        <w:ind w:right="100" w:firstLine="349"/>
        <w:spacing w:after="0" w:line="263" w:lineRule="auto"/>
        <w:rPr>
          <w:sz w:val="20"/>
          <w:szCs w:val="20"/>
          <w:color w:val="auto"/>
        </w:rPr>
      </w:pPr>
      <w:r>
        <w:rPr>
          <w:rFonts w:ascii="Times New Roman" w:cs="Times New Roman" w:eastAsia="Times New Roman" w:hAnsi="Times New Roman"/>
          <w:sz w:val="19"/>
          <w:szCs w:val="19"/>
          <w:color w:val="auto"/>
        </w:rPr>
        <w:t>This Annual Report on Form 10-K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36" w:lineRule="exact"/>
        <w:rPr>
          <w:sz w:val="20"/>
          <w:szCs w:val="20"/>
          <w:color w:val="auto"/>
        </w:rPr>
      </w:pPr>
    </w:p>
    <w:p>
      <w:pPr>
        <w:ind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dependence on the success of our proteomics platform (the “Nautilus platform”), which remains in the development stage and subject to scientific and technical validation;</w:t>
      </w:r>
    </w:p>
    <w:p>
      <w:pPr>
        <w:spacing w:after="0" w:line="107" w:lineRule="exact"/>
        <w:rPr>
          <w:rFonts w:ascii="Times New Roman" w:cs="Times New Roman" w:eastAsia="Times New Roman" w:hAnsi="Times New Roman"/>
          <w:sz w:val="19"/>
          <w:szCs w:val="19"/>
          <w:color w:val="auto"/>
        </w:rPr>
      </w:pPr>
    </w:p>
    <w:p>
      <w:pPr>
        <w:ind w:right="180"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timing and progress of the development of the Nautilus platform and any commercialization timelines;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functionality of the Nautilus platform;</w:t>
      </w:r>
    </w:p>
    <w:p>
      <w:pPr>
        <w:spacing w:after="0" w:line="189" w:lineRule="exact"/>
        <w:rPr>
          <w:rFonts w:ascii="Times New Roman" w:cs="Times New Roman" w:eastAsia="Times New Roman" w:hAnsi="Times New Roman"/>
          <w:sz w:val="19"/>
          <w:szCs w:val="19"/>
          <w:color w:val="auto"/>
        </w:rPr>
      </w:pPr>
    </w:p>
    <w:p>
      <w:pPr>
        <w:ind w:right="200"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availability of private and public research funding for proteomics research and development activities;</w:t>
      </w:r>
    </w:p>
    <w:p>
      <w:pPr>
        <w:spacing w:after="0" w:line="107" w:lineRule="exact"/>
        <w:rPr>
          <w:rFonts w:ascii="Times New Roman" w:cs="Times New Roman" w:eastAsia="Times New Roman" w:hAnsi="Times New Roman"/>
          <w:sz w:val="19"/>
          <w:szCs w:val="19"/>
          <w:color w:val="auto"/>
        </w:rPr>
      </w:pPr>
    </w:p>
    <w:p>
      <w:pPr>
        <w:ind w:right="580"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estimates of our addressable market, market growth, future revenue, key performance indicators, expenses, capital requirements and needs for additional financing;</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rate and degree of market acceptance of the Nautilus platform;</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the Nautilus platform on the field of proteomics and the size and growth of the addressable proteomics market;</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manage and grow our business and commercialize our Nautilus platform;</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successfully implement our three phase commercial launch plan;</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implementation of our business model and strategic plans for the Nautilus platform;</w:t>
      </w:r>
    </w:p>
    <w:p>
      <w:pPr>
        <w:spacing w:after="0" w:line="189" w:lineRule="exact"/>
        <w:rPr>
          <w:rFonts w:ascii="Times New Roman" w:cs="Times New Roman" w:eastAsia="Times New Roman" w:hAnsi="Times New Roman"/>
          <w:sz w:val="19"/>
          <w:szCs w:val="19"/>
          <w:color w:val="auto"/>
        </w:rPr>
      </w:pPr>
    </w:p>
    <w:p>
      <w:pPr>
        <w:ind w:right="960"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establish and maintain intellectual property protection for our products or avoid or defend claims of infringement;</w:t>
      </w:r>
    </w:p>
    <w:p>
      <w:pPr>
        <w:spacing w:after="0" w:line="107" w:lineRule="exact"/>
        <w:rPr>
          <w:rFonts w:ascii="Times New Roman" w:cs="Times New Roman" w:eastAsia="Times New Roman" w:hAnsi="Times New Roman"/>
          <w:sz w:val="19"/>
          <w:szCs w:val="19"/>
          <w:color w:val="auto"/>
        </w:rPr>
      </w:pPr>
    </w:p>
    <w:p>
      <w:pPr>
        <w:ind w:right="280"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use of proceeds from the Business Combination (as defined in Part I, Item 1 of this Annual Report on Form 10-K);</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performance of third-party partners, manufacturers and suppliers;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applicable laws or regulations;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raise financing in the future;</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length of time that our existing cash resources will fund our operations;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success in retaining or recruiting, or changes required in, our officers, key employees or directors or other key personnel;</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volatility of the trading price of our common stock;</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develop, manufacture, support, and commercialize new products;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about market trends;</w:t>
      </w:r>
    </w:p>
    <w:p>
      <w:pPr>
        <w:spacing w:after="0" w:line="189" w:lineRule="exact"/>
        <w:rPr>
          <w:rFonts w:ascii="Times New Roman" w:cs="Times New Roman" w:eastAsia="Times New Roman" w:hAnsi="Times New Roman"/>
          <w:sz w:val="19"/>
          <w:szCs w:val="19"/>
          <w:color w:val="auto"/>
        </w:rPr>
      </w:pPr>
    </w:p>
    <w:p>
      <w:pPr>
        <w:ind w:right="340" w:firstLine="348"/>
        <w:spacing w:after="0" w:line="293" w:lineRule="auto"/>
        <w:tabs>
          <w:tab w:leader="none" w:pos="69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local, regional, national and international economic conditions and events, instability in the global financial markets and general economic downturns, on the foregoing; and</w:t>
      </w:r>
    </w:p>
    <w:p>
      <w:pPr>
        <w:spacing w:after="0" w:line="10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factors including but not limited to those detailed under the section entitled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color w:val="auto"/>
        </w:rPr>
        <w:t>.”</w:t>
      </w:r>
    </w:p>
    <w:p>
      <w:pPr>
        <w:spacing w:after="0" w:line="191" w:lineRule="exact"/>
        <w:rPr>
          <w:sz w:val="20"/>
          <w:szCs w:val="20"/>
          <w:color w:val="auto"/>
        </w:rPr>
      </w:pPr>
    </w:p>
    <w:p>
      <w:pPr>
        <w:jc w:val="both"/>
        <w:ind w:right="180" w:firstLine="349"/>
        <w:spacing w:after="0" w:line="274" w:lineRule="auto"/>
        <w:rPr>
          <w:sz w:val="20"/>
          <w:szCs w:val="20"/>
          <w:color w:val="auto"/>
        </w:rPr>
      </w:pPr>
      <w:r>
        <w:rPr>
          <w:rFonts w:ascii="Times New Roman" w:cs="Times New Roman" w:eastAsia="Times New Roman" w:hAnsi="Times New Roman"/>
          <w:sz w:val="19"/>
          <w:szCs w:val="19"/>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5" w:lineRule="exact"/>
        <w:rPr>
          <w:sz w:val="20"/>
          <w:szCs w:val="20"/>
          <w:color w:val="auto"/>
        </w:rPr>
      </w:pPr>
    </w:p>
    <w:p>
      <w:pPr>
        <w:ind w:right="80" w:firstLine="349"/>
        <w:spacing w:after="0" w:line="293" w:lineRule="auto"/>
        <w:rPr>
          <w:sz w:val="20"/>
          <w:szCs w:val="20"/>
          <w:color w:val="auto"/>
        </w:rPr>
      </w:pPr>
      <w:r>
        <w:rPr>
          <w:rFonts w:ascii="Times New Roman" w:cs="Times New Roman" w:eastAsia="Times New Roman" w:hAnsi="Times New Roman"/>
          <w:sz w:val="19"/>
          <w:szCs w:val="19"/>
          <w:color w:val="auto"/>
        </w:rPr>
        <w:t>Forward-looking statements involve known and unknown risks, uncertainties, and other factors that may cause our actual results, performance, or achievements to be materially different from any future results, performance, or achievements expressed or implied</w:t>
      </w:r>
    </w:p>
    <w:p>
      <w:pPr>
        <w:sectPr>
          <w:pgSz w:w="11880" w:h="15480" w:orient="portrait"/>
          <w:cols w:equalWidth="0" w:num="1">
            <w:col w:w="10440"/>
          </w:cols>
          <w:pgMar w:left="700" w:top="684" w:right="740" w:bottom="0" w:gutter="0" w:footer="0" w:header="0"/>
        </w:sect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10440"/>
          </w:cols>
          <w:pgMar w:left="700" w:top="684" w:right="740" w:bottom="0" w:gutter="0" w:footer="0" w:header="0"/>
          <w:type w:val="continuous"/>
        </w:sectPr>
      </w:pPr>
    </w:p>
    <w:bookmarkStart w:id="6" w:name="page7"/>
    <w:bookmarkEnd w:id="6"/>
    <w:p>
      <w:pPr>
        <w:spacing w:after="0" w:line="262" w:lineRule="auto"/>
        <w:rPr>
          <w:sz w:val="20"/>
          <w:szCs w:val="20"/>
          <w:color w:val="auto"/>
        </w:rPr>
      </w:pPr>
      <w:r>
        <w:rPr>
          <w:rFonts w:ascii="Times New Roman" w:cs="Times New Roman" w:eastAsia="Times New Roman" w:hAnsi="Times New Roman"/>
          <w:sz w:val="19"/>
          <w:szCs w:val="19"/>
          <w:color w:val="auto"/>
        </w:rPr>
        <w:t>by the forward-looking statements. We discuss these risks in greater detail in Part I, Item 1A, “Risk Factors,” elsewhere in this Annual Report on Form 10-K.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36"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auto"/>
        </w:rPr>
        <w:t>The forward-looking statements made in this Annual Report on Form 10-K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31"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auto"/>
        </w:rPr>
        <w:t>This Annual Report on Form 10-K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6" w:lineRule="exact"/>
        <w:rPr>
          <w:sz w:val="20"/>
          <w:szCs w:val="20"/>
          <w:color w:val="auto"/>
        </w:rPr>
      </w:pPr>
    </w:p>
    <w:p>
      <w:pPr>
        <w:ind w:right="100" w:firstLine="349"/>
        <w:spacing w:after="0" w:line="265" w:lineRule="auto"/>
        <w:rPr>
          <w:sz w:val="20"/>
          <w:szCs w:val="20"/>
          <w:color w:val="auto"/>
        </w:rPr>
      </w:pPr>
      <w:r>
        <w:rPr>
          <w:rFonts w:ascii="Times New Roman" w:cs="Times New Roman" w:eastAsia="Times New Roman" w:hAnsi="Times New Roman"/>
          <w:sz w:val="19"/>
          <w:szCs w:val="19"/>
          <w:color w:val="auto"/>
        </w:rPr>
        <w:t>This Annual Report on Form 10-K contains references to trademarks and service marks belonging to other entities. Solely for convenience, trademarks and trade names referred to in this Annual Report on Form 10-K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ectPr>
          <w:pgSz w:w="11880" w:h="15480" w:orient="portrait"/>
          <w:cols w:equalWidth="0" w:num="1">
            <w:col w:w="10440"/>
          </w:cols>
          <w:pgMar w:left="700" w:top="69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10440"/>
          </w:cols>
          <w:pgMar w:left="700" w:top="691" w:right="740" w:bottom="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3"/>
          <w:szCs w:val="23"/>
          <w:b w:val="1"/>
          <w:bCs w:val="1"/>
          <w:color w:val="auto"/>
        </w:rPr>
        <w:t>Part 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BACKGROUND OF BUSINESS COMBINATION</w:t>
      </w:r>
    </w:p>
    <w:p>
      <w:pPr>
        <w:spacing w:after="0" w:line="196"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On June 9, 2021 (the “Closing Date”), Nautilus Biotechnology, Inc., a Delaware corporation (f/k/a ARYA Sciences Acquisition Corp III (“ARYA”)), consummated the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 The Business Combination Agreement provided for, among other things, (i) the domestication of ARYA as a corporation incorporated under the laws of the State of Delaware, upon which ARYA changed its name to “Nautilus Biotechnology, Inc.” (together with its consolidated subsidiary, the “Company” “New Nautilus” or “Nautilus”) and (ii) the merger of Mako Merger Sub with and into Legacy Nautilus (the “Merger”), with Legacy Nautilus as the surviving company in the Merger and, after giving effect to such Merger, Legacy Nautilus becoming a wholly-owned subsidiary of New Nautilus.</w:t>
      </w:r>
    </w:p>
    <w:p>
      <w:pPr>
        <w:spacing w:after="0" w:line="137"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Concurrently with the execution of the Business Combination Agreement, ARYA entered into Subscription Agreements (each, a “Subscription Agreement”) with certain investors (each, a “PIPE Investor”), pursuant to which the PIPE Investors subscribed for and purchased, and ARYA issued and sold to the PIPE Investors, on the Closing Date, an aggregate of 20,000,000 shares of common stock of New Nautilus (“Common Stock”) for aggregate gross proceeds of $200,000,000 (the “PIPE Financing”).</w:t>
      </w:r>
    </w:p>
    <w:p>
      <w:pPr>
        <w:spacing w:after="0" w:line="131" w:lineRule="exact"/>
        <w:rPr>
          <w:sz w:val="20"/>
          <w:szCs w:val="20"/>
          <w:color w:val="auto"/>
        </w:rPr>
      </w:pPr>
    </w:p>
    <w:p>
      <w:pPr>
        <w:ind w:right="320" w:firstLine="349"/>
        <w:spacing w:after="0" w:line="293" w:lineRule="auto"/>
        <w:rPr>
          <w:sz w:val="20"/>
          <w:szCs w:val="20"/>
          <w:color w:val="auto"/>
        </w:rPr>
      </w:pPr>
      <w:r>
        <w:rPr>
          <w:rFonts w:ascii="Times New Roman" w:cs="Times New Roman" w:eastAsia="Times New Roman" w:hAnsi="Times New Roman"/>
          <w:sz w:val="19"/>
          <w:szCs w:val="19"/>
          <w:color w:val="auto"/>
        </w:rPr>
        <w:t>As of the open of trading on June 10, 2021, the Common Stock began trading on the Nasdaq Global Select Market (“Nasdaq”) under the symbol “NAUT.”</w:t>
      </w:r>
    </w:p>
    <w:p>
      <w:pPr>
        <w:spacing w:after="0" w:line="107" w:lineRule="exact"/>
        <w:rPr>
          <w:sz w:val="20"/>
          <w:szCs w:val="20"/>
          <w:color w:val="auto"/>
        </w:rPr>
      </w:pPr>
    </w:p>
    <w:p>
      <w:pPr>
        <w:ind w:right="180" w:firstLine="349"/>
        <w:spacing w:after="0" w:line="274" w:lineRule="auto"/>
        <w:rPr>
          <w:sz w:val="20"/>
          <w:szCs w:val="20"/>
          <w:color w:val="auto"/>
        </w:rPr>
      </w:pPr>
      <w:r>
        <w:rPr>
          <w:rFonts w:ascii="Times New Roman" w:cs="Times New Roman" w:eastAsia="Times New Roman" w:hAnsi="Times New Roman"/>
          <w:sz w:val="19"/>
          <w:szCs w:val="19"/>
          <w:color w:val="auto"/>
        </w:rPr>
        <w:t>Unless expressly indicated or the context requires otherwise, the terms “Nautilus,” “New Nautilus,” the “Company,” the “Registrant,” “we,” “us” and “our” in this Form 10-K refer to Nautilus Biotechnology, Inc., the parent entity formerly named ARYA Sciences Acquisition Corp III, and where appropriate, our wholly-owned subsidiaries (including Legacy Nautilus).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96"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41"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37" w:lineRule="exact"/>
        <w:rPr>
          <w:sz w:val="20"/>
          <w:szCs w:val="20"/>
          <w:color w:val="auto"/>
        </w:rPr>
      </w:pPr>
    </w:p>
    <w:p>
      <w:pPr>
        <w:ind w:right="280" w:firstLine="349"/>
        <w:spacing w:after="0" w:line="265" w:lineRule="auto"/>
        <w:rPr>
          <w:sz w:val="20"/>
          <w:szCs w:val="20"/>
          <w:color w:val="auto"/>
        </w:rPr>
      </w:pPr>
      <w:r>
        <w:rPr>
          <w:rFonts w:ascii="Times New Roman" w:cs="Times New Roman" w:eastAsia="Times New Roman" w:hAnsi="Times New Roman"/>
          <w:sz w:val="19"/>
          <w:szCs w:val="19"/>
          <w:color w:val="auto"/>
        </w:rPr>
        <w:t>By leveraging our novel platform design coupled with advanced machine learning software, we believe our Nautilus platform, which includes our end-to-end solution comprised of the proteome analysis system, consumables, and software, has the potential to rapidly and reproducibly identify up to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33"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w:t>
      </w:r>
    </w:p>
    <w:p>
      <w:pPr>
        <w:sectPr>
          <w:pgSz w:w="11880" w:h="15480" w:orient="portrait"/>
          <w:cols w:equalWidth="0" w:num="1">
            <w:col w:w="10480"/>
          </w:cols>
          <w:pgMar w:left="700" w:top="671" w:right="700" w:bottom="0"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10480"/>
          </w:cols>
          <w:pgMar w:left="700" w:top="671" w:right="700" w:bottom="0" w:gutter="0" w:footer="0" w:header="0"/>
          <w:type w:val="continuous"/>
        </w:sectPr>
      </w:pPr>
    </w:p>
    <w:bookmarkStart w:id="8" w:name="page9"/>
    <w:bookmarkEnd w:id="8"/>
    <w:p>
      <w:pPr>
        <w:ind w:right="180"/>
        <w:spacing w:after="0" w:line="293" w:lineRule="auto"/>
        <w:rPr>
          <w:sz w:val="20"/>
          <w:szCs w:val="20"/>
          <w:color w:val="auto"/>
        </w:rPr>
      </w:pPr>
      <w:r>
        <w:rPr>
          <w:rFonts w:ascii="Times New Roman" w:cs="Times New Roman" w:eastAsia="Times New Roman" w:hAnsi="Times New Roman"/>
          <w:sz w:val="19"/>
          <w:szCs w:val="19"/>
          <w:color w:val="auto"/>
        </w:rPr>
        <w:t>Additionally, challenges in operational complexity and sensitivity have limited the ability of mass spectrometry-based methods from easily, comprehensively, and quickly characterizing the entirety of the proteome.</w:t>
      </w:r>
    </w:p>
    <w:p>
      <w:pPr>
        <w:spacing w:after="0" w:line="107"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Affinity-based approaches use the binding attraction of antibodies to proteins to capture and measure protein targets. Many of these legacy technologies measure only a single-target, or are multiplexed to cover a few specific protein targets per reaction. Newer technologies have further expanded their multiplexing capability by using a next-generation sequencing readout. However, affinity-based proteomics is inherently dependent on the availability of high quality, specific and sensitive affinity reagents, which can impact scalability,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mass spectrometry and affinity-based technologies have prevented progress towards achieving comprehensive proteome characterization, including measurement of the many known modifications to proteins. If detecting and quantifying the complexity of the human proteome were as simple and easy as detecting an entire human genome, we believe a new set of questions could be asked:</w:t>
      </w:r>
    </w:p>
    <w:p>
      <w:pPr>
        <w:spacing w:after="0" w:line="137" w:lineRule="exact"/>
        <w:rPr>
          <w:sz w:val="20"/>
          <w:szCs w:val="20"/>
          <w:color w:val="auto"/>
        </w:rPr>
      </w:pPr>
    </w:p>
    <w:p>
      <w:pPr>
        <w:ind w:left="700" w:hanging="352"/>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Down to the very low frequencies of expressed proteins, how are healthy tissue cells different from diseased cells?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What will a comprehensive map of nearly all proteins by organ tissue type tell us about our biology?</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What specific patterns of protein modifications are present in disease, and why?</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What happens to our proteome when we get sick, and how does it change with treatment?</w:t>
      </w:r>
    </w:p>
    <w:p>
      <w:pPr>
        <w:spacing w:after="0" w:line="189" w:lineRule="exact"/>
        <w:rPr>
          <w:sz w:val="20"/>
          <w:szCs w:val="20"/>
          <w:color w:val="auto"/>
        </w:rPr>
      </w:pPr>
    </w:p>
    <w:p>
      <w:pPr>
        <w:ind w:right="100" w:firstLine="349"/>
        <w:spacing w:after="0" w:line="260" w:lineRule="auto"/>
        <w:rPr>
          <w:sz w:val="20"/>
          <w:szCs w:val="20"/>
          <w:color w:val="auto"/>
        </w:rPr>
      </w:pPr>
      <w:r>
        <w:rPr>
          <w:rFonts w:ascii="Times New Roman" w:cs="Times New Roman" w:eastAsia="Times New Roman" w:hAnsi="Times New Roman"/>
          <w:sz w:val="19"/>
          <w:szCs w:val="19"/>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According to BCC Research, the existing proteomics research market is currently estimated to be approximately $27 billion annual spend as of 2022, made up primarily of mass spectrometry and affinity-based quantification methods. Over the longer-term, the proteomics market is expected to reach approximately $55 billion by 2027, representing a compound annual growth rate, or CAGR, of 15% over the five-year period. Further, we believe there are substantial adjacent opportunities across translational research in drug target discovery, precision medicine development, clinical diagnostics, and other disciplines such as food and environmental science.</w:t>
      </w:r>
    </w:p>
    <w:p>
      <w:pPr>
        <w:spacing w:after="0" w:line="141"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As of the date of filing this Annual Report, we have research collaborations with Genentech, Amgen, The University of Texas MD Anderson Cancer Research Center, and The Buck Institute for Research on Aging. In the second phase of our product development and commercialization we plan to launch an early access program offering more standardized applications to an expanded group of collaborators. We believe this growing group of collaborators will become important reference sites and key influencers that will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proteome analysis system, which is an integrated fluidics and optics system for massively parallel single protein molecule detection, accompanied by consumable reagents and analysis software, in direct sales to customers across academia and industry. The launch of our proteome analysis system is expected to be done with a multi-year product roadmap of system enhancements and new applications designed to help our future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373"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with deep subject matter expertise across scientific disciplines in chemistry, molecular biology, physics and bioinformatics, and as of December 31, 2024 over one-third of our employees have a Ph.D. Our organization is driven by the pursuit of deep, hard science, and our Scientific Advisory Board is comprised of world-renowned scientific leaders that support our vision.</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10480"/>
          </w:cols>
          <w:pgMar w:left="700" w:top="691" w:right="70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9"/>
          <w:szCs w:val="19"/>
          <w:b w:val="1"/>
          <w:bCs w:val="1"/>
          <w:color w:val="auto"/>
        </w:rPr>
        <w:t>OUR STRENGTHS</w:t>
      </w:r>
    </w:p>
    <w:p>
      <w:pPr>
        <w:spacing w:after="0" w:line="192" w:lineRule="exact"/>
        <w:rPr>
          <w:sz w:val="20"/>
          <w:szCs w:val="20"/>
          <w:color w:val="auto"/>
        </w:rPr>
      </w:pPr>
    </w:p>
    <w:p>
      <w:pPr>
        <w:ind w:left="700" w:hanging="352"/>
        <w:spacing w:after="0" w:line="262"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Highly disruptive proteomics technology. </w:t>
      </w:r>
      <w:r>
        <w:rPr>
          <w:rFonts w:ascii="Times New Roman" w:cs="Times New Roman" w:eastAsia="Times New Roman" w:hAnsi="Times New Roman"/>
          <w:sz w:val="19"/>
          <w:szCs w:val="19"/>
          <w:color w:val="auto"/>
        </w:rPr>
        <w:t>Our Nautilus proteome analysis platform is designed to be a completely novel,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single protein molecule analysis technology of extreme sensitivity, high throughput, and ease-of-use. Leveraging a scalable and flexible system architecture, advanced machine learning and algorithms, we believe our Nautilus platform has the potential to identify substantially all proteins in a sample from almost any organism. We also believe that by measuring single intact protein molecules, our platform has a highly differentiated and unique ability to also detect and quantify combinations and patterns of post-translational modifications, which are strongly suspected to be critical drivers of biology and have been largely invisible to legacy technologies to date.</w:t>
      </w:r>
    </w:p>
    <w:p>
      <w:pPr>
        <w:spacing w:after="0" w:line="135" w:lineRule="exact"/>
        <w:rPr>
          <w:rFonts w:ascii="Times New Roman" w:cs="Times New Roman" w:eastAsia="Times New Roman" w:hAnsi="Times New Roman"/>
          <w:sz w:val="19"/>
          <w:szCs w:val="19"/>
          <w:color w:val="auto"/>
        </w:rPr>
      </w:pPr>
    </w:p>
    <w:p>
      <w:pPr>
        <w:ind w:left="700" w:hanging="352"/>
        <w:spacing w:after="0" w:line="262"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Novel end-to-end proteomics detection platform of extreme sensitivity. </w:t>
      </w:r>
      <w:r>
        <w:rPr>
          <w:rFonts w:ascii="Times New Roman" w:cs="Times New Roman" w:eastAsia="Times New Roman" w:hAnsi="Times New Roman"/>
          <w:sz w:val="19"/>
          <w:szCs w:val="19"/>
          <w:color w:val="auto"/>
        </w:rPr>
        <w:t>We aim to be the first commercially available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proteomics detection platform technology and end-to-end solution to decode and quantify approximately 95% of the entire proteome, including the variations and modifications of proteins. Our Nautilus platform consists of instruments, reagent consumables and software that we believe has the potential to deliver broad proteomic profiling to the market and potentially unlock the vast, dynamic, and valuable biological information contained in the proteome. With each instrument sale, there is expected to be accompanying recurring revenue comprised of reagent consumable sales, instrumentation service, support, and software that creates a comprehensive proteomics solution.</w:t>
      </w:r>
    </w:p>
    <w:p>
      <w:pPr>
        <w:spacing w:after="0" w:line="135" w:lineRule="exact"/>
        <w:rPr>
          <w:rFonts w:ascii="Times New Roman" w:cs="Times New Roman" w:eastAsia="Times New Roman" w:hAnsi="Times New Roman"/>
          <w:sz w:val="19"/>
          <w:szCs w:val="19"/>
          <w:color w:val="auto"/>
        </w:rPr>
      </w:pPr>
    </w:p>
    <w:p>
      <w:pPr>
        <w:ind w:left="700" w:right="80" w:hanging="352"/>
        <w:spacing w:after="0" w:line="260"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Open, flexible and customizable technology platform. </w:t>
      </w:r>
      <w:r>
        <w:rPr>
          <w:rFonts w:ascii="Times New Roman" w:cs="Times New Roman" w:eastAsia="Times New Roman" w:hAnsi="Times New Roman"/>
          <w:sz w:val="19"/>
          <w:szCs w:val="19"/>
          <w:color w:val="auto"/>
        </w:rPr>
        <w:t>Our Nautilus platform is designed to allow our customers to analyze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their samples in a variety of run configurations by utilizing flow cells which each contain 4 discrete and independent lanes, analyzed on an instrument that can be loaded with up to 3 flow cells per run. Our platform is currently designed to either maximize analysis depth by running all 12 lanes on 1 sample, or maximize analysis throughput by running a single sample per lane. This design is also highly compatible with molecular barcoding, which may be introduced in the future to multiplex increasingly larger sample numbers per run. Further, with the introduction of an affinity reagent labeling kit, our platform is also designed to be able to incorporate off-the-shelf affinity reagents that have already been created by biopharma, academia, or commercial affinity reagent manufacturers. We believe that the ability to customize the type of analysis performed by adding or combining these affinity reagent probes with our Nautilus provided reagent kits could provide a very powerful and desirable analysis for our customers.</w:t>
      </w:r>
    </w:p>
    <w:p>
      <w:pPr>
        <w:spacing w:after="0" w:line="137" w:lineRule="exact"/>
        <w:rPr>
          <w:rFonts w:ascii="Times New Roman" w:cs="Times New Roman" w:eastAsia="Times New Roman" w:hAnsi="Times New Roman"/>
          <w:sz w:val="19"/>
          <w:szCs w:val="19"/>
          <w:color w:val="auto"/>
        </w:rPr>
      </w:pPr>
    </w:p>
    <w:p>
      <w:pPr>
        <w:ind w:left="700" w:right="20" w:hanging="352"/>
        <w:spacing w:after="0" w:line="261"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Immense data production capacity coupled with machine learning can unlock new proteomic insights. </w:t>
      </w:r>
      <w:r>
        <w:rPr>
          <w:rFonts w:ascii="Times New Roman" w:cs="Times New Roman" w:eastAsia="Times New Roman" w:hAnsi="Times New Roman"/>
          <w:sz w:val="19"/>
          <w:szCs w:val="19"/>
          <w:color w:val="auto"/>
        </w:rPr>
        <w:t>We have designed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Nautilus platform to create and process a vast amount of proteomic data. The Nautilus platform is expected to generate up to approximately 35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w:t>
      </w:r>
    </w:p>
    <w:p>
      <w:pPr>
        <w:spacing w:after="0" w:line="137" w:lineRule="exact"/>
        <w:rPr>
          <w:rFonts w:ascii="Times New Roman" w:cs="Times New Roman" w:eastAsia="Times New Roman" w:hAnsi="Times New Roman"/>
          <w:sz w:val="19"/>
          <w:szCs w:val="19"/>
          <w:color w:val="auto"/>
        </w:rPr>
      </w:pPr>
    </w:p>
    <w:p>
      <w:pPr>
        <w:ind w:left="700" w:right="20" w:hanging="352"/>
        <w:spacing w:after="0" w:line="261"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Commercial model with clear market entry point, designed to support a wide variety of customers and applications. </w:t>
      </w:r>
      <w:r>
        <w:rPr>
          <w:rFonts w:ascii="Times New Roman" w:cs="Times New Roman" w:eastAsia="Times New Roman" w:hAnsi="Times New Roman"/>
          <w:sz w:val="19"/>
          <w:szCs w:val="19"/>
          <w:color w:val="auto"/>
        </w:rPr>
        <w:t>Many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successful life sciences research tools companies with disruptive technology have employed a business model 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w:t>
      </w:r>
    </w:p>
    <w:p>
      <w:pPr>
        <w:spacing w:after="0" w:line="137" w:lineRule="exact"/>
        <w:rPr>
          <w:rFonts w:ascii="Times New Roman" w:cs="Times New Roman" w:eastAsia="Times New Roman" w:hAnsi="Times New Roman"/>
          <w:sz w:val="19"/>
          <w:szCs w:val="19"/>
          <w:color w:val="auto"/>
        </w:rPr>
      </w:pPr>
    </w:p>
    <w:p>
      <w:pPr>
        <w:ind w:left="700" w:right="60" w:hanging="352"/>
        <w:spacing w:after="0" w:line="261"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Our Nautilus platform technology could position us as a leader in a large initial life sciences research market and provide a path to the clinical diagnostics. </w:t>
      </w:r>
      <w:r>
        <w:rPr>
          <w:rFonts w:ascii="Times New Roman" w:cs="Times New Roman" w:eastAsia="Times New Roman" w:hAnsi="Times New Roman"/>
          <w:sz w:val="19"/>
          <w:szCs w:val="19"/>
          <w:color w:val="auto"/>
        </w:rPr>
        <w:t>The global proteomics market is estimated to be approximately $27 billion annually as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2022 and is expected to grow at an estimated 15% CAGR from 2022 to 2027 according to BCC Research. Furthermore, we believe our Nautilus platform has the potential to facilitate a broader transformation across life sciences and healthcare, and therefore significantly augment our total addressable market over time. We believe there are multiple high-value research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spacing w:after="0" w:line="132" w:lineRule="exact"/>
        <w:rPr>
          <w:rFonts w:ascii="Times New Roman" w:cs="Times New Roman" w:eastAsia="Times New Roman" w:hAnsi="Times New Roman"/>
          <w:sz w:val="19"/>
          <w:szCs w:val="19"/>
          <w:color w:val="auto"/>
        </w:rPr>
      </w:pPr>
    </w:p>
    <w:p>
      <w:pPr>
        <w:ind w:left="700" w:right="60" w:hanging="352"/>
        <w:spacing w:after="0" w:line="269"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Our experienced, multidisciplinary team brings together a group of individuals with diverse backgrounds to disrupt the field of proteomics. </w:t>
      </w:r>
      <w:r>
        <w:rPr>
          <w:rFonts w:ascii="Times New Roman" w:cs="Times New Roman" w:eastAsia="Times New Roman" w:hAnsi="Times New Roman"/>
          <w:sz w:val="19"/>
          <w:szCs w:val="19"/>
          <w:color w:val="auto"/>
        </w:rPr>
        <w:t>Nautilus’ leadership team represents a unique and valuable hybrid of technology and biotech experience.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Several members of the executive team and board of directors held leadership roles at Illumina, Agilent Technologies, and Isilon, and helped to guide strategy and manage execution both before and throughout the rapid growth and success for those</w:t>
      </w:r>
    </w:p>
    <w:p>
      <w:pPr>
        <w:sectPr>
          <w:pgSz w:w="11880" w:h="15480" w:orient="portrait"/>
          <w:cols w:equalWidth="0" w:num="1">
            <w:col w:w="10480"/>
          </w:cols>
          <w:pgMar w:left="700" w:top="684" w:right="70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10480"/>
          </w:cols>
          <w:pgMar w:left="700" w:top="684" w:right="700" w:bottom="0" w:gutter="0" w:footer="0" w:header="0"/>
          <w:type w:val="continuous"/>
        </w:sectPr>
      </w:pPr>
    </w:p>
    <w:bookmarkStart w:id="10" w:name="page11"/>
    <w:bookmarkEnd w:id="10"/>
    <w:p>
      <w:pPr>
        <w:ind w:left="700" w:right="20"/>
        <w:spacing w:after="0" w:line="263" w:lineRule="auto"/>
        <w:rPr>
          <w:sz w:val="20"/>
          <w:szCs w:val="20"/>
          <w:color w:val="auto"/>
        </w:rPr>
      </w:pPr>
      <w:r>
        <w:rPr>
          <w:rFonts w:ascii="Times New Roman" w:cs="Times New Roman" w:eastAsia="Times New Roman" w:hAnsi="Times New Roman"/>
          <w:sz w:val="19"/>
          <w:szCs w:val="19"/>
          <w:color w:val="auto"/>
        </w:rPr>
        <w:t>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STRATEGY</w:t>
      </w:r>
    </w:p>
    <w:p>
      <w:pPr>
        <w:spacing w:after="0" w:line="192" w:lineRule="exact"/>
        <w:rPr>
          <w:sz w:val="20"/>
          <w:szCs w:val="20"/>
          <w:color w:val="auto"/>
        </w:rPr>
      </w:pPr>
    </w:p>
    <w:p>
      <w:pPr>
        <w:ind w:left="700" w:hanging="352"/>
        <w:spacing w:after="0" w:line="260"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Drive adoption of our Nautilus platform by providing the life sciences industry with access to the proteome. </w:t>
      </w:r>
      <w:r>
        <w:rPr>
          <w:rFonts w:ascii="Times New Roman" w:cs="Times New Roman" w:eastAsia="Times New Roman" w:hAnsi="Times New Roman"/>
          <w:sz w:val="19"/>
          <w:szCs w:val="19"/>
          <w:color w:val="auto"/>
        </w:rPr>
        <w:t>We believe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Nautilus platform has 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ultimately enable clinical diagnostic market segments. We intend to drive adoption of our Nautilus platform through a three-phase commercial strategy that begins with an initial partnership and collaboration phase with biopharma companies (such as our existing relationships with Genentech and Amgen), academic institutions (such as our existing relationship with The University of Texas MD Anderson Cancer Center and The Buck Institute for Research on Aging, and others) and research organizations where we aim to jointly publish data utilizing the first versions of our Nautilus platform, followed by a pre-sales or early access program to drive awareness and demand, and finally culminating in a full commercial launch.</w:t>
      </w:r>
    </w:p>
    <w:p>
      <w:pPr>
        <w:spacing w:after="0" w:line="137" w:lineRule="exact"/>
        <w:rPr>
          <w:rFonts w:ascii="Times New Roman" w:cs="Times New Roman" w:eastAsia="Times New Roman" w:hAnsi="Times New Roman"/>
          <w:sz w:val="19"/>
          <w:szCs w:val="19"/>
          <w:color w:val="auto"/>
        </w:rPr>
      </w:pPr>
    </w:p>
    <w:p>
      <w:pPr>
        <w:ind w:left="700" w:right="80" w:hanging="352"/>
        <w:spacing w:after="0" w:line="263"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Continuously innovate and scale our Nautilus platform’s capabilities to enable further advancement of proteomic research. </w:t>
      </w:r>
      <w:r>
        <w:rPr>
          <w:rFonts w:ascii="Times New Roman" w:cs="Times New Roman" w:eastAsia="Times New Roman" w:hAnsi="Times New Roman"/>
          <w:sz w:val="19"/>
          <w:szCs w:val="19"/>
          <w:color w:val="auto"/>
        </w:rPr>
        <w:t>Through both internal R&amp;D projects and external collaborations with our customers and partners, we plan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spacing w:after="0" w:line="368" w:lineRule="exact"/>
        <w:rPr>
          <w:rFonts w:ascii="Times New Roman" w:cs="Times New Roman" w:eastAsia="Times New Roman" w:hAnsi="Times New Roman"/>
          <w:sz w:val="19"/>
          <w:szCs w:val="19"/>
          <w:color w:val="auto"/>
        </w:rPr>
      </w:pPr>
    </w:p>
    <w:p>
      <w:pPr>
        <w:ind w:left="700" w:right="160" w:hanging="352"/>
        <w:spacing w:after="0" w:line="261"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Multiple pathways to build and expand our manufacturing capacity to support our commercial launch and the sustained growth of our business</w:t>
      </w:r>
      <w:r>
        <w:rPr>
          <w:rFonts w:ascii="Times New Roman" w:cs="Times New Roman" w:eastAsia="Times New Roman" w:hAnsi="Times New Roman"/>
          <w:sz w:val="19"/>
          <w:szCs w:val="19"/>
          <w:color w:val="auto"/>
        </w:rPr>
        <w:t>. Our technology is comprised of many off the shelf component parts that help to create efficient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sourcing and manufacturing processes. 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w:t>
      </w:r>
    </w:p>
    <w:p>
      <w:pPr>
        <w:spacing w:after="0" w:line="137" w:lineRule="exact"/>
        <w:rPr>
          <w:rFonts w:ascii="Times New Roman" w:cs="Times New Roman" w:eastAsia="Times New Roman" w:hAnsi="Times New Roman"/>
          <w:sz w:val="19"/>
          <w:szCs w:val="19"/>
          <w:color w:val="auto"/>
        </w:rPr>
      </w:pPr>
    </w:p>
    <w:p>
      <w:pPr>
        <w:ind w:left="700" w:right="20" w:hanging="352"/>
        <w:spacing w:after="0" w:line="262"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Build long-term value by leveraging the open design of our Nautilus platform to create an ecosystem of products and services based on our core technology. </w:t>
      </w:r>
      <w:r>
        <w:rPr>
          <w:rFonts w:ascii="Times New Roman" w:cs="Times New Roman" w:eastAsia="Times New Roman" w:hAnsi="Times New Roman"/>
          <w:sz w:val="19"/>
          <w:szCs w:val="19"/>
          <w:color w:val="auto"/>
        </w:rPr>
        <w:t>Our Nautilus platform is compatible with a wide variety of protein affinity reagents,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which we believe will allow us to create a 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w:t>
      </w:r>
    </w:p>
    <w:p>
      <w:pPr>
        <w:spacing w:after="0" w:line="135" w:lineRule="exact"/>
        <w:rPr>
          <w:rFonts w:ascii="Times New Roman" w:cs="Times New Roman" w:eastAsia="Times New Roman" w:hAnsi="Times New Roman"/>
          <w:sz w:val="19"/>
          <w:szCs w:val="19"/>
          <w:color w:val="auto"/>
        </w:rPr>
      </w:pPr>
    </w:p>
    <w:p>
      <w:pPr>
        <w:ind w:left="700" w:hanging="352"/>
        <w:spacing w:after="0" w:line="261"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Expand adoption of our Nautilus platform into new markets. </w:t>
      </w:r>
      <w:r>
        <w:rPr>
          <w:rFonts w:ascii="Times New Roman" w:cs="Times New Roman" w:eastAsia="Times New Roman" w:hAnsi="Times New Roman"/>
          <w:sz w:val="19"/>
          <w:szCs w:val="19"/>
          <w:color w:val="auto"/>
        </w:rPr>
        <w:t>Our market entry strategy involves identifying markets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are constrained by their inability to access comprehensive proteomic information, which we believe can be addressed by our Nautilus platform. We recognize that these opportunities extend into ancillary markets across life sciences, including clinical and translational research, and clinical diagnostics, 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PRIMER ON PROTEOMICS</w:t>
      </w:r>
    </w:p>
    <w:p>
      <w:pPr>
        <w:spacing w:after="0" w:line="196" w:lineRule="exact"/>
        <w:rPr>
          <w:sz w:val="20"/>
          <w:szCs w:val="20"/>
          <w:color w:val="auto"/>
        </w:rPr>
      </w:pPr>
    </w:p>
    <w:p>
      <w:pPr>
        <w:ind w:right="200" w:firstLine="349"/>
        <w:spacing w:after="0" w:line="268" w:lineRule="auto"/>
        <w:rPr>
          <w:sz w:val="20"/>
          <w:szCs w:val="20"/>
          <w:color w:val="auto"/>
        </w:rPr>
      </w:pPr>
      <w:r>
        <w:rPr>
          <w:rFonts w:ascii="Times New Roman" w:cs="Times New Roman" w:eastAsia="Times New Roman" w:hAnsi="Times New Roman"/>
          <w:sz w:val="19"/>
          <w:szCs w:val="19"/>
          <w:color w:val="auto"/>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10480"/>
          </w:cols>
          <w:pgMar w:left="700" w:top="691" w:right="700" w:bottom="0" w:gutter="0" w:footer="0" w:header="0"/>
          <w:type w:val="continuous"/>
        </w:sectPr>
      </w:pPr>
    </w:p>
    <w:bookmarkStart w:id="11" w:name="page12"/>
    <w:bookmarkEnd w:id="11"/>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Molecular profiling techniques, such as next generation sequencing (“NGS”), have led to widespread genomic characterization and unprecedented access to genomic information. While this information has certainly enhanced our knowledge of complex biological systems, there is still a tremendous amount of detail at the protein level that remains largely unknown. The field of proteomics seeks to address this gap, and is an area of scientific research that involves the identification, characterization, and quantification of proteins in whole cells, tissues, or body fluids. To date, there has been very little technological advancement in how to physically measure a protein, and this has been a major impediment towards creating the same level of access to proteomic detail as we have with genomic detail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753745</wp:posOffset>
            </wp:positionH>
            <wp:positionV relativeFrom="paragraph">
              <wp:posOffset>124460</wp:posOffset>
            </wp:positionV>
            <wp:extent cx="5147310" cy="2708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5147310" cy="270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in research are highlighted below.</w:t>
      </w:r>
    </w:p>
    <w:p>
      <w:pPr>
        <w:spacing w:after="0" w:line="132" w:lineRule="exact"/>
        <w:rPr>
          <w:sz w:val="20"/>
          <w:szCs w:val="20"/>
          <w:color w:val="auto"/>
        </w:rPr>
      </w:pPr>
    </w:p>
    <w:p>
      <w:pPr>
        <w:ind w:left="700" w:right="640" w:hanging="352"/>
        <w:spacing w:after="0" w:line="298"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Better understanding of biology</w:t>
      </w:r>
      <w:r>
        <w:rPr>
          <w:rFonts w:ascii="Times New Roman" w:cs="Times New Roman" w:eastAsia="Times New Roman" w:hAnsi="Times New Roman"/>
          <w:sz w:val="19"/>
          <w:szCs w:val="19"/>
          <w:color w:val="auto"/>
        </w:rPr>
        <w:t>. Protein research contributes to a better understanding of how molecular information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controls and influences an individual’s physiology.</w:t>
      </w:r>
    </w:p>
    <w:p>
      <w:pPr>
        <w:spacing w:after="0" w:line="98" w:lineRule="exact"/>
        <w:rPr>
          <w:rFonts w:ascii="Times New Roman" w:cs="Times New Roman" w:eastAsia="Times New Roman" w:hAnsi="Times New Roman"/>
          <w:sz w:val="19"/>
          <w:szCs w:val="19"/>
          <w:color w:val="auto"/>
        </w:rPr>
      </w:pPr>
    </w:p>
    <w:p>
      <w:pPr>
        <w:jc w:val="both"/>
        <w:ind w:left="700" w:right="380" w:hanging="352"/>
        <w:spacing w:after="0" w:line="298"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Identification of novel drug targets. </w:t>
      </w:r>
      <w:r>
        <w:rPr>
          <w:rFonts w:ascii="Times New Roman" w:cs="Times New Roman" w:eastAsia="Times New Roman" w:hAnsi="Times New Roman"/>
          <w:sz w:val="19"/>
          <w:szCs w:val="19"/>
          <w:color w:val="auto"/>
        </w:rPr>
        <w:t>Cellular function and dysfunction is driven by our proteins; increasing our ability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directly measure even the rarest proteins involved in disease may increase the likelihood of identifying new drug targets.</w:t>
      </w:r>
    </w:p>
    <w:p>
      <w:pPr>
        <w:spacing w:after="0" w:line="98" w:lineRule="exact"/>
        <w:rPr>
          <w:rFonts w:ascii="Times New Roman" w:cs="Times New Roman" w:eastAsia="Times New Roman" w:hAnsi="Times New Roman"/>
          <w:sz w:val="19"/>
          <w:szCs w:val="19"/>
          <w:color w:val="auto"/>
        </w:rPr>
      </w:pPr>
    </w:p>
    <w:p>
      <w:pPr>
        <w:ind w:left="700" w:right="560" w:hanging="352"/>
        <w:spacing w:after="0" w:line="298"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Patient stratification</w:t>
      </w:r>
      <w:r>
        <w:rPr>
          <w:rFonts w:ascii="Times New Roman" w:cs="Times New Roman" w:eastAsia="Times New Roman" w:hAnsi="Times New Roman"/>
          <w:sz w:val="19"/>
          <w:szCs w:val="19"/>
          <w:color w:val="auto"/>
        </w:rPr>
        <w:t>. The separation of patients into groups with similar molecular features that may be more likely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respond to specific therapeutic treatments.</w:t>
      </w:r>
    </w:p>
    <w:p>
      <w:pPr>
        <w:spacing w:after="0" w:line="98" w:lineRule="exact"/>
        <w:rPr>
          <w:rFonts w:ascii="Times New Roman" w:cs="Times New Roman" w:eastAsia="Times New Roman" w:hAnsi="Times New Roman"/>
          <w:sz w:val="19"/>
          <w:szCs w:val="19"/>
          <w:color w:val="auto"/>
        </w:rPr>
      </w:pPr>
    </w:p>
    <w:p>
      <w:pPr>
        <w:ind w:left="700" w:right="580" w:hanging="352"/>
        <w:spacing w:after="0" w:line="298"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Prediction of disease and treatment outcome. </w:t>
      </w:r>
      <w:r>
        <w:rPr>
          <w:rFonts w:ascii="Times New Roman" w:cs="Times New Roman" w:eastAsia="Times New Roman" w:hAnsi="Times New Roman"/>
          <w:sz w:val="19"/>
          <w:szCs w:val="19"/>
          <w:color w:val="auto"/>
        </w:rPr>
        <w:t>The identification of biomarkers that can assist in the early diagnosis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diseases, inform prognosis or monitor the efficacy and safety of ongoing treatments.</w:t>
      </w:r>
    </w:p>
    <w:p>
      <w:pPr>
        <w:spacing w:after="0" w:line="98" w:lineRule="exact"/>
        <w:rPr>
          <w:rFonts w:ascii="Times New Roman" w:cs="Times New Roman" w:eastAsia="Times New Roman" w:hAnsi="Times New Roman"/>
          <w:sz w:val="19"/>
          <w:szCs w:val="19"/>
          <w:color w:val="auto"/>
        </w:rPr>
      </w:pPr>
    </w:p>
    <w:p>
      <w:pPr>
        <w:ind w:left="700" w:hanging="352"/>
        <w:spacing w:after="0" w:line="298" w:lineRule="auto"/>
        <w:tabs>
          <w:tab w:leader="none" w:pos="7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Wellness: from health to disease. </w:t>
      </w:r>
      <w:r>
        <w:rPr>
          <w:rFonts w:ascii="Times New Roman" w:cs="Times New Roman" w:eastAsia="Times New Roman" w:hAnsi="Times New Roman"/>
          <w:sz w:val="19"/>
          <w:szCs w:val="19"/>
          <w:color w:val="auto"/>
        </w:rPr>
        <w:t>Biomarkers can monitor and guide individuals to tailor lifestyle choices to maximize health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avoid the onset of diseases before they develop.</w:t>
      </w:r>
    </w:p>
    <w:p>
      <w:pPr>
        <w:spacing w:after="0" w:line="102" w:lineRule="exact"/>
        <w:rPr>
          <w:sz w:val="20"/>
          <w:szCs w:val="20"/>
          <w:color w:val="auto"/>
        </w:rPr>
      </w:pPr>
    </w:p>
    <w:p>
      <w:pPr>
        <w:ind w:right="140" w:firstLine="349"/>
        <w:spacing w:after="0" w:line="274" w:lineRule="auto"/>
        <w:rPr>
          <w:sz w:val="20"/>
          <w:szCs w:val="20"/>
          <w:color w:val="auto"/>
        </w:rPr>
      </w:pPr>
      <w:r>
        <w:rPr>
          <w:rFonts w:ascii="Times New Roman" w:cs="Times New Roman" w:eastAsia="Times New Roman" w:hAnsi="Times New Roman"/>
          <w:sz w:val="19"/>
          <w:szCs w:val="19"/>
          <w:color w:val="auto"/>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MARKET OPPORTUNITY</w:t>
      </w:r>
    </w:p>
    <w:p>
      <w:pPr>
        <w:spacing w:after="0" w:line="196" w:lineRule="exact"/>
        <w:rPr>
          <w:sz w:val="20"/>
          <w:szCs w:val="20"/>
          <w:color w:val="auto"/>
        </w:rPr>
      </w:pPr>
    </w:p>
    <w:p>
      <w:pPr>
        <w:ind w:right="240" w:firstLine="349"/>
        <w:spacing w:after="0" w:line="268" w:lineRule="auto"/>
        <w:rPr>
          <w:sz w:val="20"/>
          <w:szCs w:val="20"/>
          <w:color w:val="auto"/>
        </w:rPr>
      </w:pPr>
      <w:r>
        <w:rPr>
          <w:rFonts w:ascii="Times New Roman" w:cs="Times New Roman" w:eastAsia="Times New Roman" w:hAnsi="Times New Roman"/>
          <w:sz w:val="19"/>
          <w:szCs w:val="19"/>
          <w:color w:val="auto"/>
        </w:rPr>
        <w:t>We believe that our Nautilus platform has the potential to be uniquely positioned in the proteomics market. In our mission to democratize proteomics, we see initial research applications in precision and personalized medicine, with a natural growth path into clinical diagnostics, as well as in machine-learning powered drug discovery. However, we believe that the opportunity could extend far beyond this.</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880" w:h="15480" w:orient="portrait"/>
          <w:cols w:equalWidth="0" w:num="1">
            <w:col w:w="10480"/>
          </w:cols>
          <w:pgMar w:left="700" w:top="691" w:right="700" w:bottom="0" w:gutter="0" w:footer="0" w:header="0"/>
          <w:type w:val="continuous"/>
        </w:sectPr>
      </w:pPr>
    </w:p>
    <w:bookmarkStart w:id="12" w:name="page13"/>
    <w:bookmarkEnd w:id="12"/>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Market Environment</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At Nautilus, we recognize the need for a radical breakthrough in proteomics.</w:t>
      </w:r>
    </w:p>
    <w:p>
      <w:pPr>
        <w:spacing w:after="0" w:line="189"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Since 2002, global R&amp;D expenditure has increased close to three-fold and is expected to reach approximately $366 billion by 2030 according to EvaluatePharma’s 2024 report. Despite such investments, the number of new drugs approved each year has failed to increase proportionally. It can take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2020 report by the Deloitte Center for Health Solutions.</w:t>
      </w:r>
    </w:p>
    <w:p>
      <w:pPr>
        <w:spacing w:after="0" w:line="136" w:lineRule="exact"/>
        <w:rPr>
          <w:sz w:val="20"/>
          <w:szCs w:val="20"/>
          <w:color w:val="auto"/>
        </w:rPr>
      </w:pPr>
    </w:p>
    <w:p>
      <w:pPr>
        <w:ind w:right="80" w:firstLine="349"/>
        <w:spacing w:after="0" w:line="293" w:lineRule="auto"/>
        <w:rPr>
          <w:sz w:val="20"/>
          <w:szCs w:val="20"/>
          <w:color w:val="auto"/>
        </w:rPr>
      </w:pPr>
      <w:r>
        <w:rPr>
          <w:rFonts w:ascii="Times New Roman" w:cs="Times New Roman" w:eastAsia="Times New Roman" w:hAnsi="Times New Roman"/>
          <w:sz w:val="19"/>
          <w:szCs w:val="19"/>
          <w:color w:val="auto"/>
        </w:rPr>
        <w:t>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107"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180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We believe a breakthrough increase in throughput would enable researchers to more deeply measure large cohorts, thereby powering studies at the scale required to quickly and cost-effectively discover new critically important biomarkers.</w:t>
      </w:r>
    </w:p>
    <w:p>
      <w:pPr>
        <w:spacing w:after="0" w:line="377"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The Missing Piece: The Proteome</w:t>
      </w:r>
    </w:p>
    <w:p>
      <w:pPr>
        <w:spacing w:after="0" w:line="196"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36"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spacing w:after="0" w:line="137"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sectPr>
          <w:pgSz w:w="11880" w:h="15480" w:orient="portrait"/>
          <w:cols w:equalWidth="0" w:num="1">
            <w:col w:w="10460"/>
          </w:cols>
          <w:pgMar w:left="700" w:top="684" w:right="720" w:bottom="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880" w:h="15480" w:orient="portrait"/>
          <w:cols w:equalWidth="0" w:num="1">
            <w:col w:w="10460"/>
          </w:cols>
          <w:pgMar w:left="700" w:top="684" w:right="720" w:bottom="0" w:gutter="0" w:footer="0" w:header="0"/>
          <w:type w:val="continuous"/>
        </w:sectPr>
      </w:pPr>
    </w:p>
    <w:bookmarkStart w:id="13" w:name="page14"/>
    <w:bookmarkEnd w:id="13"/>
    <w:p>
      <w:pPr>
        <w:ind w:right="520" w:firstLine="349"/>
        <w:spacing w:after="0" w:line="293" w:lineRule="auto"/>
        <w:rPr>
          <w:sz w:val="20"/>
          <w:szCs w:val="20"/>
          <w:color w:val="auto"/>
        </w:rPr>
      </w:pPr>
      <w:r>
        <w:rPr>
          <w:rFonts w:ascii="Times New Roman" w:cs="Times New Roman" w:eastAsia="Times New Roman" w:hAnsi="Times New Roman"/>
          <w:sz w:val="19"/>
          <w:szCs w:val="19"/>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106680</wp:posOffset>
            </wp:positionV>
            <wp:extent cx="5768975" cy="3069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5768975" cy="3069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 significant growth phase. We are of the firm belief that every scientist should have access to the proteome, including proteoforms, in the same way that access to the genome has been made broadly available over recent years.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Current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656070" cy="2821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6656070" cy="282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Market Opportunity</w:t>
      </w:r>
    </w:p>
    <w:p>
      <w:pPr>
        <w:spacing w:after="0" w:line="196" w:lineRule="exact"/>
        <w:rPr>
          <w:sz w:val="20"/>
          <w:szCs w:val="20"/>
          <w:color w:val="auto"/>
        </w:rPr>
      </w:pPr>
    </w:p>
    <w:p>
      <w:pPr>
        <w:ind w:right="300" w:firstLine="349"/>
        <w:spacing w:after="0" w:line="293" w:lineRule="auto"/>
        <w:rPr>
          <w:sz w:val="20"/>
          <w:szCs w:val="20"/>
          <w:color w:val="auto"/>
        </w:rPr>
      </w:pPr>
      <w:r>
        <w:rPr>
          <w:rFonts w:ascii="Times New Roman" w:cs="Times New Roman" w:eastAsia="Times New Roman" w:hAnsi="Times New Roman"/>
          <w:sz w:val="19"/>
          <w:szCs w:val="19"/>
          <w:color w:val="auto"/>
        </w:rPr>
        <w:t>Due to the extensive applications and broad potential, we believe that the proteomics market represents one of the largest untapped opportunities in the biological sciences today. According to BCC Research, the global proteomics market was valued at</w:t>
      </w:r>
    </w:p>
    <w:p>
      <w:pPr>
        <w:sectPr>
          <w:pgSz w:w="11880" w:h="15480" w:orient="portrait"/>
          <w:cols w:equalWidth="0" w:num="1">
            <w:col w:w="10340"/>
          </w:cols>
          <w:pgMar w:left="700" w:top="691" w:right="840" w:bottom="0" w:gutter="0" w:footer="0" w:header="0"/>
        </w:sectPr>
      </w:pPr>
    </w:p>
    <w:p>
      <w:pPr>
        <w:spacing w:after="0" w:line="1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12</w:t>
      </w:r>
    </w:p>
    <w:p>
      <w:pPr>
        <w:sectPr>
          <w:pgSz w:w="11880" w:h="15480" w:orient="portrait"/>
          <w:cols w:equalWidth="0" w:num="1">
            <w:col w:w="10340"/>
          </w:cols>
          <w:pgMar w:left="700" w:top="691" w:right="840" w:bottom="0" w:gutter="0" w:footer="0" w:header="0"/>
          <w:type w:val="continuous"/>
        </w:sectPr>
      </w:pPr>
    </w:p>
    <w:bookmarkStart w:id="14" w:name="page15"/>
    <w:bookmarkEnd w:id="14"/>
    <w:p>
      <w:pPr>
        <w:ind w:right="40"/>
        <w:spacing w:after="0" w:line="274" w:lineRule="auto"/>
        <w:rPr>
          <w:sz w:val="20"/>
          <w:szCs w:val="20"/>
          <w:color w:val="auto"/>
        </w:rPr>
      </w:pPr>
      <w:r>
        <w:rPr>
          <w:rFonts w:ascii="Times New Roman" w:cs="Times New Roman" w:eastAsia="Times New Roman" w:hAnsi="Times New Roman"/>
          <w:sz w:val="19"/>
          <w:szCs w:val="19"/>
          <w:color w:val="auto"/>
        </w:rPr>
        <w:t>approximately $27 billion as of 2022. This encompasses only the fraction of the proteomics market that is currently available to us via mass spectrometry and other quantification methods and does not include diagnostics. The overall proteomics market is projected to reach approximately $55 billion in 2027, representing a CAGR of 15% for the five-year period.</w:t>
      </w:r>
    </w:p>
    <w:p>
      <w:pPr>
        <w:spacing w:after="0" w:line="125"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124460</wp:posOffset>
            </wp:positionV>
            <wp:extent cx="5462905" cy="3171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5462905" cy="317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Existing Proteomics Technologies and Shortfalls</w:t>
      </w:r>
    </w:p>
    <w:p>
      <w:pPr>
        <w:spacing w:after="0" w:line="196"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Mass Spectrometry-based Approaches</w:t>
      </w:r>
    </w:p>
    <w:p>
      <w:pPr>
        <w:spacing w:after="0" w:line="191"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ectPr>
          <w:pgSz w:w="11880" w:h="15480" w:orient="portrait"/>
          <w:cols w:equalWidth="0" w:num="1">
            <w:col w:w="10460"/>
          </w:cols>
          <w:pgMar w:left="700" w:top="691" w:right="720" w:bottom="0" w:gutter="0" w:footer="0" w:header="0"/>
          <w:type w:val="continuous"/>
        </w:sectPr>
      </w:pPr>
    </w:p>
    <w:bookmarkStart w:id="15" w:name="page16"/>
    <w:bookmarkEnd w:id="15"/>
    <w:p>
      <w:pPr>
        <w:ind w:right="120"/>
        <w:spacing w:after="0" w:line="268" w:lineRule="auto"/>
        <w:rPr>
          <w:sz w:val="20"/>
          <w:szCs w:val="20"/>
          <w:color w:val="auto"/>
        </w:rPr>
      </w:pPr>
      <w:r>
        <w:rPr>
          <w:rFonts w:ascii="Times New Roman" w:cs="Times New Roman" w:eastAsia="Times New Roman" w:hAnsi="Times New Roman"/>
          <w:sz w:val="19"/>
          <w:szCs w:val="19"/>
          <w:color w:val="auto"/>
        </w:rPr>
        <w:t>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 its importance in biology and drug development, and the proteomics research marketplace is estimated to have over 16,000 installed mass spectrometry systems.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Limitations with Affinity-based Approaches</w:t>
      </w:r>
    </w:p>
    <w:p>
      <w:pPr>
        <w:spacing w:after="0" w:line="191" w:lineRule="exact"/>
        <w:rPr>
          <w:sz w:val="20"/>
          <w:szCs w:val="20"/>
          <w:color w:val="auto"/>
        </w:rPr>
      </w:pPr>
    </w:p>
    <w:p>
      <w:pPr>
        <w:ind w:right="120" w:firstLine="349"/>
        <w:spacing w:after="0" w:line="260" w:lineRule="auto"/>
        <w:rPr>
          <w:sz w:val="20"/>
          <w:szCs w:val="20"/>
          <w:color w:val="auto"/>
        </w:rPr>
      </w:pPr>
      <w:r>
        <w:rPr>
          <w:rFonts w:ascii="Times New Roman" w:cs="Times New Roman" w:eastAsia="Times New Roman" w:hAnsi="Times New Roman"/>
          <w:sz w:val="19"/>
          <w:szCs w:val="19"/>
          <w:color w:val="auto"/>
        </w:rPr>
        <w:t>Where mass spectrometry-based approaches have been widely used for broad scale protein discovery applications, affinity-based approaches have generally been used for targeted protein measurements. Affinity-based protein detection commonly utilizes affinity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reagent for each target. Despite decades of ongoing efforts, there are still nowhere near the number of affinity 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 protein molecule level today.</w:t>
      </w:r>
    </w:p>
    <w:p>
      <w:pPr>
        <w:spacing w:after="0" w:line="130"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9"/>
          <w:szCs w:val="19"/>
          <w:b w:val="1"/>
          <w:bCs w:val="1"/>
          <w:color w:val="auto"/>
        </w:rPr>
        <w:t>THE NAUTILUS APPROACH</w:t>
      </w:r>
    </w:p>
    <w:p>
      <w:pPr>
        <w:spacing w:after="0" w:line="189" w:lineRule="exact"/>
        <w:rPr>
          <w:sz w:val="20"/>
          <w:szCs w:val="20"/>
          <w:color w:val="auto"/>
        </w:rPr>
      </w:pPr>
    </w:p>
    <w:p>
      <w:pPr>
        <w:jc w:val="center"/>
        <w:ind w:right="7900"/>
        <w:spacing w:after="0"/>
        <w:rPr>
          <w:sz w:val="20"/>
          <w:szCs w:val="20"/>
          <w:color w:val="auto"/>
        </w:rPr>
      </w:pPr>
      <w:r>
        <w:rPr>
          <w:rFonts w:ascii="Times New Roman" w:cs="Times New Roman" w:eastAsia="Times New Roman" w:hAnsi="Times New Roman"/>
          <w:sz w:val="19"/>
          <w:szCs w:val="19"/>
          <w:b w:val="1"/>
          <w:bCs w:val="1"/>
          <w:i w:val="1"/>
          <w:iCs w:val="1"/>
          <w:color w:val="auto"/>
        </w:rPr>
        <w:t>Our Guiding Principles</w:t>
      </w:r>
    </w:p>
    <w:p>
      <w:pPr>
        <w:spacing w:after="0" w:line="196"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spacing w:after="0" w:line="131"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 protein 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 a unique architecture and advanced machine learning software, we believe our Nautilus platform has the potential to identify substantially all proteins in a sample from almost any organism.</w:t>
      </w:r>
    </w:p>
    <w:p>
      <w:pPr>
        <w:spacing w:after="0" w:line="136" w:lineRule="exact"/>
        <w:rPr>
          <w:sz w:val="20"/>
          <w:szCs w:val="20"/>
          <w:color w:val="auto"/>
        </w:rPr>
      </w:pPr>
    </w:p>
    <w:p>
      <w:pPr>
        <w:ind w:right="200" w:firstLine="349"/>
        <w:spacing w:after="0" w:line="261" w:lineRule="auto"/>
        <w:rPr>
          <w:sz w:val="20"/>
          <w:szCs w:val="20"/>
          <w:color w:val="auto"/>
        </w:rPr>
      </w:pPr>
      <w:r>
        <w:rPr>
          <w:rFonts w:ascii="Times New Roman" w:cs="Times New Roman" w:eastAsia="Times New Roman" w:hAnsi="Times New Roman"/>
          <w:sz w:val="19"/>
          <w:szCs w:val="19"/>
          <w:color w:val="auto"/>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w:t>
      </w:r>
    </w:p>
    <w:p>
      <w:pPr>
        <w:spacing w:after="0" w:line="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auto"/>
        </w:rPr>
        <w:t>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880" w:h="15480" w:orient="portrait"/>
          <w:cols w:equalWidth="0" w:num="1">
            <w:col w:w="10480"/>
          </w:cols>
          <w:pgMar w:left="700" w:top="691" w:right="700" w:bottom="0" w:gutter="0" w:footer="0" w:header="0"/>
          <w:type w:val="continuous"/>
        </w:sectPr>
      </w:pPr>
    </w:p>
    <w:bookmarkStart w:id="16" w:name="page17"/>
    <w:bookmarkEnd w:id="16"/>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Our Nautilus Platform Design Criteria</w:t>
      </w:r>
    </w:p>
    <w:p>
      <w:pPr>
        <w:spacing w:after="0" w:line="196"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 proteoforms. As such, we designed the Nautilus platform – from the ground up – to accomplish the following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121285</wp:posOffset>
            </wp:positionV>
            <wp:extent cx="4622165" cy="2734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4622165"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0" w:firstLine="349"/>
        <w:spacing w:after="0" w:line="293" w:lineRule="auto"/>
        <w:rPr>
          <w:sz w:val="20"/>
          <w:szCs w:val="20"/>
          <w:color w:val="auto"/>
        </w:rPr>
      </w:pPr>
      <w:r>
        <w:rPr>
          <w:rFonts w:ascii="Times New Roman" w:cs="Times New Roman" w:eastAsia="Times New Roman" w:hAnsi="Times New Roman"/>
          <w:sz w:val="19"/>
          <w:szCs w:val="19"/>
          <w:color w:val="auto"/>
        </w:rPr>
        <w:t>A core design criterion was that the Nautilus platform needed to be comprehensive. One of the largest challenges with existing “shotgun” proteomics technologies is that replicate analyses are likely to sample different subsets of the proteome.</w:t>
      </w:r>
    </w:p>
    <w:p>
      <w:pPr>
        <w:spacing w:after="0" w:line="107" w:lineRule="exact"/>
        <w:rPr>
          <w:sz w:val="20"/>
          <w:szCs w:val="20"/>
          <w:color w:val="auto"/>
        </w:rPr>
      </w:pPr>
    </w:p>
    <w:p>
      <w:pPr>
        <w:jc w:val="both"/>
        <w:ind w:right="100" w:firstLine="349"/>
        <w:spacing w:after="0" w:line="274" w:lineRule="auto"/>
        <w:rPr>
          <w:sz w:val="20"/>
          <w:szCs w:val="20"/>
          <w:color w:val="auto"/>
        </w:rPr>
      </w:pPr>
      <w:r>
        <w:rPr>
          <w:rFonts w:ascii="Times New Roman" w:cs="Times New Roman" w:eastAsia="Times New Roman" w:hAnsi="Times New Roman"/>
          <w:sz w:val="19"/>
          <w:szCs w:val="19"/>
          <w:color w:val="auto"/>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spacing w:after="0" w:line="125" w:lineRule="exact"/>
        <w:rPr>
          <w:sz w:val="20"/>
          <w:szCs w:val="20"/>
          <w:color w:val="auto"/>
        </w:rPr>
      </w:pPr>
    </w:p>
    <w:p>
      <w:pPr>
        <w:ind w:right="680" w:firstLine="349"/>
        <w:spacing w:after="0" w:line="293" w:lineRule="auto"/>
        <w:rPr>
          <w:sz w:val="20"/>
          <w:szCs w:val="20"/>
          <w:color w:val="auto"/>
        </w:rPr>
      </w:pPr>
      <w:r>
        <w:rPr>
          <w:rFonts w:ascii="Times New Roman" w:cs="Times New Roman" w:eastAsia="Times New Roman" w:hAnsi="Times New Roman"/>
          <w:sz w:val="19"/>
          <w:szCs w:val="19"/>
          <w:color w:val="auto"/>
        </w:rPr>
        <w:t>The Nautilus platform was designed to cover a very large dynamic range in a simple workflow in order to scale to the full proteome.</w:t>
      </w:r>
    </w:p>
    <w:p>
      <w:pPr>
        <w:spacing w:after="0" w:line="107" w:lineRule="exact"/>
        <w:rPr>
          <w:sz w:val="20"/>
          <w:szCs w:val="20"/>
          <w:color w:val="auto"/>
        </w:rPr>
      </w:pPr>
    </w:p>
    <w:p>
      <w:pPr>
        <w:ind w:right="1160" w:firstLine="349"/>
        <w:spacing w:after="0" w:line="293" w:lineRule="auto"/>
        <w:rPr>
          <w:sz w:val="20"/>
          <w:szCs w:val="20"/>
          <w:color w:val="auto"/>
        </w:rPr>
      </w:pPr>
      <w:r>
        <w:rPr>
          <w:rFonts w:ascii="Times New Roman" w:cs="Times New Roman" w:eastAsia="Times New Roman" w:hAnsi="Times New Roman"/>
          <w:sz w:val="19"/>
          <w:szCs w:val="19"/>
          <w:color w:val="auto"/>
        </w:rPr>
        <w:t>In addition, the process needed to be reproducible and robust, maximizing the chance that the results derived in one experiment are the same as the results derived in subsequent experiments.</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Importantly, the Nautilus platform needed to be fast and able to analyze tens of thousands of samples in a reasonable time period.</w:t>
      </w:r>
    </w:p>
    <w:p>
      <w:pPr>
        <w:spacing w:after="0" w:line="189" w:lineRule="exact"/>
        <w:rPr>
          <w:sz w:val="20"/>
          <w:szCs w:val="20"/>
          <w:color w:val="auto"/>
        </w:rPr>
      </w:pPr>
    </w:p>
    <w:p>
      <w:pPr>
        <w:ind w:right="320" w:firstLine="349"/>
        <w:spacing w:after="0" w:line="293" w:lineRule="auto"/>
        <w:rPr>
          <w:sz w:val="20"/>
          <w:szCs w:val="20"/>
          <w:color w:val="auto"/>
        </w:rPr>
      </w:pPr>
      <w:r>
        <w:rPr>
          <w:rFonts w:ascii="Times New Roman" w:cs="Times New Roman" w:eastAsia="Times New Roman" w:hAnsi="Times New Roman"/>
          <w:sz w:val="19"/>
          <w:szCs w:val="19"/>
          <w:color w:val="auto"/>
        </w:rPr>
        <w:t>It also needed to be sufficiently easy-to-use so that virtually any lab could benefit from using it, not just labs that are explicitly focused on proteomics or analytical chemistry.</w:t>
      </w:r>
    </w:p>
    <w:p>
      <w:pPr>
        <w:spacing w:after="0" w:line="107" w:lineRule="exact"/>
        <w:rPr>
          <w:sz w:val="20"/>
          <w:szCs w:val="20"/>
          <w:color w:val="auto"/>
        </w:rPr>
      </w:pPr>
    </w:p>
    <w:p>
      <w:pPr>
        <w:ind w:right="160" w:firstLine="349"/>
        <w:spacing w:after="0" w:line="274" w:lineRule="auto"/>
        <w:rPr>
          <w:sz w:val="20"/>
          <w:szCs w:val="20"/>
          <w:color w:val="auto"/>
        </w:rPr>
      </w:pPr>
      <w:r>
        <w:rPr>
          <w:rFonts w:ascii="Times New Roman" w:cs="Times New Roman" w:eastAsia="Times New Roman" w:hAnsi="Times New Roman"/>
          <w:sz w:val="19"/>
          <w:szCs w:val="19"/>
          <w:color w:val="auto"/>
        </w:rPr>
        <w:t>In order to fully support the wide-ranging needs of our future customers, the platform can also support multiple run configurations. Our design accommodates both low throughput and high throughput run configurations, and will also employ in-lane sample multiplexing to enable our customers to meet the high-volume data production needs of large-scale studies or core facilities.</w:t>
      </w:r>
    </w:p>
    <w:p>
      <w:pPr>
        <w:spacing w:after="0" w:line="125" w:lineRule="exact"/>
        <w:rPr>
          <w:sz w:val="20"/>
          <w:szCs w:val="20"/>
          <w:color w:val="auto"/>
        </w:rPr>
      </w:pPr>
    </w:p>
    <w:p>
      <w:pPr>
        <w:ind w:right="200" w:firstLine="349"/>
        <w:spacing w:after="0" w:line="265" w:lineRule="auto"/>
        <w:rPr>
          <w:sz w:val="20"/>
          <w:szCs w:val="20"/>
          <w:color w:val="auto"/>
        </w:rPr>
      </w:pPr>
      <w:r>
        <w:rPr>
          <w:rFonts w:ascii="Times New Roman" w:cs="Times New Roman" w:eastAsia="Times New Roman" w:hAnsi="Times New Roman"/>
          <w:sz w:val="19"/>
          <w:szCs w:val="19"/>
          <w:color w:val="auto"/>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A Single Protein Molecule Flow Cell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The Proteome Analysis System: An Integrated Multi-cycle Optical and Fluidics Instrument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A Novel Class of Affinity Reagent Probes for Efficient Whole Proteome Analysis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Machine Learning Protein Decoding Analytics</w:t>
      </w:r>
    </w:p>
    <w:p>
      <w:pPr>
        <w:sectPr>
          <w:pgSz w:w="11880" w:h="15480" w:orient="portrait"/>
          <w:cols w:equalWidth="0" w:num="1">
            <w:col w:w="10480"/>
          </w:cols>
          <w:pgMar w:left="700" w:top="684"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880" w:h="15480" w:orient="portrait"/>
          <w:cols w:equalWidth="0" w:num="1">
            <w:col w:w="10480"/>
          </w:cols>
          <w:pgMar w:left="700" w:top="684" w:right="700" w:bottom="0" w:gutter="0" w:footer="0" w:header="0"/>
          <w:type w:val="continuous"/>
        </w:sectPr>
      </w:pPr>
    </w:p>
    <w:bookmarkStart w:id="17" w:name="page18"/>
    <w:bookmarkEnd w:id="17"/>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Key Innovations</w:t>
      </w:r>
    </w:p>
    <w:p>
      <w:pPr>
        <w:spacing w:after="0" w:line="189" w:lineRule="exact"/>
        <w:rPr>
          <w:sz w:val="20"/>
          <w:szCs w:val="20"/>
          <w:color w:val="auto"/>
        </w:rPr>
      </w:pPr>
    </w:p>
    <w:p>
      <w:pPr>
        <w:ind w:left="700" w:hanging="352"/>
        <w:spacing w:after="0"/>
        <w:tabs>
          <w:tab w:leader="none" w:pos="700" w:val="left"/>
        </w:tabs>
        <w:numPr>
          <w:ilvl w:val="0"/>
          <w:numId w:val="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Single Protein Molecule Flow Cell</w:t>
      </w:r>
    </w:p>
    <w:p>
      <w:pPr>
        <w:spacing w:after="0" w:line="196"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 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w:t>
      </w:r>
    </w:p>
    <w:p>
      <w:pPr>
        <w:spacing w:after="0" w:line="137"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 protein molecule detection approach would be required to overcome a problem that has long been a barrier to major advancement in the field. Additionally, transitioning from bulk protein measurements to single protein 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 protein molecule counters are by definition the most sensitive detection modalities available.</w:t>
      </w:r>
    </w:p>
    <w:p>
      <w:pPr>
        <w:spacing w:after="0" w:line="137"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To break through these barriers, we have designed our Nautilus platform with a fundamentally different approach: to measure billions of individual protein molecules at a time, in a massively parallel and efficient workflow. Our internal testing has demonstrated that our hyper-dense single-molecule protein nanoarrays contain over 3 billion landing pads per chip.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nanoparticle scaffold which has been created to hold exactly one protein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276860</wp:posOffset>
            </wp:positionV>
            <wp:extent cx="6323330" cy="27476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6323330" cy="274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60" w:firstLine="349"/>
        <w:spacing w:after="0" w:line="263" w:lineRule="auto"/>
        <w:rPr>
          <w:sz w:val="20"/>
          <w:szCs w:val="20"/>
          <w:color w:val="auto"/>
        </w:rPr>
      </w:pPr>
      <w:r>
        <w:rPr>
          <w:rFonts w:ascii="Times New Roman" w:cs="Times New Roman" w:eastAsia="Times New Roman" w:hAnsi="Times New Roman"/>
          <w:sz w:val="19"/>
          <w:szCs w:val="19"/>
          <w:color w:val="auto"/>
        </w:rPr>
        <w:t>These nanoparticle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 protein molecule array (as seen in the above and below illustrations). The attachment between the scaffold and the nanoarray surface is extremely robust, enabling scaffolds to persist through extensive reagent washing across many cycles.</w:t>
      </w:r>
    </w:p>
    <w:p>
      <w:pPr>
        <w:sectPr>
          <w:pgSz w:w="11880" w:h="15480" w:orient="portrait"/>
          <w:cols w:equalWidth="0" w:num="1">
            <w:col w:w="10460"/>
          </w:cols>
          <w:pgMar w:left="700" w:top="68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1880" w:h="15480" w:orient="portrait"/>
          <w:cols w:equalWidth="0" w:num="1">
            <w:col w:w="10460"/>
          </w:cols>
          <w:pgMar w:left="700" w:top="684" w:right="720" w:bottom="0" w:gutter="0" w:footer="0" w:header="0"/>
          <w:type w:val="continuous"/>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9"/>
          <w:szCs w:val="19"/>
          <w:color w:val="auto"/>
        </w:rPr>
        <w:t>Nautilus Single Protein Molecule Flow Cell Designed to Capture One Individual Scaffold-Protein Complex per Landing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158750</wp:posOffset>
            </wp:positionV>
            <wp:extent cx="5925820" cy="2810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5925820" cy="281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As discussed above, our flow cell is designed with the capability to capture up to tens of billions of individual, intact protein molecules. The single protein 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proteome analysis system for the analysis and quantitation of the captured protein library.</w:t>
      </w:r>
    </w:p>
    <w:p>
      <w:pPr>
        <w:spacing w:after="0" w:line="133" w:lineRule="exact"/>
        <w:rPr>
          <w:sz w:val="20"/>
          <w:szCs w:val="20"/>
          <w:color w:val="auto"/>
        </w:rPr>
      </w:pPr>
    </w:p>
    <w:p>
      <w:pPr>
        <w:ind w:right="640" w:firstLine="349"/>
        <w:spacing w:after="0" w:line="293" w:lineRule="auto"/>
        <w:rPr>
          <w:sz w:val="20"/>
          <w:szCs w:val="20"/>
          <w:color w:val="auto"/>
        </w:rPr>
      </w:pPr>
      <w:r>
        <w:rPr>
          <w:rFonts w:ascii="Times New Roman" w:cs="Times New Roman" w:eastAsia="Times New Roman" w:hAnsi="Times New Roman"/>
          <w:sz w:val="19"/>
          <w:szCs w:val="19"/>
          <w:color w:val="auto"/>
        </w:rPr>
        <w:t>Nautilus Single Protein Molecule Flow Cell is Designed at Nanometer-Scale to Cover the Information Density Needed to Measure Approximately 95% of the Human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106680</wp:posOffset>
            </wp:positionV>
            <wp:extent cx="4260215" cy="2840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4260215" cy="284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00" w:hanging="352"/>
        <w:spacing w:after="0"/>
        <w:tabs>
          <w:tab w:leader="none" w:pos="700" w:val="left"/>
        </w:tabs>
        <w:numPr>
          <w:ilvl w:val="0"/>
          <w:numId w:val="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Our Proteome Analysis System: An Integrated Multi-cycle Optical and Fluidics Instrument</w:t>
      </w:r>
    </w:p>
    <w:p>
      <w:pPr>
        <w:spacing w:after="0" w:line="196" w:lineRule="exact"/>
        <w:rPr>
          <w:sz w:val="20"/>
          <w:szCs w:val="20"/>
          <w:color w:val="auto"/>
        </w:rPr>
      </w:pPr>
    </w:p>
    <w:p>
      <w:pPr>
        <w:ind w:right="100" w:firstLine="349"/>
        <w:spacing w:after="0" w:line="264" w:lineRule="auto"/>
        <w:rPr>
          <w:sz w:val="20"/>
          <w:szCs w:val="20"/>
          <w:color w:val="auto"/>
        </w:rPr>
      </w:pPr>
      <w:r>
        <w:rPr>
          <w:rFonts w:ascii="Times New Roman" w:cs="Times New Roman" w:eastAsia="Times New Roman" w:hAnsi="Times New Roman"/>
          <w:sz w:val="19"/>
          <w:szCs w:val="19"/>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approximately 95% of the proteome.</w:t>
      </w:r>
    </w:p>
    <w:p>
      <w:pPr>
        <w:sectPr>
          <w:pgSz w:w="11880" w:h="15480" w:orient="portrait"/>
          <w:cols w:equalWidth="0" w:num="1">
            <w:col w:w="10420"/>
          </w:cols>
          <w:pgMar w:left="700" w:top="69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17</w:t>
      </w:r>
    </w:p>
    <w:p>
      <w:pPr>
        <w:sectPr>
          <w:pgSz w:w="11880" w:h="15480" w:orient="portrait"/>
          <w:cols w:equalWidth="0" w:num="1">
            <w:col w:w="10420"/>
          </w:cols>
          <w:pgMar w:left="700" w:top="691" w:right="760" w:bottom="0" w:gutter="0" w:footer="0" w:header="0"/>
          <w:type w:val="continuous"/>
        </w:sectPr>
      </w:pPr>
    </w:p>
    <w:bookmarkStart w:id="19" w:name="page20"/>
    <w:bookmarkEnd w:id="19"/>
    <w:p>
      <w:pPr>
        <w:ind w:left="340"/>
        <w:spacing w:after="0"/>
        <w:rPr>
          <w:sz w:val="20"/>
          <w:szCs w:val="20"/>
          <w:color w:val="auto"/>
        </w:rPr>
      </w:pPr>
      <w:r>
        <w:rPr>
          <w:rFonts w:ascii="Times New Roman" w:cs="Times New Roman" w:eastAsia="Times New Roman" w:hAnsi="Times New Roman"/>
          <w:sz w:val="19"/>
          <w:szCs w:val="19"/>
          <w:color w:val="auto"/>
        </w:rPr>
        <w:t>Nautilus Platform Multi-Cycle Affinity Reagent Probe Binding, Imaging, Washing, and Re-Binding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158750</wp:posOffset>
            </wp:positionV>
            <wp:extent cx="5690235" cy="3300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5690235" cy="330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firstLine="349"/>
        <w:spacing w:after="0" w:line="262" w:lineRule="auto"/>
        <w:rPr>
          <w:sz w:val="20"/>
          <w:szCs w:val="20"/>
          <w:color w:val="auto"/>
        </w:rPr>
      </w:pPr>
      <w:r>
        <w:rPr>
          <w:rFonts w:ascii="Times New Roman" w:cs="Times New Roman" w:eastAsia="Times New Roman" w:hAnsi="Times New Roman"/>
          <w:sz w:val="19"/>
          <w:szCs w:val="19"/>
          <w:color w:val="auto"/>
        </w:rPr>
        <w:t>To achieve extreme sensitivity and scale, we have designed a novel instrument that integrates reagent fluidics with a sensitive high-resolution optical imaging system to cyclically measure all single protein molecules captured on the flow cell. Our affinity reagent probes are labeled with proprietary fluorescent labels that help improve both the signal-to-noise and speed of our assay chemistry. The instrument introduces labeled affinity reagent probes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w:t>
      </w:r>
    </w:p>
    <w:p>
      <w:pPr>
        <w:spacing w:after="0" w:line="136" w:lineRule="exact"/>
        <w:rPr>
          <w:sz w:val="20"/>
          <w:szCs w:val="20"/>
          <w:color w:val="auto"/>
        </w:rPr>
      </w:pPr>
    </w:p>
    <w:p>
      <w:pPr>
        <w:ind w:right="20" w:firstLine="349"/>
        <w:spacing w:after="0" w:line="267" w:lineRule="auto"/>
        <w:rPr>
          <w:sz w:val="20"/>
          <w:szCs w:val="20"/>
          <w:color w:val="auto"/>
        </w:rPr>
      </w:pPr>
      <w:r>
        <w:rPr>
          <w:rFonts w:ascii="Times New Roman" w:cs="Times New Roman" w:eastAsia="Times New Roman" w:hAnsi="Times New Roman"/>
          <w:sz w:val="19"/>
          <w:szCs w:val="19"/>
          <w:color w:val="auto"/>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full scale proteome run will generate approximately 35 terabytes of data, which is then compressed to a digital binding matrix for downstream analysis by our cloud-based software-as-a-service, SaaS, analytics suite.</w:t>
      </w:r>
    </w:p>
    <w:p>
      <w:pPr>
        <w:spacing w:after="0" w:line="360" w:lineRule="exact"/>
        <w:rPr>
          <w:sz w:val="20"/>
          <w:szCs w:val="20"/>
          <w:color w:val="auto"/>
        </w:rPr>
      </w:pPr>
    </w:p>
    <w:p>
      <w:pPr>
        <w:ind w:right="240" w:firstLine="348"/>
        <w:spacing w:after="0" w:line="298" w:lineRule="auto"/>
        <w:tabs>
          <w:tab w:leader="none" w:pos="699" w:val="left"/>
        </w:tabs>
        <w:numPr>
          <w:ilvl w:val="0"/>
          <w:numId w:val="1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Multi-Cycle Binding and Detection using Affinity Reagent Probes Enables an Entirely New Way to Detect Proteins and their Modifications</w:t>
      </w:r>
    </w:p>
    <w:p>
      <w:pPr>
        <w:spacing w:after="0" w:line="105" w:lineRule="exact"/>
        <w:rPr>
          <w:sz w:val="20"/>
          <w:szCs w:val="20"/>
          <w:color w:val="auto"/>
        </w:rPr>
      </w:pPr>
    </w:p>
    <w:p>
      <w:pPr>
        <w:ind w:right="80" w:firstLine="349"/>
        <w:spacing w:after="0" w:line="264" w:lineRule="auto"/>
        <w:rPr>
          <w:sz w:val="20"/>
          <w:szCs w:val="20"/>
          <w:color w:val="auto"/>
        </w:rPr>
      </w:pPr>
      <w:r>
        <w:rPr>
          <w:rFonts w:ascii="Times New Roman" w:cs="Times New Roman" w:eastAsia="Times New Roman" w:hAnsi="Times New Roman"/>
          <w:sz w:val="19"/>
          <w:szCs w:val="19"/>
          <w:color w:val="auto"/>
        </w:rPr>
        <w:t>Our Nautilus platform technology is designed with fundamentally different principles of how to use and exploit the properties of affinity reagents compared to prior methods. Historically, affinity reagents have 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higher specificity affinity reagents are commonly used for bulk measurements, and are typically only used for one single bulk measurement event (or cycle) and then discarded.</w:t>
      </w:r>
    </w:p>
    <w:p>
      <w:pPr>
        <w:spacing w:after="0" w:line="371"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By using these same high specificity reagents in our multi-cycle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 Using affinity reagent probes that target very specific locations and features of proteins will allow the Nautilus platform to detect and quantify the different patterns and varieties of post-translational modifications (i.e. the proteoforms).</w:t>
      </w:r>
    </w:p>
    <w:p>
      <w:pPr>
        <w:spacing w:after="0" w:line="136"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In a highly innovative and counterintuitive way, our Nautilus platform has also been designed to exploit low specificity affinity reagents. Identifying the tens-of-thousands of different proteins in a proteome would require a prohibitively large number of traditional highly specific affinity reagents. We therefore explored the possibility of using affinity reagents that bind short, linear epitopes (e.g., target protein sequences of 3-4 amino acids each) with moderate specificity, such that each affinity binding reagent probes and binds</w:t>
      </w:r>
    </w:p>
    <w:p>
      <w:pPr>
        <w:sectPr>
          <w:pgSz w:w="11880" w:h="15480" w:orient="portrait"/>
          <w:cols w:equalWidth="0" w:num="1">
            <w:col w:w="10480"/>
          </w:cols>
          <w:pgMar w:left="700" w:top="691" w:right="700" w:bottom="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880" w:h="15480" w:orient="portrait"/>
          <w:cols w:equalWidth="0" w:num="1">
            <w:col w:w="10480"/>
          </w:cols>
          <w:pgMar w:left="700" w:top="691" w:right="700" w:bottom="0" w:gutter="0" w:footer="0" w:header="0"/>
          <w:type w:val="continuous"/>
        </w:sectPr>
      </w:pPr>
    </w:p>
    <w:bookmarkStart w:id="20" w:name="page21"/>
    <w:bookmarkEnd w:id="20"/>
    <w:p>
      <w:pPr>
        <w:ind w:right="120"/>
        <w:spacing w:after="0" w:line="261" w:lineRule="auto"/>
        <w:rPr>
          <w:sz w:val="20"/>
          <w:szCs w:val="20"/>
          <w:color w:val="auto"/>
        </w:rPr>
      </w:pPr>
      <w:r>
        <w:rPr>
          <w:rFonts w:ascii="Times New Roman" w:cs="Times New Roman" w:eastAsia="Times New Roman" w:hAnsi="Times New Roman"/>
          <w:sz w:val="19"/>
          <w:szCs w:val="19"/>
          <w:color w:val="auto"/>
        </w:rPr>
        <w:t>to many different proteins that contain the short linear epitope target, each we describe as a “multi-affinity reagent probe”. While the binding of a single multi-affinity reagent probe is not sufficient to identify a given protein, sequential binding events using a series of multi-affinity reagent probes can create enough information that it is sufficiently powerful to accurately identify an exceptionally broad number of proteins present in a sample. In this approach, each new multi-affinity reagent probe that is introduced in a cycle of binding and imaging provides additional evidence and gradually narrows the list of possible protein identities. Hereafter, we refer to this approach as Protein Identification by Short-epitope Mapping (PrISM). Our Nautilus platform technology is estimated to achieve the detection of the vast majority of proteins in the proteome using a combination of approximately 300 unique multi-affinity reagent probes.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Nautilus Platform Technology Protein Identification with Increasing Multi-Affinity Reagent Probe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158750</wp:posOffset>
            </wp:positionV>
            <wp:extent cx="5857240" cy="2850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5857240" cy="285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349"/>
        <w:spacing w:after="0" w:line="295" w:lineRule="auto"/>
        <w:rPr>
          <w:sz w:val="20"/>
          <w:szCs w:val="20"/>
          <w:color w:val="auto"/>
        </w:rPr>
      </w:pPr>
      <w:r>
        <w:rPr>
          <w:rFonts w:ascii="Times New Roman" w:cs="Times New Roman" w:eastAsia="Times New Roman" w:hAnsi="Times New Roman"/>
          <w:sz w:val="19"/>
          <w:szCs w:val="19"/>
          <w:b w:val="1"/>
          <w:bCs w:val="1"/>
          <w:i w:val="1"/>
          <w:iCs w:val="1"/>
          <w:color w:val="auto"/>
        </w:rPr>
        <w:t>Source: A theoretical framework for proteome-scale single-molecule protein identification using multi-affinity protein binding reagents. Jarrett D. Egertson, Dan DiPasquo, Alana Killeen, Vadim Lobanov, Sujal Patel, Parag Mallick bioRxiv 2021.10.11.463967.</w:t>
      </w:r>
    </w:p>
    <w:p>
      <w:pPr>
        <w:spacing w:after="0" w:line="98" w:lineRule="exact"/>
        <w:rPr>
          <w:sz w:val="20"/>
          <w:szCs w:val="20"/>
          <w:color w:val="auto"/>
        </w:rPr>
      </w:pPr>
    </w:p>
    <w:p>
      <w:pPr>
        <w:ind w:left="700" w:hanging="352"/>
        <w:spacing w:after="0"/>
        <w:tabs>
          <w:tab w:leader="none" w:pos="700" w:val="left"/>
        </w:tabs>
        <w:numPr>
          <w:ilvl w:val="0"/>
          <w:numId w:val="1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Machine Learning Protein Identification Software</w:t>
      </w:r>
    </w:p>
    <w:p>
      <w:pPr>
        <w:spacing w:after="0" w:line="196" w:lineRule="exact"/>
        <w:rPr>
          <w:sz w:val="20"/>
          <w:szCs w:val="20"/>
          <w:color w:val="auto"/>
        </w:rPr>
      </w:pPr>
    </w:p>
    <w:p>
      <w:pPr>
        <w:ind w:right="120" w:firstLine="349"/>
        <w:spacing w:after="0" w:line="260" w:lineRule="auto"/>
        <w:rPr>
          <w:sz w:val="20"/>
          <w:szCs w:val="20"/>
          <w:color w:val="auto"/>
        </w:rPr>
      </w:pPr>
      <w:r>
        <w:rPr>
          <w:rFonts w:ascii="Times New Roman" w:cs="Times New Roman" w:eastAsia="Times New Roman" w:hAnsi="Times New Roman"/>
          <w:sz w:val="19"/>
          <w:szCs w:val="19"/>
          <w:color w:val="auto"/>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affinity reagent probes can be used in our system to identify, and thereby quantify, each protein from a single binding and imaging step. These high specificity affinity reagent probes can provide a lot of information about a small number of proteins, and as such it would take an exceedingly large number of highly specific affinity reagent probes and therefore an exceedingly large number of cycles to measure every protein in the proteome. To enable broad protein identification on our system, we instead use our multi-affinity reagent probes that can bind to hundreds or even thousands of individual proteins in a given cycle. Protein identification and quantification can be extended to proteoform-resolution by incorporating high specificity affinity reagent probes against protein targets of interest.</w:t>
      </w:r>
    </w:p>
    <w:p>
      <w:pPr>
        <w:spacing w:after="0" w:line="141"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Our proprietary algorithm is thereby trained using experimental data from our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reagent probe binding events to uniquely identify a protein. Prior to 15 cycles, there is a lot of variability in which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ectPr>
          <w:pgSz w:w="11880" w:h="15480" w:orient="portrait"/>
          <w:cols w:equalWidth="0" w:num="1">
            <w:col w:w="10460"/>
          </w:cols>
          <w:pgMar w:left="700" w:top="691" w:right="720" w:bottom="0" w:gutter="0" w:footer="0" w:header="0"/>
          <w:type w:val="continuous"/>
        </w:sectPr>
      </w:pPr>
    </w:p>
    <w:bookmarkStart w:id="21" w:name="page22"/>
    <w:bookmarkEnd w:id="21"/>
    <w:p>
      <w:pPr>
        <w:ind w:firstLine="349"/>
        <w:spacing w:after="0" w:line="293" w:lineRule="auto"/>
        <w:rPr>
          <w:sz w:val="20"/>
          <w:szCs w:val="20"/>
          <w:color w:val="auto"/>
        </w:rPr>
      </w:pPr>
      <w:r>
        <w:rPr>
          <w:rFonts w:ascii="Times New Roman" w:cs="Times New Roman" w:eastAsia="Times New Roman" w:hAnsi="Times New Roman"/>
          <w:sz w:val="19"/>
          <w:szCs w:val="19"/>
          <w:color w:val="auto"/>
        </w:rPr>
        <w:t>Nautilus Platform Technology Can Identify a Protein by Analyzing Data from Multiple Cycles of Affinity Reagent Probe Binding Event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106680</wp:posOffset>
            </wp:positionV>
            <wp:extent cx="6212840" cy="3289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6212840" cy="3289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Source: Internal Data</w:t>
      </w:r>
    </w:p>
    <w:p>
      <w:pPr>
        <w:spacing w:after="0" w:line="191"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The machine learning protein identification analysis is run for each of the 10 billion protein molecules captured across three flow cells in parallel to identify each protein molecule present. Following this, identifications are coalesced to infer an estimate of the quantity of each protein. As the algorithm learns more and more about each affinity reagent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Our Technology Workflow</w:t>
      </w:r>
    </w:p>
    <w:p>
      <w:pPr>
        <w:spacing w:after="0" w:line="196" w:lineRule="exact"/>
        <w:rPr>
          <w:sz w:val="20"/>
          <w:szCs w:val="20"/>
          <w:color w:val="auto"/>
        </w:rPr>
      </w:pPr>
    </w:p>
    <w:p>
      <w:pPr>
        <w:ind w:right="140" w:firstLine="349"/>
        <w:spacing w:after="0" w:line="265" w:lineRule="auto"/>
        <w:rPr>
          <w:sz w:val="20"/>
          <w:szCs w:val="20"/>
          <w:color w:val="auto"/>
        </w:rPr>
      </w:pPr>
      <w:r>
        <w:rPr>
          <w:rFonts w:ascii="Times New Roman" w:cs="Times New Roman" w:eastAsia="Times New Roman" w:hAnsi="Times New Roman"/>
          <w:sz w:val="19"/>
          <w:szCs w:val="19"/>
          <w:color w:val="auto"/>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spacing w:after="0" w:line="133" w:lineRule="exact"/>
        <w:rPr>
          <w:sz w:val="20"/>
          <w:szCs w:val="20"/>
          <w:color w:val="auto"/>
        </w:rPr>
      </w:pPr>
    </w:p>
    <w:p>
      <w:pPr>
        <w:ind w:right="360" w:firstLine="349"/>
        <w:spacing w:after="0" w:line="293" w:lineRule="auto"/>
        <w:rPr>
          <w:sz w:val="20"/>
          <w:szCs w:val="20"/>
          <w:color w:val="auto"/>
        </w:rPr>
      </w:pPr>
      <w:r>
        <w:rPr>
          <w:rFonts w:ascii="Times New Roman" w:cs="Times New Roman" w:eastAsia="Times New Roman" w:hAnsi="Times New Roman"/>
          <w:sz w:val="19"/>
          <w:szCs w:val="19"/>
          <w:color w:val="auto"/>
        </w:rPr>
        <w:t>The Nautilus workflow is designed to consist of five major steps, beginning with sample preparation and concluding with the machine learning analytics that yields high-value proteomic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106680</wp:posOffset>
            </wp:positionV>
            <wp:extent cx="6323330" cy="1929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6323330" cy="1929765"/>
                    </a:xfrm>
                    <a:prstGeom prst="rect">
                      <a:avLst/>
                    </a:prstGeom>
                    <a:noFill/>
                  </pic:spPr>
                </pic:pic>
              </a:graphicData>
            </a:graphic>
          </wp:anchor>
        </w:drawing>
      </w:r>
    </w:p>
    <w:p>
      <w:pPr>
        <w:sectPr>
          <w:pgSz w:w="11880" w:h="15480" w:orient="portrait"/>
          <w:cols w:equalWidth="0" w:num="1">
            <w:col w:w="10440"/>
          </w:cols>
          <w:pgMar w:left="700" w:top="69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ectPr>
          <w:pgSz w:w="11880" w:h="15480" w:orient="portrait"/>
          <w:cols w:equalWidth="0" w:num="1">
            <w:col w:w="10440"/>
          </w:cols>
          <w:pgMar w:left="700" w:top="691" w:right="740" w:bottom="0" w:gutter="0" w:footer="0" w:header="0"/>
          <w:type w:val="continuous"/>
        </w:sectPr>
      </w:pPr>
    </w:p>
    <w:bookmarkStart w:id="22" w:name="page23"/>
    <w:bookmarkEnd w:id="22"/>
    <w:p>
      <w:pPr>
        <w:ind w:left="700" w:hanging="352"/>
        <w:spacing w:after="0"/>
        <w:tabs>
          <w:tab w:leader="none" w:pos="700" w:val="left"/>
        </w:tabs>
        <w:numPr>
          <w:ilvl w:val="0"/>
          <w:numId w:val="1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Step 1 – Sample Preparation</w:t>
      </w:r>
    </w:p>
    <w:p>
      <w:pPr>
        <w:spacing w:after="0" w:line="196"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auto"/>
        </w:rPr>
        <w:t>The Nautilus sample preparation process attaches a label to extracted proteins and then attaches them to a proprietary scaffold to isolate them individually, thereby creating a library of single protein molecules. This process was designed to be simple, robust, and rapid. Internal tests demonstrate that substantially all of the proteins are attached to the scaffold during the library preparation process, which requires minimal hands-on time over a 2-day protocol.</w:t>
      </w:r>
    </w:p>
    <w:p>
      <w:pPr>
        <w:spacing w:after="0" w:line="124" w:lineRule="exact"/>
        <w:rPr>
          <w:sz w:val="20"/>
          <w:szCs w:val="20"/>
          <w:color w:val="auto"/>
        </w:rPr>
      </w:pPr>
    </w:p>
    <w:p>
      <w:pPr>
        <w:ind w:left="700" w:hanging="352"/>
        <w:spacing w:after="0"/>
        <w:tabs>
          <w:tab w:leader="none" w:pos="700" w:val="left"/>
        </w:tabs>
        <w:numPr>
          <w:ilvl w:val="0"/>
          <w:numId w:val="1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Step 2 – Sample Deposition onto the Flow Cell</w:t>
      </w:r>
    </w:p>
    <w:p>
      <w:pPr>
        <w:spacing w:after="0" w:line="196"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auto"/>
        </w:rPr>
        <w:t>The protein library is then deposited onto the three flow cells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w:t>
      </w:r>
    </w:p>
    <w:p>
      <w:pPr>
        <w:spacing w:after="0" w:line="124" w:lineRule="exact"/>
        <w:rPr>
          <w:sz w:val="20"/>
          <w:szCs w:val="20"/>
          <w:color w:val="auto"/>
        </w:rPr>
      </w:pPr>
    </w:p>
    <w:p>
      <w:pPr>
        <w:ind w:left="700" w:hanging="352"/>
        <w:spacing w:after="0"/>
        <w:tabs>
          <w:tab w:leader="none" w:pos="700" w:val="left"/>
        </w:tabs>
        <w:numPr>
          <w:ilvl w:val="0"/>
          <w:numId w:val="1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Step 3 – Integrated Imaging and Fluidics System Processing Multiple Cycles of Affinity Reagent Probes</w:t>
      </w:r>
    </w:p>
    <w:p>
      <w:pPr>
        <w:spacing w:after="0" w:line="196"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Following protein library deposition, the proteome analysis system then initiates the multi-cycle interrogation of each single-molecule bound to the surface of the flow cell. This process entails introducing fluorescent dye labeled affinity reagent probes into the flow cell, rinsing out the unbound fraction, imaging the surface area, and then stripping and washing the affinity reagent probes away. This entire process is then repeated sequentially to collect data on the desired number of cycles in the system run, where each cycle is a unique batch of affinity reagent probes intended to identify a set of targets.</w:t>
      </w:r>
    </w:p>
    <w:p>
      <w:pPr>
        <w:spacing w:after="0" w:line="126" w:lineRule="exact"/>
        <w:rPr>
          <w:sz w:val="20"/>
          <w:szCs w:val="20"/>
          <w:color w:val="auto"/>
        </w:rPr>
      </w:pPr>
    </w:p>
    <w:p>
      <w:pPr>
        <w:ind w:left="700" w:hanging="352"/>
        <w:spacing w:after="0"/>
        <w:tabs>
          <w:tab w:leader="none" w:pos="700" w:val="left"/>
        </w:tabs>
        <w:numPr>
          <w:ilvl w:val="0"/>
          <w:numId w:val="1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Step 4 – Processing of Digitalized Proteomic Data</w:t>
      </w:r>
    </w:p>
    <w:p>
      <w:pPr>
        <w:spacing w:after="0" w:line="196" w:lineRule="exact"/>
        <w:rPr>
          <w:sz w:val="20"/>
          <w:szCs w:val="20"/>
          <w:color w:val="auto"/>
        </w:rPr>
      </w:pPr>
    </w:p>
    <w:p>
      <w:pPr>
        <w:ind w:right="100" w:firstLine="349"/>
        <w:spacing w:after="0" w:line="274" w:lineRule="auto"/>
        <w:rPr>
          <w:sz w:val="20"/>
          <w:szCs w:val="20"/>
          <w:color w:val="auto"/>
        </w:rPr>
      </w:pPr>
      <w:r>
        <w:rPr>
          <w:rFonts w:ascii="Times New Roman" w:cs="Times New Roman" w:eastAsia="Times New Roman" w:hAnsi="Times New Roman"/>
          <w:sz w:val="19"/>
          <w:szCs w:val="19"/>
          <w:color w:val="auto"/>
        </w:rPr>
        <w:t>After the proteins on the flow cell have been iteratively imaged over the determined number of cycles, the resulting raw images are converted into a coordinate map with corresponding illumination signals indicating positive affinity reagent probe binding events, effectively digitizing up to approximately 35 terabytes of raw image analyzed proteomic data.</w:t>
      </w:r>
    </w:p>
    <w:p>
      <w:pPr>
        <w:spacing w:after="0" w:line="118" w:lineRule="exact"/>
        <w:rPr>
          <w:sz w:val="20"/>
          <w:szCs w:val="20"/>
          <w:color w:val="auto"/>
        </w:rPr>
      </w:pPr>
    </w:p>
    <w:p>
      <w:pPr>
        <w:ind w:left="700" w:hanging="352"/>
        <w:spacing w:after="0"/>
        <w:tabs>
          <w:tab w:leader="none" w:pos="700" w:val="left"/>
        </w:tabs>
        <w:numPr>
          <w:ilvl w:val="0"/>
          <w:numId w:val="1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Step 5 – Machine Learning Analytics - Decoding, Protein Identification, and Quantity</w:t>
      </w:r>
    </w:p>
    <w:p>
      <w:pPr>
        <w:spacing w:after="0" w:line="196" w:lineRule="exact"/>
        <w:rPr>
          <w:sz w:val="20"/>
          <w:szCs w:val="20"/>
          <w:color w:val="auto"/>
        </w:rPr>
      </w:pPr>
    </w:p>
    <w:p>
      <w:pPr>
        <w:jc w:val="both"/>
        <w:ind w:firstLine="349"/>
        <w:spacing w:after="0" w:line="274" w:lineRule="auto"/>
        <w:rPr>
          <w:sz w:val="20"/>
          <w:szCs w:val="20"/>
          <w:color w:val="auto"/>
        </w:rPr>
      </w:pPr>
      <w:r>
        <w:rPr>
          <w:rFonts w:ascii="Times New Roman" w:cs="Times New Roman" w:eastAsia="Times New Roman" w:hAnsi="Times New Roman"/>
          <w:sz w:val="19"/>
          <w:szCs w:val="19"/>
          <w:color w:val="auto"/>
        </w:rPr>
        <w:t>In the final step of the workflow, the digital proteomic data is analyzed by our cloud-based machine learning protein identification analysis software. The data is converted to protein identities during this analysis, evaluating the characteristics of each affinity reagent probe binding event at each location to determine protein identity and quantity.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Nautilus Platform Technology Performance</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Simple and Robust Sample Handling</w:t>
      </w:r>
    </w:p>
    <w:p>
      <w:pPr>
        <w:spacing w:after="0" w:line="191"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Nautilus’ straightforward sample protein library preparation is designed to convert protein samples into a format optimized for single-molecule deposition on our flow cell. The process has been designed to be accessible to virtually any life sciences researcher. In addition, the protocol is highly compatible with standard lab automation equipment and workflows, which is expected to further minimize the effort required while increasing laboratory processing throughput. Also, unlike existing shotgun proteomics methods, no sample protein digestion is required in our method which in turn makes the workflow very simple. The result is a process that is expected to effectively prepare a sample into a library ready to load on the flow cell with minimal hands-on time completed over a 2 day period.</w:t>
      </w:r>
    </w:p>
    <w:p>
      <w:pPr>
        <w:spacing w:after="0" w:line="374"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A key feature of our Nautilus platform is the large scale (up to billions) of protein molecules that we believe can be measured massively in parallel on our single-molecule flow cells. An analysis of nearly 1,000 flow cells showed typical sample loading of nanoparticle scaffold libraries yielded near complete flow cell occupancy, which demonstrates the speed and efficiency of our sample handling process.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Nautilus Platform Stability in Multi-Cycle Experiments</w:t>
      </w:r>
    </w:p>
    <w:p>
      <w:pPr>
        <w:spacing w:after="0" w:line="196"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proteome analysis system run. In our studies evaluating stability over numerous cycles, we observed substantially less than 1% of proteins were lost from the flow cell. To examine both the effectiveness of our wash buffer and the ability of proteins to be probed after being washed, we first examined the detection ability of the protein on a first cycle. We next demonstrated that our wash buffer successfully eliminated remaining signal. Last, we demonstrated that after extended exposure to washing, and rinsing, that the protein detection remained nearly identical to the initial measurement. These results suggest that our wash conditions are highly effective and that our</w:t>
      </w:r>
    </w:p>
    <w:p>
      <w:pPr>
        <w:sectPr>
          <w:pgSz w:w="11880" w:h="15480" w:orient="portrait"/>
          <w:cols w:equalWidth="0" w:num="1">
            <w:col w:w="10460"/>
          </w:cols>
          <w:pgMar w:left="700" w:top="68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ectPr>
          <w:pgSz w:w="11880" w:h="15480" w:orient="portrait"/>
          <w:cols w:equalWidth="0" w:num="1">
            <w:col w:w="10460"/>
          </w:cols>
          <w:pgMar w:left="700" w:top="684" w:right="720" w:bottom="0" w:gutter="0" w:footer="0" w:header="0"/>
          <w:type w:val="continuous"/>
        </w:sectPr>
      </w:pPr>
    </w:p>
    <w:bookmarkStart w:id="23" w:name="page24"/>
    <w:bookmarkEnd w:id="23"/>
    <w:p>
      <w:pPr>
        <w:ind w:right="360"/>
        <w:spacing w:after="0" w:line="293" w:lineRule="auto"/>
        <w:rPr>
          <w:sz w:val="20"/>
          <w:szCs w:val="20"/>
          <w:color w:val="auto"/>
        </w:rPr>
      </w:pPr>
      <w:r>
        <w:rPr>
          <w:rFonts w:ascii="Times New Roman" w:cs="Times New Roman" w:eastAsia="Times New Roman" w:hAnsi="Times New Roman"/>
          <w:sz w:val="19"/>
          <w:szCs w:val="19"/>
          <w:color w:val="auto"/>
        </w:rPr>
        <w:t>process of reagent cycling does not significantly damage the protein and thereby interfere with the probability of its measurement accuracy.</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Protein Library Remains Bound to Flow Cell During Repetitive Affinity Reagent Probe Binding and Wash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158750</wp:posOffset>
            </wp:positionV>
            <wp:extent cx="6035040" cy="3042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6035040" cy="304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Nautilus Platform Sensitivity</w:t>
      </w:r>
    </w:p>
    <w:p>
      <w:pPr>
        <w:spacing w:after="0" w:line="196"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Our Nautilus platform is designed both to be extremely sensitive (by virtue of being a single protein molecule platform) and to have an extremely wide dynamic range of detection (by virtue of measuring a very large number of molecules). In single protein 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We are also able to use this sensitivity in flexible way, for example we can perform an extremely deep analysis of a single protein library sample across all lanes of a flow cell, or we can perform a multiplexed analysis by processing a batch of samples together (each sample protein library individually barcoded) during one proteome analysis system run.</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Development and Characterization of Multi-Affinity Reagent Probes</w:t>
      </w:r>
    </w:p>
    <w:p>
      <w:pPr>
        <w:spacing w:after="0" w:line="19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Multi-affinity reagent probe discovery and development pipelines have been built that generate multi-affinity reagent probe candidates that target short peptides, typically three amino acids in length. These pipelines employ multiple candidate discovery methods to identify and select antibody, antibody fragment, or nucleic acid based candidate multi-affinity reagent probes. Promising candidates are further screened in assays to determine EC50 values off-platform (example results for two candidate multi-affinity reagent probes shown below), and then leads are evaluated in detail for their performance on the Nautilus proteome analysis platform.</w:t>
      </w:r>
    </w:p>
    <w:p>
      <w:pPr>
        <w:sectPr>
          <w:pgSz w:w="11880" w:h="15480" w:orient="portrait"/>
          <w:cols w:equalWidth="0" w:num="1">
            <w:col w:w="10400"/>
          </w:cols>
          <w:pgMar w:left="700" w:top="69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22</w:t>
      </w:r>
    </w:p>
    <w:p>
      <w:pPr>
        <w:sectPr>
          <w:pgSz w:w="11880" w:h="15480" w:orient="portrait"/>
          <w:cols w:equalWidth="0" w:num="1">
            <w:col w:w="10400"/>
          </w:cols>
          <w:pgMar w:left="700" w:top="691" w:right="780" w:bottom="0" w:gutter="0" w:footer="0" w:header="0"/>
          <w:type w:val="continuous"/>
        </w:sectPr>
      </w:pPr>
    </w:p>
    <w:bookmarkStart w:id="24" w:name="page25"/>
    <w:bookmarkEnd w:id="24"/>
    <w:p>
      <w:pPr>
        <w:ind w:left="340"/>
        <w:spacing w:after="0"/>
        <w:rPr>
          <w:sz w:val="20"/>
          <w:szCs w:val="20"/>
          <w:color w:val="auto"/>
        </w:rPr>
      </w:pPr>
      <w:r>
        <w:rPr>
          <w:rFonts w:ascii="Times New Roman" w:cs="Times New Roman" w:eastAsia="Times New Roman" w:hAnsi="Times New Roman"/>
          <w:sz w:val="19"/>
          <w:szCs w:val="19"/>
          <w:color w:val="auto"/>
        </w:rPr>
        <w:t>Multi-Affinity Reagent Probe Discovery and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158750</wp:posOffset>
            </wp:positionV>
            <wp:extent cx="6101715" cy="4792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6101715" cy="4792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Mapping Proteoforms</w:t>
      </w:r>
    </w:p>
    <w:p>
      <w:pPr>
        <w:spacing w:after="0" w:line="196"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 protein 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sectPr>
          <w:pgSz w:w="11880" w:h="15480" w:orient="portrait"/>
          <w:cols w:equalWidth="0" w:num="1">
            <w:col w:w="10420"/>
          </w:cols>
          <w:pgMar w:left="700" w:top="69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23</w:t>
      </w:r>
    </w:p>
    <w:p>
      <w:pPr>
        <w:sectPr>
          <w:pgSz w:w="11880" w:h="15480" w:orient="portrait"/>
          <w:cols w:equalWidth="0" w:num="1">
            <w:col w:w="10420"/>
          </w:cols>
          <w:pgMar w:left="700" w:top="691" w:right="760" w:bottom="0" w:gutter="0" w:footer="0" w:header="0"/>
          <w:type w:val="continuous"/>
        </w:sectPr>
      </w:pPr>
    </w:p>
    <w:bookmarkStart w:id="25" w:name="page26"/>
    <w:bookmarkEnd w:id="25"/>
    <w:p>
      <w:pPr>
        <w:ind w:left="340"/>
        <w:spacing w:after="0"/>
        <w:rPr>
          <w:sz w:val="20"/>
          <w:szCs w:val="20"/>
          <w:color w:val="auto"/>
        </w:rPr>
      </w:pPr>
      <w:r>
        <w:rPr>
          <w:rFonts w:ascii="Times New Roman" w:cs="Times New Roman" w:eastAsia="Times New Roman" w:hAnsi="Times New Roman"/>
          <w:sz w:val="19"/>
          <w:szCs w:val="19"/>
          <w:color w:val="auto"/>
        </w:rPr>
        <w:t>The Nautilus Platform Detection of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158750</wp:posOffset>
            </wp:positionV>
            <wp:extent cx="6323330" cy="2598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6323330"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On our Nautilus platform, we are able to use existing commercially available affinity reagents to perform detailed mapping of proteoform patterns at the single protein molecule level. We do this by measuring individual proteins at each specific post-translational modification site over multiple cycles, each cycle targeting a different specific site or feature of the protein. Illustrating this concept in the diagram below, during the first cycle we use an anti Tau affinity reagent probe to identify all of the Tau proteins present on the flow cell. Then over the next 4 cycles we detect each Tau molecule again, only now with a slightly different affinity reagent probe that targets a different isoform or phosphorylation modification on the Tau protein. In this simple workflow using only 4 position-specific Tau affinity reagent probes, our technology is able to distinguish up to 16 different proteoforms (4 position-specific targets = 2</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9"/>
          <w:szCs w:val="19"/>
          <w:color w:val="auto"/>
        </w:rPr>
        <w:t xml:space="preserve"> possible forms of Tau based on variation in protein length or site phosphorylation status).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Workflow for the Detection of Tau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158750</wp:posOffset>
            </wp:positionV>
            <wp:extent cx="6101715" cy="3449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6101715" cy="3449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The protein counts in the image above are for illustration purposes only.</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ectPr>
          <w:pgSz w:w="11880" w:h="15480" w:orient="portrait"/>
          <w:cols w:equalWidth="0" w:num="1">
            <w:col w:w="10460"/>
          </w:cols>
          <w:pgMar w:left="700" w:top="691" w:right="72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9"/>
          <w:szCs w:val="19"/>
          <w:b w:val="1"/>
          <w:bCs w:val="1"/>
          <w:color w:val="auto"/>
        </w:rPr>
        <w:t>Nautilus Platform Development Plan Key Areas of Focus</w:t>
      </w:r>
    </w:p>
    <w:p>
      <w:pPr>
        <w:spacing w:after="0" w:line="196" w:lineRule="exact"/>
        <w:rPr>
          <w:sz w:val="20"/>
          <w:szCs w:val="20"/>
          <w:color w:val="auto"/>
        </w:rPr>
      </w:pPr>
    </w:p>
    <w:p>
      <w:pPr>
        <w:ind w:right="160" w:firstLine="349"/>
        <w:spacing w:after="0" w:line="268" w:lineRule="auto"/>
        <w:rPr>
          <w:sz w:val="20"/>
          <w:szCs w:val="20"/>
          <w:color w:val="auto"/>
        </w:rPr>
      </w:pPr>
      <w:r>
        <w:rPr>
          <w:rFonts w:ascii="Times New Roman" w:cs="Times New Roman" w:eastAsia="Times New Roman" w:hAnsi="Times New Roman"/>
          <w:sz w:val="19"/>
          <w:szCs w:val="19"/>
          <w:color w:val="auto"/>
        </w:rPr>
        <w:t>In order to commercialize our platform, we plan to advance the development of our technology across all components including chemistries, reagents, consumables, instrumentation and analysis software. The prototype of our proteome analysis system has generated all of our internal data to date, and we are continuing the development process to optimize, improve upon, and validate the final designs, formulations, protocols, manufacturing processes, and software code comprising our Nautilus platform.</w:t>
      </w:r>
    </w:p>
    <w:p>
      <w:pPr>
        <w:spacing w:after="0" w:line="131"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cells can functionally achieve approximately 10 billion discrete single protein molecule landing pads per instrument run, we plan to further optimize the landing pad spacing, density, manufacturing process and chemistries of the first commercially available flow cells. We also intend to focus on the completion of the final engineering design of our proteome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reagent probes and chemistries that can be used within our proteome analysis system for both broad scale proteomics quantification and target quantification of proteoforms at the single molecule level. Our aim is to create a broad portfolio of affinity reagent probes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proteome analysis system performance.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APPLICATIONS OF OUR TECHNOLOGY</w:t>
      </w:r>
    </w:p>
    <w:p>
      <w:pPr>
        <w:spacing w:after="0" w:line="189" w:lineRule="exact"/>
        <w:rPr>
          <w:sz w:val="20"/>
          <w:szCs w:val="20"/>
          <w:color w:val="auto"/>
        </w:rPr>
      </w:pPr>
    </w:p>
    <w:p>
      <w:pPr>
        <w:ind w:right="56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Nautilus platform technology is an open platform that is designed to leverage a wide variety of reagents to read and quantify the proteome and proteoforms</w:t>
      </w:r>
    </w:p>
    <w:p>
      <w:pPr>
        <w:spacing w:after="0" w:line="105"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We believe that our Nautilus platform technology is designed to represent one of the first truly novel technologies for the detection and quantitation of proteins and proteoforms by leveraging the creation of our single protein molecule flow cell in combination with a broad range of affinity reagent probes. By design, our Nautilus platform technology is open to the use of virtually any affinity reagent, where each reagent can be efficiently chemically labeled and used in our multi-cycle process to identify and quantify a protein library. We further believe one of the inherent strengths of the open design of our Nautilus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276225</wp:posOffset>
            </wp:positionV>
            <wp:extent cx="6009005" cy="258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6009005" cy="2588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On one end of the spectrum (above left), our technology is designed to harness the power of low specificity multi-affinity reagent probes that will potentially allow us to detect substantially all of the proteome. On the other end of the spectrum (above right), we believe we can apply high specificity affinity reagent probes that detect and quantify individual target proteins of interest, and the post-translational modifications of these target proteins to detect and quantify the various proteoforms that may exist. We believe it is</w:t>
      </w:r>
    </w:p>
    <w:p>
      <w:pPr>
        <w:sectPr>
          <w:pgSz w:w="11880" w:h="15480" w:orient="portrait"/>
          <w:cols w:equalWidth="0" w:num="1">
            <w:col w:w="10460"/>
          </w:cols>
          <w:pgMar w:left="700" w:top="1091" w:right="720" w:bottom="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880" w:h="15480" w:orient="portrait"/>
          <w:cols w:equalWidth="0" w:num="1">
            <w:col w:w="10460"/>
          </w:cols>
          <w:pgMar w:left="700" w:top="1091" w:right="720" w:bottom="0" w:gutter="0" w:footer="0" w:header="0"/>
          <w:type w:val="continuous"/>
        </w:sectPr>
      </w:pPr>
    </w:p>
    <w:bookmarkStart w:id="27" w:name="page28"/>
    <w:bookmarkEnd w:id="27"/>
    <w:p>
      <w:pPr>
        <w:ind w:right="100"/>
        <w:spacing w:after="0" w:line="268" w:lineRule="auto"/>
        <w:rPr>
          <w:sz w:val="20"/>
          <w:szCs w:val="20"/>
          <w:color w:val="auto"/>
        </w:rPr>
      </w:pPr>
      <w:r>
        <w:rPr>
          <w:rFonts w:ascii="Times New Roman" w:cs="Times New Roman" w:eastAsia="Times New Roman" w:hAnsi="Times New Roman"/>
          <w:sz w:val="19"/>
          <w:szCs w:val="19"/>
          <w:color w:val="auto"/>
        </w:rPr>
        <w:t>this inherent flexibility of reagent applications on our Nautilus platform that will enable a broad suite of uses across research, discovery, translational and clinical applications. Because of this inherent flexibility, we also believe our Nautilus platform will spark the creation of new and unforeseen applications, in a similar market expansion and innovation trend that was experienced in the years following the launch of open and flexible NGS platform technologies.</w:t>
      </w:r>
    </w:p>
    <w:p>
      <w:pPr>
        <w:spacing w:after="0" w:line="131"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auto"/>
        </w:rPr>
        <w:t>The open nature of the Nautilus platform creates the opportunity to partner with third-parties on the development and supply of affinity reagent probes for use on our instrument.</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Basic Research and Discovery Applications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The Discovery Potential of Our Nautilus Platform</w:t>
      </w:r>
    </w:p>
    <w:p>
      <w:pPr>
        <w:spacing w:after="0" w:line="191" w:lineRule="exact"/>
        <w:rPr>
          <w:sz w:val="20"/>
          <w:szCs w:val="20"/>
          <w:color w:val="auto"/>
        </w:rPr>
      </w:pPr>
    </w:p>
    <w:p>
      <w:pPr>
        <w:ind w:right="200" w:firstLine="349"/>
        <w:spacing w:after="0" w:line="265" w:lineRule="auto"/>
        <w:rPr>
          <w:sz w:val="20"/>
          <w:szCs w:val="20"/>
          <w:color w:val="auto"/>
        </w:rPr>
      </w:pPr>
      <w:r>
        <w:rPr>
          <w:rFonts w:ascii="Times New Roman" w:cs="Times New Roman" w:eastAsia="Times New Roman" w:hAnsi="Times New Roman"/>
          <w:sz w:val="19"/>
          <w:szCs w:val="19"/>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w:t>
      </w:r>
    </w:p>
    <w:p>
      <w:pPr>
        <w:spacing w:after="0" w:line="133"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Further, we believe speed, scale, and single protein 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w:t>
      </w:r>
    </w:p>
    <w:p>
      <w:pPr>
        <w:spacing w:after="0" w:line="141"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reagent probe broad protein detection method to enhance the output of our analyses.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Multi-Omic Systems Biology and Proteogenomics</w:t>
      </w:r>
    </w:p>
    <w:p>
      <w:pPr>
        <w:spacing w:after="0" w:line="191"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spacing w:after="0" w:line="136"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 protein 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Translational Research and Discovery Applications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Biomarker Discovery</w:t>
      </w:r>
    </w:p>
    <w:p>
      <w:pPr>
        <w:spacing w:after="0" w:line="191" w:lineRule="exact"/>
        <w:rPr>
          <w:sz w:val="20"/>
          <w:szCs w:val="20"/>
          <w:color w:val="auto"/>
        </w:rPr>
      </w:pPr>
    </w:p>
    <w:p>
      <w:pPr>
        <w:ind w:right="40" w:firstLine="349"/>
        <w:spacing w:after="0" w:line="293" w:lineRule="auto"/>
        <w:rPr>
          <w:sz w:val="20"/>
          <w:szCs w:val="20"/>
          <w:color w:val="auto"/>
        </w:rPr>
      </w:pPr>
      <w:r>
        <w:rPr>
          <w:rFonts w:ascii="Times New Roman" w:cs="Times New Roman" w:eastAsia="Times New Roman" w:hAnsi="Times New Roman"/>
          <w:sz w:val="19"/>
          <w:szCs w:val="19"/>
          <w:color w:val="auto"/>
        </w:rPr>
        <w:t>It has been published that approximately 95% of FDA-approved drug targets are proteins. The Human Protein Atlas collaborative research project identified that FDA-approved drugs are targeting up to 854 separate human proteins and that there are 4,906 genes in</w:t>
      </w:r>
    </w:p>
    <w:p>
      <w:pPr>
        <w:sectPr>
          <w:pgSz w:w="11880" w:h="15480" w:orient="portrait"/>
          <w:cols w:equalWidth="0" w:num="1">
            <w:col w:w="10460"/>
          </w:cols>
          <w:pgMar w:left="700" w:top="691" w:right="720" w:bottom="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ectPr>
          <w:pgSz w:w="11880" w:h="15480" w:orient="portrait"/>
          <w:cols w:equalWidth="0" w:num="1">
            <w:col w:w="10460"/>
          </w:cols>
          <w:pgMar w:left="700" w:top="691" w:right="720" w:bottom="0" w:gutter="0" w:footer="0" w:header="0"/>
          <w:type w:val="continuous"/>
        </w:sectPr>
      </w:pPr>
    </w:p>
    <w:bookmarkStart w:id="28" w:name="page29"/>
    <w:bookmarkEnd w:id="28"/>
    <w:p>
      <w:pPr>
        <w:ind w:right="60"/>
        <w:spacing w:after="0" w:line="262" w:lineRule="auto"/>
        <w:rPr>
          <w:sz w:val="20"/>
          <w:szCs w:val="20"/>
          <w:color w:val="auto"/>
        </w:rPr>
      </w:pPr>
      <w:r>
        <w:rPr>
          <w:rFonts w:ascii="Times New Roman" w:cs="Times New Roman" w:eastAsia="Times New Roman" w:hAnsi="Times New Roman"/>
          <w:sz w:val="19"/>
          <w:szCs w:val="19"/>
          <w:color w:val="auto"/>
        </w:rPr>
        <w:t>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Proteoform Patterns as Biomarkers and Mechanism of Action Studies</w:t>
      </w:r>
    </w:p>
    <w:p>
      <w:pPr>
        <w:spacing w:after="0" w:line="191"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Longitudinal Monitoring of Proteome Dynamics</w:t>
      </w:r>
    </w:p>
    <w:p>
      <w:pPr>
        <w:spacing w:after="0" w:line="191"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131" w:lineRule="exact"/>
        <w:rPr>
          <w:sz w:val="20"/>
          <w:szCs w:val="20"/>
          <w:color w:val="auto"/>
        </w:rPr>
      </w:pPr>
    </w:p>
    <w:p>
      <w:pPr>
        <w:ind w:left="340" w:right="4700"/>
        <w:spacing w:after="0" w:line="451" w:lineRule="auto"/>
        <w:rPr>
          <w:sz w:val="20"/>
          <w:szCs w:val="20"/>
          <w:color w:val="auto"/>
        </w:rPr>
      </w:pPr>
      <w:r>
        <w:rPr>
          <w:rFonts w:ascii="Times New Roman" w:cs="Times New Roman" w:eastAsia="Times New Roman" w:hAnsi="Times New Roman"/>
          <w:sz w:val="19"/>
          <w:szCs w:val="19"/>
          <w:b w:val="1"/>
          <w:bCs w:val="1"/>
          <w:i w:val="1"/>
          <w:iCs w:val="1"/>
          <w:color w:val="auto"/>
        </w:rPr>
        <w:t>Diagnostics, Clinical Research and Drug Development Applications Transitioning from Discovery into Clinical Application</w:t>
      </w:r>
    </w:p>
    <w:p>
      <w:pPr>
        <w:spacing w:after="0" w:line="1"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pacing w:after="0" w:line="141"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880" w:h="15480" w:orient="portrait"/>
          <w:cols w:equalWidth="0" w:num="1">
            <w:col w:w="10480"/>
          </w:cols>
          <w:pgMar w:left="700" w:top="691" w:right="700" w:bottom="0" w:gutter="0" w:footer="0" w:header="0"/>
          <w:type w:val="continuous"/>
        </w:sectPr>
      </w:pPr>
    </w:p>
    <w:bookmarkStart w:id="29" w:name="page30"/>
    <w:bookmarkEnd w:id="29"/>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Precision Medicine Development &amp; Clinical Trial Support</w:t>
      </w:r>
    </w:p>
    <w:p>
      <w:pPr>
        <w:spacing w:after="0" w:line="191"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spacing w:after="0" w:line="136"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44"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 accessing deep proteomic profiling data to identify biomarkers that stratify patients for clinical trials and improve drug development.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PRODUCTS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Overview</w:t>
      </w:r>
    </w:p>
    <w:p>
      <w:pPr>
        <w:spacing w:after="0" w:line="196" w:lineRule="exact"/>
        <w:rPr>
          <w:sz w:val="20"/>
          <w:szCs w:val="20"/>
          <w:color w:val="auto"/>
        </w:rPr>
      </w:pPr>
    </w:p>
    <w:p>
      <w:pPr>
        <w:ind w:right="180" w:firstLine="349"/>
        <w:spacing w:after="0" w:line="268" w:lineRule="auto"/>
        <w:rPr>
          <w:sz w:val="20"/>
          <w:szCs w:val="20"/>
          <w:color w:val="auto"/>
        </w:rPr>
      </w:pPr>
      <w:r>
        <w:rPr>
          <w:rFonts w:ascii="Times New Roman" w:cs="Times New Roman" w:eastAsia="Times New Roman" w:hAnsi="Times New Roman"/>
          <w:sz w:val="19"/>
          <w:szCs w:val="19"/>
          <w:color w:val="auto"/>
        </w:rPr>
        <w:t>Our primary business model is anticipated to be focused on the commercialization of our Nautilus platform through the sale of instrumentation, reagent consumables, and software. Our proteome analysis system is our detection instrument at the center of our product suite, supported by reagent consumables for the preparation and analysis of proteins, and followed by sophisticated machine learning software architecture for the analysis and reporting of our data in the cloud.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Proteome Analysis System</w:t>
      </w:r>
    </w:p>
    <w:p>
      <w:pPr>
        <w:spacing w:after="0" w:line="196" w:lineRule="exact"/>
        <w:rPr>
          <w:sz w:val="20"/>
          <w:szCs w:val="20"/>
          <w:color w:val="auto"/>
        </w:rPr>
      </w:pPr>
    </w:p>
    <w:p>
      <w:pPr>
        <w:jc w:val="both"/>
        <w:ind w:right="200" w:firstLine="349"/>
        <w:spacing w:after="0" w:line="268" w:lineRule="auto"/>
        <w:rPr>
          <w:sz w:val="20"/>
          <w:szCs w:val="20"/>
          <w:color w:val="auto"/>
        </w:rPr>
      </w:pPr>
      <w:r>
        <w:rPr>
          <w:rFonts w:ascii="Times New Roman" w:cs="Times New Roman" w:eastAsia="Times New Roman" w:hAnsi="Times New Roman"/>
          <w:sz w:val="19"/>
          <w:szCs w:val="19"/>
          <w:color w:val="auto"/>
        </w:rPr>
        <w:t>Our proteome analysis system is a high-resolution optical imaging system coupled with integrated fluidics and liquid handling sub-systems. The system is designed to deposit protein libraries onto a flow cell and to process labeled multi-affinity reagent probe binding and imaging cycles rapidly in order to decode and quantify the vast majority of proteins present in biological samples. After the reagent kits, samples (protein libraries), and flow cells are loaded onto the system, the remainder of the workflow is automated.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Reagent Kits</w:t>
      </w:r>
    </w:p>
    <w:p>
      <w:pPr>
        <w:spacing w:after="0" w:line="196" w:lineRule="exact"/>
        <w:rPr>
          <w:sz w:val="20"/>
          <w:szCs w:val="20"/>
          <w:color w:val="auto"/>
        </w:rPr>
      </w:pPr>
    </w:p>
    <w:p>
      <w:pPr>
        <w:jc w:val="both"/>
        <w:ind w:right="200" w:firstLine="349"/>
        <w:spacing w:after="0" w:line="293" w:lineRule="auto"/>
        <w:rPr>
          <w:sz w:val="20"/>
          <w:szCs w:val="20"/>
          <w:color w:val="auto"/>
        </w:rPr>
      </w:pPr>
      <w:r>
        <w:rPr>
          <w:rFonts w:ascii="Times New Roman" w:cs="Times New Roman" w:eastAsia="Times New Roman" w:hAnsi="Times New Roman"/>
          <w:sz w:val="19"/>
          <w:szCs w:val="19"/>
          <w:color w:val="auto"/>
        </w:rPr>
        <w:t>System run reagent kits are comprised of four main components: sample preparation, flow cell(s), multi-affinity reagent probes, and instrument buffers used to perform multi-cycle analysis runs.</w:t>
      </w:r>
    </w:p>
    <w:p>
      <w:pPr>
        <w:spacing w:after="0" w:line="107"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Our proprietary sample preparation kits will be designed for the isolation and preparation of a library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proteome analysis system, it is not expected that additional protein sample enrichment, enhancement or pre-treatments of samples will be required for processing, however we do intend to be compatible with such pre-treated samples. We also expect our customers and partners may wish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pacing w:after="0" w:line="141" w:lineRule="exact"/>
        <w:rPr>
          <w:sz w:val="20"/>
          <w:szCs w:val="20"/>
          <w:color w:val="auto"/>
        </w:rPr>
      </w:pPr>
    </w:p>
    <w:p>
      <w:pPr>
        <w:ind w:right="180" w:firstLine="349"/>
        <w:spacing w:after="0" w:line="274" w:lineRule="auto"/>
        <w:rPr>
          <w:sz w:val="20"/>
          <w:szCs w:val="20"/>
          <w:color w:val="auto"/>
        </w:rPr>
      </w:pPr>
      <w:r>
        <w:rPr>
          <w:rFonts w:ascii="Times New Roman" w:cs="Times New Roman" w:eastAsia="Times New Roman" w:hAnsi="Times New Roman"/>
          <w:sz w:val="19"/>
          <w:szCs w:val="19"/>
          <w:color w:val="auto"/>
        </w:rPr>
        <w:t>In an effort to provide maximum flexibility, our initial flow cell design includes four physically separated and independent fluid channels, or “lanes,” such that a customer can introduce a unique biological sample in to each lane for multi-cycle analysis. Our proteome analysis system is designed to hold and concurrently analyze up to three flow cells in a single system run, for a total of 12</w:t>
      </w:r>
    </w:p>
    <w:p>
      <w:pPr>
        <w:sectPr>
          <w:pgSz w:w="11880" w:h="15480" w:orient="portrait"/>
          <w:cols w:equalWidth="0" w:num="1">
            <w:col w:w="10460"/>
          </w:cols>
          <w:pgMar w:left="700" w:top="689" w:right="720" w:bottom="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1880" w:h="15480" w:orient="portrait"/>
          <w:cols w:equalWidth="0" w:num="1">
            <w:col w:w="10460"/>
          </w:cols>
          <w:pgMar w:left="700" w:top="689" w:right="720" w:bottom="0" w:gutter="0" w:footer="0" w:header="0"/>
          <w:type w:val="continuous"/>
        </w:sectPr>
      </w:pPr>
    </w:p>
    <w:bookmarkStart w:id="30" w:name="page31"/>
    <w:bookmarkEnd w:id="30"/>
    <w:p>
      <w:pPr>
        <w:ind w:right="300"/>
        <w:spacing w:after="0" w:line="293" w:lineRule="auto"/>
        <w:rPr>
          <w:sz w:val="20"/>
          <w:szCs w:val="20"/>
          <w:color w:val="auto"/>
        </w:rPr>
      </w:pPr>
      <w:r>
        <w:rPr>
          <w:rFonts w:ascii="Times New Roman" w:cs="Times New Roman" w:eastAsia="Times New Roman" w:hAnsi="Times New Roman"/>
          <w:sz w:val="19"/>
          <w:szCs w:val="19"/>
          <w:color w:val="auto"/>
        </w:rPr>
        <w:t>lanes. Additional sample throughput may also be achieved by the use of a molecular barcode in our reagent kits that will enable the multiplexing of more than one barcoded sample library together within a single lane for analysis in the future.</w:t>
      </w:r>
    </w:p>
    <w:p>
      <w:pPr>
        <w:spacing w:after="0" w:line="107" w:lineRule="exact"/>
        <w:rPr>
          <w:sz w:val="20"/>
          <w:szCs w:val="20"/>
          <w:color w:val="auto"/>
        </w:rPr>
      </w:pPr>
    </w:p>
    <w:p>
      <w:pPr>
        <w:ind w:right="40" w:firstLine="349"/>
        <w:spacing w:after="0" w:line="264" w:lineRule="auto"/>
        <w:rPr>
          <w:sz w:val="20"/>
          <w:szCs w:val="20"/>
          <w:color w:val="auto"/>
        </w:rPr>
      </w:pPr>
      <w:r>
        <w:rPr>
          <w:rFonts w:ascii="Times New Roman" w:cs="Times New Roman" w:eastAsia="Times New Roman" w:hAnsi="Times New Roman"/>
          <w:sz w:val="19"/>
          <w:szCs w:val="19"/>
          <w:color w:val="auto"/>
        </w:rPr>
        <w:t>Affinity reagent probes will also be included as a reagent kit. Kits will be offered in configurations that cover a catalog of proteomic content. We intend to supply a standardized set of multi-affinity reagent probes for the broad-scale detection of proteins, or “proteome kits,” as well as protein-specific or proteoform-specific kits, or “targeted proteoform kits,” focused on high interest protein targets in key disease areas. Additionally, custom affinity reagent probe labeling kits are expected to be supplied in the future to enable customers to label their own in-house developed or purchased affinity reagents to be compatible with Nautilus workflows for use on the system.</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Software &amp; Analysis</w:t>
      </w:r>
    </w:p>
    <w:p>
      <w:pPr>
        <w:spacing w:after="0" w:line="196"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Our machine learning analysis software suite also is expected to be utilized as the analysis engine to decode the proteome system raw data into protein identifications and counts. Our software is expected to be a SaaS based service, utilizing Nautilus’ machine learning computational algorithms required to identify and quantify the proteins or proteoforms present in a sample run on the system. Our software is a learning and evolving system, which we are designing to improve in accuracy over time as the multi-affinity reagent probe binding profiles are refined and trained across a growing database. We expect our software enhancements in performance will also be accessible to customers who wish to re-analyze prior run data with later versions to deliver new insight and discovery value.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SALES &amp; MARKETING</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Commercial Strategy</w:t>
      </w:r>
    </w:p>
    <w:p>
      <w:pPr>
        <w:spacing w:after="0" w:line="196"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The primary business model we intend to implement is to directly commercialize our entire end-to-end Nautilus platform technology solution through the sale and installation of our proteome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 protein molecule quantitation, sensitivity, and reproducibility.</w:t>
      </w:r>
    </w:p>
    <w:p>
      <w:pPr>
        <w:spacing w:after="0" w:line="136" w:lineRule="exact"/>
        <w:rPr>
          <w:sz w:val="20"/>
          <w:szCs w:val="20"/>
          <w:color w:val="auto"/>
        </w:rPr>
      </w:pPr>
    </w:p>
    <w:p>
      <w:pPr>
        <w:ind w:right="120" w:firstLine="349"/>
        <w:spacing w:after="0" w:line="261" w:lineRule="auto"/>
        <w:rPr>
          <w:sz w:val="20"/>
          <w:szCs w:val="20"/>
          <w:color w:val="auto"/>
        </w:rPr>
      </w:pPr>
      <w:r>
        <w:rPr>
          <w:rFonts w:ascii="Times New Roman" w:cs="Times New Roman" w:eastAsia="Times New Roman" w:hAnsi="Times New Roman"/>
          <w:sz w:val="19"/>
          <w:szCs w:val="19"/>
          <w:color w:val="auto"/>
        </w:rPr>
        <w:t>We initially intend to target customers with a history of strong focus in proteomic research, and a substantial annual research budget allocation for proteomics technologies and proteomic data. We expect many of our customers will already have access to existing proteomic or genomic analysis capabilities including a segment of the greater than 16,000 system install base of mass spectrometry detection systems. Our early customers are expected to span laboratories focused on basic and translational research in large pharma and biotech research groups, academia, and large-scale commercial and academic multi-omics research laboratories. As our Nautilus platform becomes established in these customer segments, we further intend to expand our commercialization into clinical settings, where our target customers are expected to include pharma and biotech clinical development groups, contract research organizations, and ultimately, diagnostic laboratories.</w:t>
      </w:r>
    </w:p>
    <w:p>
      <w:pPr>
        <w:spacing w:after="0" w:line="137"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Our proteome analysis system is expected to be priced in-line with mass spectrometry peptide detection equipment, or high-throughput NGS equipment, making the capital expense for our system within the budget for our initial customers. Our consumables are expected be priced at a level that provides comparable market value for full proteome analysis. The use of multiplexed run configurations will continue to grow over time, which we believe will help to reduce our costs and the price-per-sample of our reagent kits such that we are able to support customers with very high-throughput applications of our systems. We expect these high-throughput run configurations and economics to accelerate the initiation of large-scale proteomics and multi-omics research projects, and also to be much more compatible with centralized core lab facility operations with requirements for proteomic data generation that can support an entire organization or user base.</w:t>
      </w:r>
    </w:p>
    <w:p>
      <w:pPr>
        <w:spacing w:after="0" w:line="137" w:lineRule="exact"/>
        <w:rPr>
          <w:sz w:val="20"/>
          <w:szCs w:val="20"/>
          <w:color w:val="auto"/>
        </w:rPr>
      </w:pPr>
    </w:p>
    <w:p>
      <w:pPr>
        <w:ind w:right="60" w:firstLine="349"/>
        <w:spacing w:after="0" w:line="261" w:lineRule="auto"/>
        <w:rPr>
          <w:sz w:val="20"/>
          <w:szCs w:val="20"/>
          <w:color w:val="auto"/>
        </w:rPr>
      </w:pPr>
      <w:r>
        <w:rPr>
          <w:rFonts w:ascii="Times New Roman" w:cs="Times New Roman" w:eastAsia="Times New Roman" w:hAnsi="Times New Roman"/>
          <w:sz w:val="19"/>
          <w:szCs w:val="19"/>
          <w:color w:val="auto"/>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proteome analysis system. We further believe that once our proteome analysis system is launched, key performance indicators of our success would include publications and references to our platform technology. We intend to track this closely, and we expect to invest both internally and externally to accelerate the pace of new research and publications leveraging our Nautilus platform pre- and post- proteome analysis system launch.</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Go-To-Market Strategy</w:t>
      </w:r>
    </w:p>
    <w:p>
      <w:pPr>
        <w:spacing w:after="0" w:line="196" w:lineRule="exact"/>
        <w:rPr>
          <w:sz w:val="20"/>
          <w:szCs w:val="20"/>
          <w:color w:val="auto"/>
        </w:rPr>
      </w:pPr>
    </w:p>
    <w:p>
      <w:pPr>
        <w:ind w:right="200" w:firstLine="349"/>
        <w:spacing w:after="0" w:line="293" w:lineRule="auto"/>
        <w:rPr>
          <w:sz w:val="20"/>
          <w:szCs w:val="20"/>
          <w:color w:val="auto"/>
        </w:rPr>
      </w:pPr>
      <w:r>
        <w:rPr>
          <w:rFonts w:ascii="Times New Roman" w:cs="Times New Roman" w:eastAsia="Times New Roman" w:hAnsi="Times New Roman"/>
          <w:sz w:val="19"/>
          <w:szCs w:val="19"/>
          <w:color w:val="auto"/>
        </w:rPr>
        <w:t>We expect our proteome analysis system technology will be highly disruptive to the current proteomics technology and market landscape, and as a result, we have designed our go-to-market plan with a strategy that combines elements of highly successful mass</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880" w:h="15480" w:orient="portrait"/>
          <w:cols w:equalWidth="0" w:num="1">
            <w:col w:w="10480"/>
          </w:cols>
          <w:pgMar w:left="700" w:top="691" w:right="700" w:bottom="0" w:gutter="0" w:footer="0" w:header="0"/>
          <w:type w:val="continuous"/>
        </w:sectPr>
      </w:pPr>
    </w:p>
    <w:bookmarkStart w:id="31" w:name="page32"/>
    <w:bookmarkEnd w:id="31"/>
    <w:p>
      <w:pPr>
        <w:ind w:right="40"/>
        <w:spacing w:after="0" w:line="293" w:lineRule="auto"/>
        <w:rPr>
          <w:sz w:val="20"/>
          <w:szCs w:val="20"/>
          <w:color w:val="auto"/>
        </w:rPr>
      </w:pPr>
      <w:r>
        <w:rPr>
          <w:rFonts w:ascii="Times New Roman" w:cs="Times New Roman" w:eastAsia="Times New Roman" w:hAnsi="Times New Roman"/>
          <w:sz w:val="19"/>
          <w:szCs w:val="19"/>
          <w:color w:val="auto"/>
        </w:rPr>
        <w:t>spectrometry and NGS platform technology introductions and commercialization. We also believe that engaging with the market early is a critically important activity in building confidence and awareness of our technology and its capabilities.</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Our planned go-to-market strategy is organized into 3 phases:</w:t>
      </w:r>
    </w:p>
    <w:p>
      <w:pPr>
        <w:spacing w:after="0" w:line="189" w:lineRule="exact"/>
        <w:rPr>
          <w:sz w:val="20"/>
          <w:szCs w:val="20"/>
          <w:color w:val="auto"/>
        </w:rPr>
      </w:pPr>
    </w:p>
    <w:p>
      <w:pPr>
        <w:ind w:left="700" w:hanging="352"/>
        <w:spacing w:after="0"/>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Collaborations &amp; Partnerships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Early Access Program</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Proteome Analysis System Launch &amp; Commercial Scale Up</w:t>
      </w:r>
    </w:p>
    <w:p>
      <w:pPr>
        <w:spacing w:after="0" w:line="189"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 of the milestones on our development plan are potentially new and unprecedented advancements we can leverage to build commercial momentum.</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Collaborations &amp; Partnerships</w:t>
      </w:r>
    </w:p>
    <w:p>
      <w:pPr>
        <w:spacing w:after="0" w:line="191"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We believe that directly engaging our future customers early, well before system launch, will have the potential to be a very important differentiator to raise awareness of our platform technology as it matures throughout the formal development process, and to build credibility as we educate the community on our scientific approach. We believe the most effective way to engage our future customers now is through research collaborations, with the primary purpose of driving new and meaningful biological insights while demonstrating our technology’s performance, unique characteristics, and capabilities. We continue to maintain a formal program for identifying collaborative research partners and establishing new relationships in specific research areas where we wish to generate data and publications highlighting the value of single-molecule proteomics. We also believe we can use these collaborations to improve the performance characteristics of our technology during development, and we can shape the system and run parameters to more precisely meet our customer’s needs. We further intend to target projects within these engagements that will help to define and validate our first launched product applications, which we expect will further aid in the rapid adoption of such applications once directly commercialized as products.</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Early Access Program</w:t>
      </w:r>
    </w:p>
    <w:p>
      <w:pPr>
        <w:spacing w:after="0" w:line="191" w:lineRule="exact"/>
        <w:rPr>
          <w:sz w:val="20"/>
          <w:szCs w:val="20"/>
          <w:color w:val="auto"/>
        </w:rPr>
      </w:pPr>
    </w:p>
    <w:p>
      <w:pPr>
        <w:ind w:right="240" w:firstLine="349"/>
        <w:spacing w:after="0" w:line="262" w:lineRule="auto"/>
        <w:rPr>
          <w:sz w:val="20"/>
          <w:szCs w:val="20"/>
          <w:color w:val="auto"/>
        </w:rPr>
      </w:pPr>
      <w:r>
        <w:rPr>
          <w:rFonts w:ascii="Times New Roman" w:cs="Times New Roman" w:eastAsia="Times New Roman" w:hAnsi="Times New Roman"/>
          <w:sz w:val="19"/>
          <w:szCs w:val="19"/>
          <w:color w:val="auto"/>
        </w:rPr>
        <w:t>Following the important Collaboration and Partnership work necessary to lay a foundation of publications describing our technology and the initial product applications, we believe we will have a body of scientific evidence sufficient to start building demand for our technology and the single-molecule proteomic data it generates. We then intend to initiate our pre-sales activities, which include the launch of an Early Access Program comprised of a service offering that will generate data on customer biological samples using our prototype systems run by Nautilus staff in our facilities. Using this Early Access Program, we intend to begin building a pipeline of customer engagements, supporting their evaluations of our technology through proof of concept and pilot studies, and giving them access to our data to begin establishing interest in our proteome analysis system leading up to launch.</w:t>
      </w:r>
    </w:p>
    <w:p>
      <w:pPr>
        <w:spacing w:after="0" w:line="136" w:lineRule="exact"/>
        <w:rPr>
          <w:sz w:val="20"/>
          <w:szCs w:val="20"/>
          <w:color w:val="auto"/>
        </w:rPr>
      </w:pPr>
    </w:p>
    <w:p>
      <w:pPr>
        <w:ind w:right="440" w:firstLine="349"/>
        <w:spacing w:after="0" w:line="265" w:lineRule="auto"/>
        <w:rPr>
          <w:sz w:val="20"/>
          <w:szCs w:val="20"/>
          <w:color w:val="auto"/>
        </w:rPr>
      </w:pPr>
      <w:r>
        <w:rPr>
          <w:rFonts w:ascii="Times New Roman" w:cs="Times New Roman" w:eastAsia="Times New Roman" w:hAnsi="Times New Roman"/>
          <w:sz w:val="19"/>
          <w:szCs w:val="19"/>
          <w:color w:val="auto"/>
        </w:rPr>
        <w:t>We further intend to build on the momentum of our Early Access Program by expanding it to include a small group of target customers to evaluate of our first generation proteome analysis system on site at their facilities. Our goal in the planned proteome analysis system Early Access Program is to establish this influential group of customers as reference sites ahead of our broader commercial launch, and to integrate the learnings from our system performance outside of our own laboratories to improve the performance and robustness of our system and process design.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Proteome Analysis System Launch and Commercial Scale Up</w:t>
      </w:r>
    </w:p>
    <w:p>
      <w:pPr>
        <w:spacing w:after="0" w:line="191"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At full commercial proteome analysis system launch, we expect to continue offering our Proteomic Data Early Access Program, and to maintain the laboratory services to continue supporting proof of concept and pilot projects for an extended period of time to continue building our sales funnel. Our proteome analysis system launch is expected to be coupled with a substantial scale up of our commercial sales and marketing 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proteome analysis system commercial launch, we expect future system upgrades and enhancements periodically over time that will further drive discovery potential and our business with each incremental advancement.</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880" w:h="15480" w:orient="portrait"/>
          <w:cols w:equalWidth="0" w:num="1">
            <w:col w:w="10480"/>
          </w:cols>
          <w:pgMar w:left="700" w:top="691" w:right="700" w:bottom="0" w:gutter="0" w:footer="0" w:header="0"/>
          <w:type w:val="continuous"/>
        </w:sectPr>
      </w:pPr>
    </w:p>
    <w:bookmarkStart w:id="32" w:name="page33"/>
    <w:bookmarkEnd w:id="32"/>
    <w:p>
      <w:pPr>
        <w:ind w:firstLine="349"/>
        <w:spacing w:after="0" w:line="274" w:lineRule="auto"/>
        <w:rPr>
          <w:sz w:val="20"/>
          <w:szCs w:val="20"/>
          <w:color w:val="auto"/>
        </w:rPr>
      </w:pPr>
      <w:r>
        <w:rPr>
          <w:rFonts w:ascii="Times New Roman" w:cs="Times New Roman" w:eastAsia="Times New Roman" w:hAnsi="Times New Roman"/>
          <w:sz w:val="19"/>
          <w:szCs w:val="19"/>
          <w:color w:val="auto"/>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spacing w:after="0" w:line="125" w:lineRule="exact"/>
        <w:rPr>
          <w:sz w:val="20"/>
          <w:szCs w:val="20"/>
          <w:color w:val="auto"/>
        </w:rPr>
      </w:pPr>
    </w:p>
    <w:p>
      <w:pPr>
        <w:ind w:left="700" w:hanging="352"/>
        <w:spacing w:after="0"/>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Being first to market with a novel protein and proteoform detection platform;</w:t>
      </w:r>
    </w:p>
    <w:p>
      <w:pPr>
        <w:spacing w:after="0" w:line="189" w:lineRule="exact"/>
        <w:rPr>
          <w:rFonts w:ascii="Times New Roman" w:cs="Times New Roman" w:eastAsia="Times New Roman" w:hAnsi="Times New Roman"/>
          <w:sz w:val="19"/>
          <w:szCs w:val="19"/>
          <w:color w:val="auto"/>
        </w:rPr>
      </w:pPr>
    </w:p>
    <w:p>
      <w:pPr>
        <w:ind w:left="700" w:right="20" w:hanging="352"/>
        <w:spacing w:after="0" w:line="293" w:lineRule="auto"/>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Demonstrating the ability to unlock new sources of primary biological information with proteoform mapping and rare protein detection;</w:t>
      </w:r>
    </w:p>
    <w:p>
      <w:pPr>
        <w:spacing w:after="0" w:line="107" w:lineRule="exact"/>
        <w:rPr>
          <w:rFonts w:ascii="Times New Roman" w:cs="Times New Roman" w:eastAsia="Times New Roman" w:hAnsi="Times New Roman"/>
          <w:sz w:val="19"/>
          <w:szCs w:val="19"/>
          <w:color w:val="auto"/>
        </w:rPr>
      </w:pPr>
    </w:p>
    <w:p>
      <w:pPr>
        <w:ind w:left="700" w:right="160" w:hanging="352"/>
        <w:spacing w:after="0" w:line="293" w:lineRule="auto"/>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immense data production capacity, driving discovery by enabling large scale studies and building our database to become a strategic asset;</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Implementing a proven commercial model with an efficient direct salesforce;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Expanding our impact in translational research for clinical applications, precision medicine and diagnostics.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Partnerships</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In December of 2020, we signed a research collaboration agreement with Genentech to engage in a pilot study using our technology to investigate proteoforms of the Tau protein, an important biomarker of neurodegenerative disease. In October 2021, we entered into a research collaboration agreement with Amgen in which the Nautilus platform may be used across a number of projects to investigate proteins and proteoforms of interest to the both organizations. In October 2021, we signed a research agreement with The University of Texas MD Anderson Cancer Center. And, in February of 2025, we entered into a research collaboration with The Buck Institute for Research on Aging where the Nautilus platform may be used across a number of projects focused both on proteoform analysis of the Tau protein, as well as new projects and analysis methods exploring other platform applications. All of the above research collaborations are consistent with our objectives in Phase I of our commercial go-to-market strategy to establish external collaborations and relationships that produce data and publications exploring the utility and strengths of our Nautilus platform technology.</w:t>
      </w: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Commercial Organization</w:t>
      </w:r>
    </w:p>
    <w:p>
      <w:pPr>
        <w:spacing w:after="0" w:line="196" w:lineRule="exact"/>
        <w:rPr>
          <w:sz w:val="20"/>
          <w:szCs w:val="20"/>
          <w:color w:val="auto"/>
        </w:rPr>
      </w:pPr>
    </w:p>
    <w:p>
      <w:pPr>
        <w:ind w:right="180" w:firstLine="349"/>
        <w:spacing w:after="0" w:line="262" w:lineRule="auto"/>
        <w:rPr>
          <w:sz w:val="20"/>
          <w:szCs w:val="20"/>
          <w:color w:val="auto"/>
        </w:rPr>
      </w:pPr>
      <w:r>
        <w:rPr>
          <w:rFonts w:ascii="Times New Roman" w:cs="Times New Roman" w:eastAsia="Times New Roman" w:hAnsi="Times New Roman"/>
          <w:sz w:val="19"/>
          <w:szCs w:val="19"/>
          <w:color w:val="auto"/>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MANUFACTURING AND SUPPLY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Reagent and Flow Cell Consumables</w:t>
      </w:r>
    </w:p>
    <w:p>
      <w:pPr>
        <w:spacing w:after="0" w:line="196"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Times New Roman" w:cs="Times New Roman" w:eastAsia="Times New Roman" w:hAnsi="Times New Roman"/>
          <w:sz w:val="19"/>
          <w:szCs w:val="19"/>
          <w:b w:val="1"/>
          <w:bCs w:val="1"/>
          <w:i w:val="1"/>
          <w:iCs w:val="1"/>
          <w:color w:val="auto"/>
        </w:rPr>
        <w:t>Risk Factors— Risks Related to our Business.</w:t>
      </w:r>
      <w:r>
        <w:rPr>
          <w:rFonts w:ascii="Times New Roman" w:cs="Times New Roman" w:eastAsia="Times New Roman" w:hAnsi="Times New Roman"/>
          <w:sz w:val="19"/>
          <w:szCs w:val="19"/>
          <w:color w:val="auto"/>
        </w:rPr>
        <w: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Instrumentation</w:t>
      </w:r>
    </w:p>
    <w:p>
      <w:pPr>
        <w:spacing w:after="0" w:line="196" w:lineRule="exact"/>
        <w:rPr>
          <w:sz w:val="20"/>
          <w:szCs w:val="20"/>
          <w:color w:val="auto"/>
        </w:rPr>
      </w:pPr>
    </w:p>
    <w:p>
      <w:pPr>
        <w:ind w:right="120" w:firstLine="349"/>
        <w:spacing w:after="0" w:line="263" w:lineRule="auto"/>
        <w:rPr>
          <w:sz w:val="20"/>
          <w:szCs w:val="20"/>
          <w:color w:val="auto"/>
        </w:rPr>
      </w:pPr>
      <w:r>
        <w:rPr>
          <w:rFonts w:ascii="Times New Roman" w:cs="Times New Roman" w:eastAsia="Times New Roman" w:hAnsi="Times New Roman"/>
          <w:sz w:val="19"/>
          <w:szCs w:val="19"/>
          <w:color w:val="auto"/>
        </w:rPr>
        <w:t>Our proteome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or at our manufacturing partner facilities.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196"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auto"/>
        </w:rPr>
        <w:t>The life sciences market is highly competitive. There are other companies, both established and early-stage, that have indicated that they are designing, manufacturing and marketing products for, among other things, multiplexed or high-throughput proteomic</w:t>
      </w:r>
    </w:p>
    <w:p>
      <w:pPr>
        <w:sectPr>
          <w:pgSz w:w="11880" w:h="15480" w:orient="portrait"/>
          <w:cols w:equalWidth="0" w:num="1">
            <w:col w:w="10460"/>
          </w:cols>
          <w:pgMar w:left="700" w:top="691" w:right="720" w:bottom="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ectPr>
          <w:pgSz w:w="11880" w:h="15480" w:orient="portrait"/>
          <w:cols w:equalWidth="0" w:num="1">
            <w:col w:w="10460"/>
          </w:cols>
          <w:pgMar w:left="700" w:top="691" w:right="720" w:bottom="0" w:gutter="0" w:footer="0" w:header="0"/>
          <w:type w:val="continuous"/>
        </w:sectPr>
      </w:pPr>
    </w:p>
    <w:bookmarkStart w:id="33" w:name="page34"/>
    <w:bookmarkEnd w:id="33"/>
    <w:p>
      <w:pPr>
        <w:ind w:right="320"/>
        <w:spacing w:after="0" w:line="262" w:lineRule="auto"/>
        <w:rPr>
          <w:sz w:val="20"/>
          <w:szCs w:val="20"/>
          <w:color w:val="auto"/>
        </w:rPr>
      </w:pPr>
      <w:r>
        <w:rPr>
          <w:rFonts w:ascii="Times New Roman" w:cs="Times New Roman" w:eastAsia="Times New Roman" w:hAnsi="Times New Roman"/>
          <w:sz w:val="19"/>
          <w:szCs w:val="19"/>
          <w:color w:val="auto"/>
        </w:rPr>
        <w:t>analysis. Nautilus currently competes with technology and diagnostic companies that supply components, products, and services to customers engaged in proteomics analysis. Major competitors include Thermo Fisher Scientific (including Olink); Bruker Corporation; Agilent Technologies; Danaher (SCIEX); Becton, Dickinson and Company; Quanterix; Standard Biotools (formerly known as Somalogic).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w:t>
      </w:r>
    </w:p>
    <w:p>
      <w:pPr>
        <w:spacing w:after="0" w:line="136" w:lineRule="exact"/>
        <w:rPr>
          <w:sz w:val="20"/>
          <w:szCs w:val="20"/>
          <w:color w:val="auto"/>
        </w:rPr>
      </w:pPr>
    </w:p>
    <w:p>
      <w:pPr>
        <w:ind w:right="160" w:firstLine="349"/>
        <w:spacing w:after="0" w:line="265" w:lineRule="auto"/>
        <w:rPr>
          <w:sz w:val="20"/>
          <w:szCs w:val="20"/>
          <w:color w:val="auto"/>
        </w:rPr>
      </w:pPr>
      <w:r>
        <w:rPr>
          <w:rFonts w:ascii="Times New Roman" w:cs="Times New Roman" w:eastAsia="Times New Roman" w:hAnsi="Times New Roman"/>
          <w:sz w:val="19"/>
          <w:szCs w:val="19"/>
          <w:color w:val="auto"/>
        </w:rPr>
        <w:t>However, we believe we are substantially differentiated from our competitors for many reasons, including our novel approach to high throughput and massively parallel proteomic technology, the unique and proprietary nature of our technologies, the novel detail of protein modification mapping our platform can achieve,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GOVERNMENT REGULATION</w:t>
      </w:r>
    </w:p>
    <w:p>
      <w:pPr>
        <w:spacing w:after="0" w:line="196"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The development, testing, manufacturing, marketing, post-market surveillance, distribution, advertising and labeling of certain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44"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36"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44" w:lineRule="exact"/>
        <w:rPr>
          <w:sz w:val="20"/>
          <w:szCs w:val="20"/>
          <w:color w:val="auto"/>
        </w:rPr>
      </w:pPr>
    </w:p>
    <w:p>
      <w:pPr>
        <w:ind w:right="80" w:firstLine="349"/>
        <w:spacing w:after="0" w:line="261" w:lineRule="auto"/>
        <w:rPr>
          <w:sz w:val="20"/>
          <w:szCs w:val="20"/>
          <w:color w:val="auto"/>
        </w:rPr>
      </w:pPr>
      <w:r>
        <w:rPr>
          <w:rFonts w:ascii="Times New Roman" w:cs="Times New Roman" w:eastAsia="Times New Roman" w:hAnsi="Times New Roman"/>
          <w:sz w:val="19"/>
          <w:szCs w:val="19"/>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7"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880" w:h="15480" w:orient="portrait"/>
          <w:cols w:equalWidth="0" w:num="1">
            <w:col w:w="10480"/>
          </w:cols>
          <w:pgMar w:left="700" w:top="691" w:right="700" w:bottom="0" w:gutter="0" w:footer="0" w:header="0"/>
          <w:type w:val="continuous"/>
        </w:sectPr>
      </w:pPr>
    </w:p>
    <w:bookmarkStart w:id="34" w:name="page35"/>
    <w:bookmarkEnd w:id="34"/>
    <w:p>
      <w:pPr>
        <w:ind w:left="1" w:right="20"/>
        <w:spacing w:after="0" w:line="260" w:lineRule="auto"/>
        <w:rPr>
          <w:sz w:val="20"/>
          <w:szCs w:val="20"/>
          <w:color w:val="auto"/>
        </w:rPr>
      </w:pPr>
      <w:r>
        <w:rPr>
          <w:rFonts w:ascii="Times New Roman" w:cs="Times New Roman" w:eastAsia="Times New Roman" w:hAnsi="Times New Roman"/>
          <w:sz w:val="19"/>
          <w:szCs w:val="19"/>
          <w:color w:val="auto"/>
        </w:rPr>
        <w:t>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w:t>
      </w:r>
    </w:p>
    <w:p>
      <w:pPr>
        <w:spacing w:after="0" w:line="1" w:lineRule="exact"/>
        <w:rPr>
          <w:sz w:val="20"/>
          <w:szCs w:val="20"/>
          <w:color w:val="auto"/>
        </w:rPr>
      </w:pPr>
    </w:p>
    <w:p>
      <w:pPr>
        <w:jc w:val="both"/>
        <w:ind w:left="1" w:right="60" w:hanging="1"/>
        <w:spacing w:after="0" w:line="263" w:lineRule="auto"/>
        <w:tabs>
          <w:tab w:leader="none" w:pos="17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35" w:lineRule="exact"/>
        <w:rPr>
          <w:sz w:val="20"/>
          <w:szCs w:val="20"/>
          <w:color w:val="auto"/>
        </w:rPr>
      </w:pPr>
    </w:p>
    <w:p>
      <w:pPr>
        <w:ind w:left="1" w:firstLine="349"/>
        <w:spacing w:after="0" w:line="260" w:lineRule="auto"/>
        <w:rPr>
          <w:sz w:val="20"/>
          <w:szCs w:val="20"/>
          <w:color w:val="auto"/>
        </w:rPr>
      </w:pPr>
      <w:r>
        <w:rPr>
          <w:rFonts w:ascii="Times New Roman" w:cs="Times New Roman" w:eastAsia="Times New Roman" w:hAnsi="Times New Roman"/>
          <w:sz w:val="19"/>
          <w:szCs w:val="19"/>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37" w:lineRule="exact"/>
        <w:rPr>
          <w:sz w:val="20"/>
          <w:szCs w:val="20"/>
          <w:color w:val="auto"/>
        </w:rPr>
      </w:pPr>
    </w:p>
    <w:p>
      <w:pPr>
        <w:ind w:left="1" w:firstLine="349"/>
        <w:spacing w:after="0" w:line="260" w:lineRule="auto"/>
        <w:rPr>
          <w:sz w:val="20"/>
          <w:szCs w:val="20"/>
          <w:color w:val="auto"/>
        </w:rPr>
      </w:pPr>
      <w:r>
        <w:rPr>
          <w:rFonts w:ascii="Times New Roman" w:cs="Times New Roman" w:eastAsia="Times New Roman" w:hAnsi="Times New Roman"/>
          <w:sz w:val="19"/>
          <w:szCs w:val="19"/>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41" w:lineRule="exact"/>
        <w:rPr>
          <w:sz w:val="20"/>
          <w:szCs w:val="20"/>
          <w:color w:val="auto"/>
        </w:rPr>
      </w:pPr>
    </w:p>
    <w:p>
      <w:pPr>
        <w:ind w:left="1" w:right="120" w:firstLine="349"/>
        <w:spacing w:after="0" w:line="265" w:lineRule="auto"/>
        <w:rPr>
          <w:sz w:val="20"/>
          <w:szCs w:val="20"/>
          <w:color w:val="auto"/>
        </w:rPr>
      </w:pPr>
      <w:r>
        <w:rPr>
          <w:rFonts w:ascii="Times New Roman" w:cs="Times New Roman" w:eastAsia="Times New Roman" w:hAnsi="Times New Roman"/>
          <w:sz w:val="19"/>
          <w:szCs w:val="19"/>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33" w:lineRule="exact"/>
        <w:rPr>
          <w:sz w:val="20"/>
          <w:szCs w:val="20"/>
          <w:color w:val="auto"/>
        </w:rPr>
      </w:pPr>
    </w:p>
    <w:p>
      <w:pPr>
        <w:ind w:left="1" w:right="60" w:firstLine="349"/>
        <w:spacing w:after="0" w:line="258" w:lineRule="auto"/>
        <w:rPr>
          <w:sz w:val="20"/>
          <w:szCs w:val="20"/>
          <w:color w:val="auto"/>
        </w:rPr>
      </w:pPr>
      <w:r>
        <w:rPr>
          <w:rFonts w:ascii="Times New Roman" w:cs="Times New Roman" w:eastAsia="Times New Roman" w:hAnsi="Times New Roman"/>
          <w:sz w:val="19"/>
          <w:szCs w:val="19"/>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Legislative and administrative proposals to amend the FDA's oversight of LDTs have been introduced in recent years, including the Verifying Accurate Leading-edge IVCT Development Act of 2021 (“VALID Act”), which aims to create a new category of medical products separate from medical devices called “in vitro clinical tests,” or IVCTs, and bring all such products within the scope of the FDA’s oversight. To date, Congress has not passed the VALID Act. In May 2024, the FDA issued a final rule that phases out its enforcement discretion for most laboratory-developed tests (LDTs) and amended the FDA’s regulations to make explicit that in vitro diagnostics are medical devices under the Federal Food, Drug, and Cosmetic Act, including when the manufacturer of the diagnostic product is a laboratory. This final rule is being challenged in federal courts.</w:t>
      </w:r>
    </w:p>
    <w:p>
      <w:pPr>
        <w:spacing w:after="0" w:line="146" w:lineRule="exact"/>
        <w:rPr>
          <w:sz w:val="20"/>
          <w:szCs w:val="20"/>
          <w:color w:val="auto"/>
        </w:rPr>
      </w:pPr>
    </w:p>
    <w:p>
      <w:pPr>
        <w:ind w:left="1" w:firstLine="349"/>
        <w:spacing w:after="0" w:line="262" w:lineRule="auto"/>
        <w:rPr>
          <w:sz w:val="20"/>
          <w:szCs w:val="20"/>
          <w:color w:val="auto"/>
        </w:rPr>
      </w:pPr>
      <w:r>
        <w:rPr>
          <w:rFonts w:ascii="Times New Roman" w:cs="Times New Roman" w:eastAsia="Times New Roman" w:hAnsi="Times New Roman"/>
          <w:sz w:val="19"/>
          <w:szCs w:val="19"/>
          <w:color w:val="auto"/>
        </w:rPr>
        <w:t xml:space="preserve">In June 2024, the U.S. Supreme Court overruled the </w:t>
      </w:r>
      <w:r>
        <w:rPr>
          <w:rFonts w:ascii="Times New Roman" w:cs="Times New Roman" w:eastAsia="Times New Roman" w:hAnsi="Times New Roman"/>
          <w:sz w:val="19"/>
          <w:szCs w:val="19"/>
          <w:b w:val="1"/>
          <w:bCs w:val="1"/>
          <w:i w:val="1"/>
          <w:iCs w:val="1"/>
          <w:color w:val="auto"/>
        </w:rPr>
        <w:t>Chevron</w:t>
      </w:r>
      <w:r>
        <w:rPr>
          <w:rFonts w:ascii="Times New Roman" w:cs="Times New Roman" w:eastAsia="Times New Roman" w:hAnsi="Times New Roman"/>
          <w:sz w:val="19"/>
          <w:szCs w:val="19"/>
          <w:color w:val="auto"/>
        </w:rPr>
        <w:t xml:space="preserve"> doctrine, which gives deference to regulatory agencies’ statutory interpretations in litigation against federal government agencies, such as the FDA, where the law is ambiguous. This landmark Supreme Court decision may invite various stakeholders to bring lawsuits against the FDA and other federal agencies to challenge longstanding decisions and policies, including this LDT final rule. Further, the new administration, including changes in the leadership at the FDA and other federal agencies, may issue new policies and regulations that can impact the compliance status of our products or that of our customers. It is unclear how future legislation by federal and state governments and FDA regulation will impact the industry, including our business and that of our customers.</w:t>
      </w:r>
    </w:p>
    <w:p>
      <w:pPr>
        <w:spacing w:after="0" w:line="138" w:lineRule="exact"/>
        <w:rPr>
          <w:sz w:val="20"/>
          <w:szCs w:val="20"/>
          <w:color w:val="auto"/>
        </w:rPr>
      </w:pPr>
    </w:p>
    <w:p>
      <w:pPr>
        <w:ind w:left="1" w:right="300" w:firstLine="349"/>
        <w:spacing w:after="0" w:line="293" w:lineRule="auto"/>
        <w:rPr>
          <w:sz w:val="20"/>
          <w:szCs w:val="20"/>
          <w:color w:val="auto"/>
        </w:rPr>
      </w:pPr>
      <w:r>
        <w:rPr>
          <w:rFonts w:ascii="Times New Roman" w:cs="Times New Roman" w:eastAsia="Times New Roman" w:hAnsi="Times New Roman"/>
          <w:sz w:val="19"/>
          <w:szCs w:val="19"/>
          <w:color w:val="auto"/>
        </w:rPr>
        <w:t>Any future legislative or administrative rule making or oversight of LDTs and LDT manufacturers, if and when finalized, may impact the sales of our products and how customers use our products, and may require us to change our business model in order to</w:t>
      </w:r>
    </w:p>
    <w:p>
      <w:pPr>
        <w:sectPr>
          <w:pgSz w:w="11880" w:h="15480" w:orient="portrait"/>
          <w:cols w:equalWidth="0" w:num="1">
            <w:col w:w="10461"/>
          </w:cols>
          <w:pgMar w:left="699" w:top="691" w:right="720" w:bottom="0" w:gutter="0" w:footer="0" w:header="0"/>
        </w:sect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ectPr>
          <w:pgSz w:w="11880" w:h="15480" w:orient="portrait"/>
          <w:cols w:equalWidth="0" w:num="1">
            <w:col w:w="10461"/>
          </w:cols>
          <w:pgMar w:left="699" w:top="691" w:right="720" w:bottom="0" w:gutter="0" w:footer="0" w:header="0"/>
          <w:type w:val="continuous"/>
        </w:sectPr>
      </w:pPr>
    </w:p>
    <w:bookmarkStart w:id="35" w:name="page36"/>
    <w:bookmarkEnd w:id="35"/>
    <w:p>
      <w:pPr>
        <w:ind w:right="120"/>
        <w:spacing w:after="0" w:line="265" w:lineRule="auto"/>
        <w:rPr>
          <w:sz w:val="20"/>
          <w:szCs w:val="20"/>
          <w:color w:val="auto"/>
        </w:rPr>
      </w:pPr>
      <w:r>
        <w:rPr>
          <w:rFonts w:ascii="Times New Roman" w:cs="Times New Roman" w:eastAsia="Times New Roman" w:hAnsi="Times New Roman"/>
          <w:sz w:val="19"/>
          <w:szCs w:val="19"/>
          <w:color w:val="auto"/>
        </w:rPr>
        <w:t>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 including U.S. healthcare fraud and abuse laws, such as the federal Anti-Kickback Statute and the False Claims Act, as well as reporting and transparency laws, such as the Sunshine Act.</w:t>
      </w:r>
    </w:p>
    <w:p>
      <w:pPr>
        <w:spacing w:after="0" w:line="133" w:lineRule="exact"/>
        <w:rPr>
          <w:sz w:val="20"/>
          <w:szCs w:val="20"/>
          <w:color w:val="auto"/>
        </w:rPr>
      </w:pPr>
    </w:p>
    <w:p>
      <w:pPr>
        <w:ind w:right="100" w:firstLine="349"/>
        <w:spacing w:after="0" w:line="260" w:lineRule="auto"/>
        <w:rPr>
          <w:sz w:val="20"/>
          <w:szCs w:val="20"/>
          <w:color w:val="auto"/>
        </w:rPr>
      </w:pPr>
      <w:r>
        <w:rPr>
          <w:rFonts w:ascii="Times New Roman" w:cs="Times New Roman" w:eastAsia="Times New Roman" w:hAnsi="Times New Roman"/>
          <w:sz w:val="19"/>
          <w:szCs w:val="19"/>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The EU IVDR was entered into application on May 26, 2022, which replaced the IVD Directive and aims to improve the quality, safety and reliability of in vitro diagnostic medical devices with a new risk-based device classification system, provide for more detailed and stringent rules on the evaluation of device performance, and to enhance vigilance and post-market surveillance, among other changes. Outside of the EU, regulatory authorization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1"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39" w:lineRule="exact"/>
        <w:rPr>
          <w:sz w:val="20"/>
          <w:szCs w:val="20"/>
          <w:color w:val="auto"/>
        </w:rPr>
      </w:pPr>
    </w:p>
    <w:p>
      <w:pPr>
        <w:ind w:right="680" w:firstLine="349"/>
        <w:spacing w:after="0" w:line="295" w:lineRule="auto"/>
        <w:rPr>
          <w:sz w:val="20"/>
          <w:szCs w:val="20"/>
          <w:color w:val="auto"/>
        </w:rPr>
      </w:pPr>
      <w:r>
        <w:rPr>
          <w:rFonts w:ascii="Times New Roman" w:cs="Times New Roman" w:eastAsia="Times New Roman" w:hAnsi="Times New Roman"/>
          <w:sz w:val="19"/>
          <w:szCs w:val="19"/>
          <w:color w:val="auto"/>
        </w:rPr>
        <w:t>For further discussion of the risks we face relating to regulation, see the section titled “</w:t>
      </w:r>
      <w:r>
        <w:rPr>
          <w:rFonts w:ascii="Times New Roman" w:cs="Times New Roman" w:eastAsia="Times New Roman" w:hAnsi="Times New Roman"/>
          <w:sz w:val="19"/>
          <w:szCs w:val="19"/>
          <w:b w:val="1"/>
          <w:bCs w:val="1"/>
          <w:i w:val="1"/>
          <w:iCs w:val="1"/>
          <w:color w:val="auto"/>
        </w:rPr>
        <w:t>Risk factors— Risks Related to our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Business— Risks Related to Regulatory and Legal Compliance Matters.</w:t>
      </w:r>
      <w:r>
        <w:rPr>
          <w:rFonts w:ascii="Times New Roman" w:cs="Times New Roman" w:eastAsia="Times New Roman" w:hAnsi="Times New Roman"/>
          <w:sz w:val="19"/>
          <w:szCs w:val="19"/>
          <w:color w:val="auto"/>
        </w:rPr>
        <w:t>”</w:t>
      </w:r>
    </w:p>
    <w:p>
      <w:pPr>
        <w:spacing w:after="0" w:line="105"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37"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37"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w:t>
      </w:r>
    </w:p>
    <w:p>
      <w:pPr>
        <w:sectPr>
          <w:pgSz w:w="11880" w:h="15480" w:orient="portrait"/>
          <w:cols w:equalWidth="0" w:num="1">
            <w:col w:w="10480"/>
          </w:cols>
          <w:pgMar w:left="700" w:top="691" w:right="700" w:bottom="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880" w:h="15480" w:orient="portrait"/>
          <w:cols w:equalWidth="0" w:num="1">
            <w:col w:w="10480"/>
          </w:cols>
          <w:pgMar w:left="700" w:top="691" w:right="700" w:bottom="0" w:gutter="0" w:footer="0" w:header="0"/>
          <w:type w:val="continuous"/>
        </w:sectPr>
      </w:pPr>
    </w:p>
    <w:bookmarkStart w:id="36" w:name="page37"/>
    <w:bookmarkEnd w:id="36"/>
    <w:p>
      <w:pPr>
        <w:ind w:right="340"/>
        <w:spacing w:after="0" w:line="293" w:lineRule="auto"/>
        <w:rPr>
          <w:sz w:val="20"/>
          <w:szCs w:val="20"/>
          <w:color w:val="auto"/>
        </w:rPr>
      </w:pPr>
      <w:r>
        <w:rPr>
          <w:rFonts w:ascii="Times New Roman" w:cs="Times New Roman" w:eastAsia="Times New Roman" w:hAnsi="Times New Roman"/>
          <w:sz w:val="19"/>
          <w:szCs w:val="19"/>
          <w:color w:val="auto"/>
        </w:rPr>
        <w:t>business or require us to change our business practices, and despite those efforts, there is a risk that we may be subject to fines and penalties, litigation, and reputational harm in connection with our European activities.</w:t>
      </w:r>
    </w:p>
    <w:p>
      <w:pPr>
        <w:spacing w:after="0" w:line="107"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31"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134" w:lineRule="exact"/>
        <w:rPr>
          <w:sz w:val="20"/>
          <w:szCs w:val="20"/>
          <w:color w:val="auto"/>
        </w:rPr>
      </w:pPr>
    </w:p>
    <w:p>
      <w:pPr>
        <w:ind w:right="680" w:firstLine="349"/>
        <w:spacing w:after="0" w:line="295" w:lineRule="auto"/>
        <w:rPr>
          <w:sz w:val="20"/>
          <w:szCs w:val="20"/>
          <w:color w:val="auto"/>
        </w:rPr>
      </w:pPr>
      <w:r>
        <w:rPr>
          <w:rFonts w:ascii="Times New Roman" w:cs="Times New Roman" w:eastAsia="Times New Roman" w:hAnsi="Times New Roman"/>
          <w:sz w:val="19"/>
          <w:szCs w:val="19"/>
          <w:color w:val="auto"/>
        </w:rPr>
        <w:t>For further discussion of the risks we face relating to regulation, see the section titled “</w:t>
      </w:r>
      <w:r>
        <w:rPr>
          <w:rFonts w:ascii="Times New Roman" w:cs="Times New Roman" w:eastAsia="Times New Roman" w:hAnsi="Times New Roman"/>
          <w:sz w:val="19"/>
          <w:szCs w:val="19"/>
          <w:b w:val="1"/>
          <w:bCs w:val="1"/>
          <w:i w:val="1"/>
          <w:iCs w:val="1"/>
          <w:color w:val="auto"/>
        </w:rPr>
        <w:t>Risk factors— Risks Related to our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Business— Risks Related to Regulatory and Legal Compliance Matters.</w:t>
      </w:r>
      <w:r>
        <w:rPr>
          <w:rFonts w:ascii="Times New Roman" w:cs="Times New Roman" w:eastAsia="Times New Roman" w:hAnsi="Times New Roman"/>
          <w:sz w:val="19"/>
          <w:szCs w:val="19"/>
          <w:color w:val="auto"/>
        </w:rPr>
        <w: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Patents</w:t>
      </w:r>
    </w:p>
    <w:p>
      <w:pPr>
        <w:spacing w:after="0" w:line="196" w:lineRule="exact"/>
        <w:rPr>
          <w:sz w:val="20"/>
          <w:szCs w:val="20"/>
          <w:color w:val="auto"/>
        </w:rPr>
      </w:pPr>
    </w:p>
    <w:p>
      <w:pPr>
        <w:ind w:right="760" w:firstLine="349"/>
        <w:spacing w:after="0" w:line="293" w:lineRule="auto"/>
        <w:rPr>
          <w:sz w:val="20"/>
          <w:szCs w:val="20"/>
          <w:color w:val="auto"/>
        </w:rPr>
      </w:pPr>
      <w:r>
        <w:rPr>
          <w:rFonts w:ascii="Times New Roman" w:cs="Times New Roman" w:eastAsia="Times New Roman" w:hAnsi="Times New Roman"/>
          <w:sz w:val="19"/>
          <w:szCs w:val="19"/>
          <w:color w:val="auto"/>
        </w:rPr>
        <w:t>We strive to obtain and maintain intellectual protection for our products and technology by using a variety of intellectual protection strategies, such as patents, trademarks, trade secrets and other methods of protecting proprietary information.</w:t>
      </w:r>
    </w:p>
    <w:p>
      <w:pPr>
        <w:spacing w:after="0" w:line="107" w:lineRule="exact"/>
        <w:rPr>
          <w:sz w:val="20"/>
          <w:szCs w:val="20"/>
          <w:color w:val="auto"/>
        </w:rPr>
      </w:pPr>
    </w:p>
    <w:p>
      <w:pPr>
        <w:ind w:right="140" w:firstLine="349"/>
        <w:spacing w:after="0" w:line="263" w:lineRule="auto"/>
        <w:rPr>
          <w:sz w:val="20"/>
          <w:szCs w:val="20"/>
          <w:color w:val="auto"/>
        </w:rPr>
      </w:pPr>
      <w:r>
        <w:rPr>
          <w:rFonts w:ascii="Times New Roman" w:cs="Times New Roman" w:eastAsia="Times New Roman" w:hAnsi="Times New Roman"/>
          <w:sz w:val="19"/>
          <w:szCs w:val="19"/>
          <w:color w:val="auto"/>
        </w:rPr>
        <w:t>As of December 31, 2024, we owned or held exclusive licenses to thirty one issued U.S. patents, approximately sixty pending U.S. non-provisional patent applications, approximately nineteen pending U.S. provisional patent applications, approximately twenty five granted foreign patents, and approximately one hundred thirty six pending foreign patent applications, including twenty four international patent applications filed under the Patent Cooperation Treaty (PCT application). Our owned and exclusively licensed patents and patent applications, if issued, are expected to expire between 2026 and 2044, in each case absent any patent term adjustments or extensions and assuming payment of all appropriate maintenance, renewal, annuity, or other governmental fees.</w:t>
      </w:r>
    </w:p>
    <w:p>
      <w:pPr>
        <w:spacing w:after="0" w:line="13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arrays and other consumables; sample preparation; high throughput decoding algorithms, and algorithms for secondary analysis of proteins and proteomes, amongst other things.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Trade Secrets</w:t>
      </w:r>
    </w:p>
    <w:p>
      <w:pPr>
        <w:spacing w:after="0" w:line="196" w:lineRule="exact"/>
        <w:rPr>
          <w:sz w:val="20"/>
          <w:szCs w:val="20"/>
          <w:color w:val="auto"/>
        </w:rPr>
      </w:pPr>
    </w:p>
    <w:p>
      <w:pPr>
        <w:ind w:right="60" w:firstLine="349"/>
        <w:spacing w:after="0" w:line="261" w:lineRule="auto"/>
        <w:rPr>
          <w:sz w:val="20"/>
          <w:szCs w:val="20"/>
          <w:color w:val="auto"/>
        </w:rPr>
      </w:pPr>
      <w:r>
        <w:rPr>
          <w:rFonts w:ascii="Times New Roman" w:cs="Times New Roman" w:eastAsia="Times New Roman" w:hAnsi="Times New Roman"/>
          <w:sz w:val="19"/>
          <w:szCs w:val="19"/>
          <w:color w:val="auto"/>
        </w:rPr>
        <w:t>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Trademarks</w:t>
      </w:r>
    </w:p>
    <w:p>
      <w:pPr>
        <w:spacing w:after="0" w:line="196"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As of December 31, 2024, we owned approximately thirty four registered trademarks covering four different marks in Australia, Brazil, Canada, China, the European Union, India, Israel, Japan, Mexico, Singapore, Switzerland. In addition, we have approximately twenty pending trademark applications covering seven different marks in the U.S., Brazil, Canada, China, India, Japan, Korea, and Mexico.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Collaboration Agreements</w:t>
      </w:r>
    </w:p>
    <w:p>
      <w:pPr>
        <w:spacing w:after="0" w:line="196" w:lineRule="exact"/>
        <w:rPr>
          <w:sz w:val="20"/>
          <w:szCs w:val="20"/>
          <w:color w:val="auto"/>
        </w:rPr>
      </w:pPr>
    </w:p>
    <w:p>
      <w:pPr>
        <w:ind w:right="180" w:firstLine="349"/>
        <w:spacing w:after="0" w:line="268" w:lineRule="auto"/>
        <w:rPr>
          <w:sz w:val="20"/>
          <w:szCs w:val="20"/>
          <w:color w:val="auto"/>
        </w:rPr>
      </w:pPr>
      <w:r>
        <w:rPr>
          <w:rFonts w:ascii="Times New Roman" w:cs="Times New Roman" w:eastAsia="Times New Roman" w:hAnsi="Times New Roman"/>
          <w:sz w:val="19"/>
          <w:szCs w:val="19"/>
          <w:color w:val="auto"/>
        </w:rPr>
        <w:t>We have entered into research collaboration agreements with Genentech in December 2020, with Amgen in October 2021, with The University of Texas MD Anderson Cancer Center in October 2021, and with The Buck Institute for Research on Aging in February 2025. Under each of these agreements, respective research collaboration teams are using prototype versions of the Nautilus platform in pilot projects to learn about it’s capabilities and accelerate the development process to meet the needs of our future</w:t>
      </w:r>
    </w:p>
    <w:p>
      <w:pPr>
        <w:sectPr>
          <w:pgSz w:w="11880" w:h="15480" w:orient="portrait"/>
          <w:cols w:equalWidth="0" w:num="1">
            <w:col w:w="10480"/>
          </w:cols>
          <w:pgMar w:left="700" w:top="691" w:right="700" w:bottom="0"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880" w:h="15480" w:orient="portrait"/>
          <w:cols w:equalWidth="0" w:num="1">
            <w:col w:w="10480"/>
          </w:cols>
          <w:pgMar w:left="700" w:top="691" w:right="700" w:bottom="0" w:gutter="0" w:footer="0" w:header="0"/>
          <w:type w:val="continuous"/>
        </w:sectPr>
      </w:pPr>
    </w:p>
    <w:bookmarkStart w:id="37" w:name="page38"/>
    <w:bookmarkEnd w:id="37"/>
    <w:p>
      <w:pPr>
        <w:ind w:right="680"/>
        <w:spacing w:after="0" w:line="293" w:lineRule="auto"/>
        <w:rPr>
          <w:sz w:val="20"/>
          <w:szCs w:val="20"/>
          <w:color w:val="auto"/>
        </w:rPr>
      </w:pPr>
      <w:r>
        <w:rPr>
          <w:rFonts w:ascii="Times New Roman" w:cs="Times New Roman" w:eastAsia="Times New Roman" w:hAnsi="Times New Roman"/>
          <w:sz w:val="19"/>
          <w:szCs w:val="19"/>
          <w:color w:val="auto"/>
        </w:rPr>
        <w:t>customers. These agreements are for research only and are not expected to generate any revenues, however they may provide opportunities for the parties to jointly apply for and secure grants, awards, or other government or non-profit research funding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Scientific Advisory Board</w:t>
      </w:r>
    </w:p>
    <w:p>
      <w:pPr>
        <w:spacing w:after="0" w:line="196" w:lineRule="exact"/>
        <w:rPr>
          <w:sz w:val="20"/>
          <w:szCs w:val="20"/>
          <w:color w:val="auto"/>
        </w:rPr>
      </w:pPr>
    </w:p>
    <w:p>
      <w:pPr>
        <w:ind w:right="320" w:firstLine="349"/>
        <w:spacing w:after="0" w:line="293" w:lineRule="auto"/>
        <w:rPr>
          <w:sz w:val="20"/>
          <w:szCs w:val="20"/>
          <w:color w:val="auto"/>
        </w:rPr>
      </w:pPr>
      <w:r>
        <w:rPr>
          <w:rFonts w:ascii="Times New Roman" w:cs="Times New Roman" w:eastAsia="Times New Roman" w:hAnsi="Times New Roman"/>
          <w:sz w:val="19"/>
          <w:szCs w:val="19"/>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Ruedi Aebersold, Ph.D.</w:t>
      </w:r>
    </w:p>
    <w:p>
      <w:pPr>
        <w:spacing w:after="0" w:line="191" w:lineRule="exact"/>
        <w:rPr>
          <w:sz w:val="20"/>
          <w:szCs w:val="20"/>
          <w:color w:val="auto"/>
        </w:rPr>
      </w:pPr>
    </w:p>
    <w:p>
      <w:pPr>
        <w:ind w:firstLine="349"/>
        <w:spacing w:after="0" w:line="286" w:lineRule="auto"/>
        <w:rPr>
          <w:sz w:val="20"/>
          <w:szCs w:val="20"/>
          <w:color w:val="auto"/>
        </w:rPr>
      </w:pPr>
      <w:r>
        <w:rPr>
          <w:rFonts w:ascii="Times New Roman" w:cs="Times New Roman" w:eastAsia="Times New Roman" w:hAnsi="Times New Roman"/>
          <w:sz w:val="19"/>
          <w:szCs w:val="19"/>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Lee Hartwell, Ph.D.</w:t>
      </w:r>
    </w:p>
    <w:p>
      <w:pPr>
        <w:spacing w:after="0" w:line="191" w:lineRule="exact"/>
        <w:rPr>
          <w:sz w:val="20"/>
          <w:szCs w:val="20"/>
          <w:color w:val="auto"/>
        </w:rPr>
      </w:pPr>
    </w:p>
    <w:p>
      <w:pPr>
        <w:ind w:right="280" w:firstLine="349"/>
        <w:spacing w:after="0" w:line="293" w:lineRule="auto"/>
        <w:rPr>
          <w:sz w:val="20"/>
          <w:szCs w:val="20"/>
          <w:color w:val="auto"/>
        </w:rPr>
      </w:pPr>
      <w:r>
        <w:rPr>
          <w:rFonts w:ascii="Times New Roman" w:cs="Times New Roman" w:eastAsia="Times New Roman" w:hAnsi="Times New Roman"/>
          <w:sz w:val="19"/>
          <w:szCs w:val="19"/>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Joshua LaBaer, MD, Ph.D.</w:t>
      </w:r>
    </w:p>
    <w:p>
      <w:pPr>
        <w:spacing w:after="0" w:line="191" w:lineRule="exact"/>
        <w:rPr>
          <w:sz w:val="20"/>
          <w:szCs w:val="20"/>
          <w:color w:val="auto"/>
        </w:rPr>
      </w:pPr>
    </w:p>
    <w:p>
      <w:pPr>
        <w:jc w:val="both"/>
        <w:ind w:right="220" w:firstLine="349"/>
        <w:spacing w:after="0" w:line="274" w:lineRule="auto"/>
        <w:rPr>
          <w:sz w:val="20"/>
          <w:szCs w:val="20"/>
          <w:color w:val="auto"/>
        </w:rPr>
      </w:pPr>
      <w:r>
        <w:rPr>
          <w:rFonts w:ascii="Times New Roman" w:cs="Times New Roman" w:eastAsia="Times New Roman" w:hAnsi="Times New Roman"/>
          <w:sz w:val="19"/>
          <w:szCs w:val="19"/>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Emma Lundberg, Ph.D.</w:t>
      </w:r>
    </w:p>
    <w:p>
      <w:pPr>
        <w:spacing w:after="0" w:line="191" w:lineRule="exact"/>
        <w:rPr>
          <w:sz w:val="20"/>
          <w:szCs w:val="20"/>
          <w:color w:val="auto"/>
        </w:rPr>
      </w:pPr>
    </w:p>
    <w:p>
      <w:pPr>
        <w:ind w:right="220" w:firstLine="349"/>
        <w:spacing w:after="0" w:line="274" w:lineRule="auto"/>
        <w:rPr>
          <w:sz w:val="20"/>
          <w:szCs w:val="20"/>
          <w:color w:val="auto"/>
        </w:rPr>
      </w:pPr>
      <w:r>
        <w:rPr>
          <w:rFonts w:ascii="Times New Roman" w:cs="Times New Roman" w:eastAsia="Times New Roman" w:hAnsi="Times New Roman"/>
          <w:sz w:val="19"/>
          <w:szCs w:val="19"/>
          <w:color w:val="auto"/>
        </w:rPr>
        <w:t>Dr. Lundberg is a Professor in cell biology proteomics at KTH Royal Institute of Technology, Sweden, and Director of the Cell Atlas of the Human Protein Atlas, an international proteomics and cell mapping project. Dr. Lundberg also holds the positions of Director of the Cell Profiling facility at the Science for Life Laboratory (SciLifeLab) in Sweden.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Employees and Human Capital</w:t>
      </w:r>
    </w:p>
    <w:p>
      <w:pPr>
        <w:spacing w:after="0" w:line="196" w:lineRule="exact"/>
        <w:rPr>
          <w:sz w:val="20"/>
          <w:szCs w:val="20"/>
          <w:color w:val="auto"/>
        </w:rPr>
      </w:pPr>
    </w:p>
    <w:p>
      <w:pPr>
        <w:ind w:right="100" w:firstLine="349"/>
        <w:spacing w:after="0" w:line="274" w:lineRule="auto"/>
        <w:rPr>
          <w:sz w:val="20"/>
          <w:szCs w:val="20"/>
          <w:color w:val="auto"/>
        </w:rPr>
      </w:pPr>
      <w:r>
        <w:rPr>
          <w:rFonts w:ascii="Times New Roman" w:cs="Times New Roman" w:eastAsia="Times New Roman" w:hAnsi="Times New Roman"/>
          <w:sz w:val="19"/>
          <w:szCs w:val="19"/>
          <w:color w:val="auto"/>
        </w:rPr>
        <w:t>As of December 31, 2024, we had 155 employees, all based in the United States, over one-third of whom hold doctorate degrees. Of these employees, 110 were engaged in research and development activities, and 45 were engaged in general and administrative activities. None of our employees are represented by a labor union or covered under a collective bargaining agreement.</w:t>
      </w:r>
    </w:p>
    <w:p>
      <w:pPr>
        <w:spacing w:after="0" w:line="125" w:lineRule="exact"/>
        <w:rPr>
          <w:sz w:val="20"/>
          <w:szCs w:val="20"/>
          <w:color w:val="auto"/>
        </w:rPr>
      </w:pPr>
    </w:p>
    <w:p>
      <w:pPr>
        <w:ind w:firstLine="349"/>
        <w:spacing w:after="0" w:line="267" w:lineRule="auto"/>
        <w:rPr>
          <w:sz w:val="20"/>
          <w:szCs w:val="20"/>
          <w:color w:val="auto"/>
        </w:rPr>
      </w:pPr>
      <w:r>
        <w:rPr>
          <w:rFonts w:ascii="Times New Roman" w:cs="Times New Roman" w:eastAsia="Times New Roman" w:hAnsi="Times New Roman"/>
          <w:sz w:val="19"/>
          <w:szCs w:val="19"/>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Corporate and Available Information</w:t>
      </w:r>
    </w:p>
    <w:p>
      <w:pPr>
        <w:spacing w:after="0" w:line="196"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We were incorporated as a Cayman Islands exempted company in March 2020 as a blank check company under the name ARYA Sciences Acquisition Corp III. On June 9, 2021, we consummated the Business Combination pursuant to the terms of the Business Combination Agreement. Pursuant to the terms of the Business Combination Agreement, on the Closing Date,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spacing w:after="0" w:line="133" w:lineRule="exact"/>
        <w:rPr>
          <w:sz w:val="20"/>
          <w:szCs w:val="20"/>
          <w:color w:val="auto"/>
        </w:rPr>
      </w:pPr>
    </w:p>
    <w:p>
      <w:pPr>
        <w:jc w:val="both"/>
        <w:ind w:right="120" w:firstLine="349"/>
        <w:spacing w:after="0" w:line="274" w:lineRule="auto"/>
        <w:rPr>
          <w:sz w:val="20"/>
          <w:szCs w:val="20"/>
          <w:color w:val="auto"/>
        </w:rPr>
      </w:pPr>
      <w:r>
        <w:rPr>
          <w:rFonts w:ascii="Times New Roman" w:cs="Times New Roman" w:eastAsia="Times New Roman" w:hAnsi="Times New Roman"/>
          <w:sz w:val="19"/>
          <w:szCs w:val="19"/>
          <w:color w:val="auto"/>
        </w:rPr>
        <w:t>Our principal executive offices are located at 2701 Eastlake Avenue East Seattle, Washington, 98102, and our telephone number is (206) 333-2001. Our investor relations website is located at https://investors.nautilus.bio/. Information contained on the website is not incorporated by reference into this Form 10-K or any other filings we make with the SEC.</w:t>
      </w:r>
    </w:p>
    <w:p>
      <w:pPr>
        <w:spacing w:after="0" w:line="125"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ectPr>
          <w:pgSz w:w="11880" w:h="15480" w:orient="portrait"/>
          <w:cols w:equalWidth="0" w:num="1">
            <w:col w:w="10460"/>
          </w:cols>
          <w:pgMar w:left="700" w:top="691" w:right="72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194" w:lineRule="exact"/>
        <w:rPr>
          <w:sz w:val="20"/>
          <w:szCs w:val="20"/>
          <w:color w:val="auto"/>
        </w:rPr>
      </w:pPr>
    </w:p>
    <w:p>
      <w:pPr>
        <w:ind w:right="4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You should consider carefully the following information about the risks described below, together with the other information contained in this Annual Report on Form 10-K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Summary Risk Factors</w:t>
      </w:r>
    </w:p>
    <w:p>
      <w:pPr>
        <w:spacing w:after="0" w:line="196" w:lineRule="exact"/>
        <w:rPr>
          <w:sz w:val="20"/>
          <w:szCs w:val="20"/>
          <w:color w:val="auto"/>
        </w:rPr>
      </w:pPr>
    </w:p>
    <w:p>
      <w:pPr>
        <w:ind w:right="260" w:firstLine="349"/>
        <w:spacing w:after="0" w:line="293" w:lineRule="auto"/>
        <w:rPr>
          <w:sz w:val="20"/>
          <w:szCs w:val="20"/>
          <w:color w:val="auto"/>
        </w:rPr>
      </w:pPr>
      <w:r>
        <w:rPr>
          <w:rFonts w:ascii="Times New Roman" w:cs="Times New Roman" w:eastAsia="Times New Roman" w:hAnsi="Times New Roman"/>
          <w:sz w:val="19"/>
          <w:szCs w:val="19"/>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Business</w:t>
      </w:r>
    </w:p>
    <w:p>
      <w:pPr>
        <w:spacing w:after="0" w:line="196" w:lineRule="exact"/>
        <w:rPr>
          <w:sz w:val="20"/>
          <w:szCs w:val="20"/>
          <w:color w:val="auto"/>
        </w:rPr>
      </w:pPr>
    </w:p>
    <w:p>
      <w:pPr>
        <w:ind w:right="300" w:firstLine="348"/>
        <w:spacing w:after="0" w:line="293" w:lineRule="auto"/>
        <w:tabs>
          <w:tab w:leader="none" w:pos="69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a development stage company that has incurred net losses in every period to date, has not yet commercialized any products, and expects to continue to incur significant losses as we develop our business.</w:t>
      </w:r>
    </w:p>
    <w:p>
      <w:pPr>
        <w:spacing w:after="0" w:line="107" w:lineRule="exact"/>
        <w:rPr>
          <w:rFonts w:ascii="Times New Roman" w:cs="Times New Roman" w:eastAsia="Times New Roman" w:hAnsi="Times New Roman"/>
          <w:sz w:val="19"/>
          <w:szCs w:val="19"/>
          <w:color w:val="auto"/>
        </w:rPr>
      </w:pPr>
    </w:p>
    <w:p>
      <w:pPr>
        <w:ind w:right="320" w:firstLine="348"/>
        <w:spacing w:after="0" w:line="274" w:lineRule="auto"/>
        <w:tabs>
          <w:tab w:leader="none" w:pos="69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2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compete successfully with our initial or future products in the highly competitive life sciences technology</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w:t>
      </w:r>
    </w:p>
    <w:p>
      <w:pPr>
        <w:spacing w:after="0" w:line="16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dependent upon third parties for certain aspects of the development and commercialization of the Nautilus platform.</w:t>
      </w:r>
    </w:p>
    <w:p>
      <w:pPr>
        <w:spacing w:after="0" w:line="189" w:lineRule="exact"/>
        <w:rPr>
          <w:rFonts w:ascii="Times New Roman" w:cs="Times New Roman" w:eastAsia="Times New Roman" w:hAnsi="Times New Roman"/>
          <w:sz w:val="19"/>
          <w:szCs w:val="19"/>
          <w:color w:val="auto"/>
        </w:rPr>
      </w:pPr>
    </w:p>
    <w:p>
      <w:pPr>
        <w:ind w:right="540" w:firstLine="348"/>
        <w:spacing w:after="0" w:line="293" w:lineRule="auto"/>
        <w:tabs>
          <w:tab w:leader="none" w:pos="69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07" w:lineRule="exact"/>
        <w:rPr>
          <w:rFonts w:ascii="Times New Roman" w:cs="Times New Roman" w:eastAsia="Times New Roman" w:hAnsi="Times New Roman"/>
          <w:sz w:val="19"/>
          <w:szCs w:val="19"/>
          <w:color w:val="auto"/>
        </w:rPr>
      </w:pPr>
    </w:p>
    <w:p>
      <w:pPr>
        <w:ind w:right="320" w:firstLine="348"/>
        <w:spacing w:after="0" w:line="293" w:lineRule="auto"/>
        <w:tabs>
          <w:tab w:leader="none" w:pos="69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be able to launch our Nautilus platform successfully and even if it is successful, we may experience material delays in our commercialization program relative to current expectations.</w:t>
      </w:r>
    </w:p>
    <w:p>
      <w:pPr>
        <w:spacing w:after="0" w:line="107" w:lineRule="exact"/>
        <w:rPr>
          <w:rFonts w:ascii="Times New Roman" w:cs="Times New Roman" w:eastAsia="Times New Roman" w:hAnsi="Times New Roman"/>
          <w:sz w:val="19"/>
          <w:szCs w:val="19"/>
          <w:color w:val="auto"/>
        </w:rPr>
      </w:pPr>
    </w:p>
    <w:p>
      <w:pPr>
        <w:ind w:right="240" w:firstLine="348"/>
        <w:spacing w:after="0" w:line="293" w:lineRule="auto"/>
        <w:tabs>
          <w:tab w:leader="none" w:pos="69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operating results may fluctuate significantly in the future, which makes our future operating results difficult to predict and could cause our operating results to fall below expectations or our guidance.</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expect that we will need to raise additional capital to fund our development and commercialization plans.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Intellectual Property</w:t>
      </w:r>
    </w:p>
    <w:p>
      <w:pPr>
        <w:spacing w:after="0" w:line="196" w:lineRule="exact"/>
        <w:rPr>
          <w:sz w:val="20"/>
          <w:szCs w:val="20"/>
          <w:color w:val="auto"/>
        </w:rPr>
      </w:pPr>
    </w:p>
    <w:p>
      <w:pPr>
        <w:jc w:val="both"/>
        <w:ind w:firstLine="348"/>
        <w:spacing w:after="0" w:line="274" w:lineRule="auto"/>
        <w:tabs>
          <w:tab w:leader="none" w:pos="69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2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be able to protect our intellectual property and proprietary rights throughout the world.</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Litigation</w:t>
      </w:r>
    </w:p>
    <w:p>
      <w:pPr>
        <w:spacing w:after="0" w:line="196" w:lineRule="exact"/>
        <w:rPr>
          <w:sz w:val="20"/>
          <w:szCs w:val="20"/>
          <w:color w:val="auto"/>
        </w:rPr>
      </w:pPr>
    </w:p>
    <w:p>
      <w:pPr>
        <w:ind w:right="480" w:firstLine="348"/>
        <w:spacing w:after="0" w:line="293" w:lineRule="auto"/>
        <w:tabs>
          <w:tab w:leader="none" w:pos="69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become involved in litigation to enforce or defend our intellectual property rights, or to defend ourselves from claims that we infringe the intellectual property rights of others.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face liability and/or negative publicity for any unknown defects or errors in our products.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Regulatory and Legal Compliance Matters</w:t>
      </w:r>
    </w:p>
    <w:p>
      <w:pPr>
        <w:spacing w:after="0" w:line="196" w:lineRule="exact"/>
        <w:rPr>
          <w:sz w:val="20"/>
          <w:szCs w:val="20"/>
          <w:color w:val="auto"/>
        </w:rPr>
      </w:pPr>
    </w:p>
    <w:p>
      <w:pPr>
        <w:ind w:left="700" w:hanging="352"/>
        <w:spacing w:after="0"/>
        <w:tabs>
          <w:tab w:leader="none" w:pos="7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products may, in the future, be subject to regulation by the FDA or other regulatory authorities.</w:t>
      </w:r>
    </w:p>
    <w:p>
      <w:pPr>
        <w:spacing w:after="0" w:line="189" w:lineRule="exact"/>
        <w:rPr>
          <w:rFonts w:ascii="Times New Roman" w:cs="Times New Roman" w:eastAsia="Times New Roman" w:hAnsi="Times New Roman"/>
          <w:sz w:val="19"/>
          <w:szCs w:val="19"/>
          <w:color w:val="auto"/>
        </w:rPr>
      </w:pPr>
    </w:p>
    <w:p>
      <w:pPr>
        <w:ind w:right="140" w:firstLine="348"/>
        <w:spacing w:after="0" w:line="293" w:lineRule="auto"/>
        <w:tabs>
          <w:tab w:leader="none" w:pos="69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07" w:lineRule="exact"/>
        <w:rPr>
          <w:rFonts w:ascii="Times New Roman" w:cs="Times New Roman" w:eastAsia="Times New Roman" w:hAnsi="Times New Roman"/>
          <w:sz w:val="19"/>
          <w:szCs w:val="19"/>
          <w:color w:val="auto"/>
        </w:rPr>
      </w:pPr>
    </w:p>
    <w:p>
      <w:pPr>
        <w:ind w:right="20" w:firstLine="348"/>
        <w:spacing w:after="0" w:line="293" w:lineRule="auto"/>
        <w:tabs>
          <w:tab w:leader="none" w:pos="69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07" w:lineRule="exact"/>
        <w:rPr>
          <w:rFonts w:ascii="Times New Roman" w:cs="Times New Roman" w:eastAsia="Times New Roman" w:hAnsi="Times New Roman"/>
          <w:sz w:val="19"/>
          <w:szCs w:val="19"/>
          <w:color w:val="auto"/>
        </w:rPr>
      </w:pPr>
    </w:p>
    <w:p>
      <w:pPr>
        <w:ind w:right="60" w:firstLine="348"/>
        <w:spacing w:after="0" w:line="293" w:lineRule="auto"/>
        <w:tabs>
          <w:tab w:leader="none" w:pos="69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Environmental and health safety laws, including any failure to comply with such laws, may result in liabilities, expenses and restrictions on our operations.</w:t>
      </w:r>
    </w:p>
    <w:p>
      <w:pPr>
        <w:sectPr>
          <w:pgSz w:w="11880" w:h="15480" w:orient="portrait"/>
          <w:cols w:equalWidth="0" w:num="1">
            <w:col w:w="10420"/>
          </w:cols>
          <w:pgMar w:left="700" w:top="68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37</w:t>
      </w:r>
    </w:p>
    <w:p>
      <w:pPr>
        <w:sectPr>
          <w:pgSz w:w="11880" w:h="15480" w:orient="portrait"/>
          <w:cols w:equalWidth="0" w:num="1">
            <w:col w:w="10420"/>
          </w:cols>
          <w:pgMar w:left="700" w:top="684" w:right="760" w:bottom="0" w:gutter="0" w:footer="0" w:header="0"/>
          <w:type w:val="continuous"/>
        </w:sectPr>
      </w:pPr>
    </w:p>
    <w:bookmarkStart w:id="39" w:name="page40"/>
    <w:bookmarkEnd w:id="39"/>
    <w:p>
      <w:pPr>
        <w:ind w:right="840" w:firstLine="348"/>
        <w:spacing w:after="0" w:line="293" w:lineRule="auto"/>
        <w:tabs>
          <w:tab w:leader="none" w:pos="699"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Operations</w:t>
      </w:r>
    </w:p>
    <w:p>
      <w:pPr>
        <w:spacing w:after="0" w:line="196" w:lineRule="exact"/>
        <w:rPr>
          <w:sz w:val="20"/>
          <w:szCs w:val="20"/>
          <w:color w:val="auto"/>
        </w:rPr>
      </w:pPr>
    </w:p>
    <w:p>
      <w:pPr>
        <w:ind w:left="700" w:hanging="352"/>
        <w:spacing w:after="0"/>
        <w:tabs>
          <w:tab w:leader="none" w:pos="7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experience a significant disruption in our information technology systems or breaches of data security.</w:t>
      </w:r>
    </w:p>
    <w:p>
      <w:pPr>
        <w:spacing w:after="0" w:line="189" w:lineRule="exact"/>
        <w:rPr>
          <w:rFonts w:ascii="Times New Roman" w:cs="Times New Roman" w:eastAsia="Times New Roman" w:hAnsi="Times New Roman"/>
          <w:sz w:val="19"/>
          <w:szCs w:val="19"/>
          <w:color w:val="auto"/>
        </w:rPr>
      </w:pPr>
    </w:p>
    <w:p>
      <w:pPr>
        <w:ind w:right="300" w:firstLine="348"/>
        <w:spacing w:after="0" w:line="293" w:lineRule="auto"/>
        <w:tabs>
          <w:tab w:leader="none" w:pos="69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highly dependent on our key personnel, and if we are unable to recruit and retain key executives and scientists, we may not be able to achieve our goals.</w:t>
      </w:r>
    </w:p>
    <w:p>
      <w:pPr>
        <w:spacing w:after="0" w:line="107" w:lineRule="exact"/>
        <w:rPr>
          <w:rFonts w:ascii="Times New Roman" w:cs="Times New Roman" w:eastAsia="Times New Roman" w:hAnsi="Times New Roman"/>
          <w:sz w:val="19"/>
          <w:szCs w:val="19"/>
          <w:color w:val="auto"/>
        </w:rPr>
      </w:pPr>
    </w:p>
    <w:p>
      <w:pPr>
        <w:ind w:right="560" w:firstLine="348"/>
        <w:spacing w:after="0" w:line="293" w:lineRule="auto"/>
        <w:tabs>
          <w:tab w:leader="none" w:pos="69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operations and financial results could be adversely impacted by global and national events, such as the COVID-19 pandemic, conflicts in Eastern Europe and the Middle East, and general economic downturns.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Global supply chain interruptions may negatively impact the development and commercialization of our products.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Common Stock</w:t>
      </w:r>
    </w:p>
    <w:p>
      <w:pPr>
        <w:spacing w:after="0" w:line="196" w:lineRule="exact"/>
        <w:rPr>
          <w:sz w:val="20"/>
          <w:szCs w:val="20"/>
          <w:color w:val="auto"/>
        </w:rPr>
      </w:pPr>
    </w:p>
    <w:p>
      <w:pPr>
        <w:ind w:right="140" w:firstLine="348"/>
        <w:spacing w:after="0" w:line="293" w:lineRule="auto"/>
        <w:tabs>
          <w:tab w:leader="none" w:pos="69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 of and market for our Common Stock may be volatile, which could result in substantial losses for investors and/or an inability to readily trade in our Common Stock.</w:t>
      </w:r>
    </w:p>
    <w:p>
      <w:pPr>
        <w:spacing w:after="0" w:line="107" w:lineRule="exact"/>
        <w:rPr>
          <w:rFonts w:ascii="Times New Roman" w:cs="Times New Roman" w:eastAsia="Times New Roman" w:hAnsi="Times New Roman"/>
          <w:sz w:val="19"/>
          <w:szCs w:val="19"/>
          <w:color w:val="auto"/>
        </w:rPr>
      </w:pPr>
    </w:p>
    <w:p>
      <w:pPr>
        <w:ind w:right="220" w:firstLine="348"/>
        <w:spacing w:after="0" w:line="293" w:lineRule="auto"/>
        <w:tabs>
          <w:tab w:leader="none" w:pos="69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General Risk Factors</w:t>
      </w:r>
    </w:p>
    <w:p>
      <w:pPr>
        <w:spacing w:after="0" w:line="196" w:lineRule="exact"/>
        <w:rPr>
          <w:sz w:val="20"/>
          <w:szCs w:val="20"/>
          <w:color w:val="auto"/>
        </w:rPr>
      </w:pPr>
    </w:p>
    <w:p>
      <w:pPr>
        <w:ind w:left="700" w:hanging="352"/>
        <w:spacing w:after="0"/>
        <w:tabs>
          <w:tab w:leader="none" w:pos="7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will continue to incur significant costs and management resources as a result of operating as a public company.</w:t>
      </w:r>
    </w:p>
    <w:p>
      <w:pPr>
        <w:spacing w:after="0" w:line="189" w:lineRule="exact"/>
        <w:rPr>
          <w:rFonts w:ascii="Times New Roman" w:cs="Times New Roman" w:eastAsia="Times New Roman" w:hAnsi="Times New Roman"/>
          <w:sz w:val="19"/>
          <w:szCs w:val="19"/>
          <w:color w:val="auto"/>
        </w:rPr>
      </w:pPr>
    </w:p>
    <w:p>
      <w:pPr>
        <w:ind w:right="40" w:firstLine="348"/>
        <w:spacing w:after="0" w:line="293" w:lineRule="auto"/>
        <w:tabs>
          <w:tab w:leader="none" w:pos="69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Reports published by analysts, including projections in those reports that differ from our actual results, could adversely affect the price and trading volume of our common shares.</w:t>
      </w:r>
    </w:p>
    <w:p>
      <w:pPr>
        <w:spacing w:after="0" w:line="107" w:lineRule="exact"/>
        <w:rPr>
          <w:rFonts w:ascii="Times New Roman" w:cs="Times New Roman" w:eastAsia="Times New Roman" w:hAnsi="Times New Roman"/>
          <w:sz w:val="19"/>
          <w:szCs w:val="19"/>
          <w:color w:val="auto"/>
        </w:rPr>
      </w:pPr>
    </w:p>
    <w:p>
      <w:pPr>
        <w:ind w:right="140" w:firstLine="348"/>
        <w:spacing w:after="0" w:line="293" w:lineRule="auto"/>
        <w:tabs>
          <w:tab w:leader="none" w:pos="69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107" w:lineRule="exact"/>
        <w:rPr>
          <w:sz w:val="20"/>
          <w:szCs w:val="20"/>
          <w:color w:val="auto"/>
        </w:rPr>
      </w:pPr>
    </w:p>
    <w:p>
      <w:pPr>
        <w:ind w:right="320" w:firstLine="349"/>
        <w:spacing w:after="0" w:line="293" w:lineRule="auto"/>
        <w:rPr>
          <w:sz w:val="20"/>
          <w:szCs w:val="20"/>
          <w:color w:val="auto"/>
        </w:rPr>
      </w:pPr>
      <w:r>
        <w:rPr>
          <w:rFonts w:ascii="Times New Roman" w:cs="Times New Roman" w:eastAsia="Times New Roman" w:hAnsi="Times New Roman"/>
          <w:sz w:val="19"/>
          <w:szCs w:val="19"/>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Business</w:t>
      </w:r>
    </w:p>
    <w:p>
      <w:pPr>
        <w:spacing w:after="0" w:line="189" w:lineRule="exact"/>
        <w:rPr>
          <w:sz w:val="20"/>
          <w:szCs w:val="20"/>
          <w:color w:val="auto"/>
        </w:rPr>
      </w:pPr>
    </w:p>
    <w:p>
      <w:pPr>
        <w:ind w:right="5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05"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$70.8 million and $63.7 million during the years ended December 31, 2024 and 2023, respectively. As of December 31, 2024, we had an accumulated deficit of $273.0 million. These losses and accumulated deficit were primarily due to the substantial investments we made in the scientific and technological development of our Nautilus platform. While we anticipate certain cost-savings associated with our recently announced workforce reductions, we expect to incur substantial losses and negative cash flows for the foreseeable future. In addition, as a public company, we will continue to incur significant legal, accounting, and other expenses. These expenses will make it harder for us to achieve and sustain future profitability. We may incur significant losses in the future for a number of reasons, many of which are beyond our control, including the other risks described in this Annual Report on Form 10-K.</w:t>
      </w:r>
    </w:p>
    <w:p>
      <w:pPr>
        <w:spacing w:after="0" w:line="367" w:lineRule="exact"/>
        <w:rPr>
          <w:sz w:val="20"/>
          <w:szCs w:val="20"/>
          <w:color w:val="auto"/>
        </w:rPr>
      </w:pPr>
    </w:p>
    <w:p>
      <w:pPr>
        <w:ind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4"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which remains in the development stage and subject to</w:t>
      </w:r>
    </w:p>
    <w:p>
      <w:pPr>
        <w:sectPr>
          <w:pgSz w:w="11880" w:h="15480" w:orient="portrait"/>
          <w:cols w:equalWidth="0" w:num="1">
            <w:col w:w="10480"/>
          </w:cols>
          <w:pgMar w:left="700" w:top="691" w:right="700" w:bottom="0"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880" w:h="15480" w:orient="portrait"/>
          <w:cols w:equalWidth="0" w:num="1">
            <w:col w:w="10480"/>
          </w:cols>
          <w:pgMar w:left="700" w:top="691" w:right="700" w:bottom="0" w:gutter="0" w:footer="0" w:header="0"/>
          <w:type w:val="continuous"/>
        </w:sectPr>
      </w:pPr>
    </w:p>
    <w:bookmarkStart w:id="40" w:name="page41"/>
    <w:bookmarkEnd w:id="40"/>
    <w:p>
      <w:pPr>
        <w:ind w:right="60"/>
        <w:spacing w:after="0" w:line="259" w:lineRule="auto"/>
        <w:rPr>
          <w:sz w:val="20"/>
          <w:szCs w:val="20"/>
          <w:color w:val="auto"/>
        </w:rPr>
      </w:pPr>
      <w:r>
        <w:rPr>
          <w:rFonts w:ascii="Times New Roman" w:cs="Times New Roman" w:eastAsia="Times New Roman" w:hAnsi="Times New Roman"/>
          <w:sz w:val="19"/>
          <w:szCs w:val="19"/>
          <w:color w:val="auto"/>
        </w:rPr>
        <w:t>scientific and technical validation.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36" w:lineRule="exact"/>
        <w:rPr>
          <w:sz w:val="20"/>
          <w:szCs w:val="20"/>
          <w:color w:val="auto"/>
        </w:rPr>
      </w:pPr>
    </w:p>
    <w:p>
      <w:pPr>
        <w:ind w:right="24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24"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We anticipate commercializing our Nautilus platform in three phases involving first collaboration with biopharmaceutical companies and key academic opinion leaders exploring utility of pre-commercial versions of the platform,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second, early access phase, we expect to work closely with early access collaborators to demonstrate a unique value proposition for our Nautilus platform. During this phase, we plan to provide early access to our collaborators with broad-scale and targeted analyses and profiling of samples analyzed in our facility or at the customers’ facilities and shared via a cloud platform. We believe there is significant interest in our platform for targeted proteoform analyses. As such, we expect to be working with our initial early access collaborators in this area, and to leverage our learnings from those collaborations for the benefit of both our broad-scale and targeted products and services. We do not anticipate that these activities will result in any material revenue. We expect this second phase to lead into the third phase of launch of our proteome analysis platform in late 2026 and subsequent broad commercialization thereafter.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140"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9" w:lineRule="exact"/>
        <w:rPr>
          <w:sz w:val="20"/>
          <w:szCs w:val="20"/>
          <w:color w:val="auto"/>
        </w:rPr>
      </w:pPr>
    </w:p>
    <w:p>
      <w:pPr>
        <w:ind w:right="14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4"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36"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w:t>
      </w:r>
    </w:p>
    <w:p>
      <w:pPr>
        <w:sectPr>
          <w:pgSz w:w="11880" w:h="15480" w:orient="portrait"/>
          <w:cols w:equalWidth="0" w:num="1">
            <w:col w:w="10480"/>
          </w:cols>
          <w:pgMar w:left="700" w:top="691" w:right="700" w:bottom="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880" w:h="15480" w:orient="portrait"/>
          <w:cols w:equalWidth="0" w:num="1">
            <w:col w:w="10480"/>
          </w:cols>
          <w:pgMar w:left="700" w:top="691" w:right="700" w:bottom="0" w:gutter="0" w:footer="0" w:header="0"/>
          <w:type w:val="continuous"/>
        </w:sectPr>
      </w:pPr>
    </w:p>
    <w:bookmarkStart w:id="41" w:name="page42"/>
    <w:bookmarkEnd w:id="41"/>
    <w:p>
      <w:pPr>
        <w:ind w:right="440"/>
        <w:spacing w:after="0" w:line="293" w:lineRule="auto"/>
        <w:rPr>
          <w:sz w:val="20"/>
          <w:szCs w:val="20"/>
          <w:color w:val="auto"/>
        </w:rPr>
      </w:pPr>
      <w:r>
        <w:rPr>
          <w:rFonts w:ascii="Times New Roman" w:cs="Times New Roman" w:eastAsia="Times New Roman" w:hAnsi="Times New Roman"/>
          <w:sz w:val="19"/>
          <w:szCs w:val="19"/>
          <w:color w:val="auto"/>
        </w:rPr>
        <w:t>subject of such collaborations. Potential collaborators may elect not to work with us based upon their assessment of our financial, regulatory, commercial or intellectual property position.</w:t>
      </w:r>
    </w:p>
    <w:p>
      <w:pPr>
        <w:spacing w:after="0" w:line="107" w:lineRule="exact"/>
        <w:rPr>
          <w:sz w:val="20"/>
          <w:szCs w:val="20"/>
          <w:color w:val="auto"/>
        </w:rPr>
      </w:pPr>
    </w:p>
    <w:p>
      <w:pPr>
        <w:ind w:right="60" w:firstLine="349"/>
        <w:spacing w:after="0" w:line="293" w:lineRule="auto"/>
        <w:rPr>
          <w:sz w:val="20"/>
          <w:szCs w:val="20"/>
          <w:color w:val="auto"/>
        </w:rPr>
      </w:pPr>
      <w:r>
        <w:rPr>
          <w:rFonts w:ascii="Times New Roman" w:cs="Times New Roman" w:eastAsia="Times New Roman" w:hAnsi="Times New Roman"/>
          <w:sz w:val="19"/>
          <w:szCs w:val="19"/>
          <w:color w:val="auto"/>
        </w:rPr>
        <w:t>Even if we are successful in entering into collaborations, the success of such collaborations will depend heavily on the efforts and activities of our collaborators.</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Scientific collaborations of the nature we propose to pursue are subject to numerous risks, including that:</w:t>
      </w:r>
    </w:p>
    <w:p>
      <w:pPr>
        <w:spacing w:after="0" w:line="189" w:lineRule="exact"/>
        <w:rPr>
          <w:sz w:val="20"/>
          <w:szCs w:val="20"/>
          <w:color w:val="auto"/>
        </w:rPr>
      </w:pPr>
    </w:p>
    <w:p>
      <w:pPr>
        <w:ind w:left="700" w:hanging="352"/>
        <w:spacing w:after="0"/>
        <w:tabs>
          <w:tab w:leader="none" w:pos="7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have significant discretion in determining the efforts and resources that they will apply to a specific</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project;</w:t>
      </w:r>
    </w:p>
    <w:p>
      <w:pPr>
        <w:spacing w:after="0" w:line="169" w:lineRule="exact"/>
        <w:rPr>
          <w:rFonts w:ascii="Times New Roman" w:cs="Times New Roman" w:eastAsia="Times New Roman" w:hAnsi="Times New Roman"/>
          <w:sz w:val="19"/>
          <w:szCs w:val="19"/>
          <w:color w:val="auto"/>
        </w:rPr>
      </w:pPr>
    </w:p>
    <w:p>
      <w:pPr>
        <w:ind w:right="100" w:firstLine="348"/>
        <w:spacing w:after="0" w:line="268"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30" w:lineRule="exact"/>
        <w:rPr>
          <w:rFonts w:ascii="Times New Roman" w:cs="Times New Roman" w:eastAsia="Times New Roman" w:hAnsi="Times New Roman"/>
          <w:sz w:val="19"/>
          <w:szCs w:val="19"/>
          <w:color w:val="auto"/>
        </w:rPr>
      </w:pPr>
    </w:p>
    <w:p>
      <w:pPr>
        <w:ind w:firstLine="348"/>
        <w:spacing w:after="0" w:line="293"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own intellectual property covering products that result from our collaboration with them, and in such cases, we would not have the right to develop or commercialize such intellectual property;</w:t>
      </w:r>
    </w:p>
    <w:p>
      <w:pPr>
        <w:spacing w:after="0" w:line="107" w:lineRule="exact"/>
        <w:rPr>
          <w:rFonts w:ascii="Times New Roman" w:cs="Times New Roman" w:eastAsia="Times New Roman" w:hAnsi="Times New Roman"/>
          <w:sz w:val="19"/>
          <w:szCs w:val="19"/>
          <w:color w:val="auto"/>
        </w:rPr>
      </w:pPr>
    </w:p>
    <w:p>
      <w:pPr>
        <w:ind w:right="260" w:firstLine="348"/>
        <w:spacing w:after="0" w:line="293"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07" w:lineRule="exact"/>
        <w:rPr>
          <w:rFonts w:ascii="Times New Roman" w:cs="Times New Roman" w:eastAsia="Times New Roman" w:hAnsi="Times New Roman"/>
          <w:sz w:val="19"/>
          <w:szCs w:val="19"/>
          <w:color w:val="auto"/>
        </w:rPr>
      </w:pPr>
    </w:p>
    <w:p>
      <w:pPr>
        <w:ind w:right="340" w:firstLine="348"/>
        <w:spacing w:after="0" w:line="293"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could independently develop, or develop with third parties, products that compete directly or indirectly with product candidates that are being developed under the collaboration with us;</w:t>
      </w:r>
    </w:p>
    <w:p>
      <w:pPr>
        <w:spacing w:after="0" w:line="107" w:lineRule="exact"/>
        <w:rPr>
          <w:rFonts w:ascii="Times New Roman" w:cs="Times New Roman" w:eastAsia="Times New Roman" w:hAnsi="Times New Roman"/>
          <w:sz w:val="19"/>
          <w:szCs w:val="19"/>
          <w:color w:val="auto"/>
        </w:rPr>
      </w:pPr>
    </w:p>
    <w:p>
      <w:pPr>
        <w:ind w:right="440" w:firstLine="348"/>
        <w:spacing w:after="0" w:line="293"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collaborator with marketing, manufacturing, and distribution rights to one or more products may not commit sufficient resources to or otherwise not perform satisfactorily in carrying out these activities;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could grant exclusive rights to our collaborators that would prevent us from collaborating with others;</w:t>
      </w:r>
    </w:p>
    <w:p>
      <w:pPr>
        <w:spacing w:after="0" w:line="189" w:lineRule="exact"/>
        <w:rPr>
          <w:rFonts w:ascii="Times New Roman" w:cs="Times New Roman" w:eastAsia="Times New Roman" w:hAnsi="Times New Roman"/>
          <w:sz w:val="19"/>
          <w:szCs w:val="19"/>
          <w:color w:val="auto"/>
        </w:rPr>
      </w:pPr>
    </w:p>
    <w:p>
      <w:pPr>
        <w:jc w:val="both"/>
        <w:ind w:right="380" w:firstLine="348"/>
        <w:spacing w:after="0" w:line="274"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5" w:lineRule="exact"/>
        <w:rPr>
          <w:rFonts w:ascii="Times New Roman" w:cs="Times New Roman" w:eastAsia="Times New Roman" w:hAnsi="Times New Roman"/>
          <w:sz w:val="19"/>
          <w:szCs w:val="19"/>
          <w:color w:val="auto"/>
        </w:rPr>
      </w:pPr>
    </w:p>
    <w:p>
      <w:pPr>
        <w:jc w:val="both"/>
        <w:ind w:right="720" w:firstLine="348"/>
        <w:spacing w:after="0" w:line="293"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07" w:lineRule="exact"/>
        <w:rPr>
          <w:rFonts w:ascii="Times New Roman" w:cs="Times New Roman" w:eastAsia="Times New Roman" w:hAnsi="Times New Roman"/>
          <w:sz w:val="19"/>
          <w:szCs w:val="19"/>
          <w:color w:val="auto"/>
        </w:rPr>
      </w:pPr>
    </w:p>
    <w:p>
      <w:pPr>
        <w:ind w:right="260" w:firstLine="348"/>
        <w:spacing w:after="0" w:line="293"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07" w:lineRule="exact"/>
        <w:rPr>
          <w:rFonts w:ascii="Times New Roman" w:cs="Times New Roman" w:eastAsia="Times New Roman" w:hAnsi="Times New Roman"/>
          <w:sz w:val="19"/>
          <w:szCs w:val="19"/>
          <w:color w:val="auto"/>
        </w:rPr>
      </w:pPr>
    </w:p>
    <w:p>
      <w:pPr>
        <w:ind w:right="100" w:firstLine="348"/>
        <w:spacing w:after="0" w:line="293" w:lineRule="auto"/>
        <w:tabs>
          <w:tab w:leader="none" w:pos="699"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collaborator’s sales and marketing activities or other operations may not be in compliance with applicable laws resulting in civil or criminal proceedings.</w:t>
      </w:r>
    </w:p>
    <w:p>
      <w:pPr>
        <w:spacing w:after="0" w:line="107" w:lineRule="exact"/>
        <w:rPr>
          <w:sz w:val="20"/>
          <w:szCs w:val="20"/>
          <w:color w:val="auto"/>
        </w:rPr>
      </w:pPr>
    </w:p>
    <w:p>
      <w:pPr>
        <w:ind w:right="100" w:firstLine="349"/>
        <w:spacing w:after="0" w:line="265" w:lineRule="auto"/>
        <w:rPr>
          <w:sz w:val="20"/>
          <w:szCs w:val="20"/>
          <w:color w:val="auto"/>
        </w:rPr>
      </w:pPr>
      <w:r>
        <w:rPr>
          <w:rFonts w:ascii="Times New Roman" w:cs="Times New Roman" w:eastAsia="Times New Roman" w:hAnsi="Times New Roman"/>
          <w:sz w:val="19"/>
          <w:szCs w:val="19"/>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26" w:lineRule="exact"/>
        <w:rPr>
          <w:sz w:val="20"/>
          <w:szCs w:val="20"/>
          <w:color w:val="auto"/>
        </w:rPr>
      </w:pPr>
    </w:p>
    <w:p>
      <w:pPr>
        <w:ind w:right="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Even if we are able to complete development of our Nautilus platform, we may not achieve or maintain significant commercial market acceptance.</w:t>
      </w:r>
    </w:p>
    <w:p>
      <w:pPr>
        <w:spacing w:after="0" w:line="105"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41" w:lineRule="exact"/>
        <w:rPr>
          <w:sz w:val="20"/>
          <w:szCs w:val="20"/>
          <w:color w:val="auto"/>
        </w:rPr>
      </w:pPr>
    </w:p>
    <w:p>
      <w:pPr>
        <w:ind w:right="160" w:firstLine="349"/>
        <w:spacing w:after="0" w:line="293" w:lineRule="auto"/>
        <w:rPr>
          <w:sz w:val="20"/>
          <w:szCs w:val="20"/>
          <w:color w:val="auto"/>
        </w:rPr>
      </w:pPr>
      <w:r>
        <w:rPr>
          <w:rFonts w:ascii="Times New Roman" w:cs="Times New Roman" w:eastAsia="Times New Roman" w:hAnsi="Times New Roman"/>
          <w:sz w:val="19"/>
          <w:szCs w:val="19"/>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w:t>
      </w:r>
    </w:p>
    <w:p>
      <w:pPr>
        <w:sectPr>
          <w:pgSz w:w="11880" w:h="15480" w:orient="portrait"/>
          <w:cols w:equalWidth="0" w:num="1">
            <w:col w:w="10480"/>
          </w:cols>
          <w:pgMar w:left="700" w:top="691" w:right="700" w:bottom="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880" w:h="15480" w:orient="portrait"/>
          <w:cols w:equalWidth="0" w:num="1">
            <w:col w:w="10480"/>
          </w:cols>
          <w:pgMar w:left="700" w:top="691" w:right="700" w:bottom="0" w:gutter="0" w:footer="0" w:header="0"/>
          <w:type w:val="continuous"/>
        </w:sectPr>
      </w:pPr>
    </w:p>
    <w:bookmarkStart w:id="42" w:name="page43"/>
    <w:bookmarkEnd w:id="42"/>
    <w:p>
      <w:pPr>
        <w:spacing w:after="0" w:line="259" w:lineRule="auto"/>
        <w:rPr>
          <w:sz w:val="20"/>
          <w:szCs w:val="20"/>
          <w:color w:val="auto"/>
        </w:rPr>
      </w:pPr>
      <w:r>
        <w:rPr>
          <w:rFonts w:ascii="Times New Roman" w:cs="Times New Roman" w:eastAsia="Times New Roman" w:hAnsi="Times New Roman"/>
          <w:sz w:val="19"/>
          <w:szCs w:val="19"/>
          <w:color w:val="auto"/>
        </w:rPr>
        <w:t>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3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Specific, material factors that will influence our ability to achieve market acceptance include the following:</w:t>
      </w:r>
    </w:p>
    <w:p>
      <w:pPr>
        <w:spacing w:after="0" w:line="189" w:lineRule="exact"/>
        <w:rPr>
          <w:sz w:val="20"/>
          <w:szCs w:val="20"/>
          <w:color w:val="auto"/>
        </w:rPr>
      </w:pPr>
    </w:p>
    <w:p>
      <w:pPr>
        <w:ind w:left="700" w:hanging="352"/>
        <w:spacing w:after="0"/>
        <w:tabs>
          <w:tab w:leader="none" w:pos="7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of our marketing and engagement initiatives to increase awareness of the capabilities of our Nautilus platform;</w:t>
      </w:r>
    </w:p>
    <w:p>
      <w:pPr>
        <w:spacing w:after="0" w:line="189" w:lineRule="exact"/>
        <w:rPr>
          <w:rFonts w:ascii="Times New Roman" w:cs="Times New Roman" w:eastAsia="Times New Roman" w:hAnsi="Times New Roman"/>
          <w:sz w:val="19"/>
          <w:szCs w:val="19"/>
          <w:color w:val="auto"/>
        </w:rPr>
      </w:pPr>
    </w:p>
    <w:p>
      <w:pPr>
        <w:ind w:right="160" w:firstLine="348"/>
        <w:spacing w:after="0" w:line="293" w:lineRule="auto"/>
        <w:tabs>
          <w:tab w:leader="none" w:pos="69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of our Nautilus platform to demonstrate reliable performance in intended use applications, in particular, when the platform is used by customers in their own research;</w:t>
      </w:r>
    </w:p>
    <w:p>
      <w:pPr>
        <w:spacing w:after="0" w:line="107" w:lineRule="exact"/>
        <w:rPr>
          <w:rFonts w:ascii="Times New Roman" w:cs="Times New Roman" w:eastAsia="Times New Roman" w:hAnsi="Times New Roman"/>
          <w:sz w:val="19"/>
          <w:szCs w:val="19"/>
          <w:color w:val="auto"/>
        </w:rPr>
      </w:pPr>
    </w:p>
    <w:p>
      <w:pPr>
        <w:ind w:right="80" w:firstLine="348"/>
        <w:spacing w:after="0" w:line="293" w:lineRule="auto"/>
        <w:tabs>
          <w:tab w:leader="none" w:pos="69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demonstrate that the functionality and performance of our Nautilus platform relative to alternative products and technologies justifies the substantial anticipated cost of the platform;</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willingness of prospective customers to adopt new products and workflows;</w:t>
      </w:r>
    </w:p>
    <w:p>
      <w:pPr>
        <w:spacing w:after="0" w:line="189" w:lineRule="exact"/>
        <w:rPr>
          <w:rFonts w:ascii="Times New Roman" w:cs="Times New Roman" w:eastAsia="Times New Roman" w:hAnsi="Times New Roman"/>
          <w:sz w:val="19"/>
          <w:szCs w:val="19"/>
          <w:color w:val="auto"/>
        </w:rPr>
      </w:pPr>
    </w:p>
    <w:p>
      <w:pPr>
        <w:ind w:right="100" w:firstLine="348"/>
        <w:spacing w:after="0" w:line="293" w:lineRule="auto"/>
        <w:tabs>
          <w:tab w:leader="none" w:pos="69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ease of use of our Nautilus platform and whether it reliably provides significant advantages over alternative products and technologies;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rate of adoption of our Nautilus platform by biopharmaceutical companies, laboratories, academic institutions and others;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prices at which we will be able to sell our Nautilus platform instruments and consumables;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develop new products, workflows, and solutions that meet customer requirements;</w:t>
      </w:r>
    </w:p>
    <w:p>
      <w:pPr>
        <w:spacing w:after="0" w:line="189" w:lineRule="exact"/>
        <w:rPr>
          <w:rFonts w:ascii="Times New Roman" w:cs="Times New Roman" w:eastAsia="Times New Roman" w:hAnsi="Times New Roman"/>
          <w:sz w:val="19"/>
          <w:szCs w:val="19"/>
          <w:color w:val="auto"/>
        </w:rPr>
      </w:pPr>
    </w:p>
    <w:p>
      <w:pPr>
        <w:ind w:right="20" w:firstLine="348"/>
        <w:spacing w:after="0" w:line="293" w:lineRule="auto"/>
        <w:tabs>
          <w:tab w:leader="none" w:pos="69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introduction or development and commercialization by competitors of new products or enhancements to existing products with functionality and/or performance similar to our Nautilus platform; and</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our investments in product innovation and commercial growth.</w:t>
      </w:r>
    </w:p>
    <w:p>
      <w:pPr>
        <w:spacing w:after="0" w:line="189" w:lineRule="exact"/>
        <w:rPr>
          <w:sz w:val="20"/>
          <w:szCs w:val="20"/>
          <w:color w:val="auto"/>
        </w:rPr>
      </w:pPr>
    </w:p>
    <w:p>
      <w:pPr>
        <w:jc w:val="both"/>
        <w:ind w:right="140" w:firstLine="349"/>
        <w:spacing w:after="0" w:line="274" w:lineRule="auto"/>
        <w:rPr>
          <w:sz w:val="20"/>
          <w:szCs w:val="20"/>
          <w:color w:val="auto"/>
        </w:rPr>
      </w:pPr>
      <w:r>
        <w:rPr>
          <w:rFonts w:ascii="Times New Roman" w:cs="Times New Roman" w:eastAsia="Times New Roman" w:hAnsi="Times New Roman"/>
          <w:sz w:val="19"/>
          <w:szCs w:val="19"/>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18" w:lineRule="exact"/>
        <w:rPr>
          <w:sz w:val="20"/>
          <w:szCs w:val="20"/>
          <w:color w:val="auto"/>
        </w:rPr>
      </w:pPr>
    </w:p>
    <w:p>
      <w:pPr>
        <w:ind w:right="50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24"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platform,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880" w:h="15480" w:orient="portrait"/>
          <w:cols w:equalWidth="0" w:num="1">
            <w:col w:w="10480"/>
          </w:cols>
          <w:pgMar w:left="700" w:top="691" w:right="700" w:bottom="0" w:gutter="0" w:footer="0" w:header="0"/>
          <w:type w:val="continuous"/>
        </w:sectPr>
      </w:pPr>
    </w:p>
    <w:bookmarkStart w:id="43" w:name="page44"/>
    <w:bookmarkEnd w:id="43"/>
    <w:p>
      <w:pPr>
        <w:ind w:right="100"/>
        <w:spacing w:after="0" w:line="293" w:lineRule="auto"/>
        <w:rPr>
          <w:sz w:val="20"/>
          <w:szCs w:val="20"/>
          <w:color w:val="auto"/>
        </w:rPr>
      </w:pPr>
      <w:r>
        <w:rPr>
          <w:rFonts w:ascii="Times New Roman" w:cs="Times New Roman" w:eastAsia="Times New Roman" w:hAnsi="Times New Roman"/>
          <w:sz w:val="19"/>
          <w:szCs w:val="19"/>
          <w:color w:val="auto"/>
        </w:rPr>
        <w:t>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00" w:lineRule="exact"/>
        <w:rPr>
          <w:sz w:val="20"/>
          <w:szCs w:val="20"/>
          <w:color w:val="auto"/>
        </w:rPr>
      </w:pPr>
    </w:p>
    <w:p>
      <w:pPr>
        <w:ind w:right="3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05" w:lineRule="exact"/>
        <w:rPr>
          <w:sz w:val="20"/>
          <w:szCs w:val="20"/>
          <w:color w:val="auto"/>
        </w:rPr>
      </w:pPr>
    </w:p>
    <w:p>
      <w:pPr>
        <w:ind w:right="180" w:firstLine="349"/>
        <w:spacing w:after="0" w:line="261" w:lineRule="auto"/>
        <w:rPr>
          <w:sz w:val="20"/>
          <w:szCs w:val="20"/>
          <w:color w:val="auto"/>
        </w:rPr>
      </w:pPr>
      <w:r>
        <w:rPr>
          <w:rFonts w:ascii="Times New Roman" w:cs="Times New Roman" w:eastAsia="Times New Roman" w:hAnsi="Times New Roman"/>
          <w:sz w:val="19"/>
          <w:szCs w:val="19"/>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To develop these functions successfully, we will face a number of additional risks, including:</w:t>
      </w:r>
    </w:p>
    <w:p>
      <w:pPr>
        <w:spacing w:after="0" w:line="189" w:lineRule="exact"/>
        <w:rPr>
          <w:sz w:val="20"/>
          <w:szCs w:val="20"/>
          <w:color w:val="auto"/>
        </w:rPr>
      </w:pPr>
    </w:p>
    <w:p>
      <w:pPr>
        <w:ind w:right="60" w:firstLine="348"/>
        <w:spacing w:after="0" w:line="274" w:lineRule="auto"/>
        <w:tabs>
          <w:tab w:leader="none" w:pos="69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time and cost of establishing a specialized sales, marketing and customer service and support force.</w:t>
      </w:r>
    </w:p>
    <w:p>
      <w:pPr>
        <w:spacing w:after="0" w:line="189"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9" w:lineRule="exact"/>
        <w:rPr>
          <w:sz w:val="20"/>
          <w:szCs w:val="20"/>
          <w:color w:val="auto"/>
        </w:rPr>
      </w:pPr>
    </w:p>
    <w:p>
      <w:pPr>
        <w:ind w:right="5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05" w:lineRule="exact"/>
        <w:rPr>
          <w:sz w:val="20"/>
          <w:szCs w:val="20"/>
          <w:color w:val="auto"/>
        </w:rPr>
      </w:pPr>
    </w:p>
    <w:p>
      <w:pPr>
        <w:ind w:firstLine="349"/>
        <w:spacing w:after="0" w:line="257" w:lineRule="auto"/>
        <w:rPr>
          <w:sz w:val="20"/>
          <w:szCs w:val="20"/>
          <w:color w:val="auto"/>
        </w:rPr>
      </w:pPr>
      <w:r>
        <w:rPr>
          <w:rFonts w:ascii="Times New Roman" w:cs="Times New Roman" w:eastAsia="Times New Roman" w:hAnsi="Times New Roman"/>
          <w:sz w:val="19"/>
          <w:szCs w:val="19"/>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52" w:lineRule="exact"/>
        <w:rPr>
          <w:sz w:val="20"/>
          <w:szCs w:val="20"/>
          <w:color w:val="auto"/>
        </w:rPr>
      </w:pPr>
    </w:p>
    <w:p>
      <w:pPr>
        <w:ind w:right="180" w:firstLine="349"/>
        <w:spacing w:after="0" w:line="265" w:lineRule="auto"/>
        <w:rPr>
          <w:sz w:val="20"/>
          <w:szCs w:val="20"/>
          <w:color w:val="auto"/>
        </w:rPr>
      </w:pPr>
      <w:r>
        <w:rPr>
          <w:rFonts w:ascii="Times New Roman" w:cs="Times New Roman" w:eastAsia="Times New Roman" w:hAnsi="Times New Roman"/>
          <w:sz w:val="19"/>
          <w:szCs w:val="19"/>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ectPr>
          <w:pgSz w:w="11880" w:h="15480" w:orient="portrait"/>
          <w:cols w:equalWidth="0" w:num="1">
            <w:col w:w="10460"/>
          </w:cols>
          <w:pgMar w:left="700" w:top="691" w:right="720" w:bottom="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ectPr>
          <w:pgSz w:w="11880" w:h="15480" w:orient="portrait"/>
          <w:cols w:equalWidth="0" w:num="1">
            <w:col w:w="10460"/>
          </w:cols>
          <w:pgMar w:left="700" w:top="691" w:right="720" w:bottom="0" w:gutter="0" w:footer="0" w:header="0"/>
          <w:type w:val="continuous"/>
        </w:sectPr>
      </w:pPr>
    </w:p>
    <w:bookmarkStart w:id="44" w:name="page45"/>
    <w:bookmarkEnd w:id="44"/>
    <w:p>
      <w:pPr>
        <w:ind w:right="20" w:firstLine="349"/>
        <w:spacing w:after="0" w:line="294" w:lineRule="auto"/>
        <w:rPr>
          <w:sz w:val="20"/>
          <w:szCs w:val="20"/>
          <w:color w:val="auto"/>
        </w:rPr>
      </w:pPr>
      <w:r>
        <w:rPr>
          <w:rFonts w:ascii="Times New Roman" w:cs="Times New Roman" w:eastAsia="Times New Roman" w:hAnsi="Times New Roman"/>
          <w:sz w:val="19"/>
          <w:szCs w:val="19"/>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09" w:lineRule="exact"/>
        <w:rPr>
          <w:sz w:val="20"/>
          <w:szCs w:val="20"/>
          <w:color w:val="auto"/>
        </w:rPr>
      </w:pPr>
    </w:p>
    <w:p>
      <w:pPr>
        <w:ind w:right="120" w:firstLine="349"/>
        <w:spacing w:after="0" w:line="261" w:lineRule="auto"/>
        <w:rPr>
          <w:sz w:val="20"/>
          <w:szCs w:val="20"/>
          <w:color w:val="auto"/>
        </w:rPr>
      </w:pPr>
      <w:r>
        <w:rPr>
          <w:rFonts w:ascii="Times New Roman" w:cs="Times New Roman" w:eastAsia="Times New Roman" w:hAnsi="Times New Roman"/>
          <w:sz w:val="19"/>
          <w:szCs w:val="19"/>
          <w:color w:val="auto"/>
        </w:rPr>
        <w:t>We rely on single source suppliers for certain components and materials used in our Nautilus platform.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each component of our Nautilus platform for which we expect to employ such third party manufacturers,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375"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6" w:lineRule="exact"/>
        <w:rPr>
          <w:sz w:val="20"/>
          <w:szCs w:val="20"/>
          <w:color w:val="auto"/>
        </w:rPr>
      </w:pPr>
    </w:p>
    <w:p>
      <w:pPr>
        <w:ind w:right="76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life sciences technology market is highly competitive. If we fail to compete effectively, our business and results of operation will suffer.</w:t>
      </w:r>
    </w:p>
    <w:p>
      <w:pPr>
        <w:spacing w:after="0" w:line="105"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We face significant competition in the life sciences technology market. We currently compete with technology and diagnostic companies that supply components, products, and services to customers engaged in proteomics analysis. Major competitors include Thermo Fisher Scientific (including Olink); Bruker Corporation; Agilent Technologies; Danaher; (SCIEX); Becton, Dickinson and Company; Quanterix; and Standard Biotools (formerly known as Somalogic). We also compete with a number of emerging companies that are developing proteomic products and solutions.</w:t>
      </w:r>
    </w:p>
    <w:p>
      <w:pPr>
        <w:spacing w:after="0" w:line="133" w:lineRule="exact"/>
        <w:rPr>
          <w:sz w:val="20"/>
          <w:szCs w:val="20"/>
          <w:color w:val="auto"/>
        </w:rPr>
      </w:pPr>
    </w:p>
    <w:p>
      <w:pPr>
        <w:ind w:right="340" w:firstLine="349"/>
        <w:spacing w:after="0" w:line="293" w:lineRule="auto"/>
        <w:rPr>
          <w:sz w:val="20"/>
          <w:szCs w:val="20"/>
          <w:color w:val="auto"/>
        </w:rPr>
      </w:pPr>
      <w:r>
        <w:rPr>
          <w:rFonts w:ascii="Times New Roman" w:cs="Times New Roman" w:eastAsia="Times New Roman" w:hAnsi="Times New Roman"/>
          <w:sz w:val="19"/>
          <w:szCs w:val="19"/>
          <w:color w:val="auto"/>
        </w:rPr>
        <w:t>Some of our current competitors are large publicly-traded companies, or are divisions of large publicly-traded companies, and enjoy a number of competitive advantages over us, including:</w:t>
      </w:r>
    </w:p>
    <w:p>
      <w:pPr>
        <w:spacing w:after="0" w:line="107" w:lineRule="exact"/>
        <w:rPr>
          <w:sz w:val="20"/>
          <w:szCs w:val="20"/>
          <w:color w:val="auto"/>
        </w:rPr>
      </w:pPr>
    </w:p>
    <w:p>
      <w:pPr>
        <w:ind w:left="700" w:hanging="352"/>
        <w:spacing w:after="0"/>
        <w:tabs>
          <w:tab w:leader="none" w:pos="7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greater name and brand recognition;</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greater financial and human resources;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broader product lines;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larger sales forces and more established distributor networks;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substantial intellectual property portfolios;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larger and more established customer bases and relationships;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better established, larger scale and lower cost manufacturing capabilities.</w:t>
      </w:r>
    </w:p>
    <w:p>
      <w:pPr>
        <w:spacing w:after="0" w:line="189"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Additionally, the merger or consolidation of significant competitors would result in competitors with greater resources, which may enable them to offer a different market approach, or a lower cost structure through economies of scale or other efficiencies that we may be unable to match and which may intensify competition. Further, our competitors may seek to vertically integrate by buying suppliers that also supply products or components to us, which could enable them to further reduce prices, or could increase our costs. Any failure to compete effectively could materially and adversely affect our business, financial condition and operating results.</w:t>
      </w:r>
    </w:p>
    <w:p>
      <w:pPr>
        <w:sectPr>
          <w:pgSz w:w="11880" w:h="15480" w:orient="portrait"/>
          <w:cols w:equalWidth="0" w:num="1">
            <w:col w:w="10460"/>
          </w:cols>
          <w:pgMar w:left="700" w:top="68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ectPr>
          <w:pgSz w:w="11880" w:h="15480" w:orient="portrait"/>
          <w:cols w:equalWidth="0" w:num="1">
            <w:col w:w="10460"/>
          </w:cols>
          <w:pgMar w:left="700" w:top="687" w:right="720" w:bottom="0" w:gutter="0" w:footer="0" w:header="0"/>
          <w:type w:val="continuous"/>
        </w:sectPr>
      </w:pPr>
    </w:p>
    <w:bookmarkStart w:id="45" w:name="page46"/>
    <w:bookmarkEnd w:id="45"/>
    <w:p>
      <w:pPr>
        <w:ind w:right="1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05"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41"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ind w:right="22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124"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0" w:lineRule="exact"/>
        <w:rPr>
          <w:sz w:val="20"/>
          <w:szCs w:val="20"/>
          <w:color w:val="auto"/>
        </w:rPr>
      </w:pPr>
    </w:p>
    <w:p>
      <w:pPr>
        <w:ind w:right="4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spacing w:after="0" w:line="124"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41" w:lineRule="exact"/>
        <w:rPr>
          <w:sz w:val="20"/>
          <w:szCs w:val="20"/>
          <w:color w:val="auto"/>
        </w:rPr>
      </w:pPr>
    </w:p>
    <w:p>
      <w:pPr>
        <w:ind w:right="400" w:firstLine="348"/>
        <w:spacing w:after="0" w:line="293" w:lineRule="auto"/>
        <w:tabs>
          <w:tab w:leader="none" w:pos="69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decreases in government funding of research and development, including any reductions in funding to the U.S. National Institutes of Health;</w:t>
      </w:r>
    </w:p>
    <w:p>
      <w:pPr>
        <w:spacing w:after="0" w:line="107" w:lineRule="exact"/>
        <w:rPr>
          <w:rFonts w:ascii="Times New Roman" w:cs="Times New Roman" w:eastAsia="Times New Roman" w:hAnsi="Times New Roman"/>
          <w:sz w:val="19"/>
          <w:szCs w:val="19"/>
          <w:color w:val="auto"/>
        </w:rPr>
      </w:pPr>
    </w:p>
    <w:p>
      <w:pPr>
        <w:ind w:right="160" w:firstLine="348"/>
        <w:spacing w:after="0" w:line="293" w:lineRule="auto"/>
        <w:tabs>
          <w:tab w:leader="none" w:pos="69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economic conditions, including recessionary effects, inflationary pressures and instability in the global financial markets, including with respect to any future financial institution failures;</w:t>
      </w:r>
    </w:p>
    <w:p>
      <w:pPr>
        <w:spacing w:after="0" w:line="107" w:lineRule="exact"/>
        <w:rPr>
          <w:rFonts w:ascii="Times New Roman" w:cs="Times New Roman" w:eastAsia="Times New Roman" w:hAnsi="Times New Roman"/>
          <w:sz w:val="19"/>
          <w:szCs w:val="19"/>
          <w:color w:val="auto"/>
        </w:rPr>
      </w:pPr>
    </w:p>
    <w:p>
      <w:pPr>
        <w:ind w:right="100" w:firstLine="348"/>
        <w:spacing w:after="0" w:line="274" w:lineRule="auto"/>
        <w:tabs>
          <w:tab w:leader="none" w:pos="69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sectPr>
          <w:pgSz w:w="11880" w:h="15480" w:orient="portrait"/>
          <w:cols w:equalWidth="0" w:num="1">
            <w:col w:w="10420"/>
          </w:cols>
          <w:pgMar w:left="700" w:top="684" w:right="760" w:bottom="0" w:gutter="0" w:footer="0" w:header="0"/>
        </w:sect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44</w:t>
      </w:r>
    </w:p>
    <w:p>
      <w:pPr>
        <w:sectPr>
          <w:pgSz w:w="11880" w:h="15480" w:orient="portrait"/>
          <w:cols w:equalWidth="0" w:num="1">
            <w:col w:w="10420"/>
          </w:cols>
          <w:pgMar w:left="700" w:top="684" w:right="760" w:bottom="0" w:gutter="0" w:footer="0" w:header="0"/>
          <w:type w:val="continuous"/>
        </w:sectPr>
      </w:pPr>
    </w:p>
    <w:bookmarkStart w:id="46" w:name="page47"/>
    <w:bookmarkEnd w:id="46"/>
    <w:p>
      <w:pPr>
        <w:ind w:right="420" w:firstLine="348"/>
        <w:spacing w:after="0" w:line="293" w:lineRule="auto"/>
        <w:tabs>
          <w:tab w:leader="none" w:pos="69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regulatory environment affecting life science and Ag-Bio companies engaged in research and commercial activities;</w:t>
      </w:r>
    </w:p>
    <w:p>
      <w:pPr>
        <w:spacing w:after="0" w:line="105" w:lineRule="exact"/>
        <w:rPr>
          <w:rFonts w:ascii="Times New Roman" w:cs="Times New Roman" w:eastAsia="Times New Roman" w:hAnsi="Times New Roman"/>
          <w:sz w:val="19"/>
          <w:szCs w:val="19"/>
          <w:color w:val="auto"/>
        </w:rPr>
      </w:pPr>
    </w:p>
    <w:p>
      <w:pPr>
        <w:ind w:right="460" w:firstLine="348"/>
        <w:spacing w:after="0" w:line="295" w:lineRule="auto"/>
        <w:tabs>
          <w:tab w:leader="none" w:pos="699"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availability of AI and </w:t>
      </w:r>
      <w:r>
        <w:rPr>
          <w:rFonts w:ascii="Times New Roman" w:cs="Times New Roman" w:eastAsia="Times New Roman" w:hAnsi="Times New Roman"/>
          <w:sz w:val="19"/>
          <w:szCs w:val="19"/>
          <w:b w:val="1"/>
          <w:bCs w:val="1"/>
          <w:i w:val="1"/>
          <w:iCs w:val="1"/>
          <w:color w:val="auto"/>
        </w:rPr>
        <w:t>in silico</w:t>
      </w:r>
      <w:r>
        <w:rPr>
          <w:rFonts w:ascii="Times New Roman" w:cs="Times New Roman" w:eastAsia="Times New Roman" w:hAnsi="Times New Roman"/>
          <w:sz w:val="19"/>
          <w:szCs w:val="19"/>
          <w:color w:val="auto"/>
        </w:rPr>
        <w:t xml:space="preserve"> based research and development approaches, such as in drug discovery, that could impact funding allocations for R&amp;D in the pharmaceutical and biotechnology industry;</w:t>
      </w:r>
    </w:p>
    <w:p>
      <w:pPr>
        <w:spacing w:after="0" w:line="10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differences in budget cycles across various geographies and industries;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market-driven pressures on companies to consolidate operations and reduce costs;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mergers and acquisitions in the life science and Ag-Bio industries;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factors affecting research and development spending.</w:t>
      </w:r>
    </w:p>
    <w:p>
      <w:pPr>
        <w:spacing w:after="0" w:line="189"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18" w:lineRule="exact"/>
        <w:rPr>
          <w:sz w:val="20"/>
          <w:szCs w:val="20"/>
          <w:color w:val="auto"/>
        </w:rPr>
      </w:pPr>
    </w:p>
    <w:p>
      <w:pPr>
        <w:ind w:right="3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5" w:lineRule="exact"/>
        <w:rPr>
          <w:sz w:val="20"/>
          <w:szCs w:val="20"/>
          <w:color w:val="auto"/>
        </w:rPr>
      </w:pPr>
    </w:p>
    <w:p>
      <w:pPr>
        <w:ind w:right="460" w:firstLine="349"/>
        <w:spacing w:after="0" w:line="274" w:lineRule="auto"/>
        <w:rPr>
          <w:sz w:val="20"/>
          <w:szCs w:val="20"/>
          <w:color w:val="auto"/>
        </w:rPr>
      </w:pPr>
      <w:r>
        <w:rPr>
          <w:rFonts w:ascii="Times New Roman" w:cs="Times New Roman" w:eastAsia="Times New Roman" w:hAnsi="Times New Roman"/>
          <w:sz w:val="19"/>
          <w:szCs w:val="19"/>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25" w:lineRule="exact"/>
        <w:rPr>
          <w:sz w:val="20"/>
          <w:szCs w:val="20"/>
          <w:color w:val="auto"/>
        </w:rPr>
      </w:pPr>
    </w:p>
    <w:p>
      <w:pPr>
        <w:ind w:right="140" w:firstLine="348"/>
        <w:spacing w:after="0" w:line="293" w:lineRule="auto"/>
        <w:tabs>
          <w:tab w:leader="none" w:pos="699"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and cost of, and level of investment in, research and development and commercialization activities relating to our Nautilus platform;</w:t>
      </w:r>
    </w:p>
    <w:p>
      <w:pPr>
        <w:spacing w:after="0" w:line="107" w:lineRule="exact"/>
        <w:rPr>
          <w:rFonts w:ascii="Times New Roman" w:cs="Times New Roman" w:eastAsia="Times New Roman" w:hAnsi="Times New Roman"/>
          <w:sz w:val="19"/>
          <w:szCs w:val="19"/>
          <w:color w:val="auto"/>
        </w:rPr>
      </w:pPr>
    </w:p>
    <w:p>
      <w:pPr>
        <w:ind w:right="520" w:firstLine="348"/>
        <w:spacing w:after="0" w:line="293" w:lineRule="auto"/>
        <w:tabs>
          <w:tab w:leader="none" w:pos="699"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successfully establish and successfully maintain appropriate collaborations and derive revenue from those collaborations;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that economic inflation may have on our costs for manufacturing our products;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litigation or governmental investigations involving us, our industry or both;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successfully develop and commercialize our Nautilus platform on our anticipated timeline.</w:t>
      </w:r>
    </w:p>
    <w:p>
      <w:pPr>
        <w:spacing w:after="0" w:line="189" w:lineRule="exact"/>
        <w:rPr>
          <w:sz w:val="20"/>
          <w:szCs w:val="20"/>
          <w:color w:val="auto"/>
        </w:rPr>
      </w:pPr>
    </w:p>
    <w:p>
      <w:pPr>
        <w:ind w:right="80" w:firstLine="349"/>
        <w:spacing w:after="0" w:line="274" w:lineRule="auto"/>
        <w:rPr>
          <w:sz w:val="20"/>
          <w:szCs w:val="20"/>
          <w:color w:val="auto"/>
        </w:rPr>
      </w:pPr>
      <w:r>
        <w:rPr>
          <w:rFonts w:ascii="Times New Roman" w:cs="Times New Roman" w:eastAsia="Times New Roman" w:hAnsi="Times New Roman"/>
          <w:sz w:val="19"/>
          <w:szCs w:val="19"/>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25" w:lineRule="exact"/>
        <w:rPr>
          <w:sz w:val="20"/>
          <w:szCs w:val="20"/>
          <w:color w:val="auto"/>
        </w:rPr>
      </w:pPr>
    </w:p>
    <w:p>
      <w:pPr>
        <w:ind w:right="540" w:firstLine="348"/>
        <w:spacing w:after="0" w:line="293" w:lineRule="auto"/>
        <w:tabs>
          <w:tab w:leader="none" w:pos="699"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level of demand for any products we are able to commercialize, particularly our Nautilus platform, which may vary significantly from period to period;</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drive adoption of our Nautilus platform in our target markets and our ability to expand into any future target</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markets;</w:t>
      </w:r>
    </w:p>
    <w:p>
      <w:pPr>
        <w:spacing w:after="0" w:line="16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that economic inflation may have on our costs for manufacturing our products;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prices at which we will be able to sell our Nautilus platform;</w:t>
      </w:r>
    </w:p>
    <w:p>
      <w:pPr>
        <w:spacing w:after="0" w:line="189" w:lineRule="exact"/>
        <w:rPr>
          <w:rFonts w:ascii="Times New Roman" w:cs="Times New Roman" w:eastAsia="Times New Roman" w:hAnsi="Times New Roman"/>
          <w:sz w:val="19"/>
          <w:szCs w:val="19"/>
          <w:color w:val="auto"/>
        </w:rPr>
      </w:pPr>
    </w:p>
    <w:p>
      <w:pPr>
        <w:ind w:right="260" w:firstLine="348"/>
        <w:spacing w:after="0" w:line="293" w:lineRule="auto"/>
        <w:tabs>
          <w:tab w:leader="none" w:pos="699"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volume and mix of our sales between consumables, instruments and software, or changes in the manufacturing or sales costs related to our products;</w:t>
      </w:r>
    </w:p>
    <w:p>
      <w:pPr>
        <w:spacing w:after="0" w:line="107" w:lineRule="exact"/>
        <w:rPr>
          <w:rFonts w:ascii="Times New Roman" w:cs="Times New Roman" w:eastAsia="Times New Roman" w:hAnsi="Times New Roman"/>
          <w:sz w:val="19"/>
          <w:szCs w:val="19"/>
          <w:color w:val="auto"/>
        </w:rPr>
      </w:pPr>
    </w:p>
    <w:p>
      <w:pPr>
        <w:ind w:right="540" w:firstLine="348"/>
        <w:spacing w:after="0" w:line="293" w:lineRule="auto"/>
        <w:tabs>
          <w:tab w:leader="none" w:pos="699"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governmental funding of life sciences research and development or changes that impact budgets and budget</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cycles;</w:t>
      </w:r>
    </w:p>
    <w:p>
      <w:pPr>
        <w:spacing w:after="0" w:line="16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seasonal spending patterns of our customers;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of when we recognize any revenue;</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future accounting pronouncements or changes in our accounting policies;</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1880" w:h="15480" w:orient="portrait"/>
          <w:cols w:equalWidth="0" w:num="1">
            <w:col w:w="10480"/>
          </w:cols>
          <w:pgMar w:left="700" w:top="691" w:right="700" w:bottom="0" w:gutter="0" w:footer="0" w:header="0"/>
          <w:type w:val="continuous"/>
        </w:sectPr>
      </w:pPr>
    </w:p>
    <w:bookmarkStart w:id="47" w:name="page48"/>
    <w:bookmarkEnd w:id="47"/>
    <w:p>
      <w:pPr>
        <w:ind w:left="700" w:hanging="352"/>
        <w:spacing w:after="0"/>
        <w:tabs>
          <w:tab w:leader="none" w:pos="7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higher than anticipated service, replacement and warranty costs;</w:t>
      </w:r>
    </w:p>
    <w:p>
      <w:pPr>
        <w:spacing w:after="0" w:line="189" w:lineRule="exact"/>
        <w:rPr>
          <w:rFonts w:ascii="Times New Roman" w:cs="Times New Roman" w:eastAsia="Times New Roman" w:hAnsi="Times New Roman"/>
          <w:sz w:val="19"/>
          <w:szCs w:val="19"/>
          <w:color w:val="auto"/>
        </w:rPr>
      </w:pPr>
    </w:p>
    <w:p>
      <w:pPr>
        <w:ind w:right="320" w:firstLine="348"/>
        <w:spacing w:after="0" w:line="274" w:lineRule="auto"/>
        <w:tabs>
          <w:tab w:leader="none" w:pos="69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the COVID-19 pandemic, the conflicts in Eastern Europe and the Middle East, any potential future financial institution failures, and other national and global events on the economy, investment in life sciences and research industries, our business operations, and resources and operations of our customers, suppliers, and distributors; and</w:t>
      </w:r>
    </w:p>
    <w:p>
      <w:pPr>
        <w:spacing w:after="0" w:line="125" w:lineRule="exact"/>
        <w:rPr>
          <w:rFonts w:ascii="Times New Roman" w:cs="Times New Roman" w:eastAsia="Times New Roman" w:hAnsi="Times New Roman"/>
          <w:sz w:val="19"/>
          <w:szCs w:val="19"/>
          <w:color w:val="auto"/>
        </w:rPr>
      </w:pPr>
    </w:p>
    <w:p>
      <w:pPr>
        <w:ind w:right="60" w:firstLine="348"/>
        <w:spacing w:after="0" w:line="293" w:lineRule="auto"/>
        <w:tabs>
          <w:tab w:leader="none" w:pos="699"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industry, economic and market conditions and other factors, including factors unrelated to our operating performance or the operating performance of our competitors.</w:t>
      </w:r>
    </w:p>
    <w:p>
      <w:pPr>
        <w:spacing w:after="0" w:line="107" w:lineRule="exact"/>
        <w:rPr>
          <w:sz w:val="20"/>
          <w:szCs w:val="20"/>
          <w:color w:val="auto"/>
        </w:rPr>
      </w:pPr>
    </w:p>
    <w:p>
      <w:pPr>
        <w:ind w:right="240" w:firstLine="349"/>
        <w:spacing w:after="0" w:line="274" w:lineRule="auto"/>
        <w:rPr>
          <w:sz w:val="20"/>
          <w:szCs w:val="20"/>
          <w:color w:val="auto"/>
        </w:rPr>
      </w:pPr>
      <w:r>
        <w:rPr>
          <w:rFonts w:ascii="Times New Roman" w:cs="Times New Roman" w:eastAsia="Times New Roman" w:hAnsi="Times New Roman"/>
          <w:sz w:val="19"/>
          <w:szCs w:val="19"/>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5" w:lineRule="exact"/>
        <w:rPr>
          <w:sz w:val="20"/>
          <w:szCs w:val="20"/>
          <w:color w:val="auto"/>
        </w:rPr>
      </w:pPr>
    </w:p>
    <w:p>
      <w:pPr>
        <w:ind w:right="180" w:firstLine="349"/>
        <w:spacing w:after="0" w:line="268" w:lineRule="auto"/>
        <w:rPr>
          <w:sz w:val="20"/>
          <w:szCs w:val="20"/>
          <w:color w:val="auto"/>
        </w:rPr>
      </w:pPr>
      <w:r>
        <w:rPr>
          <w:rFonts w:ascii="Times New Roman" w:cs="Times New Roman" w:eastAsia="Times New Roman" w:hAnsi="Times New Roman"/>
          <w:sz w:val="19"/>
          <w:szCs w:val="19"/>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24" w:lineRule="exact"/>
        <w:rPr>
          <w:sz w:val="20"/>
          <w:szCs w:val="20"/>
          <w:color w:val="auto"/>
        </w:rPr>
      </w:pPr>
    </w:p>
    <w:p>
      <w:pPr>
        <w:ind w:right="3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6" w:lineRule="exact"/>
        <w:rPr>
          <w:sz w:val="20"/>
          <w:szCs w:val="20"/>
          <w:color w:val="auto"/>
        </w:rPr>
      </w:pPr>
    </w:p>
    <w:p>
      <w:pPr>
        <w:ind w:right="140" w:firstLine="349"/>
        <w:spacing w:after="0" w:line="261" w:lineRule="auto"/>
        <w:rPr>
          <w:sz w:val="20"/>
          <w:szCs w:val="20"/>
          <w:color w:val="auto"/>
        </w:rPr>
      </w:pPr>
      <w:r>
        <w:rPr>
          <w:rFonts w:ascii="Times New Roman" w:cs="Times New Roman" w:eastAsia="Times New Roman" w:hAnsi="Times New Roman"/>
          <w:sz w:val="19"/>
          <w:szCs w:val="19"/>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We expect that we will need to raise additional capital to fund our development and commercialization plans.</w:t>
      </w:r>
    </w:p>
    <w:p>
      <w:pPr>
        <w:spacing w:after="0" w:line="196"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auto"/>
        </w:rPr>
        <w:t>Based on our current plans, we believe that our available resources and existing cash, cash equivalents and short-term investments, will be sufficient to meet our anticipated cash requirements for at least 12 months from the date of this Annual Report on Form 10-K. If our available resources and existing cash and cash equivalents and short-term investments are insufficient to satisfy our liquidity requirements, including because of the realization of other risks described in this Annual Report on Form 10-K, we may be required to raise additional capital prior to such time through issuances of equity or convertible debt securities, enter into a credit facility or another form of third-party funding or seek other debt financing.</w:t>
      </w:r>
    </w:p>
    <w:p>
      <w:pPr>
        <w:spacing w:after="0" w:line="136" w:lineRule="exact"/>
        <w:rPr>
          <w:sz w:val="20"/>
          <w:szCs w:val="20"/>
          <w:color w:val="auto"/>
        </w:rPr>
      </w:pPr>
    </w:p>
    <w:p>
      <w:pPr>
        <w:ind w:right="360" w:firstLine="349"/>
        <w:spacing w:after="0" w:line="293" w:lineRule="auto"/>
        <w:rPr>
          <w:sz w:val="20"/>
          <w:szCs w:val="20"/>
          <w:color w:val="auto"/>
        </w:rPr>
      </w:pPr>
      <w:r>
        <w:rPr>
          <w:rFonts w:ascii="Times New Roman" w:cs="Times New Roman" w:eastAsia="Times New Roman" w:hAnsi="Times New Roman"/>
          <w:sz w:val="19"/>
          <w:szCs w:val="19"/>
          <w:color w:val="auto"/>
        </w:rPr>
        <w:t>We expect that we will need to raise additional capital in the future to expand our business, to pursue strategic investments, to take advantage of financing or acquisition opportunities or for other reasons, including:</w:t>
      </w:r>
    </w:p>
    <w:p>
      <w:pPr>
        <w:spacing w:after="0" w:line="107" w:lineRule="exact"/>
        <w:rPr>
          <w:sz w:val="20"/>
          <w:szCs w:val="20"/>
          <w:color w:val="auto"/>
        </w:rPr>
      </w:pPr>
    </w:p>
    <w:p>
      <w:pPr>
        <w:ind w:left="700" w:hanging="352"/>
        <w:spacing w:after="0"/>
        <w:tabs>
          <w:tab w:leader="none" w:pos="7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funding development and marketing efforts of our Nautilus platform or any other future products;</w:t>
      </w:r>
    </w:p>
    <w:p>
      <w:pPr>
        <w:spacing w:after="0" w:line="189" w:lineRule="exact"/>
        <w:rPr>
          <w:rFonts w:ascii="Times New Roman" w:cs="Times New Roman" w:eastAsia="Times New Roman" w:hAnsi="Times New Roman"/>
          <w:sz w:val="19"/>
          <w:szCs w:val="19"/>
          <w:color w:val="auto"/>
        </w:rPr>
      </w:pPr>
    </w:p>
    <w:p>
      <w:pPr>
        <w:ind w:right="320" w:firstLine="348"/>
        <w:spacing w:after="0" w:line="293" w:lineRule="auto"/>
        <w:tabs>
          <w:tab w:leader="none" w:pos="699"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increasing our sales and marketing and other commercialization efforts to drive market adoption of our Nautilus platform, once commercialized;</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expanding our technologies into additional markets;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preparing, filing, prosecuting, defending and enforcing any patent claims and other intellectual property rights;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acquiring, licensing or defending against third party intellectual property rights;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acquiring or investing in complementary technologies, businesses or assets;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financing capital expenditures and general and administrative expenses.</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1880" w:h="15480" w:orient="portrait"/>
          <w:cols w:equalWidth="0" w:num="1">
            <w:col w:w="10480"/>
          </w:cols>
          <w:pgMar w:left="700" w:top="691" w:right="700" w:bottom="0" w:gutter="0" w:footer="0" w:header="0"/>
          <w:type w:val="continuous"/>
        </w:sectPr>
      </w:pPr>
    </w:p>
    <w:bookmarkStart w:id="48" w:name="page49"/>
    <w:bookmarkEnd w:id="48"/>
    <w:p>
      <w:pPr>
        <w:ind w:left="340"/>
        <w:spacing w:after="0"/>
        <w:rPr>
          <w:sz w:val="20"/>
          <w:szCs w:val="20"/>
          <w:color w:val="auto"/>
        </w:rPr>
      </w:pPr>
      <w:r>
        <w:rPr>
          <w:rFonts w:ascii="Times New Roman" w:cs="Times New Roman" w:eastAsia="Times New Roman" w:hAnsi="Times New Roman"/>
          <w:sz w:val="19"/>
          <w:szCs w:val="19"/>
          <w:color w:val="auto"/>
        </w:rPr>
        <w:t>Our present and future funding requirements will depend on many factors, including:</w:t>
      </w:r>
    </w:p>
    <w:p>
      <w:pPr>
        <w:spacing w:after="0" w:line="189" w:lineRule="exact"/>
        <w:rPr>
          <w:sz w:val="20"/>
          <w:szCs w:val="20"/>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delays in execution of our development plans;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and timing of our investment in our sales, marketing, and distribution capabilities;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we may make to our business that affect ongoing operating expenses;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costs of filing, prosecuting, defending and enforcing any patent claims and other intellectual property rights;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we may make in our business or commercialization strategy;</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we may make in our research and development spending plans;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 of competing technological and market developments;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need to implement additional infrastructure and internal systems;</w:t>
      </w:r>
    </w:p>
    <w:p>
      <w:pPr>
        <w:spacing w:after="0" w:line="189" w:lineRule="exact"/>
        <w:rPr>
          <w:rFonts w:ascii="Times New Roman" w:cs="Times New Roman" w:eastAsia="Times New Roman" w:hAnsi="Times New Roman"/>
          <w:sz w:val="19"/>
          <w:szCs w:val="19"/>
          <w:color w:val="auto"/>
        </w:rPr>
      </w:pPr>
    </w:p>
    <w:p>
      <w:pPr>
        <w:ind w:right="740" w:firstLine="348"/>
        <w:spacing w:after="0" w:line="293" w:lineRule="auto"/>
        <w:tabs>
          <w:tab w:leader="none" w:pos="699"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the COVID-19 pandemic, the conflicts in Eastern Europe and the Middle East, changing interest rates, instability in the global financial markets and general economic downturns; and</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items affecting our forecasted level of expenditures and use of cash resources including potential acquisitions.</w:t>
      </w:r>
    </w:p>
    <w:p>
      <w:pPr>
        <w:spacing w:after="0" w:line="189" w:lineRule="exact"/>
        <w:rPr>
          <w:sz w:val="20"/>
          <w:szCs w:val="20"/>
          <w:color w:val="auto"/>
        </w:rPr>
      </w:pPr>
    </w:p>
    <w:p>
      <w:pPr>
        <w:ind w:right="20" w:firstLine="349"/>
        <w:spacing w:after="0" w:line="264" w:lineRule="auto"/>
        <w:rPr>
          <w:sz w:val="20"/>
          <w:szCs w:val="20"/>
          <w:color w:val="auto"/>
        </w:rPr>
      </w:pPr>
      <w:r>
        <w:rPr>
          <w:rFonts w:ascii="Times New Roman" w:cs="Times New Roman" w:eastAsia="Times New Roman" w:hAnsi="Times New Roman"/>
          <w:sz w:val="19"/>
          <w:szCs w:val="19"/>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371" w:lineRule="exact"/>
        <w:rPr>
          <w:sz w:val="20"/>
          <w:szCs w:val="20"/>
          <w:color w:val="auto"/>
        </w:rPr>
      </w:pPr>
    </w:p>
    <w:p>
      <w:pPr>
        <w:ind w:right="320" w:firstLine="349"/>
        <w:spacing w:after="0" w:line="262" w:lineRule="auto"/>
        <w:rPr>
          <w:sz w:val="20"/>
          <w:szCs w:val="20"/>
          <w:color w:val="auto"/>
        </w:rPr>
      </w:pPr>
      <w:r>
        <w:rPr>
          <w:rFonts w:ascii="Times New Roman" w:cs="Times New Roman" w:eastAsia="Times New Roman" w:hAnsi="Times New Roman"/>
          <w:sz w:val="19"/>
          <w:szCs w:val="19"/>
          <w:color w:val="auto"/>
        </w:rPr>
        <w:t>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19 pandemic, the conflicts in Eastern Europe and the Middle East,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5" w:lineRule="exact"/>
        <w:rPr>
          <w:sz w:val="20"/>
          <w:szCs w:val="20"/>
          <w:color w:val="auto"/>
        </w:rPr>
      </w:pPr>
    </w:p>
    <w:p>
      <w:pPr>
        <w:jc w:val="both"/>
        <w:ind w:right="80" w:firstLine="349"/>
        <w:spacing w:after="0" w:line="263" w:lineRule="auto"/>
        <w:rPr>
          <w:sz w:val="20"/>
          <w:szCs w:val="20"/>
          <w:color w:val="auto"/>
        </w:rPr>
      </w:pPr>
      <w:r>
        <w:rPr>
          <w:rFonts w:ascii="Times New Roman" w:cs="Times New Roman" w:eastAsia="Times New Roman" w:hAnsi="Times New Roman"/>
          <w:sz w:val="19"/>
          <w:szCs w:val="19"/>
          <w:color w:val="auto"/>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9"/>
          <w:szCs w:val="19"/>
          <w:color w:val="auto"/>
        </w:rPr>
        <w:t>For example, the collapse of Silicon Valley Bank and other financial institutions in March 2023 has caused and could continue to cause instability in the global financial markets.</w:t>
      </w:r>
    </w:p>
    <w:p>
      <w:pPr>
        <w:spacing w:after="0" w:line="127" w:lineRule="exact"/>
        <w:rPr>
          <w:sz w:val="20"/>
          <w:szCs w:val="20"/>
          <w:color w:val="auto"/>
        </w:rPr>
      </w:pPr>
    </w:p>
    <w:p>
      <w:pPr>
        <w:ind w:right="100" w:firstLine="349"/>
        <w:spacing w:after="0" w:line="260" w:lineRule="auto"/>
        <w:rPr>
          <w:sz w:val="20"/>
          <w:szCs w:val="20"/>
          <w:color w:val="auto"/>
        </w:rPr>
      </w:pPr>
      <w:r>
        <w:rPr>
          <w:rFonts w:ascii="Times New Roman" w:cs="Times New Roman" w:eastAsia="Times New Roman" w:hAnsi="Times New Roman"/>
          <w:sz w:val="19"/>
          <w:szCs w:val="19"/>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spacing w:after="0" w:line="137"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ectPr>
          <w:pgSz w:w="11880" w:h="15480" w:orient="portrait"/>
          <w:cols w:equalWidth="0" w:num="1">
            <w:col w:w="10460"/>
          </w:cols>
          <w:pgMar w:left="700" w:top="691" w:right="720" w:bottom="0" w:gutter="0" w:footer="0" w:header="0"/>
          <w:type w:val="continuous"/>
        </w:sectPr>
      </w:pPr>
    </w:p>
    <w:bookmarkStart w:id="49" w:name="page50"/>
    <w:bookmarkEnd w:id="49"/>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Intellectual Property</w:t>
      </w:r>
    </w:p>
    <w:p>
      <w:pPr>
        <w:spacing w:after="0" w:line="189" w:lineRule="exact"/>
        <w:rPr>
          <w:sz w:val="20"/>
          <w:szCs w:val="20"/>
          <w:color w:val="auto"/>
        </w:rPr>
      </w:pPr>
    </w:p>
    <w:p>
      <w:pPr>
        <w:ind w:right="28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24"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33"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41"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37" w:lineRule="exact"/>
        <w:rPr>
          <w:sz w:val="20"/>
          <w:szCs w:val="20"/>
          <w:color w:val="auto"/>
        </w:rPr>
      </w:pPr>
    </w:p>
    <w:p>
      <w:pPr>
        <w:ind w:right="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w:t>
      </w:r>
    </w:p>
    <w:p>
      <w:pPr>
        <w:sectPr>
          <w:pgSz w:w="11880" w:h="15480" w:orient="portrait"/>
          <w:cols w:equalWidth="0" w:num="1">
            <w:col w:w="10480"/>
          </w:cols>
          <w:pgMar w:left="700" w:top="1091" w:right="700" w:bottom="0"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1880" w:h="15480" w:orient="portrait"/>
          <w:cols w:equalWidth="0" w:num="1">
            <w:col w:w="10480"/>
          </w:cols>
          <w:pgMar w:left="700" w:top="1091" w:right="700" w:bottom="0" w:gutter="0" w:footer="0" w:header="0"/>
          <w:type w:val="continuous"/>
        </w:sectPr>
      </w:pPr>
    </w:p>
    <w:bookmarkStart w:id="50" w:name="page51"/>
    <w:bookmarkEnd w:id="50"/>
    <w:p>
      <w:pPr>
        <w:ind w:right="500"/>
        <w:spacing w:after="0" w:line="293" w:lineRule="auto"/>
        <w:rPr>
          <w:sz w:val="20"/>
          <w:szCs w:val="20"/>
          <w:color w:val="auto"/>
        </w:rPr>
      </w:pPr>
      <w:r>
        <w:rPr>
          <w:rFonts w:ascii="Times New Roman" w:cs="Times New Roman" w:eastAsia="Times New Roman" w:hAnsi="Times New Roman"/>
          <w:sz w:val="19"/>
          <w:szCs w:val="19"/>
          <w:color w:val="auto"/>
        </w:rPr>
        <w:t>and the enforcement or defense of our issued patents, all of which could have a material adverse effect on our business, financial condition, results of operations and prospects.</w:t>
      </w:r>
    </w:p>
    <w:p>
      <w:pPr>
        <w:spacing w:after="0" w:line="107" w:lineRule="exact"/>
        <w:rPr>
          <w:sz w:val="20"/>
          <w:szCs w:val="20"/>
          <w:color w:val="auto"/>
        </w:rPr>
      </w:pPr>
    </w:p>
    <w:p>
      <w:pPr>
        <w:ind w:right="140" w:firstLine="349"/>
        <w:spacing w:after="0" w:line="262" w:lineRule="auto"/>
        <w:rPr>
          <w:sz w:val="20"/>
          <w:szCs w:val="20"/>
          <w:color w:val="auto"/>
        </w:rPr>
      </w:pPr>
      <w:r>
        <w:rPr>
          <w:rFonts w:ascii="Times New Roman" w:cs="Times New Roman" w:eastAsia="Times New Roman" w:hAnsi="Times New Roman"/>
          <w:sz w:val="19"/>
          <w:szCs w:val="19"/>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36" w:lineRule="exact"/>
        <w:rPr>
          <w:sz w:val="20"/>
          <w:szCs w:val="20"/>
          <w:color w:val="auto"/>
        </w:rPr>
      </w:pPr>
    </w:p>
    <w:p>
      <w:pPr>
        <w:ind w:right="140" w:firstLine="349"/>
        <w:spacing w:after="0" w:line="263" w:lineRule="auto"/>
        <w:rPr>
          <w:sz w:val="20"/>
          <w:szCs w:val="20"/>
          <w:color w:val="auto"/>
        </w:rPr>
      </w:pPr>
      <w:r>
        <w:rPr>
          <w:rFonts w:ascii="Times New Roman" w:cs="Times New Roman" w:eastAsia="Times New Roman" w:hAnsi="Times New Roman"/>
          <w:sz w:val="19"/>
          <w:szCs w:val="19"/>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6"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We may not be able to protect our intellectual property rights throughout the world.</w:t>
      </w:r>
    </w:p>
    <w:p>
      <w:pPr>
        <w:spacing w:after="0" w:line="196" w:lineRule="exact"/>
        <w:rPr>
          <w:sz w:val="20"/>
          <w:szCs w:val="20"/>
          <w:color w:val="auto"/>
        </w:rPr>
      </w:pPr>
    </w:p>
    <w:p>
      <w:pPr>
        <w:ind w:right="240" w:firstLine="349"/>
        <w:spacing w:after="0" w:line="274" w:lineRule="auto"/>
        <w:rPr>
          <w:sz w:val="20"/>
          <w:szCs w:val="20"/>
          <w:color w:val="auto"/>
        </w:rPr>
      </w:pPr>
      <w:r>
        <w:rPr>
          <w:rFonts w:ascii="Times New Roman" w:cs="Times New Roman" w:eastAsia="Times New Roman" w:hAnsi="Times New Roman"/>
          <w:sz w:val="19"/>
          <w:szCs w:val="19"/>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25" w:lineRule="exact"/>
        <w:rPr>
          <w:sz w:val="20"/>
          <w:szCs w:val="20"/>
          <w:color w:val="auto"/>
        </w:rPr>
      </w:pPr>
    </w:p>
    <w:p>
      <w:pPr>
        <w:ind w:right="80" w:firstLine="349"/>
        <w:spacing w:after="0" w:line="259" w:lineRule="auto"/>
        <w:rPr>
          <w:sz w:val="20"/>
          <w:szCs w:val="20"/>
          <w:color w:val="auto"/>
        </w:rPr>
      </w:pPr>
      <w:r>
        <w:rPr>
          <w:rFonts w:ascii="Times New Roman" w:cs="Times New Roman" w:eastAsia="Times New Roman" w:hAnsi="Times New Roman"/>
          <w:sz w:val="19"/>
          <w:szCs w:val="19"/>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41" w:lineRule="exact"/>
        <w:rPr>
          <w:sz w:val="20"/>
          <w:szCs w:val="20"/>
          <w:color w:val="auto"/>
        </w:rPr>
      </w:pPr>
    </w:p>
    <w:p>
      <w:pPr>
        <w:ind w:right="80" w:firstLine="349"/>
        <w:spacing w:after="0" w:line="261" w:lineRule="auto"/>
        <w:rPr>
          <w:sz w:val="20"/>
          <w:szCs w:val="20"/>
          <w:color w:val="auto"/>
        </w:rPr>
      </w:pPr>
      <w:r>
        <w:rPr>
          <w:rFonts w:ascii="Times New Roman" w:cs="Times New Roman" w:eastAsia="Times New Roman" w:hAnsi="Times New Roman"/>
          <w:sz w:val="19"/>
          <w:szCs w:val="19"/>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7"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ectPr>
          <w:pgSz w:w="11880" w:h="15480" w:orient="portrait"/>
          <w:cols w:equalWidth="0" w:num="1">
            <w:col w:w="10480"/>
          </w:cols>
          <w:pgMar w:left="700" w:top="691" w:right="700" w:bottom="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1880" w:h="15480" w:orient="portrait"/>
          <w:cols w:equalWidth="0" w:num="1">
            <w:col w:w="10480"/>
          </w:cols>
          <w:pgMar w:left="700" w:top="691" w:right="700" w:bottom="0" w:gutter="0" w:footer="0" w:header="0"/>
          <w:type w:val="continuous"/>
        </w:sectPr>
      </w:pPr>
    </w:p>
    <w:bookmarkStart w:id="51" w:name="page52"/>
    <w:bookmarkEnd w:id="51"/>
    <w:p>
      <w:pPr>
        <w:ind w:right="2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4"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377" w:lineRule="exact"/>
        <w:rPr>
          <w:sz w:val="20"/>
          <w:szCs w:val="20"/>
          <w:color w:val="auto"/>
        </w:rPr>
      </w:pPr>
    </w:p>
    <w:p>
      <w:pPr>
        <w:ind w:right="60" w:firstLine="349"/>
        <w:spacing w:after="0" w:line="274" w:lineRule="auto"/>
        <w:rPr>
          <w:sz w:val="20"/>
          <w:szCs w:val="20"/>
          <w:color w:val="auto"/>
        </w:rPr>
      </w:pPr>
      <w:r>
        <w:rPr>
          <w:rFonts w:ascii="Times New Roman" w:cs="Times New Roman" w:eastAsia="Times New Roman" w:hAnsi="Times New Roman"/>
          <w:sz w:val="19"/>
          <w:szCs w:val="19"/>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25"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36" w:lineRule="exact"/>
        <w:rPr>
          <w:sz w:val="20"/>
          <w:szCs w:val="20"/>
          <w:color w:val="auto"/>
        </w:rPr>
      </w:pPr>
    </w:p>
    <w:p>
      <w:pPr>
        <w:ind w:right="120" w:firstLine="349"/>
        <w:spacing w:after="0" w:line="263" w:lineRule="auto"/>
        <w:rPr>
          <w:sz w:val="20"/>
          <w:szCs w:val="20"/>
          <w:color w:val="auto"/>
        </w:rPr>
      </w:pPr>
      <w:r>
        <w:rPr>
          <w:rFonts w:ascii="Times New Roman" w:cs="Times New Roman" w:eastAsia="Times New Roman" w:hAnsi="Times New Roman"/>
          <w:sz w:val="19"/>
          <w:szCs w:val="19"/>
          <w:color w:val="auto"/>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Even if we were to prevail in any future litigation, litigation could also result in substantial costs and diversion of resources and could have a material adverse effect on our business, operating results or financial condition.</w:t>
      </w:r>
    </w:p>
    <w:p>
      <w:pPr>
        <w:spacing w:after="0" w:line="136" w:lineRule="exact"/>
        <w:rPr>
          <w:sz w:val="20"/>
          <w:szCs w:val="20"/>
          <w:color w:val="auto"/>
        </w:rPr>
      </w:pPr>
    </w:p>
    <w:p>
      <w:pPr>
        <w:ind w:right="120" w:firstLine="349"/>
        <w:spacing w:after="0" w:line="263" w:lineRule="auto"/>
        <w:rPr>
          <w:sz w:val="20"/>
          <w:szCs w:val="20"/>
          <w:color w:val="auto"/>
        </w:rPr>
      </w:pPr>
      <w:r>
        <w:rPr>
          <w:rFonts w:ascii="Times New Roman" w:cs="Times New Roman" w:eastAsia="Times New Roman" w:hAnsi="Times New Roman"/>
          <w:sz w:val="19"/>
          <w:szCs w:val="19"/>
          <w:color w:val="auto"/>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 The defense of these matters can be time consuming, costly to defend in litigation, divert management’s attention and resources, damage our reputation and brand and cause us to incur significant expenses or make substantial payments.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Issued patents covering our products could be found invalid or unenforceable if challenged.</w:t>
      </w:r>
    </w:p>
    <w:p>
      <w:pPr>
        <w:spacing w:after="0" w:line="196"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 w:cs="Times New Roman" w:eastAsia="Times New Roman" w:hAnsi="Times New Roman"/>
          <w:sz w:val="19"/>
          <w:szCs w:val="19"/>
          <w:b w:val="1"/>
          <w:bCs w:val="1"/>
          <w:i w:val="1"/>
          <w:iCs w:val="1"/>
          <w:color w:val="auto"/>
        </w:rPr>
        <w:t>inter partes</w:t>
      </w:r>
      <w:r>
        <w:rPr>
          <w:rFonts w:ascii="Times New Roman" w:cs="Times New Roman" w:eastAsia="Times New Roman" w:hAnsi="Times New Roman"/>
          <w:sz w:val="19"/>
          <w:szCs w:val="19"/>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9"/>
          <w:szCs w:val="19"/>
          <w:b w:val="1"/>
          <w:bCs w:val="1"/>
          <w:i w:val="1"/>
          <w:iCs w:val="1"/>
          <w:color w:val="auto"/>
        </w:rPr>
        <w:t>inter partes</w:t>
      </w:r>
      <w:r>
        <w:rPr>
          <w:rFonts w:ascii="Times New Roman" w:cs="Times New Roman" w:eastAsia="Times New Roman" w:hAnsi="Times New Roman"/>
          <w:sz w:val="19"/>
          <w:szCs w:val="19"/>
          <w:color w:val="auto"/>
        </w:rPr>
        <w:t xml:space="preserve"> review, post-grant review, derivation and equivalent proceedings in non-U.S. jurisdictions, such as opposition proceedings. Such proceedings could result in revocation of or amendment to our patents in such a way that they no longer</w:t>
      </w:r>
    </w:p>
    <w:p>
      <w:pPr>
        <w:sectPr>
          <w:pgSz w:w="11880" w:h="15480" w:orient="portrait"/>
          <w:cols w:equalWidth="0" w:num="1">
            <w:col w:w="10480"/>
          </w:cols>
          <w:pgMar w:left="700" w:top="684" w:right="70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1880" w:h="15480" w:orient="portrait"/>
          <w:cols w:equalWidth="0" w:num="1">
            <w:col w:w="10480"/>
          </w:cols>
          <w:pgMar w:left="700" w:top="684" w:right="700" w:bottom="0" w:gutter="0" w:footer="0" w:header="0"/>
          <w:type w:val="continuous"/>
        </w:sectPr>
      </w:pPr>
    </w:p>
    <w:bookmarkStart w:id="52" w:name="page53"/>
    <w:bookmarkEnd w:id="52"/>
    <w:p>
      <w:pPr>
        <w:ind w:right="220"/>
        <w:spacing w:after="0" w:line="261" w:lineRule="auto"/>
        <w:rPr>
          <w:sz w:val="20"/>
          <w:szCs w:val="20"/>
          <w:color w:val="auto"/>
        </w:rPr>
      </w:pPr>
      <w:r>
        <w:rPr>
          <w:rFonts w:ascii="Times New Roman" w:cs="Times New Roman" w:eastAsia="Times New Roman" w:hAnsi="Times New Roman"/>
          <w:sz w:val="19"/>
          <w:szCs w:val="19"/>
          <w:color w:val="auto"/>
        </w:rPr>
        <w:t>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8" w:lineRule="exact"/>
        <w:rPr>
          <w:sz w:val="20"/>
          <w:szCs w:val="20"/>
          <w:color w:val="auto"/>
        </w:rPr>
      </w:pPr>
    </w:p>
    <w:p>
      <w:pPr>
        <w:ind w:right="80" w:firstLine="349"/>
        <w:spacing w:after="0" w:line="259" w:lineRule="auto"/>
        <w:rPr>
          <w:sz w:val="20"/>
          <w:szCs w:val="20"/>
          <w:color w:val="auto"/>
        </w:rPr>
      </w:pPr>
      <w:r>
        <w:rPr>
          <w:rFonts w:ascii="Times New Roman" w:cs="Times New Roman" w:eastAsia="Times New Roman" w:hAnsi="Times New Roman"/>
          <w:sz w:val="19"/>
          <w:szCs w:val="19"/>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1" w:lineRule="exact"/>
        <w:rPr>
          <w:sz w:val="20"/>
          <w:szCs w:val="20"/>
          <w:color w:val="auto"/>
        </w:rPr>
      </w:pPr>
    </w:p>
    <w:p>
      <w:pPr>
        <w:ind w:right="3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33" w:lineRule="exact"/>
        <w:rPr>
          <w:sz w:val="20"/>
          <w:szCs w:val="20"/>
          <w:color w:val="auto"/>
        </w:rPr>
      </w:pPr>
    </w:p>
    <w:p>
      <w:pPr>
        <w:ind w:right="60" w:firstLine="349"/>
        <w:spacing w:after="0" w:line="259" w:lineRule="auto"/>
        <w:rPr>
          <w:sz w:val="20"/>
          <w:szCs w:val="20"/>
          <w:color w:val="auto"/>
        </w:rPr>
      </w:pPr>
      <w:r>
        <w:rPr>
          <w:rFonts w:ascii="Times New Roman" w:cs="Times New Roman" w:eastAsia="Times New Roman" w:hAnsi="Times New Roman"/>
          <w:sz w:val="19"/>
          <w:szCs w:val="19"/>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44"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31"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ectPr>
          <w:pgSz w:w="11880" w:h="15480" w:orient="portrait"/>
          <w:cols w:equalWidth="0" w:num="1">
            <w:col w:w="10480"/>
          </w:cols>
          <w:pgMar w:left="700" w:top="691" w:right="700" w:bottom="0" w:gutter="0" w:footer="0" w:header="0"/>
          <w:type w:val="continuous"/>
        </w:sectPr>
      </w:pPr>
    </w:p>
    <w:bookmarkStart w:id="53" w:name="page54"/>
    <w:bookmarkEnd w:id="53"/>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We may be subject to claims challenging the inventorship of our patents and other intellectual property.</w:t>
      </w:r>
    </w:p>
    <w:p>
      <w:pPr>
        <w:spacing w:after="0" w:line="196"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41" w:lineRule="exact"/>
        <w:rPr>
          <w:sz w:val="20"/>
          <w:szCs w:val="20"/>
          <w:color w:val="auto"/>
        </w:rPr>
      </w:pPr>
    </w:p>
    <w:p>
      <w:pPr>
        <w:ind w:right="5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ind w:right="80" w:firstLine="349"/>
        <w:spacing w:after="0" w:line="259" w:lineRule="auto"/>
        <w:rPr>
          <w:sz w:val="20"/>
          <w:szCs w:val="20"/>
          <w:color w:val="auto"/>
        </w:rPr>
      </w:pPr>
      <w:r>
        <w:rPr>
          <w:rFonts w:ascii="Times New Roman" w:cs="Times New Roman" w:eastAsia="Times New Roman" w:hAnsi="Times New Roman"/>
          <w:sz w:val="19"/>
          <w:szCs w:val="19"/>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Patent terms may be inadequate to protect our competitive position on our Nautilus platform for an adequate amount of time.</w:t>
      </w:r>
    </w:p>
    <w:p>
      <w:pPr>
        <w:spacing w:after="0" w:line="196"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30" w:lineRule="exact"/>
        <w:rPr>
          <w:sz w:val="20"/>
          <w:szCs w:val="20"/>
          <w:color w:val="auto"/>
        </w:rPr>
      </w:pPr>
    </w:p>
    <w:p>
      <w:pPr>
        <w:ind w:right="22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4" w:lineRule="exact"/>
        <w:rPr>
          <w:sz w:val="20"/>
          <w:szCs w:val="20"/>
          <w:color w:val="auto"/>
        </w:rPr>
      </w:pPr>
    </w:p>
    <w:p>
      <w:pPr>
        <w:ind w:right="60" w:firstLine="349"/>
        <w:spacing w:after="0" w:line="260" w:lineRule="auto"/>
        <w:rPr>
          <w:sz w:val="20"/>
          <w:szCs w:val="20"/>
          <w:color w:val="auto"/>
        </w:rPr>
      </w:pPr>
      <w:r>
        <w:rPr>
          <w:rFonts w:ascii="Times New Roman" w:cs="Times New Roman" w:eastAsia="Times New Roman" w:hAnsi="Times New Roman"/>
          <w:sz w:val="19"/>
          <w:szCs w:val="19"/>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ectPr>
          <w:pgSz w:w="11880" w:h="15480" w:orient="portrait"/>
          <w:cols w:equalWidth="0" w:num="1">
            <w:col w:w="10460"/>
          </w:cols>
          <w:pgMar w:left="700" w:top="684" w:right="72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ectPr>
          <w:pgSz w:w="11880" w:h="15480" w:orient="portrait"/>
          <w:cols w:equalWidth="0" w:num="1">
            <w:col w:w="10460"/>
          </w:cols>
          <w:pgMar w:left="700" w:top="684" w:right="720" w:bottom="0" w:gutter="0" w:footer="0" w:header="0"/>
          <w:type w:val="continuous"/>
        </w:sectPr>
      </w:pPr>
    </w:p>
    <w:bookmarkStart w:id="54" w:name="page55"/>
    <w:bookmarkEnd w:id="54"/>
    <w:p>
      <w:pPr>
        <w:ind w:right="36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24" w:lineRule="exact"/>
        <w:rPr>
          <w:sz w:val="20"/>
          <w:szCs w:val="20"/>
          <w:color w:val="auto"/>
        </w:rPr>
      </w:pPr>
    </w:p>
    <w:p>
      <w:pPr>
        <w:ind w:right="40" w:firstLine="349"/>
        <w:spacing w:after="0" w:line="258" w:lineRule="auto"/>
        <w:rPr>
          <w:sz w:val="20"/>
          <w:szCs w:val="20"/>
          <w:color w:val="auto"/>
        </w:rPr>
      </w:pPr>
      <w:r>
        <w:rPr>
          <w:rFonts w:ascii="Times New Roman" w:cs="Times New Roman" w:eastAsia="Times New Roman" w:hAnsi="Times New Roman"/>
          <w:sz w:val="19"/>
          <w:szCs w:val="19"/>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383" w:lineRule="exact"/>
        <w:rPr>
          <w:sz w:val="20"/>
          <w:szCs w:val="20"/>
          <w:color w:val="auto"/>
        </w:rPr>
      </w:pPr>
    </w:p>
    <w:p>
      <w:pPr>
        <w:ind w:right="80" w:firstLine="349"/>
        <w:spacing w:after="0" w:line="260" w:lineRule="auto"/>
        <w:rPr>
          <w:sz w:val="20"/>
          <w:szCs w:val="20"/>
          <w:color w:val="auto"/>
        </w:rPr>
      </w:pPr>
      <w:r>
        <w:rPr>
          <w:rFonts w:ascii="Times New Roman" w:cs="Times New Roman" w:eastAsia="Times New Roman" w:hAnsi="Times New Roman"/>
          <w:sz w:val="19"/>
          <w:szCs w:val="19"/>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41"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4" w:lineRule="exact"/>
        <w:rPr>
          <w:sz w:val="20"/>
          <w:szCs w:val="20"/>
          <w:color w:val="auto"/>
        </w:rPr>
      </w:pPr>
    </w:p>
    <w:p>
      <w:pPr>
        <w:ind w:right="16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cannot license rights to use technologies on reasonable terms, we may not be able to commercialize new products in the future.</w:t>
      </w:r>
    </w:p>
    <w:p>
      <w:pPr>
        <w:spacing w:after="0" w:line="105" w:lineRule="exact"/>
        <w:rPr>
          <w:sz w:val="20"/>
          <w:szCs w:val="20"/>
          <w:color w:val="auto"/>
        </w:rPr>
      </w:pPr>
    </w:p>
    <w:p>
      <w:pPr>
        <w:ind w:right="60" w:firstLine="349"/>
        <w:spacing w:after="0" w:line="262" w:lineRule="auto"/>
        <w:rPr>
          <w:sz w:val="20"/>
          <w:szCs w:val="20"/>
          <w:color w:val="auto"/>
        </w:rPr>
      </w:pPr>
      <w:r>
        <w:rPr>
          <w:rFonts w:ascii="Times New Roman" w:cs="Times New Roman" w:eastAsia="Times New Roman" w:hAnsi="Times New Roman"/>
          <w:sz w:val="19"/>
          <w:szCs w:val="19"/>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374" w:lineRule="exact"/>
        <w:rPr>
          <w:sz w:val="20"/>
          <w:szCs w:val="20"/>
          <w:color w:val="auto"/>
        </w:rPr>
      </w:pPr>
    </w:p>
    <w:p>
      <w:pPr>
        <w:ind w:right="120" w:firstLine="349"/>
        <w:spacing w:after="0" w:line="261" w:lineRule="auto"/>
        <w:rPr>
          <w:sz w:val="20"/>
          <w:szCs w:val="20"/>
          <w:color w:val="auto"/>
        </w:rPr>
      </w:pPr>
      <w:r>
        <w:rPr>
          <w:rFonts w:ascii="Times New Roman" w:cs="Times New Roman" w:eastAsia="Times New Roman" w:hAnsi="Times New Roman"/>
          <w:sz w:val="19"/>
          <w:szCs w:val="19"/>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ectPr>
          <w:pgSz w:w="11880" w:h="15480" w:orient="portrait"/>
          <w:cols w:equalWidth="0" w:num="1">
            <w:col w:w="10480"/>
          </w:cols>
          <w:pgMar w:left="700" w:top="684" w:right="700" w:bottom="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880" w:h="15480" w:orient="portrait"/>
          <w:cols w:equalWidth="0" w:num="1">
            <w:col w:w="10480"/>
          </w:cols>
          <w:pgMar w:left="700" w:top="684" w:right="700" w:bottom="0" w:gutter="0" w:footer="0" w:header="0"/>
          <w:type w:val="continuous"/>
        </w:sectPr>
      </w:pPr>
    </w:p>
    <w:bookmarkStart w:id="55" w:name="page56"/>
    <w:bookmarkEnd w:id="55"/>
    <w:p>
      <w:pPr>
        <w:ind w:right="2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05"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44"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Intellectual property rights do not necessarily address all potential threats.</w:t>
      </w:r>
    </w:p>
    <w:p>
      <w:pPr>
        <w:spacing w:after="0" w:line="196" w:lineRule="exact"/>
        <w:rPr>
          <w:sz w:val="20"/>
          <w:szCs w:val="20"/>
          <w:color w:val="auto"/>
        </w:rPr>
      </w:pPr>
    </w:p>
    <w:p>
      <w:pPr>
        <w:ind w:right="160" w:firstLine="349"/>
        <w:spacing w:after="0" w:line="293" w:lineRule="auto"/>
        <w:rPr>
          <w:sz w:val="20"/>
          <w:szCs w:val="20"/>
          <w:color w:val="auto"/>
        </w:rPr>
      </w:pPr>
      <w:r>
        <w:rPr>
          <w:rFonts w:ascii="Times New Roman" w:cs="Times New Roman" w:eastAsia="Times New Roman" w:hAnsi="Times New Roman"/>
          <w:sz w:val="19"/>
          <w:szCs w:val="19"/>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7" w:lineRule="exact"/>
        <w:rPr>
          <w:sz w:val="20"/>
          <w:szCs w:val="20"/>
          <w:color w:val="auto"/>
        </w:rPr>
      </w:pPr>
    </w:p>
    <w:p>
      <w:pPr>
        <w:ind w:right="140" w:firstLine="348"/>
        <w:spacing w:after="0" w:line="293" w:lineRule="auto"/>
        <w:tabs>
          <w:tab w:leader="none" w:pos="69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07" w:lineRule="exact"/>
        <w:rPr>
          <w:rFonts w:ascii="Times New Roman" w:cs="Times New Roman" w:eastAsia="Times New Roman" w:hAnsi="Times New Roman"/>
          <w:sz w:val="19"/>
          <w:szCs w:val="19"/>
          <w:color w:val="auto"/>
        </w:rPr>
      </w:pPr>
    </w:p>
    <w:p>
      <w:pPr>
        <w:ind w:right="260" w:firstLine="348"/>
        <w:spacing w:after="0" w:line="293" w:lineRule="auto"/>
        <w:tabs>
          <w:tab w:leader="none" w:pos="69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or any future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9"/>
          <w:szCs w:val="19"/>
          <w:color w:val="auto"/>
        </w:rPr>
      </w:pPr>
    </w:p>
    <w:p>
      <w:pPr>
        <w:ind w:right="760" w:firstLine="348"/>
        <w:spacing w:after="0" w:line="293" w:lineRule="auto"/>
        <w:tabs>
          <w:tab w:leader="none" w:pos="69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or any future licensor(s), might not have been the first to file patent applications covering certain of our or their inventions;</w:t>
      </w:r>
    </w:p>
    <w:p>
      <w:pPr>
        <w:spacing w:after="0" w:line="107" w:lineRule="exact"/>
        <w:rPr>
          <w:rFonts w:ascii="Times New Roman" w:cs="Times New Roman" w:eastAsia="Times New Roman" w:hAnsi="Times New Roman"/>
          <w:sz w:val="19"/>
          <w:szCs w:val="19"/>
          <w:color w:val="auto"/>
        </w:rPr>
      </w:pPr>
    </w:p>
    <w:p>
      <w:pPr>
        <w:ind w:firstLine="348"/>
        <w:spacing w:after="0" w:line="293" w:lineRule="auto"/>
        <w:tabs>
          <w:tab w:leader="none" w:pos="69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possible that our pending patent applications or those that we may license or own in the future will not lead to issued</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patents;</w:t>
      </w:r>
    </w:p>
    <w:p>
      <w:pPr>
        <w:spacing w:after="0" w:line="169" w:lineRule="exact"/>
        <w:rPr>
          <w:rFonts w:ascii="Times New Roman" w:cs="Times New Roman" w:eastAsia="Times New Roman" w:hAnsi="Times New Roman"/>
          <w:sz w:val="19"/>
          <w:szCs w:val="19"/>
          <w:color w:val="auto"/>
        </w:rPr>
      </w:pPr>
    </w:p>
    <w:p>
      <w:pPr>
        <w:ind w:right="300" w:firstLine="348"/>
        <w:spacing w:after="0" w:line="293" w:lineRule="auto"/>
        <w:tabs>
          <w:tab w:leader="none" w:pos="69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issued patents that we hold rights to may be held invalid or unenforceable, including as a result of legal challenges by our competitors;</w:t>
      </w:r>
    </w:p>
    <w:p>
      <w:pPr>
        <w:spacing w:after="0" w:line="107" w:lineRule="exact"/>
        <w:rPr>
          <w:rFonts w:ascii="Times New Roman" w:cs="Times New Roman" w:eastAsia="Times New Roman" w:hAnsi="Times New Roman"/>
          <w:sz w:val="19"/>
          <w:szCs w:val="19"/>
          <w:color w:val="auto"/>
        </w:rPr>
      </w:pPr>
    </w:p>
    <w:p>
      <w:pPr>
        <w:ind w:right="80" w:firstLine="348"/>
        <w:spacing w:after="0" w:line="293" w:lineRule="auto"/>
        <w:tabs>
          <w:tab w:leader="none" w:pos="69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develop additional proprietary technologies that are patentable;</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patents of others may harm our business; and</w:t>
      </w:r>
    </w:p>
    <w:p>
      <w:pPr>
        <w:spacing w:after="0" w:line="189" w:lineRule="exact"/>
        <w:rPr>
          <w:rFonts w:ascii="Times New Roman" w:cs="Times New Roman" w:eastAsia="Times New Roman" w:hAnsi="Times New Roman"/>
          <w:sz w:val="19"/>
          <w:szCs w:val="19"/>
          <w:color w:val="auto"/>
        </w:rPr>
      </w:pPr>
    </w:p>
    <w:p>
      <w:pPr>
        <w:ind w:right="280" w:firstLine="348"/>
        <w:spacing w:after="0" w:line="293" w:lineRule="auto"/>
        <w:tabs>
          <w:tab w:leader="none" w:pos="699"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choose not to file a patent for certain trade secrets or know-how, and a third party may independently derive, use, commercialize, publish or patent such intellectual property.</w:t>
      </w:r>
    </w:p>
    <w:p>
      <w:pPr>
        <w:sectPr>
          <w:pgSz w:w="11880" w:h="15480" w:orient="portrait"/>
          <w:cols w:equalWidth="0" w:num="1">
            <w:col w:w="10420"/>
          </w:cols>
          <w:pgMar w:left="700" w:top="684" w:right="76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54</w:t>
      </w:r>
    </w:p>
    <w:p>
      <w:pPr>
        <w:sectPr>
          <w:pgSz w:w="11880" w:h="15480" w:orient="portrait"/>
          <w:cols w:equalWidth="0" w:num="1">
            <w:col w:w="10420"/>
          </w:cols>
          <w:pgMar w:left="700" w:top="684" w:right="760" w:bottom="0" w:gutter="0" w:footer="0" w:header="0"/>
          <w:type w:val="continuous"/>
        </w:sectPr>
      </w:pPr>
    </w:p>
    <w:bookmarkStart w:id="56" w:name="page57"/>
    <w:bookmarkEnd w:id="56"/>
    <w:p>
      <w:pPr>
        <w:ind w:right="300" w:firstLine="349"/>
        <w:spacing w:after="0" w:line="293" w:lineRule="auto"/>
        <w:rPr>
          <w:sz w:val="20"/>
          <w:szCs w:val="20"/>
          <w:color w:val="auto"/>
        </w:rPr>
      </w:pPr>
      <w:r>
        <w:rPr>
          <w:rFonts w:ascii="Times New Roman" w:cs="Times New Roman" w:eastAsia="Times New Roman" w:hAnsi="Times New Roman"/>
          <w:sz w:val="19"/>
          <w:szCs w:val="19"/>
          <w:color w:val="auto"/>
        </w:rPr>
        <w:t>Should any of these events occur, they could materially adversely affect our business, financial condition, results of operations and prospects.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Litigation</w:t>
      </w:r>
    </w:p>
    <w:p>
      <w:pPr>
        <w:spacing w:after="0" w:line="189" w:lineRule="exact"/>
        <w:rPr>
          <w:sz w:val="20"/>
          <w:szCs w:val="20"/>
          <w:color w:val="auto"/>
        </w:rPr>
      </w:pPr>
    </w:p>
    <w:p>
      <w:pPr>
        <w:jc w:val="both"/>
        <w:ind w:right="24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134"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41" w:lineRule="exact"/>
        <w:rPr>
          <w:sz w:val="20"/>
          <w:szCs w:val="20"/>
          <w:color w:val="auto"/>
        </w:rPr>
      </w:pPr>
    </w:p>
    <w:p>
      <w:pPr>
        <w:ind w:right="44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products could have unknown defects or errors, which may give rise to claims against us and adversely affect market adoption of our Nautilus platform.</w:t>
      </w:r>
    </w:p>
    <w:p>
      <w:pPr>
        <w:spacing w:after="0" w:line="105" w:lineRule="exact"/>
        <w:rPr>
          <w:sz w:val="20"/>
          <w:szCs w:val="20"/>
          <w:color w:val="auto"/>
        </w:rPr>
      </w:pPr>
    </w:p>
    <w:p>
      <w:pPr>
        <w:ind w:right="80" w:firstLine="349"/>
        <w:spacing w:after="0" w:line="263" w:lineRule="auto"/>
        <w:rPr>
          <w:sz w:val="20"/>
          <w:szCs w:val="20"/>
          <w:color w:val="auto"/>
        </w:rPr>
      </w:pPr>
      <w:r>
        <w:rPr>
          <w:rFonts w:ascii="Times New Roman" w:cs="Times New Roman" w:eastAsia="Times New Roman" w:hAnsi="Times New Roman"/>
          <w:sz w:val="19"/>
          <w:szCs w:val="19"/>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36"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If our products contain defects, we may experience:</w:t>
      </w:r>
    </w:p>
    <w:p>
      <w:pPr>
        <w:spacing w:after="0" w:line="189" w:lineRule="exact"/>
        <w:rPr>
          <w:sz w:val="20"/>
          <w:szCs w:val="20"/>
          <w:color w:val="auto"/>
        </w:rPr>
      </w:pPr>
    </w:p>
    <w:p>
      <w:pPr>
        <w:ind w:left="700" w:hanging="352"/>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failure to achieve market acceptance or expansion of our product sales;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loss of customer orders and delay in order fulfillment;</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damage to our brand reputation;</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increased cost of our warranty program due to product repair or replacement;</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product recalls or replacements;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inability to attract new customers;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diversion of resources from our manufacturing and research and development departments into our service department; and</w:t>
      </w:r>
    </w:p>
    <w:p>
      <w:pPr>
        <w:spacing w:after="0" w:line="189" w:lineRule="exact"/>
        <w:rPr>
          <w:rFonts w:ascii="Times New Roman" w:cs="Times New Roman" w:eastAsia="Times New Roman" w:hAnsi="Times New Roman"/>
          <w:sz w:val="19"/>
          <w:szCs w:val="19"/>
          <w:color w:val="auto"/>
        </w:rPr>
      </w:pPr>
    </w:p>
    <w:p>
      <w:pPr>
        <w:ind w:right="160" w:firstLine="348"/>
        <w:spacing w:after="0" w:line="293" w:lineRule="auto"/>
        <w:tabs>
          <w:tab w:leader="none" w:pos="699"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legal claims against us, including product liability claims, which could be costly and time consuming to defend and result in substantial damages.</w:t>
      </w:r>
    </w:p>
    <w:p>
      <w:pPr>
        <w:spacing w:after="0" w:line="107" w:lineRule="exact"/>
        <w:rPr>
          <w:sz w:val="20"/>
          <w:szCs w:val="20"/>
          <w:color w:val="auto"/>
        </w:rPr>
      </w:pPr>
    </w:p>
    <w:p>
      <w:pPr>
        <w:ind w:right="620" w:firstLine="349"/>
        <w:spacing w:after="0" w:line="293" w:lineRule="auto"/>
        <w:rPr>
          <w:sz w:val="20"/>
          <w:szCs w:val="20"/>
          <w:color w:val="auto"/>
        </w:rPr>
      </w:pPr>
      <w:r>
        <w:rPr>
          <w:rFonts w:ascii="Times New Roman" w:cs="Times New Roman" w:eastAsia="Times New Roman" w:hAnsi="Times New Roman"/>
          <w:sz w:val="19"/>
          <w:szCs w:val="19"/>
          <w:color w:val="auto"/>
        </w:rPr>
        <w:t>The occurrence of any one or more of the foregoing could negatively affect our business, financial condition and results of operations.</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1880" w:h="15480" w:orient="portrait"/>
          <w:cols w:equalWidth="0" w:num="1">
            <w:col w:w="10480"/>
          </w:cols>
          <w:pgMar w:left="700" w:top="691" w:right="700" w:bottom="0" w:gutter="0" w:footer="0" w:header="0"/>
          <w:type w:val="continuous"/>
        </w:sectPr>
      </w:pPr>
    </w:p>
    <w:bookmarkStart w:id="57" w:name="page58"/>
    <w:bookmarkEnd w:id="57"/>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If we are sued for product liability, we could face substantial liabilities that exceed our resources.</w:t>
      </w:r>
    </w:p>
    <w:p>
      <w:pPr>
        <w:spacing w:after="0" w:line="196"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Regulatory and Legal Compliance Matters</w:t>
      </w:r>
    </w:p>
    <w:p>
      <w:pPr>
        <w:spacing w:after="0" w:line="189" w:lineRule="exact"/>
        <w:rPr>
          <w:sz w:val="20"/>
          <w:szCs w:val="20"/>
          <w:color w:val="auto"/>
        </w:rPr>
      </w:pPr>
    </w:p>
    <w:p>
      <w:pPr>
        <w:jc w:val="both"/>
        <w:ind w:right="180" w:firstLine="349"/>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36" w:lineRule="exact"/>
        <w:rPr>
          <w:sz w:val="20"/>
          <w:szCs w:val="20"/>
          <w:color w:val="auto"/>
        </w:rPr>
      </w:pPr>
    </w:p>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33"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 (the “QSR”),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FDA’s new Quality Management System Regulation (“QMSR”), which incorporates by reference certain requirements under ISO 13485, will go into effect on February 2, 2026.</w:t>
      </w:r>
    </w:p>
    <w:p>
      <w:pPr>
        <w:spacing w:after="0" w:line="137"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2"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w:t>
      </w:r>
    </w:p>
    <w:p>
      <w:pPr>
        <w:sectPr>
          <w:pgSz w:w="11880" w:h="15480" w:orient="portrait"/>
          <w:cols w:equalWidth="0" w:num="1">
            <w:col w:w="10480"/>
          </w:cols>
          <w:pgMar w:left="700" w:top="684"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ectPr>
          <w:pgSz w:w="11880" w:h="15480" w:orient="portrait"/>
          <w:cols w:equalWidth="0" w:num="1">
            <w:col w:w="10480"/>
          </w:cols>
          <w:pgMar w:left="700" w:top="684" w:right="700" w:bottom="0" w:gutter="0" w:footer="0" w:header="0"/>
          <w:type w:val="continuous"/>
        </w:sectPr>
      </w:pPr>
    </w:p>
    <w:bookmarkStart w:id="58" w:name="page59"/>
    <w:bookmarkEnd w:id="58"/>
    <w:p>
      <w:pPr>
        <w:ind w:right="680"/>
        <w:spacing w:after="0" w:line="293" w:lineRule="auto"/>
        <w:rPr>
          <w:sz w:val="20"/>
          <w:szCs w:val="20"/>
          <w:color w:val="auto"/>
        </w:rPr>
      </w:pPr>
      <w:r>
        <w:rPr>
          <w:rFonts w:ascii="Times New Roman" w:cs="Times New Roman" w:eastAsia="Times New Roman" w:hAnsi="Times New Roman"/>
          <w:sz w:val="19"/>
          <w:szCs w:val="19"/>
          <w:color w:val="auto"/>
        </w:rPr>
        <w:t>enforcement actions, including warning letters and adverse publicity, fines, injunctions, and civil penalties; recall or seizure of products; operating restrictions; and criminal prosecution.</w:t>
      </w:r>
    </w:p>
    <w:p>
      <w:pPr>
        <w:spacing w:after="0" w:line="107"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Following Brexit, medical device products entering the U.K. market will have to comply with the regulatory requirements of the Medicines and Healthcare products Regulatory Agency (the “MHRA”), including the new UK Medical Device Regulations. In December 2024, the MHRA published a revised roadmap towards the future regulatory framework for medical devices and updating the intended timelines to implement future medical device regulations.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4" w:lineRule="exact"/>
        <w:rPr>
          <w:sz w:val="20"/>
          <w:szCs w:val="20"/>
          <w:color w:val="auto"/>
        </w:rPr>
      </w:pPr>
    </w:p>
    <w:p>
      <w:pPr>
        <w:ind w:right="320" w:firstLine="349"/>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36" w:lineRule="exact"/>
        <w:rPr>
          <w:sz w:val="20"/>
          <w:szCs w:val="20"/>
          <w:color w:val="auto"/>
        </w:rPr>
      </w:pPr>
    </w:p>
    <w:p>
      <w:pPr>
        <w:ind w:right="40" w:firstLine="349"/>
        <w:spacing w:after="0" w:line="258" w:lineRule="auto"/>
        <w:rPr>
          <w:sz w:val="20"/>
          <w:szCs w:val="20"/>
          <w:color w:val="auto"/>
        </w:rPr>
      </w:pPr>
      <w:r>
        <w:rPr>
          <w:rFonts w:ascii="Times New Roman" w:cs="Times New Roman" w:eastAsia="Times New Roman" w:hAnsi="Times New Roman"/>
          <w:sz w:val="19"/>
          <w:szCs w:val="19"/>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381"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auto"/>
        </w:rPr>
        <w:t xml:space="preserve">The FDA has historically exercised enforcement discretion in not enforcing the medical device regulations against laboratories offering LDTs. In May 2024, FDA issued a final rule that amends FDA’s regulations to make explicit that </w:t>
      </w:r>
      <w:r>
        <w:rPr>
          <w:rFonts w:ascii="Times New Roman" w:cs="Times New Roman" w:eastAsia="Times New Roman" w:hAnsi="Times New Roman"/>
          <w:sz w:val="19"/>
          <w:szCs w:val="19"/>
          <w:b w:val="1"/>
          <w:bCs w:val="1"/>
          <w:i w:val="1"/>
          <w:iCs w:val="1"/>
          <w:color w:val="auto"/>
        </w:rPr>
        <w:t>in vitro</w:t>
      </w:r>
      <w:r>
        <w:rPr>
          <w:rFonts w:ascii="Times New Roman" w:cs="Times New Roman" w:eastAsia="Times New Roman" w:hAnsi="Times New Roman"/>
          <w:sz w:val="19"/>
          <w:szCs w:val="19"/>
          <w:color w:val="auto"/>
        </w:rPr>
        <w:t xml:space="preserve"> diagnostics (“IVDs”) are devices under the Federal Food, Drug, and Cosmetic Act, including when the manufacturer of the IVD is a laboratory, and phases out its enforcement discretion for LDTs. Multiple lawsuits have been filed against FDA, challenging this FDA final rule, including lawsuits filed by the American Clinical Laboratory Association and the Association for Molecular Pathology. Further, in June 2024, the U.S. Supreme Court overruled the </w:t>
      </w:r>
      <w:r>
        <w:rPr>
          <w:rFonts w:ascii="Times New Roman" w:cs="Times New Roman" w:eastAsia="Times New Roman" w:hAnsi="Times New Roman"/>
          <w:sz w:val="19"/>
          <w:szCs w:val="19"/>
          <w:b w:val="1"/>
          <w:bCs w:val="1"/>
          <w:i w:val="1"/>
          <w:iCs w:val="1"/>
          <w:color w:val="auto"/>
        </w:rPr>
        <w:t>Chevron</w:t>
      </w:r>
      <w:r>
        <w:rPr>
          <w:rFonts w:ascii="Times New Roman" w:cs="Times New Roman" w:eastAsia="Times New Roman" w:hAnsi="Times New Roman"/>
          <w:sz w:val="19"/>
          <w:szCs w:val="19"/>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FDA’s statutory interpretations, including its decision to regulate LDTs as medical devices. These judicial challenges can lead to uncertainties in the industry. We cannot predict the full impact of the LDT final rule and ongoing litigation against the FDA on us or the industry in general. Any restrictions on LDTs by the FDA, Congress, or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383"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w:t>
      </w:r>
    </w:p>
    <w:p>
      <w:pPr>
        <w:sectPr>
          <w:pgSz w:w="11880" w:h="15480" w:orient="portrait"/>
          <w:cols w:equalWidth="0" w:num="1">
            <w:col w:w="10480"/>
          </w:cols>
          <w:pgMar w:left="700" w:top="691" w:right="700" w:bottom="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880" w:h="15480" w:orient="portrait"/>
          <w:cols w:equalWidth="0" w:num="1">
            <w:col w:w="10480"/>
          </w:cols>
          <w:pgMar w:left="700" w:top="691" w:right="700" w:bottom="0" w:gutter="0" w:footer="0" w:header="0"/>
          <w:type w:val="continuous"/>
        </w:sectPr>
      </w:pPr>
    </w:p>
    <w:bookmarkStart w:id="59" w:name="page60"/>
    <w:bookmarkEnd w:id="59"/>
    <w:p>
      <w:pPr>
        <w:ind w:right="60"/>
        <w:spacing w:after="0" w:line="268" w:lineRule="auto"/>
        <w:rPr>
          <w:sz w:val="20"/>
          <w:szCs w:val="20"/>
          <w:color w:val="auto"/>
        </w:rPr>
      </w:pPr>
      <w:r>
        <w:rPr>
          <w:rFonts w:ascii="Times New Roman" w:cs="Times New Roman" w:eastAsia="Times New Roman" w:hAnsi="Times New Roman"/>
          <w:sz w:val="19"/>
          <w:szCs w:val="19"/>
          <w:color w:val="auto"/>
        </w:rPr>
        <w:t>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1"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7"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Changes in the leadership of FDA and other federal agencies under the new Trump administration may lead to changes in policies and regulations that can impact our industry. 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 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129" w:lineRule="exact"/>
        <w:rPr>
          <w:sz w:val="20"/>
          <w:szCs w:val="20"/>
          <w:color w:val="auto"/>
        </w:rPr>
      </w:pPr>
    </w:p>
    <w:p>
      <w:pPr>
        <w:ind w:right="28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4"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In the ordinary course of our business, we currently, and, in the future, will, collect, store, transfer, use or process sensitive data, including personal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41" w:lineRule="exact"/>
        <w:rPr>
          <w:sz w:val="20"/>
          <w:szCs w:val="20"/>
          <w:color w:val="auto"/>
        </w:rPr>
      </w:pPr>
    </w:p>
    <w:p>
      <w:pPr>
        <w:ind w:firstLine="349"/>
        <w:spacing w:after="0" w:line="257" w:lineRule="auto"/>
        <w:rPr>
          <w:sz w:val="20"/>
          <w:szCs w:val="20"/>
          <w:color w:val="auto"/>
        </w:rPr>
      </w:pPr>
      <w:r>
        <w:rPr>
          <w:rFonts w:ascii="Times New Roman" w:cs="Times New Roman" w:eastAsia="Times New Roman" w:hAnsi="Times New Roman"/>
          <w:sz w:val="19"/>
          <w:szCs w:val="19"/>
          <w:color w:val="auto"/>
        </w:rPr>
        <w:t>In the United States,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provides for certain privacy rights for California residents and imposes obligations on companies that process their personal information, came into effect on January 1, 2020. Among other things, the CCPA requires covered companies to provide certain disclosures to California consumers and provide such consumers with certain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In addition to the CCPA, numerous other states’ legislatures are considering or have enacted similar data privacy laws. For example, Virginia, Colorado, Utah and Connecticut have each passed laws similar to but different from the CCPA and CPRA that took effect in 2023; Florida, Montana, Oregon and Texas have enacted similar laws that took effect in 2024; Tennessee, Delaware, Iowa, Maryland, Minnesota, New Hampshire, Nebraska and New Jersey have enacted similar laws that have taken or will take effect in 2025; and Indiana, Rhode Island and Kentucky have enacted similar laws that will take effect in 2026. Additionally, certain other state laws govern the privacy and security of health information in certain circumstances, such as Washington’s My Health, My Data Act, which contains a private right of action. These new state laws will require ongoing compliance efforts and investment. In addition, laws in all 50 U.S. states require businesses to provide notice to consumers whose personal information has been disclosed as a result of a data breach. State laws are changing rapidly and there is discussion in the U.S. Congress of comprehensive federal data privacy legislation. It is possible that these or other laws, regulations, or other actual or asserted obligations relating to privacy or security matters may be interpreted and applied in a manner that is inconsistent with our</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ectPr>
          <w:pgSz w:w="11880" w:h="15480" w:orient="portrait"/>
          <w:cols w:equalWidth="0" w:num="1">
            <w:col w:w="10460"/>
          </w:cols>
          <w:pgMar w:left="700" w:top="691" w:right="720" w:bottom="0" w:gutter="0" w:footer="0" w:header="0"/>
          <w:type w:val="continuous"/>
        </w:sectPr>
      </w:pPr>
    </w:p>
    <w:bookmarkStart w:id="60" w:name="page61"/>
    <w:bookmarkEnd w:id="60"/>
    <w:p>
      <w:pPr>
        <w:ind w:right="80"/>
        <w:spacing w:after="0" w:line="293" w:lineRule="auto"/>
        <w:rPr>
          <w:sz w:val="20"/>
          <w:szCs w:val="20"/>
          <w:color w:val="auto"/>
        </w:rPr>
      </w:pPr>
      <w:r>
        <w:rPr>
          <w:rFonts w:ascii="Times New Roman" w:cs="Times New Roman" w:eastAsia="Times New Roman" w:hAnsi="Times New Roman"/>
          <w:sz w:val="19"/>
          <w:szCs w:val="19"/>
          <w:color w:val="auto"/>
        </w:rPr>
        <w:t>practices. If so, this could result in government-imposed fines or orders requiring that we change our practices, which could adversely affect our business..</w:t>
      </w:r>
    </w:p>
    <w:p>
      <w:pPr>
        <w:spacing w:after="0" w:line="107" w:lineRule="exact"/>
        <w:rPr>
          <w:sz w:val="20"/>
          <w:szCs w:val="20"/>
          <w:color w:val="auto"/>
        </w:rPr>
      </w:pPr>
    </w:p>
    <w:p>
      <w:pPr>
        <w:ind w:right="80" w:firstLine="349"/>
        <w:spacing w:after="0" w:line="258" w:lineRule="auto"/>
        <w:rPr>
          <w:sz w:val="20"/>
          <w:szCs w:val="20"/>
          <w:color w:val="auto"/>
        </w:rPr>
      </w:pPr>
      <w:r>
        <w:rPr>
          <w:rFonts w:ascii="Times New Roman" w:cs="Times New Roman" w:eastAsia="Times New Roman" w:hAnsi="Times New Roman"/>
          <w:sz w:val="19"/>
          <w:szCs w:val="19"/>
          <w:color w:val="auto"/>
        </w:rPr>
        <w:t>Furthermore, regulations promulgated pursuant to the Health Insurance Portability and Accountability Act of 1996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44"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auto"/>
        </w:rPr>
        <w:t>We are in the process of evaluating compliance needs but do not currently have in place formal policies and procedures related to the storage, collection and processing of information, and have not conducted internal or external data privacy audits to fully assess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which may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or consultants to comply with any applicable federal, state or similar foreign laws and regulations, contractual obligations or any other actual or asserted obligations relating to data privacy and security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Our use of artificial intelligence and machine learning technologies may result in reputational harm or liability.</w:t>
      </w:r>
    </w:p>
    <w:p>
      <w:pPr>
        <w:spacing w:after="0" w:line="196"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customers, or other third parties may incorporate AIML into their products and services or otherwise within their business more quickly or more successfully than us, which could impair our ability to compete with or serve them effectively, which could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to violate other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ectPr>
          <w:pgSz w:w="11880" w:h="15480" w:orient="portrait"/>
          <w:cols w:equalWidth="0" w:num="1">
            <w:col w:w="10480"/>
          </w:cols>
          <w:pgMar w:left="700" w:top="691" w:right="700" w:bottom="0" w:gutter="0" w:footer="0" w:header="0"/>
          <w:type w:val="continuous"/>
        </w:sectPr>
      </w:pPr>
    </w:p>
    <w:bookmarkStart w:id="61" w:name="page62"/>
    <w:bookmarkEnd w:id="61"/>
    <w:p>
      <w:pPr>
        <w:ind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commercialize our Nautilus platform outside of the United States, our international business could expose us to business, tax, regulatory, political, operational, financial, and economic risks associated with doing business outside of the United States.</w:t>
      </w:r>
    </w:p>
    <w:p>
      <w:pPr>
        <w:spacing w:after="0" w:line="105" w:lineRule="exact"/>
        <w:rPr>
          <w:sz w:val="20"/>
          <w:szCs w:val="20"/>
          <w:color w:val="auto"/>
        </w:rPr>
      </w:pPr>
    </w:p>
    <w:p>
      <w:pPr>
        <w:ind w:right="200" w:firstLine="349"/>
        <w:spacing w:after="0" w:line="268" w:lineRule="auto"/>
        <w:rPr>
          <w:sz w:val="20"/>
          <w:szCs w:val="20"/>
          <w:color w:val="auto"/>
        </w:rPr>
      </w:pPr>
      <w:r>
        <w:rPr>
          <w:rFonts w:ascii="Times New Roman" w:cs="Times New Roman" w:eastAsia="Times New Roman" w:hAnsi="Times New Roman"/>
          <w:sz w:val="19"/>
          <w:szCs w:val="19"/>
          <w:color w:val="auto"/>
        </w:rPr>
        <w:t xml:space="preserve">If we commercialize our Nautilus platform outside of the United States, our international business may be adversely affected by changing economic, political and regulatory conditions in foreign countries, as well as changes </w:t>
      </w:r>
      <w:r>
        <w:rPr>
          <w:rFonts w:ascii="Times New Roman" w:cs="Times New Roman" w:eastAsia="Times New Roman" w:hAnsi="Times New Roman"/>
          <w:sz w:val="19"/>
          <w:szCs w:val="19"/>
          <w:u w:val="single" w:color="auto"/>
          <w:color w:val="auto"/>
        </w:rPr>
        <w:t>resulting from new political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administrations</w:t>
      </w:r>
      <w:r>
        <w:rPr>
          <w:rFonts w:ascii="Times New Roman" w:cs="Times New Roman" w:eastAsia="Times New Roman" w:hAnsi="Times New Roman"/>
          <w:sz w:val="19"/>
          <w:szCs w:val="19"/>
          <w:color w:val="auto"/>
        </w:rPr>
        <w:t xml:space="preserve"> in the United States. Engaging in international business inherently involves a number of difficulties and risks, including:</w:t>
      </w:r>
    </w:p>
    <w:p>
      <w:pPr>
        <w:spacing w:after="0" w:line="131" w:lineRule="exact"/>
        <w:rPr>
          <w:sz w:val="20"/>
          <w:szCs w:val="20"/>
          <w:color w:val="auto"/>
        </w:rPr>
      </w:pPr>
    </w:p>
    <w:p>
      <w:pPr>
        <w:ind w:left="700" w:hanging="352"/>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required compliance with existing and changing foreign regulatory requirements and laws;</w:t>
      </w:r>
    </w:p>
    <w:p>
      <w:pPr>
        <w:spacing w:after="0" w:line="189" w:lineRule="exact"/>
        <w:rPr>
          <w:rFonts w:ascii="Times New Roman" w:cs="Times New Roman" w:eastAsia="Times New Roman" w:hAnsi="Times New Roman"/>
          <w:sz w:val="19"/>
          <w:szCs w:val="19"/>
          <w:color w:val="auto"/>
        </w:rPr>
      </w:pPr>
    </w:p>
    <w:p>
      <w:pPr>
        <w:ind w:right="280" w:firstLine="348"/>
        <w:spacing w:after="0" w:line="293" w:lineRule="auto"/>
        <w:tabs>
          <w:tab w:leader="none" w:pos="69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required compliance with U.S. laws such as the Foreign Corrupt Practices Act, and other U.S. federal laws and regulations established by the office of Foreign Asset Control;</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export or import restrictions;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laws and business practices favoring local companies;</w:t>
      </w:r>
    </w:p>
    <w:p>
      <w:pPr>
        <w:spacing w:after="0" w:line="189" w:lineRule="exact"/>
        <w:rPr>
          <w:rFonts w:ascii="Times New Roman" w:cs="Times New Roman" w:eastAsia="Times New Roman" w:hAnsi="Times New Roman"/>
          <w:sz w:val="19"/>
          <w:szCs w:val="19"/>
          <w:color w:val="auto"/>
        </w:rPr>
      </w:pPr>
    </w:p>
    <w:p>
      <w:pPr>
        <w:ind w:right="20" w:firstLine="348"/>
        <w:spacing w:after="0" w:line="293" w:lineRule="auto"/>
        <w:tabs>
          <w:tab w:leader="none" w:pos="69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foreign currency exchange, longer payment cycles and difficulties in enforcing agreements and collecting receivables through certain foreign legal systems;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political and economic instability;</w:t>
      </w:r>
    </w:p>
    <w:p>
      <w:pPr>
        <w:spacing w:after="0" w:line="189" w:lineRule="exact"/>
        <w:rPr>
          <w:rFonts w:ascii="Times New Roman" w:cs="Times New Roman" w:eastAsia="Times New Roman" w:hAnsi="Times New Roman"/>
          <w:sz w:val="19"/>
          <w:szCs w:val="19"/>
          <w:color w:val="auto"/>
        </w:rPr>
      </w:pPr>
    </w:p>
    <w:p>
      <w:pPr>
        <w:ind w:right="40" w:firstLine="348"/>
        <w:spacing w:after="0" w:line="268" w:lineRule="auto"/>
        <w:tabs>
          <w:tab w:leader="none" w:pos="69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social, economic, and political conditions or in laws, regulations and policies governing foreign trade, tariffs,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30"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potentially adverse tax consequences, tariffs, customs charges, bureaucratic requirements and other trade barriers;</w:t>
      </w:r>
    </w:p>
    <w:p>
      <w:pPr>
        <w:spacing w:after="0" w:line="189" w:lineRule="exact"/>
        <w:rPr>
          <w:rFonts w:ascii="Times New Roman" w:cs="Times New Roman" w:eastAsia="Times New Roman" w:hAnsi="Times New Roman"/>
          <w:sz w:val="19"/>
          <w:szCs w:val="19"/>
          <w:color w:val="auto"/>
        </w:rPr>
      </w:pPr>
    </w:p>
    <w:p>
      <w:pPr>
        <w:ind w:right="480" w:firstLine="348"/>
        <w:spacing w:after="0" w:line="293" w:lineRule="auto"/>
        <w:tabs>
          <w:tab w:leader="none" w:pos="69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and costs of staffing and managing foreign operations, including compliance with diverse and complex local employment laws and practices; and</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protecting, maintaining, enforcing or procuring intellectual property rights.</w:t>
      </w:r>
    </w:p>
    <w:p>
      <w:pPr>
        <w:spacing w:after="0" w:line="189" w:lineRule="exact"/>
        <w:rPr>
          <w:sz w:val="20"/>
          <w:szCs w:val="20"/>
          <w:color w:val="auto"/>
        </w:rPr>
      </w:pPr>
    </w:p>
    <w:p>
      <w:pPr>
        <w:ind w:right="100" w:firstLine="349"/>
        <w:spacing w:after="0" w:line="293" w:lineRule="auto"/>
        <w:rPr>
          <w:sz w:val="20"/>
          <w:szCs w:val="20"/>
          <w:color w:val="auto"/>
        </w:rPr>
      </w:pPr>
      <w:r>
        <w:rPr>
          <w:rFonts w:ascii="Times New Roman" w:cs="Times New Roman" w:eastAsia="Times New Roman" w:hAnsi="Times New Roman"/>
          <w:sz w:val="19"/>
          <w:szCs w:val="19"/>
          <w:color w:val="auto"/>
        </w:rPr>
        <w:t>If one or more of these risks occurs, it could require us to dedicate significant resources to remedy such occurrence, and if we are unsuccessful in finding a solution, our financial results will suffer.</w:t>
      </w:r>
    </w:p>
    <w:p>
      <w:pPr>
        <w:spacing w:after="0" w:line="107"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For example, on January 15, 2025, the United States Department of Commerce Bureau of Industry and Security (“BIS”) issued an Interim Final Rule (“IFR”) implementing targeted export controls on certain laboratory instruments. This IFR imposes certain new restrictions and license requirements on export to certain countries of certain analytical instruments that are highly suitable for generating large, detailed biological datasets, which can be analyzed to discover complex patterns governing the function of biological molecules, cells, and organisms. The IFR seeks to regulate exports of these analytical instruments based upon the potential to exploit these techniques for asymmetric military advantage. The analytical instruments subject to the IFR, as written, include high-parameter and spectral flow cytometers and cell sorters and certain liquid chromatography mass spectrometers (LC/MS) specially designed for proteomics. While the Company’s platform would not be not included under the current IFR, given the platform’s anticipated ability to generate large proteomic datasets, future BIS or other government regulations could potentially encompass our products and/or negatively impact our ability to export those products to certain countries and markets.</w:t>
      </w:r>
    </w:p>
    <w:p>
      <w:pPr>
        <w:spacing w:after="0" w:line="137"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30" w:lineRule="exact"/>
        <w:rPr>
          <w:sz w:val="20"/>
          <w:szCs w:val="20"/>
          <w:color w:val="auto"/>
        </w:rPr>
      </w:pPr>
    </w:p>
    <w:p>
      <w:pPr>
        <w:ind w:right="10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If we expand our development and commercialization activities outside of the United States, we will be subject to an increased risk of conducting activities in a manner that violates the U.S. Foreign Corrupt Practices Act and similar laws. If that occurs, we may be subject to civil or criminal penalties and other adverse consequences which could have a material adverse effect on our business, financial condition, results of operations and growth prospects.</w:t>
      </w:r>
    </w:p>
    <w:p>
      <w:pPr>
        <w:spacing w:after="0" w:line="134" w:lineRule="exact"/>
        <w:rPr>
          <w:sz w:val="20"/>
          <w:szCs w:val="20"/>
          <w:color w:val="auto"/>
        </w:rPr>
      </w:pPr>
    </w:p>
    <w:p>
      <w:pPr>
        <w:ind w:right="100" w:firstLine="349"/>
        <w:spacing w:after="0" w:line="293" w:lineRule="auto"/>
        <w:rPr>
          <w:sz w:val="20"/>
          <w:szCs w:val="20"/>
          <w:color w:val="auto"/>
        </w:rPr>
      </w:pPr>
      <w:r>
        <w:rPr>
          <w:rFonts w:ascii="Times New Roman" w:cs="Times New Roman" w:eastAsia="Times New Roman" w:hAnsi="Times New Roman"/>
          <w:sz w:val="19"/>
          <w:szCs w:val="19"/>
          <w:color w:val="auto"/>
        </w:rPr>
        <w:t>We are subject to the U.S. Foreign Corrupt Practices Act, or the FCPA, and similar anti-corruption laws which generally prohibit companies, their employees, agents, representatives, business partners, and third-party intermediaries from authorizing, offering, or</w:t>
      </w:r>
    </w:p>
    <w:p>
      <w:pPr>
        <w:sectPr>
          <w:pgSz w:w="11880" w:h="15480" w:orient="portrait"/>
          <w:cols w:equalWidth="0" w:num="1">
            <w:col w:w="10480"/>
          </w:cols>
          <w:pgMar w:left="700" w:top="684" w:right="700" w:bottom="0"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ectPr>
          <w:pgSz w:w="11880" w:h="15480" w:orient="portrait"/>
          <w:cols w:equalWidth="0" w:num="1">
            <w:col w:w="10480"/>
          </w:cols>
          <w:pgMar w:left="700" w:top="684" w:right="700" w:bottom="0" w:gutter="0" w:footer="0" w:header="0"/>
          <w:type w:val="continuous"/>
        </w:sectPr>
      </w:pPr>
    </w:p>
    <w:bookmarkStart w:id="62" w:name="page63"/>
    <w:bookmarkEnd w:id="62"/>
    <w:p>
      <w:pPr>
        <w:ind w:right="80"/>
        <w:spacing w:after="0" w:line="265" w:lineRule="auto"/>
        <w:rPr>
          <w:sz w:val="20"/>
          <w:szCs w:val="20"/>
          <w:color w:val="auto"/>
        </w:rPr>
      </w:pPr>
      <w:r>
        <w:rPr>
          <w:rFonts w:ascii="Times New Roman" w:cs="Times New Roman" w:eastAsia="Times New Roman" w:hAnsi="Times New Roman"/>
          <w:sz w:val="19"/>
          <w:szCs w:val="19"/>
          <w:color w:val="auto"/>
        </w:rPr>
        <w:t>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spacing w:after="0" w:line="133"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spacing w:after="0" w:line="141"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spacing w:after="0" w:line="136" w:lineRule="exact"/>
        <w:rPr>
          <w:sz w:val="20"/>
          <w:szCs w:val="20"/>
          <w:color w:val="auto"/>
        </w:rPr>
      </w:pPr>
    </w:p>
    <w:p>
      <w:pPr>
        <w:ind w:right="140" w:firstLine="349"/>
        <w:spacing w:after="0" w:line="262" w:lineRule="auto"/>
        <w:rPr>
          <w:sz w:val="20"/>
          <w:szCs w:val="20"/>
          <w:color w:val="auto"/>
        </w:rPr>
      </w:pPr>
      <w:r>
        <w:rPr>
          <w:rFonts w:ascii="Times New Roman" w:cs="Times New Roman" w:eastAsia="Times New Roman" w:hAnsi="Times New Roman"/>
          <w:sz w:val="19"/>
          <w:szCs w:val="19"/>
          <w:color w:val="auto"/>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spacing w:after="0" w:line="129" w:lineRule="exact"/>
        <w:rPr>
          <w:sz w:val="20"/>
          <w:szCs w:val="20"/>
          <w:color w:val="auto"/>
        </w:rPr>
      </w:pPr>
    </w:p>
    <w:p>
      <w:pPr>
        <w:ind w:right="1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05" w:lineRule="exact"/>
        <w:rPr>
          <w:sz w:val="20"/>
          <w:szCs w:val="20"/>
          <w:color w:val="auto"/>
        </w:rPr>
      </w:pPr>
    </w:p>
    <w:p>
      <w:pPr>
        <w:ind w:right="40" w:firstLine="349"/>
        <w:spacing w:after="0" w:line="258" w:lineRule="auto"/>
        <w:rPr>
          <w:sz w:val="20"/>
          <w:szCs w:val="20"/>
          <w:color w:val="auto"/>
        </w:rPr>
      </w:pPr>
      <w:r>
        <w:rPr>
          <w:rFonts w:ascii="Times New Roman" w:cs="Times New Roman" w:eastAsia="Times New Roman" w:hAnsi="Times New Roman"/>
          <w:sz w:val="19"/>
          <w:szCs w:val="19"/>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35" w:lineRule="exact"/>
        <w:rPr>
          <w:sz w:val="20"/>
          <w:szCs w:val="20"/>
          <w:color w:val="auto"/>
        </w:rPr>
      </w:pPr>
    </w:p>
    <w:p>
      <w:pPr>
        <w:ind w:right="86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5" w:lineRule="exact"/>
        <w:rPr>
          <w:sz w:val="20"/>
          <w:szCs w:val="20"/>
          <w:color w:val="auto"/>
        </w:rPr>
      </w:pPr>
    </w:p>
    <w:p>
      <w:pPr>
        <w:ind w:right="140" w:firstLine="349"/>
        <w:spacing w:after="0" w:line="263" w:lineRule="auto"/>
        <w:rPr>
          <w:sz w:val="20"/>
          <w:szCs w:val="20"/>
          <w:color w:val="auto"/>
        </w:rPr>
      </w:pPr>
      <w:r>
        <w:rPr>
          <w:rFonts w:ascii="Times New Roman" w:cs="Times New Roman" w:eastAsia="Times New Roman" w:hAnsi="Times New Roman"/>
          <w:sz w:val="19"/>
          <w:szCs w:val="19"/>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w:t>
      </w:r>
    </w:p>
    <w:p>
      <w:pPr>
        <w:sectPr>
          <w:pgSz w:w="11880" w:h="15480" w:orient="portrait"/>
          <w:cols w:equalWidth="0" w:num="1">
            <w:col w:w="10440"/>
          </w:cols>
          <w:pgMar w:left="700" w:top="691" w:right="74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61</w:t>
      </w:r>
    </w:p>
    <w:p>
      <w:pPr>
        <w:sectPr>
          <w:pgSz w:w="11880" w:h="15480" w:orient="portrait"/>
          <w:cols w:equalWidth="0" w:num="1">
            <w:col w:w="10440"/>
          </w:cols>
          <w:pgMar w:left="700" w:top="691" w:right="740" w:bottom="0" w:gutter="0" w:footer="0" w:header="0"/>
          <w:type w:val="continuous"/>
        </w:sectPr>
      </w:pPr>
    </w:p>
    <w:bookmarkStart w:id="63" w:name="page64"/>
    <w:bookmarkEnd w:id="63"/>
    <w:p>
      <w:pPr>
        <w:ind w:right="100"/>
        <w:spacing w:after="0" w:line="259" w:lineRule="auto"/>
        <w:rPr>
          <w:sz w:val="20"/>
          <w:szCs w:val="20"/>
          <w:color w:val="auto"/>
        </w:rPr>
      </w:pPr>
      <w:r>
        <w:rPr>
          <w:rFonts w:ascii="Times New Roman" w:cs="Times New Roman" w:eastAsia="Times New Roman" w:hAnsi="Times New Roman"/>
          <w:sz w:val="19"/>
          <w:szCs w:val="19"/>
          <w:color w:val="auto"/>
        </w:rPr>
        <w:t>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72" w:lineRule="exact"/>
        <w:rPr>
          <w:sz w:val="20"/>
          <w:szCs w:val="20"/>
          <w:color w:val="auto"/>
        </w:rPr>
      </w:pPr>
    </w:p>
    <w:p>
      <w:pPr>
        <w:ind w:right="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Demand for our technology could be reduced by legal, social and ethical concerns surrounding the use of genetic information and biological materials.</w:t>
      </w:r>
    </w:p>
    <w:p>
      <w:pPr>
        <w:spacing w:after="0" w:line="105"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29" w:lineRule="exact"/>
        <w:rPr>
          <w:sz w:val="20"/>
          <w:szCs w:val="20"/>
          <w:color w:val="auto"/>
        </w:rPr>
      </w:pPr>
    </w:p>
    <w:p>
      <w:pPr>
        <w:ind w:right="5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Significant developments or changes in national laws or policies to protect or promote domestic interests and/or address foreign competition could have an adverse effect on our business and financial condition.</w:t>
      </w:r>
    </w:p>
    <w:p>
      <w:pPr>
        <w:spacing w:after="0" w:line="105"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Significant developments or changes in national laws or policies to protect or promote domestic interests and/or address foreign competition, including laws and policies in areas such as trade, manufacturing, government purchasing, health care, intellectual property and investment/development, could adversely affect our business, financial condition and results of operations. For example, certain governments have implemented policies to induce “re-shoring” of supply chains, reduce reliance on imported supplies and promote national production. The Chinese government has issued a series of policies in the past several years to promote the development and use of local medical devices. In addition, in recent years the U.S. has increased tariffs on certain imported goods and trade tensions between the U.S. and China escalated, with each country imposing significant, additional tariffs on a wide range of goods imported from the other country.</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Operations</w:t>
      </w:r>
    </w:p>
    <w:p>
      <w:pPr>
        <w:spacing w:after="0" w:line="189" w:lineRule="exact"/>
        <w:rPr>
          <w:sz w:val="20"/>
          <w:szCs w:val="20"/>
          <w:color w:val="auto"/>
        </w:rPr>
      </w:pPr>
    </w:p>
    <w:p>
      <w:pPr>
        <w:ind w:right="4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experience a significant disruption in our information technology systems or breaches of data security, our business could be adversely affected.</w:t>
      </w:r>
    </w:p>
    <w:p>
      <w:pPr>
        <w:spacing w:after="0" w:line="105"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auto"/>
        </w:rPr>
        <w:t>We rely on information technology systems to keep financial records, facilitate our research and development initiatives, manage our manufacturing operations, maintain quality control, fulfill customer orders, process customer 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security incidents in the past, and we may experience them again in the future. For example, in January 2024, we experienced an incident involving unauthorized access to an employee account. The Company has worked, and continues to work with external cybersecurity experts, in detecting, blocking, containing, remediating, and investigating any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Cybersecurity risks are constantly evolving, and as such, we anticipate additional work and expense in the future as we continue to further enhance our security processes and initiatives to meet the changing landscape of cybersecurity risks. While cyber insurance may be available for companies, any available insurance for cyber events, may be limited in amount, subject to deductibles, and may not be adequate to cover us for all costs arising from security incidents. Given increasing cybersecurity risks, cyber insurance may not be available to us in the future, or may not be available on commercially reasonable terms.</w:t>
      </w:r>
    </w:p>
    <w:p>
      <w:pPr>
        <w:spacing w:after="0" w:line="379" w:lineRule="exact"/>
        <w:rPr>
          <w:sz w:val="20"/>
          <w:szCs w:val="20"/>
          <w:color w:val="auto"/>
        </w:rPr>
      </w:pPr>
    </w:p>
    <w:p>
      <w:pPr>
        <w:ind w:right="60" w:firstLine="349"/>
        <w:spacing w:after="0" w:line="265" w:lineRule="auto"/>
        <w:rPr>
          <w:sz w:val="20"/>
          <w:szCs w:val="20"/>
          <w:color w:val="auto"/>
        </w:rPr>
      </w:pPr>
      <w:r>
        <w:rPr>
          <w:rFonts w:ascii="Times New Roman" w:cs="Times New Roman" w:eastAsia="Times New Roman" w:hAnsi="Times New Roman"/>
          <w:sz w:val="19"/>
          <w:szCs w:val="19"/>
          <w:color w:val="auto"/>
        </w:rPr>
        <w:t>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 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w:t>
      </w:r>
    </w:p>
    <w:p>
      <w:pPr>
        <w:sectPr>
          <w:pgSz w:w="11880" w:h="15480" w:orient="portrait"/>
          <w:cols w:equalWidth="0" w:num="1">
            <w:col w:w="10480"/>
          </w:cols>
          <w:pgMar w:left="700" w:top="691" w:right="700" w:bottom="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ectPr>
          <w:pgSz w:w="11880" w:h="15480" w:orient="portrait"/>
          <w:cols w:equalWidth="0" w:num="1">
            <w:col w:w="10480"/>
          </w:cols>
          <w:pgMar w:left="700" w:top="691" w:right="700" w:bottom="0" w:gutter="0" w:footer="0" w:header="0"/>
          <w:type w:val="continuous"/>
        </w:sectPr>
      </w:pPr>
    </w:p>
    <w:bookmarkStart w:id="64" w:name="page65"/>
    <w:bookmarkEnd w:id="64"/>
    <w:p>
      <w:pPr>
        <w:ind w:right="80"/>
        <w:spacing w:after="0" w:line="262" w:lineRule="auto"/>
        <w:rPr>
          <w:sz w:val="20"/>
          <w:szCs w:val="20"/>
          <w:color w:val="auto"/>
        </w:rPr>
      </w:pPr>
      <w:r>
        <w:rPr>
          <w:rFonts w:ascii="Times New Roman" w:cs="Times New Roman" w:eastAsia="Times New Roman" w:hAnsi="Times New Roman"/>
          <w:sz w:val="19"/>
          <w:szCs w:val="19"/>
          <w:color w:val="auto"/>
        </w:rPr>
        <w:t>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Despite any of our current or future efforts to protect against cyberattacks and security breaches and incidents, there is no guarantee that our efforts are adequate to safeguard against all such attacks, breaches, and incidents. Moreover, it is possible that we may not be able to anticipate, detect, appropriately react and respond to, or implement effective preventative measures against, all security incidents.</w:t>
      </w:r>
    </w:p>
    <w:p>
      <w:pPr>
        <w:spacing w:after="0" w:line="374" w:lineRule="exact"/>
        <w:rPr>
          <w:sz w:val="20"/>
          <w:szCs w:val="20"/>
          <w:color w:val="auto"/>
        </w:rPr>
      </w:pPr>
    </w:p>
    <w:p>
      <w:pPr>
        <w:ind w:right="20" w:firstLine="349"/>
        <w:spacing w:after="0" w:line="258" w:lineRule="auto"/>
        <w:rPr>
          <w:sz w:val="20"/>
          <w:szCs w:val="20"/>
          <w:color w:val="auto"/>
        </w:rPr>
      </w:pPr>
      <w:r>
        <w:rPr>
          <w:rFonts w:ascii="Times New Roman" w:cs="Times New Roman" w:eastAsia="Times New Roman" w:hAnsi="Times New Roman"/>
          <w:sz w:val="19"/>
          <w:szCs w:val="19"/>
          <w:color w:val="auto"/>
        </w:rPr>
        <w:t>If our security measures, or those of our vendors and partners, are compromised due to cyberattacks or security breaches or incidents, including as a result of third-party action, employee or customer error, malfeasance, stolen or fraudulently obtained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In addition, our information technology systems, and those of our vendors and partners, are potentially vulnerable to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spacing w:after="0" w:line="381" w:lineRule="exact"/>
        <w:rPr>
          <w:sz w:val="20"/>
          <w:szCs w:val="20"/>
          <w:color w:val="auto"/>
        </w:rPr>
      </w:pPr>
    </w:p>
    <w:p>
      <w:pPr>
        <w:jc w:val="both"/>
        <w:ind w:right="380" w:firstLine="349"/>
        <w:spacing w:after="0" w:line="263" w:lineRule="auto"/>
        <w:rPr>
          <w:sz w:val="20"/>
          <w:szCs w:val="20"/>
          <w:color w:val="auto"/>
        </w:rPr>
      </w:pPr>
      <w:r>
        <w:rPr>
          <w:rFonts w:ascii="Times New Roman" w:cs="Times New Roman" w:eastAsia="Times New Roman" w:hAnsi="Times New Roman"/>
          <w:sz w:val="19"/>
          <w:szCs w:val="19"/>
          <w:color w:val="auto"/>
        </w:rPr>
        <w:t>In addition, any such access, disclosure or other loss or unauthorized use of information or data could result in legal claims or proceedings, regulatory investigations or actions, and other types of liability under federal, state and foreign laws and regulations relating to the privacy and security of personal information, violations of which could result in significant penalties and fines.</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Furthermore, defending a suit, regardless of its merit, could be costly, divert management’s attention and harm our reputation. In addition, although we seek to detect and investigate security incidents, security breaches and other incidents of unauthorized access to our information technology systems and data, these can be difficult to detect and any delay in identifying such breaches or incidents may lead to increased harm and legal exposure of the type described above. Moreover, there could be public announcements regarding any actual or perceived security breaches or incidents and any steps we take to respond to or remediate such breaches or incidents, and if securities analysts or investors perceive these announcements to be negative, it could, among other things, have a material adverse effect on the price of our Common Stock.</w:t>
      </w:r>
    </w:p>
    <w:p>
      <w:pPr>
        <w:spacing w:after="0" w:line="141"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The cost of protecting against, investigating, mitigating and responding to potential breaches of and other incidents impacting our information technology systems and data security breaches and incidents and complying with applicable breach notification obligations to individuals, regulators, partners and others can be significant. As security incidents continue to evolve, we may be required to expend significant additional resources to continue to modify or enhance our protective measures or to investigate and remediate information security vulnerabilities. Any failure to implement, maintain and upgrade adequate safeguards, or for this to be believed or asserted to be the case, could have a material adverse effect on our business, financial condition, results of operations and prospects.</w:t>
      </w: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We may be unable to manage our anticipated growth effectively.</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2024, we had 155 employees. While in the first quarter of 2025 we began implementing workforce reductions,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and as we begin commercialization. As a public company, our management and other personnel will need to devote a substantial amount of time towards maintaining compliance with these requirements and effectively manage our expected growth activities. We may face challenges integrating, developing and motivating our employee base.</w:t>
      </w:r>
    </w:p>
    <w:p>
      <w:pPr>
        <w:spacing w:after="0" w:line="137" w:lineRule="exact"/>
        <w:rPr>
          <w:sz w:val="20"/>
          <w:szCs w:val="20"/>
          <w:color w:val="auto"/>
        </w:rPr>
      </w:pPr>
    </w:p>
    <w:p>
      <w:pPr>
        <w:jc w:val="both"/>
        <w:ind w:right="40" w:firstLine="349"/>
        <w:spacing w:after="0" w:line="274" w:lineRule="auto"/>
        <w:rPr>
          <w:sz w:val="20"/>
          <w:szCs w:val="20"/>
          <w:color w:val="auto"/>
        </w:rPr>
      </w:pPr>
      <w:r>
        <w:rPr>
          <w:rFonts w:ascii="Times New Roman" w:cs="Times New Roman" w:eastAsia="Times New Roman" w:hAnsi="Times New Roman"/>
          <w:sz w:val="19"/>
          <w:szCs w:val="19"/>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ectPr>
          <w:pgSz w:w="11880" w:h="15480" w:orient="portrait"/>
          <w:cols w:equalWidth="0" w:num="1">
            <w:col w:w="10480"/>
          </w:cols>
          <w:pgMar w:left="700" w:top="691" w:right="700" w:bottom="0" w:gutter="0" w:footer="0" w:header="0"/>
          <w:type w:val="continuous"/>
        </w:sectPr>
      </w:pPr>
    </w:p>
    <w:bookmarkStart w:id="65" w:name="page66"/>
    <w:bookmarkEnd w:id="65"/>
    <w:p>
      <w:pPr>
        <w:ind w:right="60" w:firstLine="349"/>
        <w:spacing w:after="0" w:line="265" w:lineRule="auto"/>
        <w:rPr>
          <w:sz w:val="20"/>
          <w:szCs w:val="20"/>
          <w:color w:val="auto"/>
        </w:rPr>
      </w:pPr>
      <w:r>
        <w:rPr>
          <w:rFonts w:ascii="Times New Roman" w:cs="Times New Roman" w:eastAsia="Times New Roman" w:hAnsi="Times New Roman"/>
          <w:sz w:val="19"/>
          <w:szCs w:val="19"/>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If we are unable to recruit and retain key executives and scientists, we may be unable to achieve our goals.</w:t>
      </w:r>
    </w:p>
    <w:p>
      <w:pPr>
        <w:spacing w:after="0" w:line="196" w:lineRule="exact"/>
        <w:rPr>
          <w:sz w:val="20"/>
          <w:szCs w:val="20"/>
          <w:color w:val="auto"/>
        </w:rPr>
      </w:pPr>
    </w:p>
    <w:p>
      <w:pPr>
        <w:ind w:right="200" w:firstLine="349"/>
        <w:spacing w:after="0" w:line="274" w:lineRule="auto"/>
        <w:rPr>
          <w:sz w:val="20"/>
          <w:szCs w:val="20"/>
          <w:color w:val="auto"/>
        </w:rPr>
      </w:pPr>
      <w:r>
        <w:rPr>
          <w:rFonts w:ascii="Times New Roman" w:cs="Times New Roman" w:eastAsia="Times New Roman" w:hAnsi="Times New Roman"/>
          <w:sz w:val="19"/>
          <w:szCs w:val="19"/>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25" w:lineRule="exact"/>
        <w:rPr>
          <w:sz w:val="20"/>
          <w:szCs w:val="20"/>
          <w:color w:val="auto"/>
        </w:rPr>
      </w:pPr>
    </w:p>
    <w:p>
      <w:pPr>
        <w:ind w:firstLine="349"/>
        <w:spacing w:after="0" w:line="267" w:lineRule="auto"/>
        <w:rPr>
          <w:sz w:val="20"/>
          <w:szCs w:val="20"/>
          <w:color w:val="auto"/>
        </w:rPr>
      </w:pPr>
      <w:r>
        <w:rPr>
          <w:rFonts w:ascii="Times New Roman" w:cs="Times New Roman" w:eastAsia="Times New Roman" w:hAnsi="Times New Roman"/>
          <w:sz w:val="19"/>
          <w:szCs w:val="19"/>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367"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Workforce reductions, such as the workforce reduction we began implementing during the first quarter of 2025, may be negatively received by potential or current employees and accordingly result in attrition or difficulty in recruiting desirable candidates.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31" w:lineRule="exact"/>
        <w:rPr>
          <w:sz w:val="20"/>
          <w:szCs w:val="20"/>
          <w:color w:val="auto"/>
        </w:rPr>
      </w:pPr>
    </w:p>
    <w:p>
      <w:pPr>
        <w:ind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5"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6"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6" w:lineRule="exact"/>
        <w:rPr>
          <w:sz w:val="20"/>
          <w:szCs w:val="20"/>
          <w:color w:val="auto"/>
        </w:rPr>
      </w:pPr>
    </w:p>
    <w:p>
      <w:pPr>
        <w:ind w:right="14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Unfavorable U.S. or global economic conditions as a result of multiple global events, including the COVID-19 pandemic, the conflicts in Eastern Europe and the Middle East, changing interest rates, instability in the global financial markets, and general economic downturns, could adversely affect our ability to raise capital and our business, results of operations and financial condition.</w:t>
      </w:r>
    </w:p>
    <w:p>
      <w:pPr>
        <w:spacing w:after="0" w:line="134"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While the potential economic impact brought by multiple adverse global circumstances, such as the COVID-19 pandemic, conflicts in Eastern Europe and the Middle East, potential uncertainty related to Taiwan and its relationship with China, changing interest rates and general economic downturns, and the collapse of Silicon Valley Bank and other financial institutions in March 2023, and related instability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w:t>
      </w:r>
    </w:p>
    <w:p>
      <w:pPr>
        <w:sectPr>
          <w:pgSz w:w="11880" w:h="15480" w:orient="portrait"/>
          <w:cols w:equalWidth="0" w:num="1">
            <w:col w:w="10460"/>
          </w:cols>
          <w:pgMar w:left="700" w:top="691" w:right="720" w:bottom="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ectPr>
          <w:pgSz w:w="11880" w:h="15480" w:orient="portrait"/>
          <w:cols w:equalWidth="0" w:num="1">
            <w:col w:w="10460"/>
          </w:cols>
          <w:pgMar w:left="700" w:top="691" w:right="720" w:bottom="0" w:gutter="0" w:footer="0" w:header="0"/>
          <w:type w:val="continuous"/>
        </w:sectPr>
      </w:pPr>
    </w:p>
    <w:bookmarkStart w:id="66" w:name="page67"/>
    <w:bookmarkEnd w:id="66"/>
    <w:p>
      <w:pPr>
        <w:spacing w:after="0" w:line="259" w:lineRule="auto"/>
        <w:rPr>
          <w:sz w:val="20"/>
          <w:szCs w:val="20"/>
          <w:color w:val="auto"/>
        </w:rPr>
      </w:pPr>
      <w:r>
        <w:rPr>
          <w:rFonts w:ascii="Times New Roman" w:cs="Times New Roman" w:eastAsia="Times New Roman" w:hAnsi="Times New Roman"/>
          <w:sz w:val="19"/>
          <w:szCs w:val="19"/>
          <w:color w:val="auto"/>
        </w:rPr>
        <w:t>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 Tariffs imposed upon products and materials used in manufacturing our products, or responsive tariffs imposed upon our exported products could impact our costs of manufacturing and ability to sell products in foreign countries, which could have a negative impact on our business.</w:t>
      </w:r>
    </w:p>
    <w:p>
      <w:pPr>
        <w:spacing w:after="0" w:line="138" w:lineRule="exact"/>
        <w:rPr>
          <w:sz w:val="20"/>
          <w:szCs w:val="20"/>
          <w:color w:val="auto"/>
        </w:rPr>
      </w:pPr>
    </w:p>
    <w:p>
      <w:pPr>
        <w:ind w:right="120" w:firstLine="349"/>
        <w:spacing w:after="0" w:line="262" w:lineRule="auto"/>
        <w:rPr>
          <w:sz w:val="20"/>
          <w:szCs w:val="20"/>
          <w:color w:val="auto"/>
        </w:rPr>
      </w:pPr>
      <w:r>
        <w:rPr>
          <w:rFonts w:ascii="Times New Roman" w:cs="Times New Roman" w:eastAsia="Times New Roman" w:hAnsi="Times New Roman"/>
          <w:sz w:val="19"/>
          <w:szCs w:val="19"/>
          <w:color w:val="auto"/>
        </w:rPr>
        <w:t>Further, changes in U.S. government spending resulting from new political administrations could have adverse consequences on our financial position, results of operations and business 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December 31, 2024, we had cash, cash equivalents and investments of $206.3 million, consisting of U.S. treasury securities, mutual funds, commercial paper, and agency securities. Any default by the U.S. government or credit downgrade of the securities we hold could impact the liquidity or valuation of our investments.</w:t>
      </w:r>
    </w:p>
    <w:p>
      <w:pPr>
        <w:spacing w:after="0" w:line="136" w:lineRule="exact"/>
        <w:rPr>
          <w:sz w:val="20"/>
          <w:szCs w:val="20"/>
          <w:color w:val="auto"/>
        </w:rPr>
      </w:pPr>
    </w:p>
    <w:p>
      <w:pPr>
        <w:ind w:right="280" w:firstLine="349"/>
        <w:spacing w:after="0" w:line="274" w:lineRule="auto"/>
        <w:rPr>
          <w:sz w:val="20"/>
          <w:szCs w:val="20"/>
          <w:color w:val="auto"/>
        </w:rPr>
      </w:pPr>
      <w:r>
        <w:rPr>
          <w:rFonts w:ascii="Times New Roman" w:cs="Times New Roman" w:eastAsia="Times New Roman" w:hAnsi="Times New Roman"/>
          <w:sz w:val="19"/>
          <w:szCs w:val="19"/>
          <w:color w:val="auto"/>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Global supply chain interruptions could adversely affect our ability to develop and commercialize our products</w:t>
      </w:r>
      <w:r>
        <w:rPr>
          <w:rFonts w:ascii="Times New Roman" w:cs="Times New Roman" w:eastAsia="Times New Roman" w:hAnsi="Times New Roman"/>
          <w:sz w:val="19"/>
          <w:szCs w:val="19"/>
          <w:b w:val="1"/>
          <w:bCs w:val="1"/>
          <w:color w:val="auto"/>
        </w:rPr>
        <w:t>.</w:t>
      </w:r>
    </w:p>
    <w:p>
      <w:pPr>
        <w:spacing w:after="0" w:line="196" w:lineRule="exact"/>
        <w:rPr>
          <w:sz w:val="20"/>
          <w:szCs w:val="20"/>
          <w:color w:val="auto"/>
        </w:rPr>
      </w:pPr>
    </w:p>
    <w:p>
      <w:pPr>
        <w:ind w:right="60" w:firstLine="349"/>
        <w:spacing w:after="0" w:line="261" w:lineRule="auto"/>
        <w:rPr>
          <w:sz w:val="20"/>
          <w:szCs w:val="20"/>
          <w:color w:val="auto"/>
        </w:rPr>
      </w:pPr>
      <w:r>
        <w:rPr>
          <w:rFonts w:ascii="Times New Roman" w:cs="Times New Roman" w:eastAsia="Times New Roman" w:hAnsi="Times New Roman"/>
          <w:sz w:val="19"/>
          <w:szCs w:val="19"/>
          <w:color w:val="auto"/>
        </w:rPr>
        <w:t>We may be subject to supply chain interruptions. Current or future supply chain interruptions that could be exacerbated by global political tensions, such as the situation in Eastern Europe, increased conflict in the Middle East, uncertainty related to Taiwan and its relationship with China, and resurgent or new global pandemics could negatively impact our ability to further develop our products or to manufacture and deliver our products or services, which could negatively impact our timelines and business results. For example, 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situations in Eastern Europe and/or the Middle East.</w:t>
      </w:r>
    </w:p>
    <w:p>
      <w:pPr>
        <w:spacing w:after="0" w:line="137" w:lineRule="exact"/>
        <w:rPr>
          <w:sz w:val="20"/>
          <w:szCs w:val="20"/>
          <w:color w:val="auto"/>
        </w:rPr>
      </w:pPr>
    </w:p>
    <w:p>
      <w:pPr>
        <w:ind w:right="100" w:firstLine="349"/>
        <w:spacing w:after="0" w:line="259" w:lineRule="auto"/>
        <w:rPr>
          <w:sz w:val="20"/>
          <w:szCs w:val="20"/>
          <w:color w:val="auto"/>
        </w:rPr>
      </w:pPr>
      <w:r>
        <w:rPr>
          <w:rFonts w:ascii="Times New Roman" w:cs="Times New Roman" w:eastAsia="Times New Roman" w:hAnsi="Times New Roman"/>
          <w:sz w:val="19"/>
          <w:szCs w:val="19"/>
          <w:color w:val="auto"/>
        </w:rPr>
        <w:t>Further,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36" w:lineRule="exact"/>
        <w:rPr>
          <w:sz w:val="20"/>
          <w:szCs w:val="20"/>
          <w:color w:val="auto"/>
        </w:rPr>
      </w:pPr>
    </w:p>
    <w:p>
      <w:pPr>
        <w:ind w:right="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05" w:lineRule="exact"/>
        <w:rPr>
          <w:sz w:val="20"/>
          <w:szCs w:val="20"/>
          <w:color w:val="auto"/>
        </w:rPr>
      </w:pPr>
    </w:p>
    <w:p>
      <w:pPr>
        <w:ind w:right="120" w:firstLine="349"/>
        <w:spacing w:after="0" w:line="293" w:lineRule="auto"/>
        <w:rPr>
          <w:sz w:val="20"/>
          <w:szCs w:val="20"/>
          <w:color w:val="auto"/>
        </w:rPr>
      </w:pPr>
      <w:r>
        <w:rPr>
          <w:rFonts w:ascii="Times New Roman" w:cs="Times New Roman" w:eastAsia="Times New Roman" w:hAnsi="Times New Roman"/>
          <w:sz w:val="19"/>
          <w:szCs w:val="19"/>
          <w:color w:val="auto"/>
        </w:rPr>
        <w:t>Our Seattle, Washington, facility primarily houses our corporate executive team and our software development operations, while our facilities in San Carlos and San Diego, California primarily house our research and development teams.</w:t>
      </w:r>
    </w:p>
    <w:p>
      <w:pPr>
        <w:spacing w:after="0" w:line="107"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Our facilities in Seattle, San Carlos and San Diego are vulnerable to natural disasters, public health crises, including the impact of the COVID-19 pandemic,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w:t>
      </w:r>
    </w:p>
    <w:p>
      <w:pPr>
        <w:sectPr>
          <w:pgSz w:w="11880" w:h="15480" w:orient="portrait"/>
          <w:cols w:equalWidth="0" w:num="1">
            <w:col w:w="10460"/>
          </w:cols>
          <w:pgMar w:left="700" w:top="691" w:right="720" w:bottom="0"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ectPr>
          <w:pgSz w:w="11880" w:h="15480" w:orient="portrait"/>
          <w:cols w:equalWidth="0" w:num="1">
            <w:col w:w="10460"/>
          </w:cols>
          <w:pgMar w:left="700" w:top="691" w:right="720" w:bottom="0" w:gutter="0" w:footer="0" w:header="0"/>
          <w:type w:val="continuous"/>
        </w:sectPr>
      </w:pPr>
    </w:p>
    <w:bookmarkStart w:id="67" w:name="page68"/>
    <w:bookmarkEnd w:id="67"/>
    <w:p>
      <w:pPr>
        <w:ind w:right="140"/>
        <w:spacing w:after="0" w:line="274" w:lineRule="auto"/>
        <w:rPr>
          <w:sz w:val="20"/>
          <w:szCs w:val="20"/>
          <w:color w:val="auto"/>
        </w:rPr>
      </w:pPr>
      <w:r>
        <w:rPr>
          <w:rFonts w:ascii="Times New Roman" w:cs="Times New Roman" w:eastAsia="Times New Roman" w:hAnsi="Times New Roman"/>
          <w:sz w:val="19"/>
          <w:szCs w:val="19"/>
          <w:color w:val="auto"/>
        </w:rPr>
        <w:t>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25"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29" w:lineRule="exact"/>
        <w:rPr>
          <w:sz w:val="20"/>
          <w:szCs w:val="20"/>
          <w:color w:val="auto"/>
        </w:rPr>
      </w:pPr>
    </w:p>
    <w:p>
      <w:pPr>
        <w:ind w:right="2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05"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Risks Related to Our Common Stock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An active trading market for our Common Stock may never develop or be sustained.</w:t>
      </w:r>
    </w:p>
    <w:p>
      <w:pPr>
        <w:spacing w:after="0" w:line="196"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368" w:lineRule="exact"/>
        <w:rPr>
          <w:sz w:val="20"/>
          <w:szCs w:val="20"/>
          <w:color w:val="auto"/>
        </w:rPr>
      </w:pPr>
    </w:p>
    <w:p>
      <w:pPr>
        <w:ind w:right="16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market price of our Common Stock has been and may continue to be volatile, which could result in substantial losses for investors.</w:t>
      </w:r>
    </w:p>
    <w:p>
      <w:pPr>
        <w:spacing w:after="0" w:line="105" w:lineRule="exact"/>
        <w:rPr>
          <w:sz w:val="20"/>
          <w:szCs w:val="20"/>
          <w:color w:val="auto"/>
        </w:rPr>
      </w:pPr>
    </w:p>
    <w:p>
      <w:pPr>
        <w:ind w:right="40" w:firstLine="349"/>
        <w:spacing w:after="0" w:line="293" w:lineRule="auto"/>
        <w:rPr>
          <w:sz w:val="20"/>
          <w:szCs w:val="20"/>
          <w:color w:val="auto"/>
        </w:rPr>
      </w:pPr>
      <w:r>
        <w:rPr>
          <w:rFonts w:ascii="Times New Roman" w:cs="Times New Roman" w:eastAsia="Times New Roman" w:hAnsi="Times New Roman"/>
          <w:sz w:val="19"/>
          <w:szCs w:val="19"/>
          <w:color w:val="auto"/>
        </w:rPr>
        <w:t>The market price of our Common Stock has been and may continue to be highly volatile and could be subject to wide fluctuations in response to various factors, some of which are beyond our control.</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market price of our Common Stock may fluctuate due to a variety of factors, including:</w:t>
      </w:r>
    </w:p>
    <w:p>
      <w:pPr>
        <w:spacing w:after="0" w:line="189" w:lineRule="exact"/>
        <w:rPr>
          <w:sz w:val="20"/>
          <w:szCs w:val="20"/>
          <w:color w:val="auto"/>
        </w:rPr>
      </w:pPr>
    </w:p>
    <w:p>
      <w:pPr>
        <w:ind w:right="480" w:firstLine="348"/>
        <w:spacing w:after="0" w:line="293" w:lineRule="auto"/>
        <w:tabs>
          <w:tab w:leader="none" w:pos="69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of the launch and commercialization of our products and degree to which such launch and commercialization meets the expectations of securities analysts and investors;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fluctuations in our operating results, including fluctuations in our quarterly and annual results;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expenses being more than anticipated;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or discontinuation of any of our product development and research programs;</w:t>
      </w:r>
    </w:p>
    <w:p>
      <w:pPr>
        <w:spacing w:after="0" w:line="189" w:lineRule="exact"/>
        <w:rPr>
          <w:rFonts w:ascii="Times New Roman" w:cs="Times New Roman" w:eastAsia="Times New Roman" w:hAnsi="Times New Roman"/>
          <w:sz w:val="19"/>
          <w:szCs w:val="19"/>
          <w:color w:val="auto"/>
        </w:rPr>
      </w:pPr>
    </w:p>
    <w:p>
      <w:pPr>
        <w:ind w:right="140" w:firstLine="348"/>
        <w:spacing w:after="0" w:line="293" w:lineRule="auto"/>
        <w:tabs>
          <w:tab w:leader="none" w:pos="69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 of existing or new competitive businesses or technologies;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announcements about new research programs or products of our competitors;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developments or disputes concerning patent applications, issued patents or other proprietary rights;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recruitment or departure of key personnel;</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litigation and governmental investigations involving us, our industry or both;</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or legal developments in the United States and other countries;</w:t>
      </w:r>
    </w:p>
    <w:p>
      <w:pPr>
        <w:sectPr>
          <w:pgSz w:w="11880" w:h="15480" w:orient="portrait"/>
          <w:cols w:equalWidth="0" w:num="1">
            <w:col w:w="10480"/>
          </w:cols>
          <w:pgMar w:left="700" w:top="691" w:right="700" w:bottom="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ectPr>
          <w:pgSz w:w="11880" w:h="15480" w:orient="portrait"/>
          <w:cols w:equalWidth="0" w:num="1">
            <w:col w:w="10480"/>
          </w:cols>
          <w:pgMar w:left="700" w:top="691" w:right="700" w:bottom="0" w:gutter="0" w:footer="0" w:header="0"/>
          <w:type w:val="continuous"/>
        </w:sectPr>
      </w:pPr>
    </w:p>
    <w:bookmarkStart w:id="68" w:name="page69"/>
    <w:bookmarkEnd w:id="68"/>
    <w:p>
      <w:pPr>
        <w:ind w:right="140" w:firstLine="348"/>
        <w:spacing w:after="0" w:line="293" w:lineRule="auto"/>
        <w:tabs>
          <w:tab w:leader="none" w:pos="699"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volatility and variations in market conditions in the life sciences technology sector generally, or the proteomics or genomics sectors specifically;</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investor perceptions of us or our industry;</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level of expenses related to any of our research and development programs or products;</w:t>
      </w:r>
    </w:p>
    <w:p>
      <w:pPr>
        <w:spacing w:after="0" w:line="189" w:lineRule="exact"/>
        <w:rPr>
          <w:rFonts w:ascii="Times New Roman" w:cs="Times New Roman" w:eastAsia="Times New Roman" w:hAnsi="Times New Roman"/>
          <w:sz w:val="19"/>
          <w:szCs w:val="19"/>
          <w:color w:val="auto"/>
        </w:rPr>
      </w:pPr>
    </w:p>
    <w:p>
      <w:pPr>
        <w:jc w:val="both"/>
        <w:ind w:right="100" w:firstLine="348"/>
        <w:spacing w:after="0" w:line="274" w:lineRule="auto"/>
        <w:tabs>
          <w:tab w:leader="none" w:pos="699"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our financial results meet the expectations of securities analysts or investors;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announcement or expectation of additional financing efforts;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of our Common Stock by us or by our insiders or other stockholders;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economic, industry and market conditions;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COVID-19 pandemic, natural disasters or major catastrophic events.</w:t>
      </w:r>
    </w:p>
    <w:p>
      <w:pPr>
        <w:spacing w:after="0" w:line="189"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There can be no assurance that we will be able to comply with the continued listing standards of Nasdaq.</w:t>
      </w:r>
    </w:p>
    <w:p>
      <w:pPr>
        <w:spacing w:after="0" w:line="196" w:lineRule="exact"/>
        <w:rPr>
          <w:sz w:val="20"/>
          <w:szCs w:val="20"/>
          <w:color w:val="auto"/>
        </w:rPr>
      </w:pPr>
    </w:p>
    <w:p>
      <w:pPr>
        <w:ind w:right="20" w:firstLine="349"/>
        <w:spacing w:after="0" w:line="293" w:lineRule="auto"/>
        <w:rPr>
          <w:sz w:val="20"/>
          <w:szCs w:val="20"/>
          <w:color w:val="auto"/>
        </w:rPr>
      </w:pPr>
      <w:r>
        <w:rPr>
          <w:rFonts w:ascii="Times New Roman" w:cs="Times New Roman" w:eastAsia="Times New Roman" w:hAnsi="Times New Roman"/>
          <w:sz w:val="19"/>
          <w:szCs w:val="19"/>
          <w:color w:val="auto"/>
        </w:rPr>
        <w:t>If Nasdaq delists our shares of Common Stock from trading on its exchange for failure to meet Nasdaq’s listing standards, we and our stockholders could face significant material adverse consequences including:</w:t>
      </w:r>
    </w:p>
    <w:p>
      <w:pPr>
        <w:spacing w:after="0" w:line="107" w:lineRule="exact"/>
        <w:rPr>
          <w:sz w:val="20"/>
          <w:szCs w:val="20"/>
          <w:color w:val="auto"/>
        </w:rPr>
      </w:pPr>
    </w:p>
    <w:p>
      <w:pPr>
        <w:ind w:left="700" w:hanging="352"/>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limited availability of market quotations for our securities;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reduced liquidity for our securities;</w:t>
      </w:r>
    </w:p>
    <w:p>
      <w:pPr>
        <w:spacing w:after="0" w:line="189" w:lineRule="exact"/>
        <w:rPr>
          <w:rFonts w:ascii="Times New Roman" w:cs="Times New Roman" w:eastAsia="Times New Roman" w:hAnsi="Times New Roman"/>
          <w:sz w:val="19"/>
          <w:szCs w:val="19"/>
          <w:color w:val="auto"/>
        </w:rPr>
      </w:pPr>
    </w:p>
    <w:p>
      <w:pPr>
        <w:ind w:right="520" w:firstLine="348"/>
        <w:spacing w:after="0" w:line="274" w:lineRule="auto"/>
        <w:tabs>
          <w:tab w:leader="none" w:pos="69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2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limited amount of new and analyst coverage;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decreased ability to issue additional securities or obtain additional financing in the future.</w:t>
      </w:r>
    </w:p>
    <w:p>
      <w:pPr>
        <w:spacing w:after="0" w:line="182" w:lineRule="exact"/>
        <w:rPr>
          <w:sz w:val="20"/>
          <w:szCs w:val="20"/>
          <w:color w:val="auto"/>
        </w:rPr>
      </w:pPr>
    </w:p>
    <w:p>
      <w:pPr>
        <w:ind w:right="1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05"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As of December 31, 2024, our directors, executive officers, holders of more than 5% of our outstanding shares of Common Stock and their respective affiliates beneficially owned, collectively, approximately 68.7%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29" w:lineRule="exact"/>
        <w:rPr>
          <w:sz w:val="20"/>
          <w:szCs w:val="20"/>
          <w:color w:val="auto"/>
        </w:rPr>
      </w:pPr>
    </w:p>
    <w:p>
      <w:pPr>
        <w:ind w:right="4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05" w:lineRule="exact"/>
        <w:rPr>
          <w:sz w:val="20"/>
          <w:szCs w:val="20"/>
          <w:color w:val="auto"/>
        </w:rPr>
      </w:pPr>
    </w:p>
    <w:p>
      <w:pPr>
        <w:ind w:right="320" w:firstLine="349"/>
        <w:spacing w:after="0" w:line="274" w:lineRule="auto"/>
        <w:rPr>
          <w:sz w:val="20"/>
          <w:szCs w:val="20"/>
          <w:color w:val="auto"/>
        </w:rPr>
      </w:pPr>
      <w:r>
        <w:rPr>
          <w:rFonts w:ascii="Times New Roman" w:cs="Times New Roman" w:eastAsia="Times New Roman" w:hAnsi="Times New Roman"/>
          <w:sz w:val="19"/>
          <w:szCs w:val="19"/>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ectPr>
          <w:pgSz w:w="11880" w:h="15480" w:orient="portrait"/>
          <w:cols w:equalWidth="0" w:num="1">
            <w:col w:w="10460"/>
          </w:cols>
          <w:pgMar w:left="700" w:top="691" w:right="720" w:bottom="0" w:gutter="0" w:footer="0" w:header="0"/>
          <w:type w:val="continuous"/>
        </w:sectPr>
      </w:pPr>
    </w:p>
    <w:bookmarkStart w:id="69" w:name="page70"/>
    <w:bookmarkEnd w:id="69"/>
    <w:p>
      <w:pPr>
        <w:ind w:right="40" w:firstLine="349"/>
        <w:spacing w:after="0" w:line="265" w:lineRule="auto"/>
        <w:rPr>
          <w:sz w:val="20"/>
          <w:szCs w:val="20"/>
          <w:color w:val="auto"/>
        </w:rPr>
      </w:pPr>
      <w:r>
        <w:rPr>
          <w:rFonts w:ascii="Times New Roman" w:cs="Times New Roman" w:eastAsia="Times New Roman" w:hAnsi="Times New Roman"/>
          <w:sz w:val="19"/>
          <w:szCs w:val="19"/>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126" w:lineRule="exact"/>
        <w:rPr>
          <w:sz w:val="20"/>
          <w:szCs w:val="20"/>
          <w:color w:val="auto"/>
        </w:rPr>
      </w:pPr>
    </w:p>
    <w:p>
      <w:pPr>
        <w:ind w:right="3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5" w:lineRule="exact"/>
        <w:rPr>
          <w:sz w:val="20"/>
          <w:szCs w:val="20"/>
          <w:color w:val="auto"/>
        </w:rPr>
      </w:pPr>
    </w:p>
    <w:p>
      <w:pPr>
        <w:ind w:right="20" w:firstLine="349"/>
        <w:spacing w:after="0" w:line="261" w:lineRule="auto"/>
        <w:rPr>
          <w:sz w:val="20"/>
          <w:szCs w:val="20"/>
          <w:color w:val="auto"/>
        </w:rPr>
      </w:pPr>
      <w:r>
        <w:rPr>
          <w:rFonts w:ascii="Times New Roman" w:cs="Times New Roman" w:eastAsia="Times New Roman" w:hAnsi="Times New Roman"/>
          <w:sz w:val="19"/>
          <w:szCs w:val="19"/>
          <w:color w:val="auto"/>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including for continued product development of our Nautilus platform other research and development activities, and commercialization of our Nautilus platform,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spacing w:after="0" w:line="3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We do not expect to pay any dividends for the foreseeable future. Investors may never obtain a return on their investment.</w:t>
      </w:r>
    </w:p>
    <w:p>
      <w:pPr>
        <w:spacing w:after="0" w:line="196" w:lineRule="exact"/>
        <w:rPr>
          <w:sz w:val="20"/>
          <w:szCs w:val="20"/>
          <w:color w:val="auto"/>
        </w:rPr>
      </w:pPr>
    </w:p>
    <w:p>
      <w:pPr>
        <w:ind w:right="120" w:firstLine="349"/>
        <w:spacing w:after="0" w:line="262" w:lineRule="auto"/>
        <w:rPr>
          <w:sz w:val="20"/>
          <w:szCs w:val="20"/>
          <w:color w:val="auto"/>
        </w:rPr>
      </w:pPr>
      <w:r>
        <w:rPr>
          <w:rFonts w:ascii="Times New Roman" w:cs="Times New Roman" w:eastAsia="Times New Roman" w:hAnsi="Times New Roman"/>
          <w:sz w:val="19"/>
          <w:szCs w:val="19"/>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29" w:lineRule="exact"/>
        <w:rPr>
          <w:sz w:val="20"/>
          <w:szCs w:val="20"/>
          <w:color w:val="auto"/>
        </w:rPr>
      </w:pPr>
    </w:p>
    <w:p>
      <w:pPr>
        <w:ind w:right="10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34" w:lineRule="exact"/>
        <w:rPr>
          <w:sz w:val="20"/>
          <w:szCs w:val="20"/>
          <w:color w:val="auto"/>
        </w:rPr>
      </w:pPr>
    </w:p>
    <w:p>
      <w:pPr>
        <w:ind w:right="20" w:firstLine="349"/>
        <w:spacing w:after="0" w:line="259" w:lineRule="auto"/>
        <w:rPr>
          <w:sz w:val="20"/>
          <w:szCs w:val="20"/>
          <w:color w:val="auto"/>
        </w:rPr>
      </w:pPr>
      <w:r>
        <w:rPr>
          <w:rFonts w:ascii="Times New Roman" w:cs="Times New Roman" w:eastAsia="Times New Roman" w:hAnsi="Times New Roman"/>
          <w:sz w:val="19"/>
          <w:szCs w:val="19"/>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spacing w:after="0" w:line="141" w:lineRule="exact"/>
        <w:rPr>
          <w:sz w:val="20"/>
          <w:szCs w:val="20"/>
          <w:color w:val="auto"/>
        </w:rPr>
      </w:pPr>
    </w:p>
    <w:p>
      <w:pPr>
        <w:ind w:right="60" w:firstLine="349"/>
        <w:spacing w:after="0" w:line="265" w:lineRule="auto"/>
        <w:rPr>
          <w:sz w:val="20"/>
          <w:szCs w:val="20"/>
          <w:color w:val="auto"/>
        </w:rPr>
      </w:pPr>
      <w:r>
        <w:rPr>
          <w:rFonts w:ascii="Times New Roman" w:cs="Times New Roman" w:eastAsia="Times New Roman" w:hAnsi="Times New Roman"/>
          <w:sz w:val="19"/>
          <w:szCs w:val="19"/>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33"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w:t>
      </w:r>
    </w:p>
    <w:p>
      <w:pPr>
        <w:sectPr>
          <w:pgSz w:w="11880" w:h="15480" w:orient="portrait"/>
          <w:cols w:equalWidth="0" w:num="1">
            <w:col w:w="10480"/>
          </w:cols>
          <w:pgMar w:left="700" w:top="691" w:right="700" w:bottom="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ectPr>
          <w:pgSz w:w="11880" w:h="15480" w:orient="portrait"/>
          <w:cols w:equalWidth="0" w:num="1">
            <w:col w:w="10480"/>
          </w:cols>
          <w:pgMar w:left="700" w:top="691" w:right="700" w:bottom="0" w:gutter="0" w:footer="0" w:header="0"/>
          <w:type w:val="continuous"/>
        </w:sectPr>
      </w:pPr>
    </w:p>
    <w:bookmarkStart w:id="70" w:name="page71"/>
    <w:bookmarkEnd w:id="70"/>
    <w:p>
      <w:pPr>
        <w:ind w:right="60"/>
        <w:spacing w:after="0" w:line="293" w:lineRule="auto"/>
        <w:rPr>
          <w:sz w:val="20"/>
          <w:szCs w:val="20"/>
          <w:color w:val="auto"/>
        </w:rPr>
      </w:pPr>
      <w:r>
        <w:rPr>
          <w:rFonts w:ascii="Times New Roman" w:cs="Times New Roman" w:eastAsia="Times New Roman" w:hAnsi="Times New Roman"/>
          <w:sz w:val="19"/>
          <w:szCs w:val="19"/>
          <w:color w:val="auto"/>
        </w:rPr>
        <w:t>inapplicable in an action, we may incur additional costs associated with resolving such action in other jurisdictions, which could harm our results of operations.</w:t>
      </w:r>
    </w:p>
    <w:p>
      <w:pPr>
        <w:spacing w:after="0" w:line="100" w:lineRule="exact"/>
        <w:rPr>
          <w:sz w:val="20"/>
          <w:szCs w:val="20"/>
          <w:color w:val="auto"/>
        </w:rPr>
      </w:pPr>
    </w:p>
    <w:p>
      <w:pPr>
        <w:ind w:right="3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05"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36" w:lineRule="exact"/>
        <w:rPr>
          <w:sz w:val="20"/>
          <w:szCs w:val="20"/>
          <w:color w:val="auto"/>
        </w:rPr>
      </w:pPr>
    </w:p>
    <w:p>
      <w:pPr>
        <w:ind w:firstLine="348"/>
        <w:spacing w:after="0" w:line="274"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25" w:lineRule="exact"/>
        <w:rPr>
          <w:rFonts w:ascii="Times New Roman" w:cs="Times New Roman" w:eastAsia="Times New Roman" w:hAnsi="Times New Roman"/>
          <w:sz w:val="19"/>
          <w:szCs w:val="19"/>
          <w:color w:val="auto"/>
        </w:rPr>
      </w:pPr>
    </w:p>
    <w:p>
      <w:pPr>
        <w:ind w:right="200" w:firstLine="348"/>
        <w:spacing w:after="0" w:line="293"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amendments to our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9"/>
          <w:szCs w:val="19"/>
          <w:color w:val="auto"/>
        </w:rPr>
      </w:pPr>
    </w:p>
    <w:p>
      <w:pPr>
        <w:ind w:right="160" w:firstLine="348"/>
        <w:spacing w:after="0" w:line="293"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stockholder-proposed amendment to certain provisions of our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9"/>
          <w:szCs w:val="19"/>
          <w:color w:val="auto"/>
        </w:rPr>
      </w:pPr>
    </w:p>
    <w:p>
      <w:pPr>
        <w:ind w:right="240" w:firstLine="348"/>
        <w:spacing w:after="0" w:line="293"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stockholders are only able to take action at a meeting of stockholders and are not able to take action by written consent for any matter;</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vacancies on our board of directors are able to be filled only by our board of directors and not by stockholders;</w:t>
      </w:r>
    </w:p>
    <w:p>
      <w:pPr>
        <w:spacing w:after="0" w:line="189" w:lineRule="exact"/>
        <w:rPr>
          <w:rFonts w:ascii="Times New Roman" w:cs="Times New Roman" w:eastAsia="Times New Roman" w:hAnsi="Times New Roman"/>
          <w:sz w:val="19"/>
          <w:szCs w:val="19"/>
          <w:color w:val="auto"/>
        </w:rPr>
      </w:pPr>
    </w:p>
    <w:p>
      <w:pPr>
        <w:ind w:right="200" w:firstLine="348"/>
        <w:spacing w:after="0" w:line="293"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only the chair of our board of directors, our chief executive officer, our president or a majority of our board of directors are authorized to call a special meeting of stockholders;</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litigation against us can only be brought in Delaware;</w:t>
      </w:r>
    </w:p>
    <w:p>
      <w:pPr>
        <w:spacing w:after="0" w:line="189" w:lineRule="exact"/>
        <w:rPr>
          <w:rFonts w:ascii="Times New Roman" w:cs="Times New Roman" w:eastAsia="Times New Roman" w:hAnsi="Times New Roman"/>
          <w:sz w:val="19"/>
          <w:szCs w:val="19"/>
          <w:color w:val="auto"/>
        </w:rPr>
      </w:pPr>
    </w:p>
    <w:p>
      <w:pPr>
        <w:ind w:right="100" w:firstLine="348"/>
        <w:spacing w:after="0" w:line="293"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07" w:lineRule="exact"/>
        <w:rPr>
          <w:rFonts w:ascii="Times New Roman" w:cs="Times New Roman" w:eastAsia="Times New Roman" w:hAnsi="Times New Roman"/>
          <w:sz w:val="19"/>
          <w:szCs w:val="19"/>
          <w:color w:val="auto"/>
        </w:rPr>
      </w:pPr>
    </w:p>
    <w:p>
      <w:pPr>
        <w:ind w:right="180" w:firstLine="348"/>
        <w:spacing w:after="0" w:line="293" w:lineRule="auto"/>
        <w:tabs>
          <w:tab w:leader="none" w:pos="69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advance notice procedures apply for stockholders to nominate candidates for election as directors or to bring matters before an annual meeting of stockholders.</w:t>
      </w:r>
    </w:p>
    <w:p>
      <w:pPr>
        <w:spacing w:after="0" w:line="107" w:lineRule="exact"/>
        <w:rPr>
          <w:sz w:val="20"/>
          <w:szCs w:val="20"/>
          <w:color w:val="auto"/>
        </w:rPr>
      </w:pPr>
    </w:p>
    <w:p>
      <w:pPr>
        <w:jc w:val="both"/>
        <w:ind w:right="60" w:firstLine="349"/>
        <w:spacing w:after="0" w:line="268" w:lineRule="auto"/>
        <w:rPr>
          <w:sz w:val="20"/>
          <w:szCs w:val="20"/>
          <w:color w:val="auto"/>
        </w:rPr>
      </w:pPr>
      <w:r>
        <w:rPr>
          <w:rFonts w:ascii="Times New Roman" w:cs="Times New Roman" w:eastAsia="Times New Roman" w:hAnsi="Times New Roman"/>
          <w:sz w:val="19"/>
          <w:szCs w:val="19"/>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General Risk Factors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We will continue to incur significant increased costs and management resources as a result of operating as a public company.</w:t>
      </w:r>
    </w:p>
    <w:p>
      <w:pPr>
        <w:spacing w:after="0" w:line="196"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spacing w:after="0" w:line="133"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ectPr>
          <w:pgSz w:w="11880" w:h="15480" w:orient="portrait"/>
          <w:cols w:equalWidth="0" w:num="1">
            <w:col w:w="10460"/>
          </w:cols>
          <w:pgMar w:left="700" w:top="691" w:right="720" w:bottom="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ectPr>
          <w:pgSz w:w="11880" w:h="15480" w:orient="portrait"/>
          <w:cols w:equalWidth="0" w:num="1">
            <w:col w:w="10460"/>
          </w:cols>
          <w:pgMar w:left="700" w:top="691" w:right="720" w:bottom="0" w:gutter="0" w:footer="0" w:header="0"/>
          <w:type w:val="continuous"/>
        </w:sectPr>
      </w:pPr>
    </w:p>
    <w:bookmarkStart w:id="71" w:name="page72"/>
    <w:bookmarkEnd w:id="71"/>
    <w:p>
      <w:pPr>
        <w:ind w:right="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We have broad discretion in the use of the net proceeds from the Business Combination and the PIPE Financing and may not use them effectively.</w:t>
      </w:r>
    </w:p>
    <w:p>
      <w:pPr>
        <w:spacing w:after="0" w:line="105"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29" w:lineRule="exact"/>
        <w:rPr>
          <w:sz w:val="20"/>
          <w:szCs w:val="20"/>
          <w:color w:val="auto"/>
        </w:rPr>
      </w:pPr>
    </w:p>
    <w:p>
      <w:pPr>
        <w:ind w:right="8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Our ability to use net operating losses and certain other tax attributes to offset future taxable income may be subject to certain limitations.</w:t>
      </w:r>
    </w:p>
    <w:p>
      <w:pPr>
        <w:spacing w:after="0" w:line="105"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Our U.S. federal and state net operating loss carryforwards, or NOLs, may be unavailable to offset future taxable income because of restrictions under U.S. federal and/or state law. U.S. federal NOLs that arose in tax years ending on or prior to December 31, 2017, are only permitted to be carried forward for 20 years. U.S. federal NOLs that arose in tax years beginning after December 31, 2017, may be carried forward indefinitely, but for taxable years beginning after December 31, 2020, the deductibility of such U.S. federal NOLs will be limited to 80% of our current year taxable income. State NOLs may be subject to similar or different limitations. As of December 31, 2024, we had U.S. federal NOLs of $105.6 million, of which $105.1 million do not expire, and state NOLs of $150.4 million that will begin to expire in 2037.</w:t>
      </w:r>
    </w:p>
    <w:p>
      <w:pPr>
        <w:spacing w:after="0" w:line="136" w:lineRule="exact"/>
        <w:rPr>
          <w:sz w:val="20"/>
          <w:szCs w:val="20"/>
          <w:color w:val="auto"/>
        </w:rPr>
      </w:pPr>
    </w:p>
    <w:p>
      <w:pPr>
        <w:ind w:right="80" w:firstLine="349"/>
        <w:spacing w:after="0" w:line="258" w:lineRule="auto"/>
        <w:rPr>
          <w:sz w:val="20"/>
          <w:szCs w:val="20"/>
          <w:color w:val="auto"/>
        </w:rPr>
      </w:pPr>
      <w:r>
        <w:rPr>
          <w:rFonts w:ascii="Times New Roman" w:cs="Times New Roman" w:eastAsia="Times New Roman" w:hAnsi="Times New Roman"/>
          <w:sz w:val="19"/>
          <w:szCs w:val="19"/>
          <w:color w:val="auto"/>
        </w:rPr>
        <w:t>In addition, Section 382 of the Internal Revenue Code of 1986, as amended, or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could adversely impact our operating results.</w:t>
      </w:r>
    </w:p>
    <w:p>
      <w:pPr>
        <w:spacing w:after="0" w:line="374" w:lineRule="exact"/>
        <w:rPr>
          <w:sz w:val="20"/>
          <w:szCs w:val="20"/>
          <w:color w:val="auto"/>
        </w:rPr>
      </w:pPr>
    </w:p>
    <w:p>
      <w:pPr>
        <w:ind w:right="1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Changes in tax laws could have a material adverse effect on our future business, cash flows, results of operations or financial condition.</w:t>
      </w:r>
    </w:p>
    <w:p>
      <w:pPr>
        <w:spacing w:after="0" w:line="105" w:lineRule="exact"/>
        <w:rPr>
          <w:sz w:val="20"/>
          <w:szCs w:val="20"/>
          <w:color w:val="auto"/>
        </w:rPr>
      </w:pPr>
    </w:p>
    <w:p>
      <w:pPr>
        <w:ind w:right="60" w:firstLine="349"/>
        <w:spacing w:after="0" w:line="259" w:lineRule="auto"/>
        <w:rPr>
          <w:sz w:val="20"/>
          <w:szCs w:val="20"/>
          <w:color w:val="auto"/>
        </w:rPr>
      </w:pPr>
      <w:r>
        <w:rPr>
          <w:rFonts w:ascii="Times New Roman" w:cs="Times New Roman" w:eastAsia="Times New Roman" w:hAnsi="Times New Roman"/>
          <w:sz w:val="19"/>
          <w:szCs w:val="19"/>
          <w:color w:val="auto"/>
        </w:rPr>
        <w:t>We may in the future be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Organisation for Economic Co-operation and Development have proposed or implemented new tax laws or changes to existing tax laws, including additional taxes on payroll or employees and a proposed 15% global minimum tax (Pillar 2) that is being adopted by several countries with implementation beginning in 2024. Any new or changes to tax laws could adversely affect our future effective tax rate, operating results, tax credits or incentives or tax payments, which could have a material adverse effect on our future business, cash flows, results of operations or financial condition if we expand internationally. For example, the United States recently enacted the Inflation Reduction Act of 2022, which implements, among other changes, a 1% non-deductible excise tax on certain stock buybacks effective January 1, 2023. Further, on January 1, 2022, a provision of the Tax Cuts and Jobs Act of 2017 went into effect that eliminates the option to deduct research and development costs in the year incurred and instead requires taxpayers to amortize such costs over five years for domestic and 15 years for foreign costs. Such changes, among others, may adversely affect our future effective tax rate, business, cash flows, results of operations and financial condition.</w:t>
      </w:r>
    </w:p>
    <w:p>
      <w:pPr>
        <w:spacing w:after="0" w:line="131" w:lineRule="exact"/>
        <w:rPr>
          <w:sz w:val="20"/>
          <w:szCs w:val="20"/>
          <w:color w:val="auto"/>
        </w:rPr>
      </w:pPr>
    </w:p>
    <w:p>
      <w:pPr>
        <w:ind w:right="2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right="400" w:firstLine="349"/>
        <w:spacing w:after="0" w:line="274" w:lineRule="auto"/>
        <w:rPr>
          <w:sz w:val="20"/>
          <w:szCs w:val="20"/>
          <w:color w:val="auto"/>
        </w:rPr>
      </w:pPr>
      <w:r>
        <w:rPr>
          <w:rFonts w:ascii="Times New Roman" w:cs="Times New Roman" w:eastAsia="Times New Roman" w:hAnsi="Times New Roman"/>
          <w:sz w:val="19"/>
          <w:szCs w:val="19"/>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w:t>
      </w:r>
    </w:p>
    <w:p>
      <w:pPr>
        <w:sectPr>
          <w:pgSz w:w="11880" w:h="15480" w:orient="portrait"/>
          <w:cols w:equalWidth="0" w:num="1">
            <w:col w:w="10480"/>
          </w:cols>
          <w:pgMar w:left="700" w:top="1091" w:right="700" w:bottom="0" w:gutter="0" w:footer="0" w:header="0"/>
        </w:sect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ectPr>
          <w:pgSz w:w="11880" w:h="15480" w:orient="portrait"/>
          <w:cols w:equalWidth="0" w:num="1">
            <w:col w:w="10480"/>
          </w:cols>
          <w:pgMar w:left="700" w:top="1091" w:right="700" w:bottom="0" w:gutter="0" w:footer="0" w:header="0"/>
          <w:type w:val="continuous"/>
        </w:sectPr>
      </w:pPr>
    </w:p>
    <w:bookmarkStart w:id="72" w:name="page73"/>
    <w:bookmarkEnd w:id="72"/>
    <w:p>
      <w:pPr>
        <w:ind w:right="220"/>
        <w:spacing w:after="0" w:line="263" w:lineRule="auto"/>
        <w:rPr>
          <w:sz w:val="20"/>
          <w:szCs w:val="20"/>
          <w:color w:val="auto"/>
        </w:rPr>
      </w:pPr>
      <w:r>
        <w:rPr>
          <w:rFonts w:ascii="Times New Roman" w:cs="Times New Roman" w:eastAsia="Times New Roman" w:hAnsi="Times New Roman"/>
          <w:sz w:val="19"/>
          <w:szCs w:val="19"/>
          <w:color w:val="auto"/>
        </w:rPr>
        <w:t>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36"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or a “smaller reporting company,” as such term is defined in Rule 12b-2 under the Securities Exchange Act of 1934, as amended (the “Exchange Act”), we will be required to include an attestation report on internal control over financial reporting issued by our independent registered public accounting firm. However, for as long as we are an “emerging growth company” or a “smaller reporting company,” our independent registered public accounting firm will not be required to attest to the effectiveness of our internal controls over financial reporting pursuant to Section 404(b) of SOX.</w:t>
      </w:r>
    </w:p>
    <w:p>
      <w:pPr>
        <w:spacing w:after="0" w:line="378" w:lineRule="exact"/>
        <w:rPr>
          <w:sz w:val="20"/>
          <w:szCs w:val="20"/>
          <w:color w:val="auto"/>
        </w:rPr>
      </w:pPr>
    </w:p>
    <w:p>
      <w:pPr>
        <w:ind w:right="140" w:firstLine="349"/>
        <w:spacing w:after="0" w:line="263" w:lineRule="auto"/>
        <w:rPr>
          <w:sz w:val="20"/>
          <w:szCs w:val="20"/>
          <w:color w:val="auto"/>
        </w:rPr>
      </w:pPr>
      <w:r>
        <w:rPr>
          <w:rFonts w:ascii="Times New Roman" w:cs="Times New Roman" w:eastAsia="Times New Roman" w:hAnsi="Times New Roman"/>
          <w:sz w:val="19"/>
          <w:szCs w:val="19"/>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6" w:lineRule="exact"/>
        <w:rPr>
          <w:sz w:val="20"/>
          <w:szCs w:val="20"/>
          <w:color w:val="auto"/>
        </w:rPr>
      </w:pPr>
    </w:p>
    <w:p>
      <w:pPr>
        <w:jc w:val="both"/>
        <w:ind w:right="100" w:firstLine="349"/>
        <w:spacing w:after="0" w:line="274" w:lineRule="auto"/>
        <w:rPr>
          <w:sz w:val="20"/>
          <w:szCs w:val="20"/>
          <w:color w:val="auto"/>
        </w:rPr>
      </w:pPr>
      <w:r>
        <w:rPr>
          <w:rFonts w:ascii="Times New Roman" w:cs="Times New Roman" w:eastAsia="Times New Roman" w:hAnsi="Times New Roman"/>
          <w:sz w:val="19"/>
          <w:szCs w:val="19"/>
          <w:color w:val="auto"/>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18" w:lineRule="exact"/>
        <w:rPr>
          <w:sz w:val="20"/>
          <w:szCs w:val="20"/>
          <w:color w:val="auto"/>
        </w:rPr>
      </w:pPr>
    </w:p>
    <w:p>
      <w:pPr>
        <w:jc w:val="both"/>
        <w:ind w:right="10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24"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369" w:lineRule="exact"/>
        <w:rPr>
          <w:sz w:val="20"/>
          <w:szCs w:val="20"/>
          <w:color w:val="auto"/>
        </w:rPr>
      </w:pPr>
    </w:p>
    <w:p>
      <w:pPr>
        <w:jc w:val="both"/>
        <w:ind w:right="680" w:firstLine="349"/>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24"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Exchange Act, after we cease to qualify as an emerging growth company, we will continue to be permitted to make certain reduced disclosures in our periodic reports and other documents that we file with the SEC and will not be required to comply with the auditor attestation</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ectPr>
          <w:pgSz w:w="11880" w:h="15480" w:orient="portrait"/>
          <w:cols w:equalWidth="0" w:num="1">
            <w:col w:w="10480"/>
          </w:cols>
          <w:pgMar w:left="700" w:top="691" w:right="700" w:bottom="0" w:gutter="0" w:footer="0" w:header="0"/>
          <w:type w:val="continuous"/>
        </w:sectPr>
      </w:pPr>
    </w:p>
    <w:bookmarkStart w:id="73" w:name="page74"/>
    <w:bookmarkEnd w:id="73"/>
    <w:p>
      <w:pPr>
        <w:jc w:val="both"/>
        <w:ind w:right="260"/>
        <w:spacing w:after="0" w:line="274" w:lineRule="auto"/>
        <w:rPr>
          <w:sz w:val="20"/>
          <w:szCs w:val="20"/>
          <w:color w:val="auto"/>
        </w:rPr>
      </w:pPr>
      <w:r>
        <w:rPr>
          <w:rFonts w:ascii="Times New Roman" w:cs="Times New Roman" w:eastAsia="Times New Roman" w:hAnsi="Times New Roman"/>
          <w:sz w:val="19"/>
          <w:szCs w:val="19"/>
          <w:color w:val="auto"/>
        </w:rPr>
        <w:t>requirements of Section 404 of SOX.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25" w:lineRule="exact"/>
        <w:rPr>
          <w:sz w:val="20"/>
          <w:szCs w:val="20"/>
          <w:color w:val="auto"/>
        </w:rPr>
      </w:pPr>
    </w:p>
    <w:p>
      <w:pPr>
        <w:ind w:right="360" w:firstLine="349"/>
        <w:spacing w:after="0" w:line="263" w:lineRule="auto"/>
        <w:rPr>
          <w:sz w:val="20"/>
          <w:szCs w:val="20"/>
          <w:color w:val="auto"/>
        </w:rPr>
      </w:pPr>
      <w:r>
        <w:rPr>
          <w:rFonts w:ascii="Times New Roman" w:cs="Times New Roman" w:eastAsia="Times New Roman" w:hAnsi="Times New Roman"/>
          <w:sz w:val="19"/>
          <w:szCs w:val="19"/>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ind w:right="10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05"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129" w:lineRule="exact"/>
        <w:rPr>
          <w:sz w:val="20"/>
          <w:szCs w:val="20"/>
          <w:color w:val="auto"/>
        </w:rPr>
      </w:pPr>
    </w:p>
    <w:p>
      <w:pPr>
        <w:ind w:right="320" w:firstLine="349"/>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105"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Investor advocacy groups, proxy advisory services, investment funds, institutional investors, stockholders, and customers are increasingly focused on environmental, social, and governance (“ESG”) practices of companies. Additionally, public interest and legislative pressure related to public companies’ ESG practices continues to grow. For example, the SEC recently adopted final rules regarding climate-related disclosures in public companies’ periodic reporting.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1C. Cybersecurity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 Management and Strategy</w:t>
      </w:r>
    </w:p>
    <w:p>
      <w:pPr>
        <w:spacing w:after="0" w:line="200" w:lineRule="exact"/>
        <w:rPr>
          <w:sz w:val="20"/>
          <w:szCs w:val="20"/>
          <w:color w:val="auto"/>
        </w:rPr>
      </w:pPr>
    </w:p>
    <w:p>
      <w:pPr>
        <w:spacing w:after="0" w:line="214" w:lineRule="exact"/>
        <w:rPr>
          <w:sz w:val="20"/>
          <w:szCs w:val="20"/>
          <w:color w:val="auto"/>
        </w:rPr>
      </w:pPr>
    </w:p>
    <w:p>
      <w:pPr>
        <w:ind w:right="180" w:firstLine="349"/>
        <w:spacing w:after="0" w:line="268" w:lineRule="auto"/>
        <w:rPr>
          <w:sz w:val="20"/>
          <w:szCs w:val="20"/>
          <w:color w:val="auto"/>
        </w:rPr>
      </w:pPr>
      <w:r>
        <w:rPr>
          <w:rFonts w:ascii="Times New Roman" w:cs="Times New Roman" w:eastAsia="Times New Roman" w:hAnsi="Times New Roman"/>
          <w:sz w:val="19"/>
          <w:szCs w:val="19"/>
          <w:color w:val="auto"/>
        </w:rPr>
        <w:t>We have established policies and processes for assessing, identifying, and managing risks from cybersecurity threats, and have integrated these processes into our overall risk management systems and processes. We routinely assess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31" w:lineRule="exact"/>
        <w:rPr>
          <w:sz w:val="20"/>
          <w:szCs w:val="20"/>
          <w:color w:val="auto"/>
        </w:rPr>
      </w:pPr>
    </w:p>
    <w:p>
      <w:pPr>
        <w:ind w:right="40" w:firstLine="349"/>
        <w:spacing w:after="0" w:line="268" w:lineRule="auto"/>
        <w:rPr>
          <w:sz w:val="20"/>
          <w:szCs w:val="20"/>
          <w:color w:val="auto"/>
        </w:rPr>
      </w:pPr>
      <w:r>
        <w:rPr>
          <w:rFonts w:ascii="Times New Roman" w:cs="Times New Roman" w:eastAsia="Times New Roman" w:hAnsi="Times New Roman"/>
          <w:sz w:val="19"/>
          <w:szCs w:val="19"/>
          <w:color w:val="auto"/>
        </w:rPr>
        <w:t>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31" w:lineRule="exact"/>
        <w:rPr>
          <w:sz w:val="20"/>
          <w:szCs w:val="20"/>
          <w:color w:val="auto"/>
        </w:rPr>
      </w:pPr>
    </w:p>
    <w:p>
      <w:pPr>
        <w:ind w:right="20" w:firstLine="349"/>
        <w:spacing w:after="0" w:line="268" w:lineRule="auto"/>
        <w:rPr>
          <w:sz w:val="20"/>
          <w:szCs w:val="20"/>
          <w:color w:val="auto"/>
        </w:rPr>
      </w:pPr>
      <w:r>
        <w:rPr>
          <w:rFonts w:ascii="Times New Roman" w:cs="Times New Roman" w:eastAsia="Times New Roman" w:hAnsi="Times New Roman"/>
          <w:sz w:val="19"/>
          <w:szCs w:val="19"/>
          <w:color w:val="auto"/>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Head of IT, who reports to our Chief Financial Officer, to manage the risk assessment and mitigation process.</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ectPr>
          <w:pgSz w:w="11880" w:h="15480" w:orient="portrait"/>
          <w:cols w:equalWidth="0" w:num="1">
            <w:col w:w="10460"/>
          </w:cols>
          <w:pgMar w:left="700" w:top="691" w:right="720" w:bottom="0" w:gutter="0" w:footer="0" w:header="0"/>
          <w:type w:val="continuous"/>
        </w:sectPr>
      </w:pPr>
    </w:p>
    <w:bookmarkStart w:id="74" w:name="page75"/>
    <w:bookmarkEnd w:id="74"/>
    <w:p>
      <w:pPr>
        <w:ind w:right="560" w:firstLine="349"/>
        <w:spacing w:after="0" w:line="274" w:lineRule="auto"/>
        <w:rPr>
          <w:sz w:val="20"/>
          <w:szCs w:val="20"/>
          <w:color w:val="auto"/>
        </w:rPr>
      </w:pPr>
      <w:r>
        <w:rPr>
          <w:rFonts w:ascii="Times New Roman" w:cs="Times New Roman" w:eastAsia="Times New Roman" w:hAnsi="Times New Roman"/>
          <w:sz w:val="19"/>
          <w:szCs w:val="19"/>
          <w:color w:val="auto"/>
        </w:rPr>
        <w:t>As part of our overall risk management system, we monitor our safeguards and train our employees on these safeguards, in collaboration with human resources, IT, and management. Personnel at all levels and departments are made aware of our cybersecurity policies through trainings integrated into new employee onboarding processes and annual employee re-training.</w:t>
      </w:r>
    </w:p>
    <w:p>
      <w:pPr>
        <w:spacing w:after="0" w:line="125" w:lineRule="exact"/>
        <w:rPr>
          <w:sz w:val="20"/>
          <w:szCs w:val="20"/>
          <w:color w:val="auto"/>
        </w:rPr>
      </w:pPr>
    </w:p>
    <w:p>
      <w:pPr>
        <w:ind w:right="120" w:firstLine="349"/>
        <w:spacing w:after="0" w:line="293" w:lineRule="auto"/>
        <w:rPr>
          <w:sz w:val="20"/>
          <w:szCs w:val="20"/>
          <w:color w:val="auto"/>
        </w:rPr>
      </w:pPr>
      <w:r>
        <w:rPr>
          <w:rFonts w:ascii="Times New Roman" w:cs="Times New Roman" w:eastAsia="Times New Roman" w:hAnsi="Times New Roman"/>
          <w:sz w:val="19"/>
          <w:szCs w:val="19"/>
          <w:color w:val="auto"/>
        </w:rPr>
        <w:t>We engage consultants, experts, or other third parties in connection with our risk assessment processes. These third parties assist us in designing and implementing our cybersecurity policies and procedures, as well as in monitoring and testing our safeguards.</w:t>
      </w:r>
    </w:p>
    <w:p>
      <w:pPr>
        <w:spacing w:after="0" w:line="107"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We require each third-party service provider who may have access to our systems and/or our sensitive data to attest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131"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We have not experienced any cybersecurity incidents that have been determined to be material in the past, however, like other life sciences technology companies, we have experienced cybersecurity incidents and may continue to experience them in the future. For additional information regarding whether any risks from cybersecurity threats, including as a result of any previous cybersecurity incidents, materially affected or are reasonably likely to materially affect our company, including our business strategy, results of operations, or financial condition, please refer to Item 1A, “Risk Factors,” in this annual report on Form 10-K, including, for example, the risk factor entitled “If we experience a significant disruption in our information technology systems or breaches of data security, our business could be adversely affected.”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color w:val="auto"/>
        </w:rPr>
        <w:t>Governance</w:t>
      </w:r>
    </w:p>
    <w:p>
      <w:pPr>
        <w:spacing w:after="0" w:line="196" w:lineRule="exact"/>
        <w:rPr>
          <w:sz w:val="20"/>
          <w:szCs w:val="20"/>
          <w:color w:val="auto"/>
        </w:rPr>
      </w:pPr>
    </w:p>
    <w:p>
      <w:pPr>
        <w:ind w:right="320" w:firstLine="349"/>
        <w:spacing w:after="0" w:line="268" w:lineRule="auto"/>
        <w:rPr>
          <w:sz w:val="20"/>
          <w:szCs w:val="20"/>
          <w:color w:val="auto"/>
        </w:rPr>
      </w:pPr>
      <w:r>
        <w:rPr>
          <w:rFonts w:ascii="Times New Roman" w:cs="Times New Roman" w:eastAsia="Times New Roman" w:hAnsi="Times New Roman"/>
          <w:sz w:val="19"/>
          <w:szCs w:val="19"/>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w:t>
      </w:r>
    </w:p>
    <w:p>
      <w:pPr>
        <w:spacing w:after="0" w:line="131" w:lineRule="exact"/>
        <w:rPr>
          <w:sz w:val="20"/>
          <w:szCs w:val="20"/>
          <w:color w:val="auto"/>
        </w:rPr>
      </w:pPr>
    </w:p>
    <w:p>
      <w:pPr>
        <w:ind w:right="320" w:firstLine="349"/>
        <w:spacing w:after="0" w:line="268" w:lineRule="auto"/>
        <w:rPr>
          <w:sz w:val="20"/>
          <w:szCs w:val="20"/>
          <w:color w:val="auto"/>
        </w:rPr>
      </w:pPr>
      <w:r>
        <w:rPr>
          <w:rFonts w:ascii="Times New Roman" w:cs="Times New Roman" w:eastAsia="Times New Roman" w:hAnsi="Times New Roman"/>
          <w:sz w:val="19"/>
          <w:szCs w:val="19"/>
          <w:color w:val="auto"/>
        </w:rPr>
        <w:t>Our Head of IT and our management committee on cybersecurity, which includes representatives of the Company’s legal department, finance department and IT department, who collectively possess significant experience in evaluating, managing and mitigating security and other risks, including cybersecurity risks, are primarily responsible to assess and manage our material risks from cybersecurity threats.</w:t>
      </w:r>
    </w:p>
    <w:p>
      <w:pPr>
        <w:spacing w:after="0" w:line="131" w:lineRule="exact"/>
        <w:rPr>
          <w:sz w:val="20"/>
          <w:szCs w:val="20"/>
          <w:color w:val="auto"/>
        </w:rPr>
      </w:pPr>
    </w:p>
    <w:p>
      <w:pPr>
        <w:jc w:val="both"/>
        <w:ind w:right="300" w:firstLine="349"/>
        <w:spacing w:after="0" w:line="268" w:lineRule="auto"/>
        <w:rPr>
          <w:sz w:val="20"/>
          <w:szCs w:val="20"/>
          <w:color w:val="auto"/>
        </w:rPr>
      </w:pPr>
      <w:r>
        <w:rPr>
          <w:rFonts w:ascii="Times New Roman" w:cs="Times New Roman" w:eastAsia="Times New Roman" w:hAnsi="Times New Roman"/>
          <w:sz w:val="19"/>
          <w:szCs w:val="19"/>
          <w:color w:val="auto"/>
        </w:rPr>
        <w:t>Our Head of IT and our management committee on cybersecurity oversee our cybersecurity policies and processes, including those described in “Risk Management and Strategy” above. The processes by which our Head of IT and representatives from our management committee on cybersecurity are informed about and monitor the prevention, detection, mitigation, and remediation of cybersecurity incidents includes the following:</w:t>
      </w:r>
    </w:p>
    <w:p>
      <w:pPr>
        <w:spacing w:after="0" w:line="131" w:lineRule="exact"/>
        <w:rPr>
          <w:sz w:val="20"/>
          <w:szCs w:val="20"/>
          <w:color w:val="auto"/>
        </w:rPr>
      </w:pPr>
    </w:p>
    <w:p>
      <w:pPr>
        <w:ind w:right="120" w:firstLine="348"/>
        <w:spacing w:after="0" w:line="274" w:lineRule="auto"/>
        <w:tabs>
          <w:tab w:leader="none" w:pos="69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monitoring of Company computer and information systems for potential malware, ransomware and other malicious activity, and remediation of identified issues, including mitigation of identified risks and containment and elimination of any malicious software;</w:t>
      </w:r>
    </w:p>
    <w:p>
      <w:pPr>
        <w:spacing w:after="0" w:line="125"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mandatory cybersecurity training as part of new employee onboarding along with required annual employee cybersecurity re-</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training;</w:t>
      </w:r>
    </w:p>
    <w:p>
      <w:pPr>
        <w:spacing w:after="0" w:line="169" w:lineRule="exact"/>
        <w:rPr>
          <w:rFonts w:ascii="Times New Roman" w:cs="Times New Roman" w:eastAsia="Times New Roman" w:hAnsi="Times New Roman"/>
          <w:sz w:val="19"/>
          <w:szCs w:val="19"/>
          <w:color w:val="auto"/>
        </w:rPr>
      </w:pPr>
    </w:p>
    <w:p>
      <w:pPr>
        <w:ind w:right="280" w:firstLine="348"/>
        <w:spacing w:after="0" w:line="293" w:lineRule="auto"/>
        <w:tabs>
          <w:tab w:leader="none" w:pos="69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automated monitoring of systems and network infrastructure through event log analysis by security information and event management application;</w:t>
      </w:r>
    </w:p>
    <w:p>
      <w:pPr>
        <w:spacing w:after="0" w:line="107"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 incident reporting directly to the Company’s CFO and General Counsel; and</w:t>
      </w:r>
    </w:p>
    <w:p>
      <w:pPr>
        <w:spacing w:after="0" w:line="189" w:lineRule="exact"/>
        <w:rPr>
          <w:sz w:val="20"/>
          <w:szCs w:val="20"/>
          <w:color w:val="auto"/>
        </w:rPr>
      </w:pPr>
    </w:p>
    <w:p>
      <w:pPr>
        <w:ind w:left="700" w:hanging="352"/>
        <w:spacing w:after="0"/>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escalation to the Company’s audit committee and board of directors as warranted based upon the nature of the identified</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issue.</w:t>
      </w:r>
    </w:p>
    <w:p>
      <w:pPr>
        <w:spacing w:after="0" w:line="169"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auto"/>
        </w:rPr>
        <w:t>Our Head of IT and/or representatives from our management committee on cybersecurity provide periodic briefings to the audit committee regarding our company’s cybersecurity risks and activities, including any recent cybersecurity incidents and related responses, cybersecurity systems testing, activities of third parties, and the like. Our audit committee provides regular updates to the board of directors on such reports.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196" w:lineRule="exact"/>
        <w:rPr>
          <w:sz w:val="20"/>
          <w:szCs w:val="20"/>
          <w:color w:val="auto"/>
        </w:rPr>
      </w:pPr>
    </w:p>
    <w:p>
      <w:pPr>
        <w:ind w:right="60" w:firstLine="349"/>
        <w:spacing w:after="0" w:line="268" w:lineRule="auto"/>
        <w:rPr>
          <w:sz w:val="20"/>
          <w:szCs w:val="20"/>
          <w:color w:val="auto"/>
        </w:rPr>
      </w:pPr>
      <w:r>
        <w:rPr>
          <w:rFonts w:ascii="Times New Roman" w:cs="Times New Roman" w:eastAsia="Times New Roman" w:hAnsi="Times New Roman"/>
          <w:sz w:val="19"/>
          <w:szCs w:val="19"/>
          <w:color w:val="auto"/>
        </w:rPr>
        <w:t>Our corporate headquarters are located at 2701 Eastlake Avenue East, Seattle, Washington and our research and development facilities, and manufacturing centers are located at 835 Industrial Rd, San Carlos, California. The Seattle facility is approximately 14,800 square feet. The 835 Industrial Rd, San Carlos, California lease is for approximately 45,338 square feet of office and research space. We lease approximately 19,957 square feet of additional research and development and manufacturing space at 1561 Industrial</w:t>
      </w:r>
    </w:p>
    <w:p>
      <w:pPr>
        <w:sectPr>
          <w:pgSz w:w="11880" w:h="15480" w:orient="portrait"/>
          <w:cols w:equalWidth="0" w:num="1">
            <w:col w:w="10440"/>
          </w:cols>
          <w:pgMar w:left="700" w:top="691" w:right="74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73</w:t>
      </w:r>
    </w:p>
    <w:p>
      <w:pPr>
        <w:sectPr>
          <w:pgSz w:w="11880" w:h="15480" w:orient="portrait"/>
          <w:cols w:equalWidth="0" w:num="1">
            <w:col w:w="10440"/>
          </w:cols>
          <w:pgMar w:left="700" w:top="691" w:right="740" w:bottom="0" w:gutter="0" w:footer="0" w:header="0"/>
          <w:type w:val="continuous"/>
        </w:sectPr>
      </w:pPr>
    </w:p>
    <w:bookmarkStart w:id="75" w:name="page76"/>
    <w:bookmarkEnd w:id="75"/>
    <w:p>
      <w:pPr>
        <w:ind w:right="260"/>
        <w:spacing w:after="0" w:line="268" w:lineRule="auto"/>
        <w:rPr>
          <w:sz w:val="20"/>
          <w:szCs w:val="20"/>
          <w:color w:val="auto"/>
        </w:rPr>
      </w:pPr>
      <w:r>
        <w:rPr>
          <w:rFonts w:ascii="Times New Roman" w:cs="Times New Roman" w:eastAsia="Times New Roman" w:hAnsi="Times New Roman"/>
          <w:sz w:val="19"/>
          <w:szCs w:val="19"/>
          <w:color w:val="auto"/>
        </w:rPr>
        <w:t>Rd, San Carlos, California. In addition, we lease office and research space located at 4475 Executive Drive, San Diego, California. The San Diego facility is approximately 7,064 square feet. We do not own real property and believe that our current facilities are sufficient to meet our ongoing needs and that, if we require additional space, we will be able to obtain additional facilities on commercially reasonable terms.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U.S. District Court Proceedings</w:t>
      </w:r>
    </w:p>
    <w:p>
      <w:pPr>
        <w:spacing w:after="0" w:line="191"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On December 14, 2023, we filed suit in the United States District Court for the Northern District of California (the “Court”) against Somalogic, Inc. (Somalogic) which recently merged with and is now part of “Standard Biotools, Inc.,” and the California Institute of Technology. This suit sought declaratory judgment that Nautilus does not infringe any claims of US Patent No. 7,842,793 related to DNA origami structures (the ‘793 Patent), which Somalogic had allegedly licensed from the California Institute of Technology through its purchase of Palamedrix, Inc. On November 19, 2024, the Company, Standard Biotools, Inc., and the California Institute of Technology agreed to dismiss the suit and settle any and all disputes and/or claims related to the suit.</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Other Proceedings</w:t>
      </w:r>
    </w:p>
    <w:p>
      <w:pPr>
        <w:spacing w:after="0" w:line="191"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Not applicable.</w:t>
      </w:r>
    </w:p>
    <w:p>
      <w:pPr>
        <w:sectPr>
          <w:pgSz w:w="11880" w:h="15480" w:orient="portrait"/>
          <w:cols w:equalWidth="0" w:num="1">
            <w:col w:w="10400"/>
          </w:cols>
          <w:pgMar w:left="700" w:top="691"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74</w:t>
      </w:r>
    </w:p>
    <w:p>
      <w:pPr>
        <w:sectPr>
          <w:pgSz w:w="11880" w:h="15480" w:orient="portrait"/>
          <w:cols w:equalWidth="0" w:num="1">
            <w:col w:w="10400"/>
          </w:cols>
          <w:pgMar w:left="700" w:top="691" w:right="780" w:bottom="0" w:gutter="0" w:footer="0" w:header="0"/>
          <w:type w:val="continuous"/>
        </w:sectPr>
      </w:pPr>
    </w:p>
    <w:bookmarkStart w:id="76" w:name="page77"/>
    <w:bookmarkEnd w:id="76"/>
    <w:p>
      <w:pPr>
        <w:jc w:val="center"/>
        <w:ind w:right="-79"/>
        <w:spacing w:after="0"/>
        <w:rPr>
          <w:sz w:val="20"/>
          <w:szCs w:val="20"/>
          <w:color w:val="auto"/>
        </w:rPr>
      </w:pPr>
      <w:r>
        <w:rPr>
          <w:rFonts w:ascii="Times New Roman" w:cs="Times New Roman" w:eastAsia="Times New Roman" w:hAnsi="Times New Roman"/>
          <w:sz w:val="23"/>
          <w:szCs w:val="23"/>
          <w:b w:val="1"/>
          <w:bCs w:val="1"/>
          <w:color w:val="auto"/>
        </w:rPr>
        <w:t>Part II</w:t>
      </w:r>
    </w:p>
    <w:p>
      <w:pPr>
        <w:spacing w:after="0" w:line="218" w:lineRule="exact"/>
        <w:rPr>
          <w:sz w:val="20"/>
          <w:szCs w:val="20"/>
          <w:color w:val="auto"/>
        </w:rPr>
      </w:pPr>
    </w:p>
    <w:p>
      <w:pPr>
        <w:ind w:right="420"/>
        <w:spacing w:after="0" w:line="451" w:lineRule="auto"/>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Our common stock has traded on the Nasdaq Global Select Market under the symbol “NAUT” since June 10, 2021. Prior to June 10, 2021 and before completion of the Business Combination, the Class A ordinary shares of ARYA Sciences Acquisition Corp III traded on The Nasdaq Capital Market under the symbol “ARYA” and there was no public trading market for Legacy Nautilus’ equity.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Holders</w:t>
      </w:r>
    </w:p>
    <w:p>
      <w:pPr>
        <w:spacing w:after="0" w:line="196" w:lineRule="exact"/>
        <w:rPr>
          <w:sz w:val="20"/>
          <w:szCs w:val="20"/>
          <w:color w:val="auto"/>
        </w:rPr>
      </w:pPr>
    </w:p>
    <w:p>
      <w:pPr>
        <w:ind w:right="80" w:firstLine="349"/>
        <w:spacing w:after="0" w:line="274" w:lineRule="auto"/>
        <w:rPr>
          <w:sz w:val="20"/>
          <w:szCs w:val="20"/>
          <w:color w:val="auto"/>
        </w:rPr>
      </w:pPr>
      <w:r>
        <w:rPr>
          <w:rFonts w:ascii="Times New Roman" w:cs="Times New Roman" w:eastAsia="Times New Roman" w:hAnsi="Times New Roman"/>
          <w:sz w:val="19"/>
          <w:szCs w:val="19"/>
          <w:color w:val="auto"/>
        </w:rPr>
        <w:t>As of February 21, 2025, there were 34 registered stockholders of record of our common stock. Because most of our shares are held by brokers and other institutions on behalf of stockholders, we are unable to estimate the total number of beneficial stockholders represented by these holders of record.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 Policy</w:t>
      </w:r>
    </w:p>
    <w:p>
      <w:pPr>
        <w:spacing w:after="0" w:line="196"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We have never declared or paid cash dividends on our capital stock. We intend to retain any future earnings and do not expect to pay any dividends in the foreseeable future. In addition,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then-existing debt instruments and other factors our board of directors deems relevant.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Equity Compensation Plan</w:t>
      </w:r>
    </w:p>
    <w:p>
      <w:pPr>
        <w:spacing w:after="0" w:line="196" w:lineRule="exact"/>
        <w:rPr>
          <w:sz w:val="20"/>
          <w:szCs w:val="20"/>
          <w:color w:val="auto"/>
        </w:rPr>
      </w:pPr>
    </w:p>
    <w:p>
      <w:pPr>
        <w:ind w:right="520" w:firstLine="349"/>
        <w:spacing w:after="0" w:line="293" w:lineRule="auto"/>
        <w:rPr>
          <w:sz w:val="20"/>
          <w:szCs w:val="20"/>
          <w:color w:val="auto"/>
        </w:rPr>
      </w:pPr>
      <w:r>
        <w:rPr>
          <w:rFonts w:ascii="Times New Roman" w:cs="Times New Roman" w:eastAsia="Times New Roman" w:hAnsi="Times New Roman"/>
          <w:sz w:val="19"/>
          <w:szCs w:val="19"/>
          <w:color w:val="auto"/>
        </w:rPr>
        <w:t>Our equity plan information required by this Item is incorporated by reference to the information in Part III, Item 12 of this Annual Report on Form 10-K.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 Sales of Unregistered Securities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Issuer Purchases of Equity Securities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 Reserved ]</w:t>
      </w:r>
    </w:p>
    <w:p>
      <w:pPr>
        <w:sectPr>
          <w:pgSz w:w="11880" w:h="15480" w:orient="portrait"/>
          <w:cols w:equalWidth="0" w:num="1">
            <w:col w:w="10420"/>
          </w:cols>
          <w:pgMar w:left="700" w:top="671"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75</w:t>
      </w:r>
    </w:p>
    <w:p>
      <w:pPr>
        <w:sectPr>
          <w:pgSz w:w="11880" w:h="15480" w:orient="portrait"/>
          <w:cols w:equalWidth="0" w:num="1">
            <w:col w:w="10420"/>
          </w:cols>
          <w:pgMar w:left="700" w:top="671" w:right="76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9"/>
          <w:szCs w:val="19"/>
          <w:b w:val="1"/>
          <w:bCs w:val="1"/>
          <w:color w:val="auto"/>
        </w:rPr>
        <w:t>Item 7. Management's Discussion and Analysis of Financial Condition and Results of Operations</w:t>
      </w:r>
    </w:p>
    <w:p>
      <w:pPr>
        <w:spacing w:after="0" w:line="194"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37" w:lineRule="exact"/>
        <w:rPr>
          <w:sz w:val="20"/>
          <w:szCs w:val="20"/>
          <w:color w:val="auto"/>
        </w:rPr>
      </w:pPr>
    </w:p>
    <w:p>
      <w:pPr>
        <w:ind w:right="260" w:firstLine="349"/>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96"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41" w:lineRule="exact"/>
        <w:rPr>
          <w:sz w:val="20"/>
          <w:szCs w:val="20"/>
          <w:color w:val="auto"/>
        </w:rPr>
      </w:pPr>
    </w:p>
    <w:p>
      <w:pPr>
        <w:ind w:right="40" w:firstLine="349"/>
        <w:spacing w:after="0" w:line="259" w:lineRule="auto"/>
        <w:rPr>
          <w:sz w:val="20"/>
          <w:szCs w:val="20"/>
          <w:color w:val="auto"/>
        </w:rPr>
      </w:pPr>
      <w:r>
        <w:rPr>
          <w:rFonts w:ascii="Times New Roman" w:cs="Times New Roman" w:eastAsia="Times New Roman" w:hAnsi="Times New Roman"/>
          <w:sz w:val="19"/>
          <w:szCs w:val="19"/>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44" w:lineRule="exact"/>
        <w:rPr>
          <w:sz w:val="20"/>
          <w:szCs w:val="20"/>
          <w:color w:val="auto"/>
        </w:rPr>
      </w:pPr>
    </w:p>
    <w:p>
      <w:pPr>
        <w:ind w:right="200" w:firstLine="349"/>
        <w:spacing w:after="0" w:line="259" w:lineRule="auto"/>
        <w:rPr>
          <w:sz w:val="20"/>
          <w:szCs w:val="20"/>
          <w:color w:val="auto"/>
        </w:rPr>
      </w:pPr>
      <w:r>
        <w:rPr>
          <w:rFonts w:ascii="Times New Roman" w:cs="Times New Roman" w:eastAsia="Times New Roman" w:hAnsi="Times New Roman"/>
          <w:sz w:val="19"/>
          <w:szCs w:val="19"/>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144" w:lineRule="exact"/>
        <w:rPr>
          <w:sz w:val="20"/>
          <w:szCs w:val="20"/>
          <w:color w:val="auto"/>
        </w:rPr>
      </w:pPr>
    </w:p>
    <w:p>
      <w:pPr>
        <w:ind w:right="20" w:firstLine="349"/>
        <w:spacing w:after="0" w:line="260" w:lineRule="auto"/>
        <w:rPr>
          <w:sz w:val="20"/>
          <w:szCs w:val="20"/>
          <w:color w:val="auto"/>
        </w:rPr>
      </w:pPr>
      <w:r>
        <w:rPr>
          <w:rFonts w:ascii="Times New Roman" w:cs="Times New Roman" w:eastAsia="Times New Roman" w:hAnsi="Times New Roman"/>
          <w:sz w:val="19"/>
          <w:szCs w:val="19"/>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research collaborations with biopharmaceutical companies and key academic opinion leaders exploring utility of pre-commercial versions of the platform, during which we do not expect to recognize significant revenue, if any. The second phase will include an early access limited release in which we expect to engage with customers using a service model to generate pilot data on the platform in our facilities, or through on-site installation and testing to evaluate the platform at the customers’ facilities. Finally, the third phase is anticipated to include a broader commercial launch. We are currently in the collaboration phase during</w:t>
      </w:r>
    </w:p>
    <w:p>
      <w:pPr>
        <w:sectPr>
          <w:pgSz w:w="11880" w:h="15480" w:orient="portrait"/>
          <w:cols w:equalWidth="0" w:num="1">
            <w:col w:w="10480"/>
          </w:cols>
          <w:pgMar w:left="700" w:top="684" w:right="70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ectPr>
          <w:pgSz w:w="11880" w:h="15480" w:orient="portrait"/>
          <w:cols w:equalWidth="0" w:num="1">
            <w:col w:w="10480"/>
          </w:cols>
          <w:pgMar w:left="700" w:top="684" w:right="700" w:bottom="0" w:gutter="0" w:footer="0" w:header="0"/>
          <w:type w:val="continuous"/>
        </w:sectPr>
      </w:pPr>
    </w:p>
    <w:bookmarkStart w:id="78" w:name="page79"/>
    <w:bookmarkEnd w:id="78"/>
    <w:p>
      <w:pPr>
        <w:spacing w:after="0" w:line="258" w:lineRule="auto"/>
        <w:rPr>
          <w:sz w:val="20"/>
          <w:szCs w:val="20"/>
          <w:color w:val="auto"/>
        </w:rPr>
      </w:pPr>
      <w:r>
        <w:rPr>
          <w:rFonts w:ascii="Times New Roman" w:cs="Times New Roman" w:eastAsia="Times New Roman" w:hAnsi="Times New Roman"/>
          <w:sz w:val="19"/>
          <w:szCs w:val="19"/>
          <w:color w:val="auto"/>
        </w:rPr>
        <w:t>which we have entered into collaborations with a small number of research customers, including with biopharmaceutical companies and key academic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the second phase, we expect to work closely with early access collaborators to demonstrate a unique value proposition for our Nautilus platform. During this phase, we plan to provide early access to our collaborators with broad-scale and targeted analyses and profiling of samples analyzed in our facility and shared via a cloud platform. We believe there is significant interest in our platform for targeted proteoform analysis. As such, we expect to be working with our initial early access collaborators in this area, and to leverage our learnings from those collaborations for the benefit of both our broad-scale and targeted products and services. We do not anticipate that these activities will result in any material revenue. We expect this second phase to lead into the third phase of launch of our proteome analysis platform in late 2026 and subsequent broad commercialization thereafter.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379"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33" w:lineRule="exact"/>
        <w:rPr>
          <w:sz w:val="20"/>
          <w:szCs w:val="20"/>
          <w:color w:val="auto"/>
        </w:rPr>
      </w:pPr>
    </w:p>
    <w:p>
      <w:pPr>
        <w:ind w:right="200" w:firstLine="349"/>
        <w:spacing w:after="0" w:line="261" w:lineRule="auto"/>
        <w:rPr>
          <w:sz w:val="20"/>
          <w:szCs w:val="20"/>
          <w:color w:val="auto"/>
        </w:rPr>
      </w:pPr>
      <w:r>
        <w:rPr>
          <w:rFonts w:ascii="Times New Roman" w:cs="Times New Roman" w:eastAsia="Times New Roman" w:hAnsi="Times New Roman"/>
          <w:sz w:val="19"/>
          <w:szCs w:val="19"/>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7"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25"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December 31, 2024, we had cash, cash equivalents and short-term investments of $129.9 million. As of the the filing of this Annual Report on Form 10-K, we believe that our existing cash, cash equivalents, and short-term investments will enable us to fund our planned operating expenses and capital expenditures through at least the next 12 months.</w:t>
      </w:r>
    </w:p>
    <w:p>
      <w:pPr>
        <w:spacing w:after="0" w:line="375" w:lineRule="exact"/>
        <w:rPr>
          <w:sz w:val="20"/>
          <w:szCs w:val="20"/>
          <w:color w:val="auto"/>
        </w:rPr>
      </w:pPr>
    </w:p>
    <w:p>
      <w:pPr>
        <w:ind w:right="80" w:firstLine="349"/>
        <w:spacing w:after="0" w:line="261" w:lineRule="auto"/>
        <w:rPr>
          <w:sz w:val="20"/>
          <w:szCs w:val="20"/>
          <w:color w:val="auto"/>
        </w:rPr>
      </w:pPr>
      <w:r>
        <w:rPr>
          <w:rFonts w:ascii="Times New Roman" w:cs="Times New Roman" w:eastAsia="Times New Roman" w:hAnsi="Times New Roman"/>
          <w:sz w:val="19"/>
          <w:szCs w:val="19"/>
          <w:color w:val="auto"/>
        </w:rPr>
        <w:t>We have incurred significant losses since the commencement of our operations. Our net loss was $70.8 million during the year ended December 31, 2024, and we expect to continue to incur significant losses for the foreseeable future as we continue our research and development activities and planned commercialization of our Nautilus platform. As of December 31, 2024, we had an accumulated deficit of $273.0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3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We expect our expenses and capital requirements will increase substantially in connection with our ongoing activities as we:</w:t>
      </w:r>
    </w:p>
    <w:p>
      <w:pPr>
        <w:spacing w:after="0" w:line="189" w:lineRule="exact"/>
        <w:rPr>
          <w:sz w:val="20"/>
          <w:szCs w:val="20"/>
          <w:color w:val="auto"/>
        </w:rPr>
      </w:pPr>
    </w:p>
    <w:p>
      <w:pPr>
        <w:ind w:left="700" w:hanging="352"/>
        <w:spacing w:after="0"/>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our research and development activities, including with respect to our Nautilus platform;</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undertake activities to establish sales, marketing and distribution capabilities for our Nautilus platform;</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 setup costs related to production tooling and required testing;</w:t>
      </w:r>
    </w:p>
    <w:p>
      <w:pPr>
        <w:sectPr>
          <w:pgSz w:w="11880" w:h="15480" w:orient="portrait"/>
          <w:cols w:equalWidth="0" w:num="1">
            <w:col w:w="10460"/>
          </w:cols>
          <w:pgMar w:left="700" w:top="691" w:right="720" w:bottom="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ectPr>
          <w:pgSz w:w="11880" w:h="15480" w:orient="portrait"/>
          <w:cols w:equalWidth="0" w:num="1">
            <w:col w:w="10460"/>
          </w:cols>
          <w:pgMar w:left="700" w:top="691" w:right="720" w:bottom="0" w:gutter="0" w:footer="0" w:header="0"/>
          <w:type w:val="continuous"/>
        </w:sectPr>
      </w:pPr>
    </w:p>
    <w:bookmarkStart w:id="79" w:name="page80"/>
    <w:bookmarkEnd w:id="79"/>
    <w:p>
      <w:pPr>
        <w:ind w:left="700" w:hanging="352"/>
        <w:spacing w:after="0"/>
        <w:tabs>
          <w:tab w:leader="none" w:pos="7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protect and expand our intellectual property portfolio, including patents, trade secrets and know how;</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implement operational, financial and management information systems;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attract, hire and retain additional management, scientific and administrative personnel; and</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to operate as a public company.</w:t>
      </w:r>
    </w:p>
    <w:p>
      <w:pPr>
        <w:spacing w:after="0" w:line="189" w:lineRule="exact"/>
        <w:rPr>
          <w:sz w:val="20"/>
          <w:szCs w:val="20"/>
          <w:color w:val="auto"/>
        </w:rPr>
      </w:pPr>
    </w:p>
    <w:p>
      <w:pPr>
        <w:ind w:right="80" w:firstLine="349"/>
        <w:spacing w:after="0" w:line="258" w:lineRule="auto"/>
        <w:rPr>
          <w:sz w:val="20"/>
          <w:szCs w:val="20"/>
          <w:color w:val="auto"/>
        </w:rPr>
      </w:pPr>
      <w:r>
        <w:rPr>
          <w:rFonts w:ascii="Times New Roman" w:cs="Times New Roman" w:eastAsia="Times New Roman" w:hAnsi="Times New Roman"/>
          <w:sz w:val="19"/>
          <w:szCs w:val="19"/>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19 pandemic, recent and any potential future financial institution failures, the conflicts in Eastern Europe, the Middle East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Impact of Negative Global or National Events</w:t>
      </w:r>
    </w:p>
    <w:p>
      <w:pPr>
        <w:spacing w:after="0" w:line="196" w:lineRule="exact"/>
        <w:rPr>
          <w:sz w:val="20"/>
          <w:szCs w:val="20"/>
          <w:color w:val="auto"/>
        </w:rPr>
      </w:pPr>
    </w:p>
    <w:p>
      <w:pPr>
        <w:ind w:right="40" w:firstLine="349"/>
        <w:spacing w:after="0" w:line="260" w:lineRule="auto"/>
        <w:rPr>
          <w:sz w:val="20"/>
          <w:szCs w:val="20"/>
          <w:color w:val="auto"/>
        </w:rPr>
      </w:pPr>
      <w:r>
        <w:rPr>
          <w:rFonts w:ascii="Times New Roman" w:cs="Times New Roman" w:eastAsia="Times New Roman" w:hAnsi="Times New Roman"/>
          <w:sz w:val="19"/>
          <w:szCs w:val="19"/>
          <w:color w:val="auto"/>
        </w:rPr>
        <w:t>Businesses have been and will continue to be impacted by a number of challenging global and national events and circumstances that continue to evolve, including extreme weather conditions, economic uncertainty, inflation, changing interest rates, recent and any potential future financial institution failures, and conflicts in Eastern Europe,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w:t>
      </w:r>
    </w:p>
    <w:p>
      <w:pPr>
        <w:spacing w:after="0" w:line="141" w:lineRule="exact"/>
        <w:rPr>
          <w:sz w:val="20"/>
          <w:szCs w:val="20"/>
          <w:color w:val="auto"/>
        </w:rPr>
      </w:pPr>
    </w:p>
    <w:p>
      <w:pPr>
        <w:ind w:firstLine="349"/>
        <w:spacing w:after="0" w:line="262" w:lineRule="auto"/>
        <w:rPr>
          <w:sz w:val="20"/>
          <w:szCs w:val="20"/>
          <w:color w:val="auto"/>
        </w:rPr>
      </w:pPr>
      <w:r>
        <w:rPr>
          <w:rFonts w:ascii="Times New Roman" w:cs="Times New Roman" w:eastAsia="Times New Roman" w:hAnsi="Times New Roman"/>
          <w:sz w:val="19"/>
          <w:szCs w:val="19"/>
          <w:color w:val="auto"/>
        </w:rPr>
        <w:t>We have been and continue to actively monitor our supply chain in light of these challenging global and national events and circumstances, including our third-party materials suppliers. We have, in the past,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36"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The ultimate impact of these global and national events and circumstances, either individually or in aggregate, is highly uncertain and subject to change. We will continue to actively monitor any developments related to these global and national events, and may take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Components of Our 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Revenue</w:t>
      </w:r>
    </w:p>
    <w:p>
      <w:pPr>
        <w:spacing w:after="0" w:line="196" w:lineRule="exact"/>
        <w:rPr>
          <w:sz w:val="20"/>
          <w:szCs w:val="20"/>
          <w:color w:val="auto"/>
        </w:rPr>
      </w:pPr>
    </w:p>
    <w:p>
      <w:pPr>
        <w:ind w:right="40" w:firstLine="349"/>
        <w:spacing w:after="0" w:line="293" w:lineRule="auto"/>
        <w:rPr>
          <w:sz w:val="20"/>
          <w:szCs w:val="20"/>
          <w:color w:val="auto"/>
        </w:rPr>
      </w:pPr>
      <w:r>
        <w:rPr>
          <w:rFonts w:ascii="Times New Roman" w:cs="Times New Roman" w:eastAsia="Times New Roman" w:hAnsi="Times New Roman"/>
          <w:sz w:val="19"/>
          <w:szCs w:val="19"/>
          <w:color w:val="auto"/>
        </w:rPr>
        <w:t>To date, we have not generated any revenue and we may not generate any revenue from the sale of products or from other sources in the near future.</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w:t>
      </w:r>
    </w:p>
    <w:p>
      <w:pPr>
        <w:spacing w:after="0" w:line="191" w:lineRule="exact"/>
        <w:rPr>
          <w:sz w:val="20"/>
          <w:szCs w:val="20"/>
          <w:color w:val="auto"/>
        </w:rPr>
      </w:pPr>
    </w:p>
    <w:p>
      <w:pPr>
        <w:ind w:right="140" w:firstLine="349"/>
        <w:spacing w:after="0" w:line="293" w:lineRule="auto"/>
        <w:rPr>
          <w:sz w:val="20"/>
          <w:szCs w:val="20"/>
          <w:color w:val="auto"/>
        </w:rPr>
      </w:pPr>
      <w:r>
        <w:rPr>
          <w:rFonts w:ascii="Times New Roman" w:cs="Times New Roman" w:eastAsia="Times New Roman" w:hAnsi="Times New Roman"/>
          <w:sz w:val="19"/>
          <w:szCs w:val="19"/>
          <w:color w:val="auto"/>
        </w:rPr>
        <w:t>Research and development expenses account for a significant portion of our operating expenses and consist primarily of salaries, related benefits and stock-based compensation expense of product development personnel, laboratory supplies and equipment,</w:t>
      </w:r>
    </w:p>
    <w:p>
      <w:pPr>
        <w:sectPr>
          <w:pgSz w:w="11880" w:h="15480" w:orient="portrait"/>
          <w:cols w:equalWidth="0" w:num="1">
            <w:col w:w="10480"/>
          </w:cols>
          <w:pgMar w:left="700" w:top="691" w:right="70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ectPr>
          <w:pgSz w:w="11880" w:h="15480" w:orient="portrait"/>
          <w:cols w:equalWidth="0" w:num="1">
            <w:col w:w="10480"/>
          </w:cols>
          <w:pgMar w:left="700" w:top="691" w:right="700" w:bottom="0" w:gutter="0" w:footer="0" w:header="0"/>
          <w:type w:val="continuous"/>
        </w:sectPr>
      </w:pPr>
    </w:p>
    <w:bookmarkStart w:id="80" w:name="page81"/>
    <w:bookmarkEnd w:id="80"/>
    <w:p>
      <w:pPr>
        <w:spacing w:after="0" w:line="274" w:lineRule="auto"/>
        <w:rPr>
          <w:sz w:val="20"/>
          <w:szCs w:val="20"/>
          <w:color w:val="auto"/>
        </w:rPr>
      </w:pPr>
      <w:r>
        <w:rPr>
          <w:rFonts w:ascii="Times New Roman" w:cs="Times New Roman" w:eastAsia="Times New Roman" w:hAnsi="Times New Roman"/>
          <w:sz w:val="19"/>
          <w:szCs w:val="19"/>
          <w:color w:val="auto"/>
        </w:rPr>
        <w:t>depreciation and amortization, external costs of vendors engaged to conduct research and development activities, acquired in-process research and development, and allocated expenses for technology and facilities. We expense research and development expenses in the periods in which they are incurred.</w:t>
      </w:r>
    </w:p>
    <w:p>
      <w:pPr>
        <w:spacing w:after="0" w:line="125"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We plan to continue to invest in our research and development efforts and to increase our investment in research and development efforts related to our product development. While we anticipate certain cost-savings associated with our recently announced workforce reductions, in the future, we continue to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General and Administrative Expenses</w:t>
      </w:r>
    </w:p>
    <w:p>
      <w:pPr>
        <w:spacing w:after="0" w:line="191" w:lineRule="exact"/>
        <w:rPr>
          <w:sz w:val="20"/>
          <w:szCs w:val="20"/>
          <w:color w:val="auto"/>
        </w:rPr>
      </w:pPr>
    </w:p>
    <w:p>
      <w:pPr>
        <w:ind w:firstLine="349"/>
        <w:spacing w:after="0" w:line="265" w:lineRule="auto"/>
        <w:rPr>
          <w:sz w:val="20"/>
          <w:szCs w:val="20"/>
          <w:color w:val="auto"/>
        </w:rPr>
      </w:pPr>
      <w:r>
        <w:rPr>
          <w:rFonts w:ascii="Times New Roman" w:cs="Times New Roman" w:eastAsia="Times New Roman" w:hAnsi="Times New Roman"/>
          <w:sz w:val="19"/>
          <w:szCs w:val="19"/>
          <w:color w:val="auto"/>
        </w:rPr>
        <w:t>General and administrative expenses consist of salaries, related benefits, and stock-based compensation expense for personnel in executive, operations, legal, human resources, finance, marketing, commercial, IT personnel and administrative functions, professional fees for legal, patent, consulting, accounting and audit services, directors and officers insurance, allocated expenses for technology and facilities, legal settlement expenses, and marketing expenses. We expense general and administrative expenses in the periods in which they are incurred.</w:t>
      </w:r>
    </w:p>
    <w:p>
      <w:pPr>
        <w:spacing w:after="0" w:line="133" w:lineRule="exact"/>
        <w:rPr>
          <w:sz w:val="20"/>
          <w:szCs w:val="20"/>
          <w:color w:val="auto"/>
        </w:rPr>
      </w:pPr>
    </w:p>
    <w:p>
      <w:pPr>
        <w:ind w:right="200" w:firstLine="349"/>
        <w:spacing w:after="0" w:line="262" w:lineRule="auto"/>
        <w:rPr>
          <w:sz w:val="20"/>
          <w:szCs w:val="20"/>
          <w:color w:val="auto"/>
        </w:rPr>
      </w:pPr>
      <w:r>
        <w:rPr>
          <w:rFonts w:ascii="Times New Roman" w:cs="Times New Roman" w:eastAsia="Times New Roman" w:hAnsi="Times New Roman"/>
          <w:sz w:val="19"/>
          <w:szCs w:val="19"/>
          <w:color w:val="auto"/>
        </w:rPr>
        <w:t>While we anticipate certain cost-savings associated with our recently announced workforce reductions, in the future, 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including sales, marketing, service, support, and distribution infrastructure. We also anticipate that we will incur higher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Other Income (Expense)</w:t>
      </w:r>
    </w:p>
    <w:p>
      <w:pPr>
        <w:spacing w:after="0" w:line="196" w:lineRule="exact"/>
        <w:rPr>
          <w:sz w:val="20"/>
          <w:szCs w:val="20"/>
          <w:color w:val="auto"/>
        </w:rPr>
      </w:pPr>
    </w:p>
    <w:p>
      <w:pPr>
        <w:jc w:val="both"/>
        <w:ind w:right="100" w:firstLine="349"/>
        <w:spacing w:after="0" w:line="274" w:lineRule="auto"/>
        <w:rPr>
          <w:sz w:val="20"/>
          <w:szCs w:val="20"/>
          <w:color w:val="auto"/>
        </w:rPr>
      </w:pPr>
      <w:r>
        <w:rPr>
          <w:rFonts w:ascii="Times New Roman" w:cs="Times New Roman" w:eastAsia="Times New Roman" w:hAnsi="Times New Roman"/>
          <w:sz w:val="19"/>
          <w:szCs w:val="19"/>
          <w:color w:val="auto"/>
        </w:rPr>
        <w:t>Other income (expense) consists primarily of interest income on our cash, cash equivalents and investments (including accretion and amortization of discounts and premiums on marketable debt securities. Other miscellaneous non-recurring expenses such as gains or losses on disposal of property and equipment are also included.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Comparison of Fiscal Years Ended December 31, 2024 to December 31, 2023</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following table shows our consolidated statements of operations for the periods indicated: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3"/>
        </w:trPr>
        <w:tc>
          <w:tcPr>
            <w:tcW w:w="5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 w:type="dxa"/>
            <w:vAlign w:val="bottom"/>
          </w:tcPr>
          <w:p>
            <w:pPr>
              <w:spacing w:after="0"/>
              <w:rPr>
                <w:sz w:val="18"/>
                <w:szCs w:val="18"/>
                <w:color w:val="auto"/>
              </w:rPr>
            </w:pP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3"/>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62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gridSpan w:val="2"/>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4"/>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Operating expenses:</w:t>
            </w:r>
          </w:p>
        </w:tc>
        <w:tc>
          <w:tcPr>
            <w:tcW w:w="2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7"/>
        </w:trPr>
        <w:tc>
          <w:tcPr>
            <w:tcW w:w="56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Research and development</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50,477</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47,251</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7 %</w:t>
            </w:r>
          </w:p>
        </w:tc>
      </w:tr>
      <w:tr>
        <w:trPr>
          <w:trHeight w:val="279"/>
        </w:trPr>
        <w:tc>
          <w:tcPr>
            <w:tcW w:w="56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30,999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28,901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2,098</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7 %</w:t>
            </w:r>
          </w:p>
        </w:tc>
      </w:tr>
      <w:tr>
        <w:trPr>
          <w:trHeight w:val="254"/>
        </w:trPr>
        <w:tc>
          <w:tcPr>
            <w:tcW w:w="56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Total operating expenses</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81,476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76,152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7 %</w:t>
            </w:r>
          </w:p>
        </w:tc>
      </w:tr>
      <w:tr>
        <w:trPr>
          <w:trHeight w:val="277"/>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Other income (expense):</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7"/>
        </w:trPr>
        <w:tc>
          <w:tcPr>
            <w:tcW w:w="56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Interest income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10,780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12,550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(1,770)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79"/>
        </w:trPr>
        <w:tc>
          <w:tcPr>
            <w:tcW w:w="56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Other expense</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15 %</w:t>
            </w:r>
          </w:p>
        </w:tc>
      </w:tr>
      <w:tr>
        <w:trPr>
          <w:trHeight w:val="257"/>
        </w:trPr>
        <w:tc>
          <w:tcPr>
            <w:tcW w:w="560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Total other income (expense)</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10,696</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12,477</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(1,781)</w:t>
            </w:r>
          </w:p>
        </w:tc>
        <w:tc>
          <w:tcPr>
            <w:tcW w:w="6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70,780</w:t>
            </w:r>
          </w:p>
        </w:tc>
        <w:tc>
          <w:tcPr>
            <w:tcW w:w="34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63,675</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11 %</w:t>
            </w: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-1611630</wp:posOffset>
            </wp:positionV>
            <wp:extent cx="6681470" cy="1618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6681470" cy="1618615"/>
                    </a:xfrm>
                    <a:prstGeom prst="rect">
                      <a:avLst/>
                    </a:prstGeom>
                    <a:noFill/>
                  </pic:spPr>
                </pic:pic>
              </a:graphicData>
            </a:graphic>
          </wp:anchor>
        </w:drawing>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w:t>
      </w:r>
    </w:p>
    <w:p>
      <w:pPr>
        <w:spacing w:after="0" w:line="196" w:lineRule="exact"/>
        <w:rPr>
          <w:sz w:val="20"/>
          <w:szCs w:val="20"/>
          <w:color w:val="auto"/>
        </w:rPr>
      </w:pPr>
    </w:p>
    <w:p>
      <w:pPr>
        <w:ind w:right="40" w:firstLine="349"/>
        <w:spacing w:after="0" w:line="263" w:lineRule="auto"/>
        <w:rPr>
          <w:sz w:val="20"/>
          <w:szCs w:val="20"/>
          <w:color w:val="auto"/>
        </w:rPr>
      </w:pPr>
      <w:r>
        <w:rPr>
          <w:rFonts w:ascii="Times New Roman" w:cs="Times New Roman" w:eastAsia="Times New Roman" w:hAnsi="Times New Roman"/>
          <w:sz w:val="19"/>
          <w:szCs w:val="19"/>
          <w:color w:val="auto"/>
        </w:rPr>
        <w:t>Research and development expenses were $50.5 million for the year ended December 31, 2024, compared to $47.3 million for the year ended December 31, 2023, an increase of $3.2 million, or 7%. The increase was primarily due to a $2.0 million increase in salaries, related benefits, and stock-based compensation driven by increased headcount throughout the year, a $0.8 million increase in in-process research and development expense resulting from an asset acquisition during the year, a $0.5 million increase in laboratory supplies and equipment expense, and a $0.3 million increase in costs for external development services. These increases were partially offset by a $0.7 million decrease in professional services attributable to consulting fees.</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ectPr>
          <w:pgSz w:w="11880" w:h="15480" w:orient="portrait"/>
          <w:cols w:equalWidth="0" w:num="1">
            <w:col w:w="10480"/>
          </w:cols>
          <w:pgMar w:left="700" w:top="691" w:right="700" w:bottom="0" w:gutter="0" w:footer="0" w:header="0"/>
          <w:type w:val="continuous"/>
        </w:sectPr>
      </w:pPr>
    </w:p>
    <w:bookmarkStart w:id="81" w:name="page82"/>
    <w:bookmarkEnd w:id="81"/>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General and Administrative Expenses</w:t>
      </w:r>
    </w:p>
    <w:p>
      <w:pPr>
        <w:spacing w:after="0" w:line="196"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General and administrative expenses were $31.0 million for the year ended December 31, 2024, compared to $28.9 million for the year ended December 31, 2023, an increase of $2.1 million, or 7%. The increase was primarily due to a $0.8 increase in professional services attributable to legal and consulting fees, $0.5 million increase in professional services from fees related to the shelf registration statement filed during the period, a $0.5 million increase in salaries, related benefits, and stock-based compensation driven by annual merit increases and stock-option awards, and a $0.4 million increase in facilities costs driven by new leases that commenced during the year ended December 31, 2023. These increases were partially offset by a $0.4 million decrease in insurance costs.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Other Income (Expense)</w:t>
      </w:r>
    </w:p>
    <w:p>
      <w:pPr>
        <w:spacing w:after="0" w:line="196" w:lineRule="exact"/>
        <w:rPr>
          <w:sz w:val="20"/>
          <w:szCs w:val="20"/>
          <w:color w:val="auto"/>
        </w:rPr>
      </w:pPr>
    </w:p>
    <w:p>
      <w:pPr>
        <w:ind w:right="140" w:firstLine="349"/>
        <w:spacing w:after="0" w:line="293" w:lineRule="auto"/>
        <w:rPr>
          <w:sz w:val="20"/>
          <w:szCs w:val="20"/>
          <w:color w:val="auto"/>
        </w:rPr>
      </w:pPr>
      <w:r>
        <w:rPr>
          <w:rFonts w:ascii="Times New Roman" w:cs="Times New Roman" w:eastAsia="Times New Roman" w:hAnsi="Times New Roman"/>
          <w:sz w:val="19"/>
          <w:szCs w:val="19"/>
          <w:color w:val="auto"/>
        </w:rPr>
        <w:t>Other income (expense) for the year ended December 31, 2024 as compared to the year ended December 31, 2023. The decrease is attributable to the decrease in interest income as our cash, cash equivalents, and investments balance decreased during the period.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Sources of Liquidity</w:t>
      </w:r>
    </w:p>
    <w:p>
      <w:pPr>
        <w:spacing w:after="0" w:line="196" w:lineRule="exact"/>
        <w:rPr>
          <w:sz w:val="20"/>
          <w:szCs w:val="20"/>
          <w:color w:val="auto"/>
        </w:rPr>
      </w:pPr>
    </w:p>
    <w:p>
      <w:pPr>
        <w:ind w:firstLine="349"/>
        <w:spacing w:after="0" w:line="261" w:lineRule="auto"/>
        <w:rPr>
          <w:sz w:val="20"/>
          <w:szCs w:val="20"/>
          <w:color w:val="auto"/>
        </w:rPr>
      </w:pPr>
      <w:r>
        <w:rPr>
          <w:rFonts w:ascii="Times New Roman" w:cs="Times New Roman" w:eastAsia="Times New Roman" w:hAnsi="Times New Roman"/>
          <w:sz w:val="19"/>
          <w:szCs w:val="19"/>
          <w:color w:val="auto"/>
        </w:rPr>
        <w:t>Since our inception, we have not generated any revenue from product sales and have incurred significant operating losses and negative cash flows from our operations. Our net loss was $70.8 million for the year ended December 31, 2024. As of December 31, 2024, we had an accumulated deficit of $273.0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December 31, 2024, we had cash, cash equivalents, and investments of $206.3 million.</w:t>
      </w:r>
    </w:p>
    <w:p>
      <w:pPr>
        <w:spacing w:after="0" w:line="137" w:lineRule="exact"/>
        <w:rPr>
          <w:sz w:val="20"/>
          <w:szCs w:val="20"/>
          <w:color w:val="auto"/>
        </w:rPr>
      </w:pPr>
    </w:p>
    <w:p>
      <w:pPr>
        <w:jc w:val="both"/>
        <w:ind w:right="140" w:firstLine="349"/>
        <w:spacing w:after="0" w:line="274" w:lineRule="auto"/>
        <w:rPr>
          <w:sz w:val="20"/>
          <w:szCs w:val="20"/>
          <w:color w:val="auto"/>
        </w:rPr>
      </w:pPr>
      <w:r>
        <w:rPr>
          <w:rFonts w:ascii="Times New Roman" w:cs="Times New Roman" w:eastAsia="Times New Roman" w:hAnsi="Times New Roman"/>
          <w:sz w:val="19"/>
          <w:szCs w:val="19"/>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125"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In February 2024, we entered into a sales agreement (the “Sales Agreement”) with Cowen and Company, LLC (“TD Cowen”) under which we may offer and sell up to $125.0 million of shares of our common stock from time to time through an “at the market” offering program under which TD Cowen will act as sales agent. Under the Sales Agreement, we will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The Sales Agreement provides that TD Cowen will be entitled to compensation for its services in an amount equal to up to 3.0% of the gross proceeds of all shares of common stock sold through TD Cowen under the Sales Agreement. We have no obligation to sell any shares under the Sales Agreement and may at any time suspend solicitation and offers under the Sales Agreement. During the year ended December 31, 2024, we did not sell any shares of common stock pursuant to the Sales Agreement.</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Funding Requirements</w:t>
      </w:r>
    </w:p>
    <w:p>
      <w:pPr>
        <w:spacing w:after="0" w:line="196" w:lineRule="exact"/>
        <w:rPr>
          <w:sz w:val="20"/>
          <w:szCs w:val="20"/>
          <w:color w:val="auto"/>
        </w:rPr>
      </w:pPr>
    </w:p>
    <w:p>
      <w:pPr>
        <w:ind w:right="20" w:firstLine="349"/>
        <w:spacing w:after="0" w:line="293" w:lineRule="auto"/>
        <w:rPr>
          <w:sz w:val="20"/>
          <w:szCs w:val="20"/>
          <w:color w:val="auto"/>
        </w:rPr>
      </w:pPr>
      <w:r>
        <w:rPr>
          <w:rFonts w:ascii="Times New Roman" w:cs="Times New Roman" w:eastAsia="Times New Roman" w:hAnsi="Times New Roman"/>
          <w:sz w:val="19"/>
          <w:szCs w:val="19"/>
          <w:color w:val="auto"/>
        </w:rPr>
        <w:t>To date, we have not generated any revenue and we may not generate any revenue from the sale of products or from other sources in the near future.</w:t>
      </w:r>
    </w:p>
    <w:p>
      <w:pPr>
        <w:spacing w:after="0" w:line="107" w:lineRule="exact"/>
        <w:rPr>
          <w:sz w:val="20"/>
          <w:szCs w:val="20"/>
          <w:color w:val="auto"/>
        </w:rPr>
      </w:pPr>
    </w:p>
    <w:p>
      <w:pPr>
        <w:ind w:right="80" w:firstLine="349"/>
        <w:spacing w:after="0" w:line="293" w:lineRule="auto"/>
        <w:rPr>
          <w:sz w:val="20"/>
          <w:szCs w:val="20"/>
          <w:color w:val="auto"/>
        </w:rPr>
      </w:pPr>
      <w:r>
        <w:rPr>
          <w:rFonts w:ascii="Times New Roman" w:cs="Times New Roman" w:eastAsia="Times New Roman" w:hAnsi="Times New Roman"/>
          <w:sz w:val="19"/>
          <w:szCs w:val="19"/>
          <w:color w:val="auto"/>
        </w:rPr>
        <w:t>We approved and began implementing workforce reductions in the first quarter of 2025. The cost-savings initiatives are expected to reduce certain operating expenses, primarily personnel-related expense, in the near-term.</w:t>
      </w:r>
    </w:p>
    <w:p>
      <w:pPr>
        <w:spacing w:after="0" w:line="107" w:lineRule="exact"/>
        <w:rPr>
          <w:sz w:val="20"/>
          <w:szCs w:val="20"/>
          <w:color w:val="auto"/>
        </w:rPr>
      </w:pPr>
    </w:p>
    <w:p>
      <w:pPr>
        <w:ind w:right="60" w:firstLine="349"/>
        <w:spacing w:after="0" w:line="293" w:lineRule="auto"/>
        <w:rPr>
          <w:sz w:val="20"/>
          <w:szCs w:val="20"/>
          <w:color w:val="auto"/>
        </w:rPr>
      </w:pPr>
      <w:r>
        <w:rPr>
          <w:rFonts w:ascii="Times New Roman" w:cs="Times New Roman" w:eastAsia="Times New Roman" w:hAnsi="Times New Roman"/>
          <w:sz w:val="19"/>
          <w:szCs w:val="19"/>
          <w:color w:val="auto"/>
        </w:rPr>
        <w:t>However, we expect our expenses and capital requirements will continue to increase substantially in connection with our ongoing activities as we:</w:t>
      </w:r>
    </w:p>
    <w:p>
      <w:pPr>
        <w:spacing w:after="0" w:line="107" w:lineRule="exact"/>
        <w:rPr>
          <w:sz w:val="20"/>
          <w:szCs w:val="20"/>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our research and development activities, including with respect to our Nautilus platform;</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undertake activities to establish sales, marketing and distribution capabilities for our Nautilus platform;</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 setup costs related to production tooling and required testing;</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protect and expand our intellectual property portfolio, including patents, trade secrets and know how;</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implement operational, financial and management information systems;</w:t>
      </w:r>
    </w:p>
    <w:p>
      <w:pPr>
        <w:spacing w:after="0" w:line="189" w:lineRule="exact"/>
        <w:rPr>
          <w:rFonts w:ascii="Times New Roman" w:cs="Times New Roman" w:eastAsia="Times New Roman" w:hAnsi="Times New Roman"/>
          <w:sz w:val="19"/>
          <w:szCs w:val="19"/>
          <w:color w:val="auto"/>
        </w:rPr>
      </w:pPr>
    </w:p>
    <w:p>
      <w:pPr>
        <w:ind w:left="700" w:hanging="352"/>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attract, hire and retain additional management, scientific and administrative personnel; and</w:t>
      </w:r>
    </w:p>
    <w:p>
      <w:pPr>
        <w:sectPr>
          <w:pgSz w:w="11880" w:h="15480" w:orient="portrait"/>
          <w:cols w:equalWidth="0" w:num="1">
            <w:col w:w="10460"/>
          </w:cols>
          <w:pgMar w:left="700" w:top="68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ectPr>
          <w:pgSz w:w="11880" w:h="15480" w:orient="portrait"/>
          <w:cols w:equalWidth="0" w:num="1">
            <w:col w:w="10460"/>
          </w:cols>
          <w:pgMar w:left="700" w:top="684" w:right="720" w:bottom="0" w:gutter="0" w:footer="0" w:header="0"/>
          <w:type w:val="continuous"/>
        </w:sectPr>
      </w:pPr>
    </w:p>
    <w:bookmarkStart w:id="82" w:name="page83"/>
    <w:bookmarkEnd w:id="82"/>
    <w:p>
      <w:pPr>
        <w:ind w:left="700" w:hanging="352"/>
        <w:spacing w:after="0"/>
        <w:tabs>
          <w:tab w:leader="none" w:pos="70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continue to operate as a public company.</w:t>
      </w:r>
    </w:p>
    <w:p>
      <w:pPr>
        <w:spacing w:after="0" w:line="189" w:lineRule="exact"/>
        <w:rPr>
          <w:sz w:val="20"/>
          <w:szCs w:val="20"/>
          <w:color w:val="auto"/>
        </w:rPr>
      </w:pPr>
    </w:p>
    <w:p>
      <w:pPr>
        <w:ind w:right="120" w:firstLine="349"/>
        <w:spacing w:after="0" w:line="260" w:lineRule="auto"/>
        <w:rPr>
          <w:sz w:val="20"/>
          <w:szCs w:val="20"/>
          <w:color w:val="auto"/>
        </w:rPr>
      </w:pPr>
      <w:r>
        <w:rPr>
          <w:rFonts w:ascii="Times New Roman" w:cs="Times New Roman" w:eastAsia="Times New Roman" w:hAnsi="Times New Roman"/>
          <w:sz w:val="19"/>
          <w:szCs w:val="19"/>
          <w:color w:val="auto"/>
        </w:rPr>
        <w:t>As of the filing of this Annual Report on Form 10-K,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global and national conflicts or other disruptions; and other items affecting our forecasted level of expenditures and use of cash resources including potential acquisitions.</w:t>
      </w:r>
    </w:p>
    <w:p>
      <w:pPr>
        <w:spacing w:after="0" w:line="141"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Until such time as we can generate significant revenue from commercialization of our products, if ever, we will continue to require substantial additional capital to develop our Nautilus platform and fund operations for the foreseeable future. We intend to obtain such capital through public or private equity offerings or debt financings (including potential sales under the Sales Agreement),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COVID</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19 pandemic, recent and any potential future financial institution failures, the conflicts in Eastern Europe, the Middle East and in other countries, and otherwise. Our failure to raise additional capital, if needed, would have a negative impact on our financial condition and our ability to execute our business plan.</w:t>
      </w:r>
    </w:p>
    <w:p>
      <w:pPr>
        <w:spacing w:after="0" w:line="140" w:lineRule="exact"/>
        <w:rPr>
          <w:sz w:val="20"/>
          <w:szCs w:val="20"/>
          <w:color w:val="auto"/>
        </w:rPr>
      </w:pPr>
    </w:p>
    <w:p>
      <w:pPr>
        <w:ind w:right="40" w:firstLine="349"/>
        <w:spacing w:after="0" w:line="262" w:lineRule="auto"/>
        <w:rPr>
          <w:sz w:val="20"/>
          <w:szCs w:val="20"/>
          <w:color w:val="auto"/>
        </w:rPr>
      </w:pPr>
      <w:r>
        <w:rPr>
          <w:rFonts w:ascii="Times New Roman" w:cs="Times New Roman" w:eastAsia="Times New Roman" w:hAnsi="Times New Roman"/>
          <w:sz w:val="19"/>
          <w:szCs w:val="19"/>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including any issuances pursuant to our “at the market” equity offering program under our Sales Agreement with TD Cowen,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Historical Cash Flows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For the Fiscal Years Ended December 31, 2024 and 2023</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following table summarizes our cash flows for the periods indicated:</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4"/>
        </w:trPr>
        <w:tc>
          <w:tcPr>
            <w:tcW w:w="7860" w:type="dxa"/>
            <w:vAlign w:val="bottom"/>
          </w:tcPr>
          <w:p>
            <w:pPr>
              <w:spacing w:after="0"/>
              <w:rPr>
                <w:sz w:val="20"/>
                <w:szCs w:val="20"/>
                <w:color w:val="auto"/>
              </w:rPr>
            </w:pPr>
            <w:r>
              <w:rPr>
                <w:rFonts w:ascii="Times New Roman" w:cs="Times New Roman" w:eastAsia="Times New Roman" w:hAnsi="Times New Roman"/>
                <w:sz w:val="19"/>
                <w:szCs w:val="19"/>
                <w:color w:val="auto"/>
              </w:rPr>
              <w:t>Net cash used in operating activities</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(59,145)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(51,711)</w:t>
            </w:r>
          </w:p>
        </w:tc>
      </w:tr>
      <w:tr>
        <w:trPr>
          <w:trHeight w:val="277"/>
        </w:trPr>
        <w:tc>
          <w:tcPr>
            <w:tcW w:w="7860" w:type="dxa"/>
            <w:vAlign w:val="bottom"/>
          </w:tcPr>
          <w:p>
            <w:pPr>
              <w:spacing w:after="0"/>
              <w:rPr>
                <w:sz w:val="20"/>
                <w:szCs w:val="20"/>
                <w:color w:val="auto"/>
              </w:rPr>
            </w:pPr>
            <w:r>
              <w:rPr>
                <w:rFonts w:ascii="Times New Roman" w:cs="Times New Roman" w:eastAsia="Times New Roman" w:hAnsi="Times New Roman"/>
                <w:sz w:val="19"/>
                <w:szCs w:val="19"/>
                <w:color w:val="auto"/>
              </w:rPr>
              <w:t>Net cash provided (used) by investing activities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66,250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(43,735)</w:t>
            </w:r>
          </w:p>
        </w:tc>
      </w:tr>
      <w:tr>
        <w:trPr>
          <w:trHeight w:val="279"/>
        </w:trPr>
        <w:tc>
          <w:tcPr>
            <w:tcW w:w="7860" w:type="dxa"/>
            <w:vAlign w:val="bottom"/>
          </w:tcPr>
          <w:p>
            <w:pPr>
              <w:spacing w:after="0"/>
              <w:rPr>
                <w:sz w:val="20"/>
                <w:szCs w:val="20"/>
                <w:color w:val="auto"/>
              </w:rPr>
            </w:pPr>
            <w:r>
              <w:rPr>
                <w:rFonts w:ascii="Times New Roman" w:cs="Times New Roman" w:eastAsia="Times New Roman" w:hAnsi="Times New Roman"/>
                <w:sz w:val="19"/>
                <w:szCs w:val="19"/>
                <w:color w:val="auto"/>
              </w:rPr>
              <w:t>Net cash provided by financing activities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1,144</w:t>
            </w: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368</w:t>
            </w:r>
          </w:p>
        </w:tc>
      </w:tr>
      <w:tr>
        <w:trPr>
          <w:trHeight w:val="237"/>
        </w:trPr>
        <w:tc>
          <w:tcPr>
            <w:tcW w:w="7860" w:type="dxa"/>
            <w:vAlign w:val="bottom"/>
          </w:tcPr>
          <w:p>
            <w:pPr>
              <w:spacing w:after="0"/>
              <w:rPr>
                <w:sz w:val="20"/>
                <w:szCs w:val="20"/>
                <w:color w:val="auto"/>
              </w:rPr>
            </w:pPr>
            <w:r>
              <w:rPr>
                <w:rFonts w:ascii="Times New Roman" w:cs="Times New Roman" w:eastAsia="Times New Roman" w:hAnsi="Times New Roman"/>
                <w:sz w:val="19"/>
                <w:szCs w:val="19"/>
                <w:color w:val="auto"/>
              </w:rPr>
              <w:t>Net increase (decrease) in cash, cash equivalents and restricted cash</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8,249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(95,078)</w:t>
            </w:r>
          </w:p>
        </w:tc>
      </w:tr>
      <w:tr>
        <w:trPr>
          <w:trHeight w:val="20"/>
        </w:trPr>
        <w:tc>
          <w:tcPr>
            <w:tcW w:w="7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-881380</wp:posOffset>
            </wp:positionV>
            <wp:extent cx="6681470" cy="888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6681470" cy="888365"/>
                    </a:xfrm>
                    <a:prstGeom prst="rect">
                      <a:avLst/>
                    </a:prstGeom>
                    <a:noFill/>
                  </pic:spPr>
                </pic:pic>
              </a:graphicData>
            </a:graphic>
          </wp:anchor>
        </w:drawing>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Operating Activities</w:t>
      </w:r>
    </w:p>
    <w:p>
      <w:pPr>
        <w:spacing w:after="0" w:line="191"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During the year ended December 31, 2024, net cash used in operating activities was $59.1 million, primarily resulting from our net loss of $70.8 million and a decrease in the net changes in assets and liabilities aggregating $5.5 million. The net loss and decrease in net changes in assets and liabilities was partially offset by $17.1 million of non-cash expenses. The non-cash expenses included $12.7 million of stock-based compensation, $4.4 million amortization of operating lease right-of-use assets, $2.0 million in depreciation, and $0.8 million in non-cash adjustments related to in-process research and development, partially offset by $2.8 million in accretion of discounts of investments.</w:t>
      </w:r>
    </w:p>
    <w:p>
      <w:pPr>
        <w:spacing w:after="0" w:line="136" w:lineRule="exact"/>
        <w:rPr>
          <w:sz w:val="20"/>
          <w:szCs w:val="20"/>
          <w:color w:val="auto"/>
        </w:rPr>
      </w:pPr>
    </w:p>
    <w:p>
      <w:pPr>
        <w:ind w:right="100" w:firstLine="349"/>
        <w:spacing w:after="0" w:line="265" w:lineRule="auto"/>
        <w:rPr>
          <w:sz w:val="20"/>
          <w:szCs w:val="20"/>
          <w:color w:val="auto"/>
        </w:rPr>
      </w:pPr>
      <w:r>
        <w:rPr>
          <w:rFonts w:ascii="Times New Roman" w:cs="Times New Roman" w:eastAsia="Times New Roman" w:hAnsi="Times New Roman"/>
          <w:sz w:val="19"/>
          <w:szCs w:val="19"/>
          <w:color w:val="auto"/>
        </w:rPr>
        <w:t>During the year ended December 31, 2023, net cash used in operating activities was $51.7 million, primarily resulting from our net loss of $63.7 million and a decrease in the changes in assets and liabilities aggregating $3.2 million. The net loss and decrease in net changes in assets and liabilities was partially offset by $15.2 million of non-cash expenses. The non-cash expenses included $12.1 million of stock-based compensation, $3.9 million of amortization of operating lease right-of-use assets, $1.8 million of depreciation, partially offset by $2.7 million of accretion of discounts of investments.</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ectPr>
          <w:pgSz w:w="11880" w:h="15480" w:orient="portrait"/>
          <w:cols w:equalWidth="0" w:num="1">
            <w:col w:w="10480"/>
          </w:cols>
          <w:pgMar w:left="700" w:top="691" w:right="700" w:bottom="0" w:gutter="0" w:footer="0" w:header="0"/>
          <w:type w:val="continuous"/>
        </w:sectPr>
      </w:pPr>
    </w:p>
    <w:bookmarkStart w:id="83" w:name="page84"/>
    <w:bookmarkEnd w:id="83"/>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Investing Activities</w:t>
      </w:r>
    </w:p>
    <w:p>
      <w:pPr>
        <w:spacing w:after="0" w:line="191" w:lineRule="exact"/>
        <w:rPr>
          <w:sz w:val="20"/>
          <w:szCs w:val="20"/>
          <w:color w:val="auto"/>
        </w:rPr>
      </w:pPr>
    </w:p>
    <w:p>
      <w:pPr>
        <w:ind w:right="360" w:firstLine="349"/>
        <w:spacing w:after="0" w:line="274" w:lineRule="auto"/>
        <w:rPr>
          <w:sz w:val="20"/>
          <w:szCs w:val="20"/>
          <w:color w:val="auto"/>
        </w:rPr>
      </w:pPr>
      <w:r>
        <w:rPr>
          <w:rFonts w:ascii="Times New Roman" w:cs="Times New Roman" w:eastAsia="Times New Roman" w:hAnsi="Times New Roman"/>
          <w:sz w:val="19"/>
          <w:szCs w:val="19"/>
          <w:color w:val="auto"/>
        </w:rPr>
        <w:t>During the year ended December 31, 2024, net cash provided by investing activities was $66.3 million, resulting from $155.4 million in proceeds from the maturities of securities, partially offset by $86.3 million in purchases of securities, $2.1 million in purchases of property and equipment, and 0.8 million in cash paid in connection with an asset acquisition.</w:t>
      </w:r>
    </w:p>
    <w:p>
      <w:pPr>
        <w:spacing w:after="0" w:line="125" w:lineRule="exact"/>
        <w:rPr>
          <w:sz w:val="20"/>
          <w:szCs w:val="20"/>
          <w:color w:val="auto"/>
        </w:rPr>
      </w:pPr>
    </w:p>
    <w:p>
      <w:pPr>
        <w:jc w:val="both"/>
        <w:ind w:right="120" w:firstLine="349"/>
        <w:spacing w:after="0" w:line="274" w:lineRule="auto"/>
        <w:rPr>
          <w:sz w:val="20"/>
          <w:szCs w:val="20"/>
          <w:color w:val="auto"/>
        </w:rPr>
      </w:pPr>
      <w:r>
        <w:rPr>
          <w:rFonts w:ascii="Times New Roman" w:cs="Times New Roman" w:eastAsia="Times New Roman" w:hAnsi="Times New Roman"/>
          <w:sz w:val="19"/>
          <w:szCs w:val="19"/>
          <w:color w:val="auto"/>
        </w:rPr>
        <w:t>During the year ended December 31, 2023, net cash used in investing activities was $43.7 million, resulting from $112.9 million in purchases of securities and $2.4 million in purchases of property and equipment, partially offset by $71.6 million in proceeds from the maturities of securities.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Financing Activities</w:t>
      </w:r>
    </w:p>
    <w:p>
      <w:pPr>
        <w:spacing w:after="0" w:line="191"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auto"/>
        </w:rPr>
        <w:t>During the year ended December 31, 2024, net cash provided by financing activities was $1.1 million, primarily from proceeds from the exercise of stock options and issuance of common stock under the employee stock purchase plan.</w:t>
      </w:r>
    </w:p>
    <w:p>
      <w:pPr>
        <w:spacing w:after="0" w:line="107"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auto"/>
        </w:rPr>
        <w:t>During the year ended December 31, 2023, net cash provided by financing activities was $0.4 million, primarily from proceeds from the exercise of stock options and issuance of common stock under the employee stock purchase plan.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Contractual Obligations and Commitments</w:t>
      </w:r>
    </w:p>
    <w:p>
      <w:pPr>
        <w:spacing w:after="0" w:line="196" w:lineRule="exact"/>
        <w:rPr>
          <w:sz w:val="20"/>
          <w:szCs w:val="20"/>
          <w:color w:val="auto"/>
        </w:rPr>
      </w:pPr>
    </w:p>
    <w:p>
      <w:pPr>
        <w:ind w:right="1060" w:firstLine="349"/>
        <w:spacing w:after="0" w:line="293" w:lineRule="auto"/>
        <w:rPr>
          <w:sz w:val="20"/>
          <w:szCs w:val="20"/>
          <w:color w:val="auto"/>
        </w:rPr>
      </w:pPr>
      <w:r>
        <w:rPr>
          <w:rFonts w:ascii="Times New Roman" w:cs="Times New Roman" w:eastAsia="Times New Roman" w:hAnsi="Times New Roman"/>
          <w:sz w:val="19"/>
          <w:szCs w:val="19"/>
          <w:color w:val="auto"/>
        </w:rPr>
        <w:t>For a discussion of our contractual obligations and commitments, refer to Part II, Item 8, Note 8, “Commitments and Contingencies” in our notes to the consolidated financial statements in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Estimates</w:t>
      </w:r>
    </w:p>
    <w:p>
      <w:pPr>
        <w:spacing w:after="0" w:line="196" w:lineRule="exact"/>
        <w:rPr>
          <w:sz w:val="20"/>
          <w:szCs w:val="20"/>
          <w:color w:val="auto"/>
        </w:rPr>
      </w:pPr>
    </w:p>
    <w:p>
      <w:pPr>
        <w:jc w:val="both"/>
        <w:ind w:right="80" w:firstLine="349"/>
        <w:spacing w:after="0" w:line="274" w:lineRule="auto"/>
        <w:rPr>
          <w:sz w:val="20"/>
          <w:szCs w:val="20"/>
          <w:color w:val="auto"/>
        </w:rPr>
      </w:pPr>
      <w:r>
        <w:rPr>
          <w:rFonts w:ascii="Times New Roman" w:cs="Times New Roman" w:eastAsia="Times New Roman" w:hAnsi="Times New Roman"/>
          <w:sz w:val="19"/>
          <w:szCs w:val="19"/>
          <w:color w:val="auto"/>
        </w:rPr>
        <w:t>Our discussion and analysis of our financial condition and results of operations are based upon our financial statements included in Part II, Item 8 of this Annual Report on Form 10-K. The preparation of our financial statements in accordance with GAAP requires us to make estimates and assumptions that affect the reported amounts of assets, liabilities, and expenses.</w:t>
      </w:r>
    </w:p>
    <w:p>
      <w:pPr>
        <w:spacing w:after="0" w:line="125" w:lineRule="exact"/>
        <w:rPr>
          <w:sz w:val="20"/>
          <w:szCs w:val="20"/>
          <w:color w:val="auto"/>
        </w:rPr>
      </w:pPr>
    </w:p>
    <w:p>
      <w:pPr>
        <w:ind w:right="140" w:firstLine="349"/>
        <w:spacing w:after="0" w:line="293" w:lineRule="auto"/>
        <w:rPr>
          <w:sz w:val="20"/>
          <w:szCs w:val="20"/>
          <w:color w:val="auto"/>
        </w:rPr>
      </w:pPr>
      <w:r>
        <w:rPr>
          <w:rFonts w:ascii="Times New Roman" w:cs="Times New Roman" w:eastAsia="Times New Roman" w:hAnsi="Times New Roman"/>
          <w:sz w:val="19"/>
          <w:szCs w:val="19"/>
          <w:color w:val="auto"/>
        </w:rPr>
        <w:t>We base our estimates on past experience and other assumptions that we believe are reasonable under the circumstances, and we evaluate these estimates on an ongoing basis. Actual results may differ from those estimates.</w:t>
      </w:r>
    </w:p>
    <w:p>
      <w:pPr>
        <w:spacing w:after="0" w:line="107" w:lineRule="exact"/>
        <w:rPr>
          <w:sz w:val="20"/>
          <w:szCs w:val="20"/>
          <w:color w:val="auto"/>
        </w:rPr>
      </w:pPr>
    </w:p>
    <w:p>
      <w:pPr>
        <w:ind w:right="120" w:firstLine="349"/>
        <w:spacing w:after="0" w:line="268" w:lineRule="auto"/>
        <w:rPr>
          <w:sz w:val="20"/>
          <w:szCs w:val="20"/>
          <w:color w:val="auto"/>
        </w:rPr>
      </w:pPr>
      <w:r>
        <w:rPr>
          <w:rFonts w:ascii="Times New Roman" w:cs="Times New Roman" w:eastAsia="Times New Roman" w:hAnsi="Times New Roman"/>
          <w:sz w:val="19"/>
          <w:szCs w:val="19"/>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196" w:lineRule="exact"/>
        <w:rPr>
          <w:sz w:val="20"/>
          <w:szCs w:val="20"/>
          <w:color w:val="auto"/>
        </w:rPr>
      </w:pPr>
    </w:p>
    <w:p>
      <w:pPr>
        <w:ind w:right="220" w:firstLine="349"/>
        <w:spacing w:after="0" w:line="265" w:lineRule="auto"/>
        <w:rPr>
          <w:sz w:val="20"/>
          <w:szCs w:val="20"/>
          <w:color w:val="auto"/>
        </w:rPr>
      </w:pPr>
      <w:r>
        <w:rPr>
          <w:rFonts w:ascii="Times New Roman" w:cs="Times New Roman" w:eastAsia="Times New Roman" w:hAnsi="Times New Roman"/>
          <w:sz w:val="19"/>
          <w:szCs w:val="19"/>
          <w:color w:val="auto"/>
        </w:rPr>
        <w:t>Costs for research and development activities are expensed in the period in which they are incurred. Research and development expenses consist of costs incurred in performing research and development activities, including salaries, bonuses, stock-based compensation, employee benefits for product development personnel, laboratory supplies and equipment, depreciation and amortization, external costs of vendors engaged to conduct research and development activities, acquired in-process research and development, and allocated expenses for technology and facilities.</w:t>
      </w:r>
    </w:p>
    <w:p>
      <w:pPr>
        <w:spacing w:after="0" w:line="133" w:lineRule="exact"/>
        <w:rPr>
          <w:sz w:val="20"/>
          <w:szCs w:val="20"/>
          <w:color w:val="auto"/>
        </w:rPr>
      </w:pPr>
    </w:p>
    <w:p>
      <w:pPr>
        <w:ind w:right="80" w:firstLine="349"/>
        <w:spacing w:after="0" w:line="262" w:lineRule="auto"/>
        <w:rPr>
          <w:sz w:val="20"/>
          <w:szCs w:val="20"/>
          <w:color w:val="auto"/>
        </w:rPr>
      </w:pPr>
      <w:r>
        <w:rPr>
          <w:rFonts w:ascii="Times New Roman" w:cs="Times New Roman" w:eastAsia="Times New Roman" w:hAnsi="Times New Roman"/>
          <w:sz w:val="19"/>
          <w:szCs w:val="19"/>
          <w:color w:val="auto"/>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Stock Based Compensation</w:t>
      </w:r>
    </w:p>
    <w:p>
      <w:pPr>
        <w:spacing w:after="0" w:line="196" w:lineRule="exact"/>
        <w:rPr>
          <w:sz w:val="20"/>
          <w:szCs w:val="20"/>
          <w:color w:val="auto"/>
        </w:rPr>
      </w:pPr>
    </w:p>
    <w:p>
      <w:pPr>
        <w:ind w:right="200" w:firstLine="349"/>
        <w:spacing w:after="0" w:line="268" w:lineRule="auto"/>
        <w:rPr>
          <w:sz w:val="20"/>
          <w:szCs w:val="20"/>
          <w:color w:val="auto"/>
        </w:rPr>
      </w:pPr>
      <w:r>
        <w:rPr>
          <w:rFonts w:ascii="Times New Roman" w:cs="Times New Roman" w:eastAsia="Times New Roman" w:hAnsi="Times New Roman"/>
          <w:sz w:val="19"/>
          <w:szCs w:val="19"/>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 Our stock-based compensation programs include shares issued under our 2021 Equity Incentive Plan and 2021 Employee Stock Purchase Plan.</w:t>
      </w:r>
    </w:p>
    <w:p>
      <w:pPr>
        <w:spacing w:after="0" w:line="131"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w:t>
      </w:r>
    </w:p>
    <w:p>
      <w:pPr>
        <w:sectPr>
          <w:pgSz w:w="11880" w:h="15480" w:orient="portrait"/>
          <w:cols w:equalWidth="0" w:num="1">
            <w:col w:w="10460"/>
          </w:cols>
          <w:pgMar w:left="700" w:top="689" w:right="72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ectPr>
          <w:pgSz w:w="11880" w:h="15480" w:orient="portrait"/>
          <w:cols w:equalWidth="0" w:num="1">
            <w:col w:w="10460"/>
          </w:cols>
          <w:pgMar w:left="700" w:top="689" w:right="720" w:bottom="0" w:gutter="0" w:footer="0" w:header="0"/>
          <w:type w:val="continuous"/>
        </w:sectPr>
      </w:pPr>
    </w:p>
    <w:bookmarkStart w:id="84" w:name="page85"/>
    <w:bookmarkEnd w:id="84"/>
    <w:p>
      <w:pPr>
        <w:ind w:right="360"/>
        <w:spacing w:after="0" w:line="293" w:lineRule="auto"/>
        <w:rPr>
          <w:sz w:val="20"/>
          <w:szCs w:val="20"/>
          <w:color w:val="auto"/>
        </w:rPr>
      </w:pPr>
      <w:r>
        <w:rPr>
          <w:rFonts w:ascii="Times New Roman" w:cs="Times New Roman" w:eastAsia="Times New Roman" w:hAnsi="Times New Roman"/>
          <w:sz w:val="19"/>
          <w:szCs w:val="19"/>
          <w:color w:val="auto"/>
        </w:rPr>
        <w:t>performance-based milestone, management evaluates when the achievement of any such performance-based milestone is probable based on the relative satisfaction of the performance conditions as of the reporting date.</w:t>
      </w:r>
    </w:p>
    <w:p>
      <w:pPr>
        <w:spacing w:after="0" w:line="107" w:lineRule="exact"/>
        <w:rPr>
          <w:sz w:val="20"/>
          <w:szCs w:val="20"/>
          <w:color w:val="auto"/>
        </w:rPr>
      </w:pPr>
    </w:p>
    <w:p>
      <w:pPr>
        <w:ind w:right="100" w:firstLine="349"/>
        <w:spacing w:after="0" w:line="293" w:lineRule="auto"/>
        <w:rPr>
          <w:sz w:val="20"/>
          <w:szCs w:val="20"/>
          <w:color w:val="auto"/>
        </w:rPr>
      </w:pPr>
      <w:r>
        <w:rPr>
          <w:rFonts w:ascii="Times New Roman" w:cs="Times New Roman" w:eastAsia="Times New Roman" w:hAnsi="Times New Roman"/>
          <w:sz w:val="19"/>
          <w:szCs w:val="19"/>
          <w:color w:val="auto"/>
        </w:rPr>
        <w:t>The Black-Scholes option pricing model utilizes inputs which are highly subjective assumptions and generally require significant judgment. These assumptions include:</w:t>
      </w:r>
    </w:p>
    <w:p>
      <w:pPr>
        <w:spacing w:after="0" w:line="105" w:lineRule="exact"/>
        <w:rPr>
          <w:sz w:val="20"/>
          <w:szCs w:val="20"/>
          <w:color w:val="auto"/>
        </w:rPr>
      </w:pPr>
    </w:p>
    <w:p>
      <w:pPr>
        <w:ind w:left="700" w:right="180" w:hanging="352"/>
        <w:spacing w:after="0" w:line="295" w:lineRule="auto"/>
        <w:tabs>
          <w:tab w:leader="none" w:pos="7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Risk-Free Interest Rate. </w:t>
      </w:r>
      <w:r>
        <w:rPr>
          <w:rFonts w:ascii="Times New Roman" w:cs="Times New Roman" w:eastAsia="Times New Roman" w:hAnsi="Times New Roman"/>
          <w:sz w:val="19"/>
          <w:szCs w:val="19"/>
          <w:color w:val="auto"/>
        </w:rPr>
        <w:t>The risk-free interest rate is based on the U.S. Treasury yield curve in effect at the time of grant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zero-coupon U.S. Treasury notes with maturities corresponding to the expected term of the awards.</w:t>
      </w:r>
    </w:p>
    <w:p>
      <w:pPr>
        <w:spacing w:after="0" w:line="103" w:lineRule="exact"/>
        <w:rPr>
          <w:rFonts w:ascii="Times New Roman" w:cs="Times New Roman" w:eastAsia="Times New Roman" w:hAnsi="Times New Roman"/>
          <w:sz w:val="19"/>
          <w:szCs w:val="19"/>
          <w:color w:val="auto"/>
        </w:rPr>
      </w:pPr>
    </w:p>
    <w:p>
      <w:pPr>
        <w:ind w:left="700" w:hanging="352"/>
        <w:spacing w:after="0" w:line="265" w:lineRule="auto"/>
        <w:tabs>
          <w:tab w:leader="none" w:pos="7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Expected Volatility. </w:t>
      </w:r>
      <w:r>
        <w:rPr>
          <w:rFonts w:ascii="Times New Roman" w:cs="Times New Roman" w:eastAsia="Times New Roman" w:hAnsi="Times New Roman"/>
          <w:sz w:val="19"/>
          <w:szCs w:val="19"/>
          <w:color w:val="auto"/>
        </w:rPr>
        <w:t>Historically, we have been a private company and lacked company-specific historical and implied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volatility information for our common stock. Therefore, the expected volatility of our common stock was determined by using an average of historical volatilities of selected industry peers deemed to be comparable to our business corresponding to the expected term of the awards and we expect to continue to do so until such time we have adequate historical data regarding the volatility of our traded common stock price.</w:t>
      </w:r>
    </w:p>
    <w:p>
      <w:pPr>
        <w:spacing w:after="0" w:line="133" w:lineRule="exact"/>
        <w:rPr>
          <w:rFonts w:ascii="Times New Roman" w:cs="Times New Roman" w:eastAsia="Times New Roman" w:hAnsi="Times New Roman"/>
          <w:sz w:val="19"/>
          <w:szCs w:val="19"/>
          <w:color w:val="auto"/>
        </w:rPr>
      </w:pPr>
    </w:p>
    <w:p>
      <w:pPr>
        <w:ind w:left="700" w:right="60" w:hanging="352"/>
        <w:spacing w:after="0" w:line="269" w:lineRule="auto"/>
        <w:tabs>
          <w:tab w:leader="none" w:pos="7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Expected Term. </w:t>
      </w:r>
      <w:r>
        <w:rPr>
          <w:rFonts w:ascii="Times New Roman" w:cs="Times New Roman" w:eastAsia="Times New Roman" w:hAnsi="Times New Roman"/>
          <w:sz w:val="19"/>
          <w:szCs w:val="19"/>
          <w:color w:val="auto"/>
        </w:rPr>
        <w:t>The expected term of stock options represents the weighted-average period that the stock options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expected to remain outstanding. We do not have sufficient historical exercise and post-vesting termination activity to provide accurate data for estimating the expected term of options and have opted to use the “simplified method,” whereby the expected term equals the arithmetic average of the vesting term and the original contractual term of the option.</w:t>
      </w:r>
    </w:p>
    <w:p>
      <w:pPr>
        <w:spacing w:after="0" w:line="126" w:lineRule="exact"/>
        <w:rPr>
          <w:rFonts w:ascii="Times New Roman" w:cs="Times New Roman" w:eastAsia="Times New Roman" w:hAnsi="Times New Roman"/>
          <w:sz w:val="19"/>
          <w:szCs w:val="19"/>
          <w:color w:val="auto"/>
        </w:rPr>
      </w:pPr>
    </w:p>
    <w:p>
      <w:pPr>
        <w:ind w:left="700" w:right="140" w:hanging="352"/>
        <w:spacing w:after="0" w:line="295" w:lineRule="auto"/>
        <w:tabs>
          <w:tab w:leader="none" w:pos="7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Expected Dividend Yield</w:t>
      </w:r>
      <w:r>
        <w:rPr>
          <w:rFonts w:ascii="Times New Roman" w:cs="Times New Roman" w:eastAsia="Times New Roman" w:hAnsi="Times New Roman"/>
          <w:sz w:val="19"/>
          <w:szCs w:val="19"/>
          <w:color w:val="auto"/>
        </w:rPr>
        <w:t>. The expected dividend rate is zero as we have no history or expectation of declaring dividends 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common stock.</w:t>
      </w:r>
    </w:p>
    <w:p>
      <w:pPr>
        <w:spacing w:after="0" w:line="105" w:lineRule="exact"/>
        <w:rPr>
          <w:sz w:val="20"/>
          <w:szCs w:val="20"/>
          <w:color w:val="auto"/>
        </w:rPr>
      </w:pPr>
    </w:p>
    <w:p>
      <w:pPr>
        <w:ind w:right="260" w:firstLine="349"/>
        <w:spacing w:after="0" w:line="274" w:lineRule="auto"/>
        <w:rPr>
          <w:sz w:val="20"/>
          <w:szCs w:val="20"/>
          <w:color w:val="auto"/>
        </w:rPr>
      </w:pPr>
      <w:r>
        <w:rPr>
          <w:rFonts w:ascii="Times New Roman" w:cs="Times New Roman" w:eastAsia="Times New Roman" w:hAnsi="Times New Roman"/>
          <w:sz w:val="19"/>
          <w:szCs w:val="19"/>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 Accounting Pronouncements</w:t>
      </w:r>
    </w:p>
    <w:p>
      <w:pPr>
        <w:spacing w:after="0" w:line="196" w:lineRule="exact"/>
        <w:rPr>
          <w:sz w:val="20"/>
          <w:szCs w:val="20"/>
          <w:color w:val="auto"/>
        </w:rPr>
      </w:pPr>
    </w:p>
    <w:p>
      <w:pPr>
        <w:ind w:right="100" w:firstLine="349"/>
        <w:spacing w:after="0" w:line="274" w:lineRule="auto"/>
        <w:rPr>
          <w:sz w:val="20"/>
          <w:szCs w:val="20"/>
          <w:color w:val="auto"/>
        </w:rPr>
      </w:pPr>
      <w:r>
        <w:rPr>
          <w:rFonts w:ascii="Times New Roman" w:cs="Times New Roman" w:eastAsia="Times New Roman" w:hAnsi="Times New Roman"/>
          <w:sz w:val="19"/>
          <w:szCs w:val="19"/>
          <w:color w:val="auto"/>
        </w:rPr>
        <w:t>For a description of recent accounting pronouncements, including the expected dates of adoption and estimated effects, if any, on our consolidated financial statements, see Part II, Item 8, Note 2, “Significant Accounting Policies” in our notes to the consolidated financial statements in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Emerging Growth Company Accounting Election</w:t>
      </w:r>
    </w:p>
    <w:p>
      <w:pPr>
        <w:spacing w:after="0" w:line="196" w:lineRule="exact"/>
        <w:rPr>
          <w:sz w:val="20"/>
          <w:szCs w:val="20"/>
          <w:color w:val="auto"/>
        </w:rPr>
      </w:pPr>
    </w:p>
    <w:p>
      <w:pPr>
        <w:ind w:right="20" w:firstLine="349"/>
        <w:spacing w:after="0" w:line="262" w:lineRule="auto"/>
        <w:rPr>
          <w:sz w:val="20"/>
          <w:szCs w:val="20"/>
          <w:color w:val="auto"/>
        </w:rPr>
      </w:pPr>
      <w:r>
        <w:rPr>
          <w:rFonts w:ascii="Times New Roman" w:cs="Times New Roman" w:eastAsia="Times New Roman" w:hAnsi="Times New Roman"/>
          <w:sz w:val="19"/>
          <w:szCs w:val="19"/>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36" w:lineRule="exact"/>
        <w:rPr>
          <w:sz w:val="20"/>
          <w:szCs w:val="20"/>
          <w:color w:val="auto"/>
        </w:rPr>
      </w:pPr>
    </w:p>
    <w:p>
      <w:pPr>
        <w:ind w:right="100" w:firstLine="349"/>
        <w:spacing w:after="0" w:line="265" w:lineRule="auto"/>
        <w:rPr>
          <w:sz w:val="20"/>
          <w:szCs w:val="20"/>
          <w:color w:val="auto"/>
        </w:rPr>
      </w:pPr>
      <w:r>
        <w:rPr>
          <w:rFonts w:ascii="Times New Roman" w:cs="Times New Roman" w:eastAsia="Times New Roman" w:hAnsi="Times New Roman"/>
          <w:sz w:val="19"/>
          <w:szCs w:val="19"/>
          <w:color w:val="auto"/>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33" w:lineRule="exact"/>
        <w:rPr>
          <w:sz w:val="20"/>
          <w:szCs w:val="20"/>
          <w:color w:val="auto"/>
        </w:rPr>
      </w:pPr>
    </w:p>
    <w:p>
      <w:pPr>
        <w:ind w:right="80" w:firstLine="349"/>
        <w:spacing w:after="0" w:line="265" w:lineRule="auto"/>
        <w:rPr>
          <w:sz w:val="20"/>
          <w:szCs w:val="20"/>
          <w:color w:val="auto"/>
        </w:rPr>
      </w:pPr>
      <w:r>
        <w:rPr>
          <w:rFonts w:ascii="Times New Roman" w:cs="Times New Roman" w:eastAsia="Times New Roman" w:hAnsi="Times New Roman"/>
          <w:sz w:val="19"/>
          <w:szCs w:val="19"/>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7A. Quantitative and Qualitative Disclosures About Market Risk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Interest Rate Risk</w:t>
      </w:r>
    </w:p>
    <w:p>
      <w:pPr>
        <w:spacing w:after="0" w:line="196" w:lineRule="exact"/>
        <w:rPr>
          <w:sz w:val="20"/>
          <w:szCs w:val="20"/>
          <w:color w:val="auto"/>
        </w:rPr>
      </w:pPr>
    </w:p>
    <w:p>
      <w:pPr>
        <w:ind w:right="140" w:firstLine="349"/>
        <w:spacing w:after="0" w:line="268" w:lineRule="auto"/>
        <w:rPr>
          <w:sz w:val="20"/>
          <w:szCs w:val="20"/>
          <w:color w:val="auto"/>
        </w:rPr>
      </w:pPr>
      <w:r>
        <w:rPr>
          <w:rFonts w:ascii="Times New Roman" w:cs="Times New Roman" w:eastAsia="Times New Roman" w:hAnsi="Times New Roman"/>
          <w:sz w:val="19"/>
          <w:szCs w:val="19"/>
          <w:color w:val="auto"/>
        </w:rPr>
        <w:t>We had cash, cash equivalents and investments of $206.3 million as of December 31, 2024.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w:t>
      </w:r>
    </w:p>
    <w:p>
      <w:pPr>
        <w:sectPr>
          <w:pgSz w:w="11880" w:h="15480" w:orient="portrait"/>
          <w:cols w:equalWidth="0" w:num="1">
            <w:col w:w="10480"/>
          </w:cols>
          <w:pgMar w:left="700" w:top="691" w:right="70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ectPr>
          <w:pgSz w:w="11880" w:h="15480" w:orient="portrait"/>
          <w:cols w:equalWidth="0" w:num="1">
            <w:col w:w="10480"/>
          </w:cols>
          <w:pgMar w:left="700" w:top="691" w:right="700" w:bottom="0" w:gutter="0" w:footer="0" w:header="0"/>
          <w:type w:val="continuous"/>
        </w:sectPr>
      </w:pPr>
    </w:p>
    <w:bookmarkStart w:id="85" w:name="page86"/>
    <w:bookmarkEnd w:id="85"/>
    <w:p>
      <w:pPr>
        <w:ind w:right="260"/>
        <w:spacing w:after="0" w:line="274" w:lineRule="auto"/>
        <w:rPr>
          <w:sz w:val="20"/>
          <w:szCs w:val="20"/>
          <w:color w:val="auto"/>
        </w:rPr>
      </w:pPr>
      <w:r>
        <w:rPr>
          <w:rFonts w:ascii="Times New Roman" w:cs="Times New Roman" w:eastAsia="Times New Roman" w:hAnsi="Times New Roman"/>
          <w:sz w:val="19"/>
          <w:szCs w:val="19"/>
          <w:color w:val="auto"/>
        </w:rPr>
        <w:t>marketable securities. As of December 31, 2024, the effect of a hypothetical 1.00% (100 basis point) change in interest rates would have changed the fair value of our marketable securities by $1.6 million. Such change would only be realized if we sold the marketable securities prior to maturity.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Inflation Risk</w:t>
      </w:r>
    </w:p>
    <w:p>
      <w:pPr>
        <w:spacing w:after="0" w:line="196"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ectPr>
          <w:pgSz w:w="11880" w:h="15480" w:orient="portrait"/>
          <w:cols w:equalWidth="0" w:num="1">
            <w:col w:w="10440"/>
          </w:cols>
          <w:pgMar w:left="700" w:top="691"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84</w:t>
      </w:r>
    </w:p>
    <w:p>
      <w:pPr>
        <w:sectPr>
          <w:pgSz w:w="11880" w:h="15480" w:orient="portrait"/>
          <w:cols w:equalWidth="0" w:num="1">
            <w:col w:w="10440"/>
          </w:cols>
          <w:pgMar w:left="700" w:top="691" w:right="74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18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9"/>
          <w:szCs w:val="19"/>
          <w:b w:val="1"/>
          <w:bCs w:val="1"/>
          <w:color w:val="auto"/>
        </w:rPr>
        <w:t>INDEX TO CONSOLIDATED FINANCIAL STATEMENTS</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149"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u w:val="single" w:color="auto"/>
          <w:color w:val="464646"/>
        </w:rPr>
        <w:t>Report of Independent Registered Public Accounting Firm (PCAOB ID</w:t>
      </w:r>
      <w:r>
        <w:rPr>
          <w:rFonts w:ascii="Times New Roman" w:cs="Times New Roman" w:eastAsia="Times New Roman" w:hAnsi="Times New Roman"/>
          <w:sz w:val="19"/>
          <w:szCs w:val="19"/>
          <w:color w:val="464646"/>
        </w:rPr>
        <w:t xml:space="preserve"> </w:t>
      </w:r>
      <w:r>
        <w:rPr>
          <w:rFonts w:ascii="Times New Roman" w:cs="Times New Roman" w:eastAsia="Times New Roman" w:hAnsi="Times New Roman"/>
          <w:sz w:val="19"/>
          <w:szCs w:val="19"/>
          <w:u w:val="single" w:color="auto"/>
          <w:color w:val="4B4B4B"/>
        </w:rPr>
        <w:t>238</w:t>
      </w:r>
      <w:r>
        <w:rPr>
          <w:rFonts w:ascii="Times New Roman" w:cs="Times New Roman" w:eastAsia="Times New Roman" w:hAnsi="Times New Roman"/>
          <w:sz w:val="19"/>
          <w:szCs w:val="19"/>
          <w:u w:val="single" w:color="auto"/>
          <w:color w:val="616161"/>
        </w:rPr>
        <w:t>)</w:t>
      </w:r>
      <w:r>
        <w:rPr>
          <w:sz w:val="20"/>
          <w:szCs w:val="20"/>
          <w:color w:val="auto"/>
        </w:rPr>
        <w:tab/>
      </w:r>
      <w:r>
        <w:rPr>
          <w:rFonts w:ascii="Times New Roman" w:cs="Times New Roman" w:eastAsia="Times New Roman" w:hAnsi="Times New Roman"/>
          <w:sz w:val="19"/>
          <w:szCs w:val="19"/>
          <w:u w:val="single" w:color="auto"/>
          <w:color w:val="464646"/>
        </w:rPr>
        <w:t>86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3561715</wp:posOffset>
                </wp:positionH>
                <wp:positionV relativeFrom="paragraph">
                  <wp:posOffset>-1270</wp:posOffset>
                </wp:positionV>
                <wp:extent cx="3048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4763"/>
                        </a:xfrm>
                        <a:prstGeom prst="line">
                          <a:avLst/>
                        </a:prstGeom>
                        <a:solidFill>
                          <a:srgbClr val="FFFFFF"/>
                        </a:solidFill>
                        <a:ln w="6163">
                          <a:solidFill>
                            <a:srgbClr val="616161"/>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45pt,-0.0999pt" to="282.85pt,-0.0999pt" o:allowincell="f" strokecolor="#616161" strokeweight="0.4853pt"/>
            </w:pict>
          </mc:Fallback>
        </mc:AlternateContent>
      </w:r>
    </w:p>
    <w:p>
      <w:pPr>
        <w:spacing w:after="0" w:line="125"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u w:val="single" w:color="auto"/>
          <w:color w:val="464646"/>
        </w:rPr>
        <w:t>Consolidated Balance Sheets</w:t>
      </w:r>
      <w:r>
        <w:rPr>
          <w:sz w:val="20"/>
          <w:szCs w:val="20"/>
          <w:color w:val="auto"/>
        </w:rPr>
        <w:tab/>
      </w:r>
      <w:r>
        <w:rPr>
          <w:rFonts w:ascii="Times New Roman" w:cs="Times New Roman" w:eastAsia="Times New Roman" w:hAnsi="Times New Roman"/>
          <w:sz w:val="19"/>
          <w:szCs w:val="19"/>
          <w:u w:val="single" w:color="auto"/>
          <w:color w:val="464646"/>
        </w:rPr>
        <w:t>87</w:t>
      </w:r>
    </w:p>
    <w:p>
      <w:pPr>
        <w:spacing w:after="0" w:line="145"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u w:val="single" w:color="auto"/>
          <w:color w:val="464646"/>
        </w:rPr>
        <w:t>Consolidated Statements of Operations</w:t>
      </w:r>
      <w:r>
        <w:rPr>
          <w:sz w:val="20"/>
          <w:szCs w:val="20"/>
          <w:color w:val="auto"/>
        </w:rPr>
        <w:tab/>
      </w:r>
      <w:r>
        <w:rPr>
          <w:rFonts w:ascii="Times New Roman" w:cs="Times New Roman" w:eastAsia="Times New Roman" w:hAnsi="Times New Roman"/>
          <w:sz w:val="19"/>
          <w:szCs w:val="19"/>
          <w:u w:val="single" w:color="auto"/>
          <w:color w:val="464646"/>
        </w:rPr>
        <w:t>88</w:t>
      </w:r>
    </w:p>
    <w:p>
      <w:pPr>
        <w:spacing w:after="0" w:line="145"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u w:val="single" w:color="auto"/>
          <w:color w:val="464646"/>
        </w:rPr>
        <w:t>Consolidated Statements of Comprehensive Loss</w:t>
      </w:r>
      <w:r>
        <w:rPr>
          <w:sz w:val="20"/>
          <w:szCs w:val="20"/>
          <w:color w:val="auto"/>
        </w:rPr>
        <w:tab/>
      </w:r>
      <w:r>
        <w:rPr>
          <w:rFonts w:ascii="Times New Roman" w:cs="Times New Roman" w:eastAsia="Times New Roman" w:hAnsi="Times New Roman"/>
          <w:sz w:val="19"/>
          <w:szCs w:val="19"/>
          <w:u w:val="single" w:color="auto"/>
          <w:color w:val="464646"/>
        </w:rPr>
        <w:t>89</w:t>
      </w:r>
    </w:p>
    <w:p>
      <w:pPr>
        <w:spacing w:after="0" w:line="145"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u w:val="single" w:color="auto"/>
          <w:color w:val="464646"/>
        </w:rPr>
        <w:t>Consolidated Statements of Stockholders’ Equity</w:t>
      </w:r>
      <w:r>
        <w:rPr>
          <w:sz w:val="20"/>
          <w:szCs w:val="20"/>
          <w:color w:val="auto"/>
        </w:rPr>
        <w:tab/>
      </w:r>
      <w:r>
        <w:rPr>
          <w:rFonts w:ascii="Times New Roman" w:cs="Times New Roman" w:eastAsia="Times New Roman" w:hAnsi="Times New Roman"/>
          <w:sz w:val="19"/>
          <w:szCs w:val="19"/>
          <w:u w:val="single" w:color="auto"/>
          <w:color w:val="464646"/>
        </w:rPr>
        <w:t>90</w:t>
      </w:r>
    </w:p>
    <w:p>
      <w:pPr>
        <w:spacing w:after="0" w:line="145"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u w:val="single" w:color="auto"/>
          <w:color w:val="464646"/>
        </w:rPr>
        <w:t>Consolidated Statements of Cash Flows</w:t>
      </w:r>
      <w:r>
        <w:rPr>
          <w:sz w:val="20"/>
          <w:szCs w:val="20"/>
          <w:color w:val="auto"/>
        </w:rPr>
        <w:tab/>
      </w:r>
      <w:r>
        <w:rPr>
          <w:rFonts w:ascii="Times New Roman" w:cs="Times New Roman" w:eastAsia="Times New Roman" w:hAnsi="Times New Roman"/>
          <w:sz w:val="19"/>
          <w:szCs w:val="19"/>
          <w:u w:val="single" w:color="auto"/>
          <w:color w:val="464646"/>
        </w:rPr>
        <w:t>91</w:t>
      </w:r>
    </w:p>
    <w:p>
      <w:pPr>
        <w:spacing w:after="0" w:line="145" w:lineRule="exact"/>
        <w:rPr>
          <w:sz w:val="20"/>
          <w:szCs w:val="20"/>
          <w:color w:val="auto"/>
        </w:rPr>
      </w:pPr>
    </w:p>
    <w:p>
      <w:pPr>
        <w:ind w:left="40"/>
        <w:spacing w:after="0"/>
        <w:tabs>
          <w:tab w:leader="dot" w:pos="9540" w:val="left"/>
        </w:tabs>
        <w:rPr>
          <w:sz w:val="20"/>
          <w:szCs w:val="20"/>
          <w:color w:val="auto"/>
        </w:rPr>
      </w:pPr>
      <w:r>
        <w:rPr>
          <w:rFonts w:ascii="Times New Roman" w:cs="Times New Roman" w:eastAsia="Times New Roman" w:hAnsi="Times New Roman"/>
          <w:sz w:val="19"/>
          <w:szCs w:val="19"/>
          <w:u w:val="single" w:color="auto"/>
          <w:color w:val="464646"/>
        </w:rPr>
        <w:t>Notes to Consolidated Financial Statements</w:t>
      </w:r>
      <w:r>
        <w:rPr>
          <w:sz w:val="20"/>
          <w:szCs w:val="20"/>
          <w:color w:val="auto"/>
        </w:rPr>
        <w:tab/>
      </w:r>
      <w:r>
        <w:rPr>
          <w:rFonts w:ascii="Times New Roman" w:cs="Times New Roman" w:eastAsia="Times New Roman" w:hAnsi="Times New Roman"/>
          <w:sz w:val="19"/>
          <w:szCs w:val="19"/>
          <w:u w:val="single" w:color="auto"/>
          <w:color w:val="464646"/>
        </w:rPr>
        <w:t>92</w:t>
      </w:r>
    </w:p>
    <w:p>
      <w:pPr>
        <w:sectPr>
          <w:pgSz w:w="11880" w:h="15480" w:orient="portrait"/>
          <w:cols w:equalWidth="0" w:num="1">
            <w:col w:w="9900"/>
          </w:cols>
          <w:pgMar w:left="700" w:top="68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85</w:t>
      </w:r>
    </w:p>
    <w:p>
      <w:pPr>
        <w:sectPr>
          <w:pgSz w:w="11880" w:h="15480" w:orient="portrait"/>
          <w:cols w:equalWidth="0" w:num="1">
            <w:col w:w="9900"/>
          </w:cols>
          <w:pgMar w:left="700" w:top="684" w:right="1280" w:bottom="0" w:gutter="0" w:footer="0" w:header="0"/>
          <w:type w:val="continuous"/>
        </w:sectPr>
      </w:pPr>
    </w:p>
    <w:bookmarkStart w:id="87" w:name="page88"/>
    <w:bookmarkEnd w:id="87"/>
    <w:p>
      <w:pPr>
        <w:ind w:right="2800" w:firstLine="2811"/>
        <w:spacing w:after="0" w:line="450" w:lineRule="auto"/>
        <w:rPr>
          <w:sz w:val="20"/>
          <w:szCs w:val="20"/>
          <w:color w:val="auto"/>
        </w:rPr>
      </w:pPr>
      <w:r>
        <w:rPr>
          <w:rFonts w:ascii="Times New Roman" w:cs="Times New Roman" w:eastAsia="Times New Roman" w:hAnsi="Times New Roman"/>
          <w:sz w:val="19"/>
          <w:szCs w:val="19"/>
          <w:b w:val="1"/>
          <w:bCs w:val="1"/>
          <w:color w:val="auto"/>
        </w:rPr>
        <w:t xml:space="preserve">Report of Independent Registered Public Accounting Firm </w:t>
      </w:r>
      <w:r>
        <w:rPr>
          <w:rFonts w:ascii="Times New Roman" w:cs="Times New Roman" w:eastAsia="Times New Roman" w:hAnsi="Times New Roman"/>
          <w:sz w:val="19"/>
          <w:szCs w:val="19"/>
          <w:color w:val="auto"/>
        </w:rPr>
        <w:t xml:space="preserve">To the Board of Directors and Stockholders of Nautilus Biotechnology, Inc. </w:t>
      </w:r>
      <w:r>
        <w:rPr>
          <w:rFonts w:ascii="Times New Roman" w:cs="Times New Roman" w:eastAsia="Times New Roman" w:hAnsi="Times New Roman"/>
          <w:sz w:val="19"/>
          <w:szCs w:val="19"/>
          <w:b w:val="1"/>
          <w:bCs w:val="1"/>
          <w:i w:val="1"/>
          <w:iCs w:val="1"/>
          <w:color w:val="auto"/>
        </w:rPr>
        <w:t>Opinion on the Financial Statements</w:t>
      </w:r>
    </w:p>
    <w:p>
      <w:pPr>
        <w:spacing w:after="0" w:line="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Nautilus Biotechnology, Inc. and its subsidiary (the “Company”) as of December 31, 2024 and 2023, and the related consolidated statements of operations, of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w:t>
      </w:r>
    </w:p>
    <w:p>
      <w:pPr>
        <w:spacing w:after="0" w:line="196"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 Jose, California</w:t>
      </w:r>
    </w:p>
    <w:p>
      <w:pPr>
        <w:spacing w:after="0"/>
        <w:rPr>
          <w:sz w:val="20"/>
          <w:szCs w:val="20"/>
          <w:color w:val="auto"/>
        </w:rPr>
      </w:pPr>
      <w:r>
        <w:rPr>
          <w:rFonts w:ascii="Times New Roman" w:cs="Times New Roman" w:eastAsia="Times New Roman" w:hAnsi="Times New Roman"/>
          <w:sz w:val="19"/>
          <w:szCs w:val="19"/>
          <w:color w:val="auto"/>
        </w:rPr>
        <w:t>February 27,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2020.</w:t>
      </w:r>
    </w:p>
    <w:p>
      <w:pPr>
        <w:sectPr>
          <w:pgSz w:w="11880" w:h="15480" w:orient="portrait"/>
          <w:cols w:equalWidth="0" w:num="1">
            <w:col w:w="10460"/>
          </w:cols>
          <w:pgMar w:left="700" w:top="68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ectPr>
          <w:pgSz w:w="11880" w:h="15480" w:orient="portrait"/>
          <w:cols w:equalWidth="0" w:num="1">
            <w:col w:w="10460"/>
          </w:cols>
          <w:pgMar w:left="700" w:top="684" w:right="72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Balance Sheets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At December 31,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15240</wp:posOffset>
                </wp:positionV>
                <wp:extent cx="576834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1.2pt" to="452.1pt,1.2pt" o:allowincell="f" strokecolor="#000000" strokeweight="1pt"/>
            </w:pict>
          </mc:Fallback>
        </mc:AlternateConten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amounts)</w:t>
            </w:r>
          </w:p>
        </w:tc>
        <w:tc>
          <w:tcPr>
            <w:tcW w:w="160" w:type="dxa"/>
            <w:vAlign w:val="bottom"/>
          </w:tcPr>
          <w:p>
            <w:pPr>
              <w:spacing w:after="0"/>
              <w:rPr>
                <w:sz w:val="16"/>
                <w:szCs w:val="16"/>
                <w:color w:val="auto"/>
              </w:rPr>
            </w:pPr>
          </w:p>
        </w:tc>
        <w:tc>
          <w:tcPr>
            <w:tcW w:w="110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181"/>
        </w:trPr>
        <w:tc>
          <w:tcPr>
            <w:tcW w:w="6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85"/>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85"/>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Current 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27,646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19,397</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Short-term investments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102,247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154,021</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2,933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3,419</w:t>
            </w:r>
          </w:p>
        </w:tc>
        <w:tc>
          <w:tcPr>
            <w:tcW w:w="0" w:type="dxa"/>
            <w:vAlign w:val="bottom"/>
          </w:tcPr>
          <w:p>
            <w:pPr>
              <w:spacing w:after="0"/>
              <w:rPr>
                <w:sz w:val="1"/>
                <w:szCs w:val="1"/>
                <w:color w:val="auto"/>
              </w:rPr>
            </w:pPr>
          </w:p>
        </w:tc>
      </w:tr>
      <w:tr>
        <w:trPr>
          <w:trHeight w:val="254"/>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current assets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132,826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176,837</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Property and equipment, net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4,267</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right-of-use assets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28,256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32,634</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Long-term investments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76,405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90,647</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Other long-term assets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1,180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1,180</w:t>
            </w:r>
          </w:p>
        </w:tc>
        <w:tc>
          <w:tcPr>
            <w:tcW w:w="0" w:type="dxa"/>
            <w:vAlign w:val="bottom"/>
          </w:tcPr>
          <w:p>
            <w:pPr>
              <w:spacing w:after="0"/>
              <w:rPr>
                <w:sz w:val="1"/>
                <w:szCs w:val="1"/>
                <w:color w:val="auto"/>
              </w:rPr>
            </w:pPr>
          </w:p>
        </w:tc>
      </w:tr>
      <w:tr>
        <w:trPr>
          <w:trHeight w:val="23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242,743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305,565</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4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Current liabilities: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1,639</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Accrued expenses and other liabilities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3,945</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Current portion of operating lease liability</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4,097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3,538</w:t>
            </w:r>
          </w:p>
        </w:tc>
        <w:tc>
          <w:tcPr>
            <w:tcW w:w="0" w:type="dxa"/>
            <w:vAlign w:val="bottom"/>
          </w:tcPr>
          <w:p>
            <w:pPr>
              <w:spacing w:after="0"/>
              <w:rPr>
                <w:sz w:val="1"/>
                <w:szCs w:val="1"/>
                <w:color w:val="auto"/>
              </w:rPr>
            </w:pPr>
          </w:p>
        </w:tc>
      </w:tr>
      <w:tr>
        <w:trPr>
          <w:trHeight w:val="254"/>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current liabilities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7,632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9,122</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Operating lease liability, net of current portion</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26,381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31,090</w:t>
            </w:r>
          </w:p>
        </w:tc>
        <w:tc>
          <w:tcPr>
            <w:tcW w:w="0" w:type="dxa"/>
            <w:vAlign w:val="bottom"/>
          </w:tcPr>
          <w:p>
            <w:pPr>
              <w:spacing w:after="0"/>
              <w:rPr>
                <w:sz w:val="1"/>
                <w:szCs w:val="1"/>
                <w:color w:val="auto"/>
              </w:rPr>
            </w:pPr>
          </w:p>
        </w:tc>
      </w:tr>
      <w:tr>
        <w:trPr>
          <w:trHeight w:val="25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liabilities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34,013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40,212</w:t>
            </w:r>
          </w:p>
        </w:tc>
        <w:tc>
          <w:tcPr>
            <w:tcW w:w="0" w:type="dxa"/>
            <w:vAlign w:val="bottom"/>
          </w:tcPr>
          <w:p>
            <w:pPr>
              <w:spacing w:after="0"/>
              <w:rPr>
                <w:sz w:val="1"/>
                <w:szCs w:val="1"/>
                <w:color w:val="auto"/>
              </w:rPr>
            </w:pPr>
          </w:p>
        </w:tc>
      </w:tr>
      <w:tr>
        <w:trPr>
          <w:trHeight w:val="530"/>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Commitments and contingencies (Note 8)</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Stockholders’ equity:</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46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Preferred stock, $0.0001 par value, 200,000,000 authorized as of December 31,</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460" w:type="dxa"/>
            <w:vAlign w:val="bottom"/>
          </w:tcPr>
          <w:p>
            <w:pPr>
              <w:ind w:left="180"/>
              <w:spacing w:after="0" w:line="194" w:lineRule="exact"/>
              <w:rPr>
                <w:sz w:val="20"/>
                <w:szCs w:val="20"/>
                <w:color w:val="auto"/>
              </w:rPr>
            </w:pPr>
            <w:r>
              <w:rPr>
                <w:rFonts w:ascii="Times New Roman" w:cs="Times New Roman" w:eastAsia="Times New Roman" w:hAnsi="Times New Roman"/>
                <w:sz w:val="19"/>
                <w:szCs w:val="19"/>
                <w:color w:val="auto"/>
              </w:rPr>
              <w:t>2024 and 2023, respectively; 0 shares issued and outstanding as of December</w:t>
            </w: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7"/>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31, 2024 and 2023, respectively</w:t>
            </w: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46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Common stock, $0.0001 par value, 1,000,000,000 shares authorized as of</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60" w:type="dxa"/>
            <w:vAlign w:val="bottom"/>
          </w:tcPr>
          <w:p>
            <w:pPr>
              <w:ind w:left="180"/>
              <w:spacing w:after="0" w:line="194" w:lineRule="exact"/>
              <w:rPr>
                <w:sz w:val="20"/>
                <w:szCs w:val="20"/>
                <w:color w:val="auto"/>
              </w:rPr>
            </w:pPr>
            <w:r>
              <w:rPr>
                <w:rFonts w:ascii="Times New Roman" w:cs="Times New Roman" w:eastAsia="Times New Roman" w:hAnsi="Times New Roman"/>
                <w:sz w:val="19"/>
                <w:szCs w:val="19"/>
                <w:color w:val="auto"/>
              </w:rPr>
              <w:t>December 31, 2024 and 2023, respectively; 126,106,176 and 125,068,601</w:t>
            </w: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0" w:type="dxa"/>
            <w:vAlign w:val="bottom"/>
          </w:tcPr>
          <w:p>
            <w:pPr>
              <w:spacing w:after="0"/>
              <w:rPr>
                <w:sz w:val="1"/>
                <w:szCs w:val="1"/>
                <w:color w:val="auto"/>
              </w:rPr>
            </w:pPr>
          </w:p>
        </w:tc>
      </w:tr>
      <w:tr>
        <w:trPr>
          <w:trHeight w:val="253"/>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shares issued and outstanding as of December 31, 2024 and 2023, respectively</w:t>
            </w: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Additional paid-in capital</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481,679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467,834</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Accumulated other comprehensive income (loss)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(255)</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Accumulated deficit</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(273,019)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(202,239)</w:t>
            </w:r>
          </w:p>
        </w:tc>
        <w:tc>
          <w:tcPr>
            <w:tcW w:w="0" w:type="dxa"/>
            <w:vAlign w:val="bottom"/>
          </w:tcPr>
          <w:p>
            <w:pPr>
              <w:spacing w:after="0"/>
              <w:rPr>
                <w:sz w:val="1"/>
                <w:szCs w:val="1"/>
                <w:color w:val="auto"/>
              </w:rPr>
            </w:pPr>
          </w:p>
        </w:tc>
      </w:tr>
      <w:tr>
        <w:trPr>
          <w:trHeight w:val="25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stockholders’ equity</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208,730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265,353</w:t>
            </w:r>
          </w:p>
        </w:tc>
        <w:tc>
          <w:tcPr>
            <w:tcW w:w="0" w:type="dxa"/>
            <w:vAlign w:val="bottom"/>
          </w:tcPr>
          <w:p>
            <w:pPr>
              <w:spacing w:after="0"/>
              <w:rPr>
                <w:sz w:val="1"/>
                <w:szCs w:val="1"/>
                <w:color w:val="auto"/>
              </w:rPr>
            </w:pPr>
          </w:p>
        </w:tc>
      </w:tr>
      <w:tr>
        <w:trPr>
          <w:trHeight w:val="23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242,743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305,565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-5725795</wp:posOffset>
            </wp:positionV>
            <wp:extent cx="5794375" cy="5732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5794375" cy="5732780"/>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1880" w:h="15480" w:orient="portrait"/>
          <w:cols w:equalWidth="0" w:num="1">
            <w:col w:w="9040"/>
          </w:cols>
          <w:pgMar w:left="1440" w:top="298"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87</w:t>
      </w:r>
    </w:p>
    <w:p>
      <w:pPr>
        <w:sectPr>
          <w:pgSz w:w="11880" w:h="15480" w:orient="portrait"/>
          <w:cols w:equalWidth="0" w:num="1">
            <w:col w:w="9040"/>
          </w:cols>
          <w:pgMar w:left="1440" w:top="298" w:right="140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Statements of Operations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8890</wp:posOffset>
            </wp:positionV>
            <wp:extent cx="5794375" cy="2592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5794375" cy="259207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amounts)</w:t>
            </w:r>
          </w:p>
        </w:tc>
        <w:tc>
          <w:tcPr>
            <w:tcW w:w="160" w:type="dxa"/>
            <w:vAlign w:val="bottom"/>
          </w:tcPr>
          <w:p>
            <w:pPr>
              <w:spacing w:after="0"/>
              <w:rPr>
                <w:sz w:val="13"/>
                <w:szCs w:val="13"/>
                <w:color w:val="auto"/>
              </w:rPr>
            </w:pPr>
          </w:p>
        </w:tc>
        <w:tc>
          <w:tcPr>
            <w:tcW w:w="1120" w:type="dxa"/>
            <w:vAlign w:val="bottom"/>
          </w:tcPr>
          <w:p>
            <w:pPr>
              <w:jc w:val="center"/>
              <w:ind w:right="68"/>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8"/>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50,477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47,251</w:t>
            </w:r>
          </w:p>
        </w:tc>
        <w:tc>
          <w:tcPr>
            <w:tcW w:w="0" w:type="dxa"/>
            <w:vAlign w:val="bottom"/>
          </w:tcPr>
          <w:p>
            <w:pPr>
              <w:spacing w:after="0"/>
              <w:rPr>
                <w:sz w:val="1"/>
                <w:szCs w:val="1"/>
                <w:color w:val="auto"/>
              </w:rPr>
            </w:pPr>
          </w:p>
        </w:tc>
      </w:tr>
      <w:tr>
        <w:trPr>
          <w:trHeight w:val="279"/>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30,999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28,901</w:t>
            </w:r>
          </w:p>
        </w:tc>
        <w:tc>
          <w:tcPr>
            <w:tcW w:w="0" w:type="dxa"/>
            <w:vAlign w:val="bottom"/>
          </w:tcPr>
          <w:p>
            <w:pPr>
              <w:spacing w:after="0"/>
              <w:rPr>
                <w:sz w:val="1"/>
                <w:szCs w:val="1"/>
                <w:color w:val="auto"/>
              </w:rPr>
            </w:pPr>
          </w:p>
        </w:tc>
      </w:tr>
      <w:tr>
        <w:trPr>
          <w:trHeight w:val="254"/>
        </w:trPr>
        <w:tc>
          <w:tcPr>
            <w:tcW w:w="64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Total operating expenses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81,476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76,152</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Other income (expense):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Interest income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12,550</w:t>
            </w:r>
          </w:p>
        </w:tc>
        <w:tc>
          <w:tcPr>
            <w:tcW w:w="0" w:type="dxa"/>
            <w:vAlign w:val="bottom"/>
          </w:tcPr>
          <w:p>
            <w:pPr>
              <w:spacing w:after="0"/>
              <w:rPr>
                <w:sz w:val="1"/>
                <w:szCs w:val="1"/>
                <w:color w:val="auto"/>
              </w:rPr>
            </w:pPr>
          </w:p>
        </w:tc>
      </w:tr>
      <w:tr>
        <w:trPr>
          <w:trHeight w:val="279"/>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Other expense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(73)</w:t>
            </w:r>
          </w:p>
        </w:tc>
        <w:tc>
          <w:tcPr>
            <w:tcW w:w="0" w:type="dxa"/>
            <w:vAlign w:val="bottom"/>
          </w:tcPr>
          <w:p>
            <w:pPr>
              <w:spacing w:after="0"/>
              <w:rPr>
                <w:sz w:val="1"/>
                <w:szCs w:val="1"/>
                <w:color w:val="auto"/>
              </w:rPr>
            </w:pPr>
          </w:p>
        </w:tc>
      </w:tr>
      <w:tr>
        <w:trPr>
          <w:trHeight w:val="257"/>
        </w:trPr>
        <w:tc>
          <w:tcPr>
            <w:tcW w:w="64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Total other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10,696</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12,477</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(70,780)</w:t>
            </w: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(63,675)</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loss per share attributable to common stockholders, basic and diluted</w:t>
            </w: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9"/>
                <w:szCs w:val="19"/>
                <w:color w:val="auto"/>
              </w:rPr>
              <w:t>(0.56)</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9"/>
                <w:szCs w:val="19"/>
                <w:color w:val="auto"/>
              </w:rPr>
              <w:t>(0.51)</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line="196" w:lineRule="exact"/>
              <w:rPr>
                <w:sz w:val="20"/>
                <w:szCs w:val="20"/>
                <w:color w:val="auto"/>
              </w:rPr>
            </w:pPr>
            <w:r>
              <w:rPr>
                <w:rFonts w:ascii="Times New Roman" w:cs="Times New Roman" w:eastAsia="Times New Roman" w:hAnsi="Times New Roman"/>
                <w:sz w:val="19"/>
                <w:szCs w:val="19"/>
                <w:color w:val="auto"/>
              </w:rPr>
              <w:t>Weighted-average shares used in computing net loss per share attributable to</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125,426,509</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124,919,144</w:t>
            </w:r>
          </w:p>
        </w:tc>
        <w:tc>
          <w:tcPr>
            <w:tcW w:w="0" w:type="dxa"/>
            <w:vAlign w:val="bottom"/>
          </w:tcPr>
          <w:p>
            <w:pPr>
              <w:spacing w:after="0"/>
              <w:rPr>
                <w:sz w:val="1"/>
                <w:szCs w:val="1"/>
                <w:color w:val="auto"/>
              </w:rPr>
            </w:pPr>
          </w:p>
        </w:tc>
      </w:tr>
      <w:tr>
        <w:trPr>
          <w:trHeight w:val="236"/>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common stockholders, basic and diluted</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1880" w:h="15480" w:orient="portrait"/>
          <w:cols w:equalWidth="0" w:num="1">
            <w:col w:w="9040"/>
          </w:cols>
          <w:pgMar w:left="1440" w:top="298"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88</w:t>
      </w:r>
    </w:p>
    <w:p>
      <w:pPr>
        <w:sectPr>
          <w:pgSz w:w="11880" w:h="15480" w:orient="portrait"/>
          <w:cols w:equalWidth="0" w:num="1">
            <w:col w:w="9040"/>
          </w:cols>
          <w:pgMar w:left="1440" w:top="298" w:right="140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Statements of Comprehensive Loss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Years Ended December 31,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15240</wp:posOffset>
                </wp:positionV>
                <wp:extent cx="576834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1.2pt" to="452.1pt,1.2pt" o:allowincell="f" strokecolor="#000000" strokeweight="1pt"/>
            </w:pict>
          </mc:Fallback>
        </mc:AlternateConten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2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91"/>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(70,780)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(63,675)</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Other comprehensive income: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Unrealized gain on securities available-for-sale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1,599</w:t>
            </w:r>
          </w:p>
        </w:tc>
        <w:tc>
          <w:tcPr>
            <w:tcW w:w="0" w:type="dxa"/>
            <w:vAlign w:val="bottom"/>
          </w:tcPr>
          <w:p>
            <w:pPr>
              <w:spacing w:after="0"/>
              <w:rPr>
                <w:sz w:val="1"/>
                <w:szCs w:val="1"/>
                <w:color w:val="auto"/>
              </w:rPr>
            </w:pPr>
          </w:p>
        </w:tc>
      </w:tr>
      <w:tr>
        <w:trPr>
          <w:trHeight w:val="25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other comprehensive income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1,599</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(70,468)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(62,076)</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-909320</wp:posOffset>
            </wp:positionV>
            <wp:extent cx="5794375" cy="916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extLst>
                    </a:blip>
                    <a:srcRect/>
                    <a:stretch>
                      <a:fillRect/>
                    </a:stretch>
                  </pic:blipFill>
                  <pic:spPr bwMode="auto">
                    <a:xfrm>
                      <a:off x="0" y="0"/>
                      <a:ext cx="5794375" cy="916305"/>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1880" w:h="15480" w:orient="portrait"/>
          <w:cols w:equalWidth="0" w:num="1">
            <w:col w:w="9040"/>
          </w:cols>
          <w:pgMar w:left="1440" w:top="298"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89</w:t>
      </w:r>
    </w:p>
    <w:p>
      <w:pPr>
        <w:sectPr>
          <w:pgSz w:w="11880" w:h="15480" w:orient="portrait"/>
          <w:cols w:equalWidth="0" w:num="1">
            <w:col w:w="9040"/>
          </w:cols>
          <w:pgMar w:left="1440" w:top="298" w:right="1400" w:bottom="0"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10160</wp:posOffset>
                </wp:positionV>
                <wp:extent cx="61722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0.8pt" to="484pt,0.8pt" o:allowincell="f" strokecolor="#000000" strokeweight="1pt"/>
            </w:pict>
          </mc:Fallback>
        </mc:AlternateConten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1620" w:type="dxa"/>
            <w:vAlign w:val="bottom"/>
            <w:gridSpan w:val="3"/>
            <w:vMerge w:val="restart"/>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center"/>
              <w:ind w:right="127"/>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00"/>
        </w:trPr>
        <w:tc>
          <w:tcPr>
            <w:tcW w:w="4060" w:type="dxa"/>
            <w:vAlign w:val="bottom"/>
          </w:tcPr>
          <w:p>
            <w:pPr>
              <w:spacing w:after="0"/>
              <w:rPr>
                <w:sz w:val="8"/>
                <w:szCs w:val="8"/>
                <w:color w:val="auto"/>
              </w:rPr>
            </w:pPr>
          </w:p>
        </w:tc>
        <w:tc>
          <w:tcPr>
            <w:tcW w:w="162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146"/>
              <w:spacing w:after="0" w:line="100" w:lineRule="exact"/>
              <w:rPr>
                <w:sz w:val="20"/>
                <w:szCs w:val="20"/>
                <w:color w:val="auto"/>
              </w:rPr>
            </w:pPr>
            <w:r>
              <w:rPr>
                <w:rFonts w:ascii="Times New Roman" w:cs="Times New Roman" w:eastAsia="Times New Roman" w:hAnsi="Times New Roman"/>
                <w:sz w:val="11"/>
                <w:szCs w:val="11"/>
                <w:b w:val="1"/>
                <w:bCs w:val="1"/>
                <w:color w:val="auto"/>
              </w:rPr>
              <w:t>Other</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except share amounts)</w:t>
            </w:r>
          </w:p>
        </w:tc>
        <w:tc>
          <w:tcPr>
            <w:tcW w:w="900" w:type="dxa"/>
            <w:vAlign w:val="bottom"/>
            <w:vMerge w:val="restart"/>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106"/>
              <w:spacing w:after="0" w:line="120"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60" w:type="dxa"/>
            <w:vAlign w:val="bottom"/>
          </w:tcPr>
          <w:p>
            <w:pPr>
              <w:spacing w:after="0"/>
              <w:rPr>
                <w:sz w:val="10"/>
                <w:szCs w:val="10"/>
                <w:color w:val="auto"/>
              </w:rPr>
            </w:pPr>
          </w:p>
        </w:tc>
        <w:tc>
          <w:tcPr>
            <w:tcW w:w="900" w:type="dxa"/>
            <w:vAlign w:val="bottom"/>
            <w:gridSpan w:val="2"/>
          </w:tcPr>
          <w:p>
            <w:pPr>
              <w:ind w:left="4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40" w:type="dxa"/>
            <w:vAlign w:val="bottom"/>
          </w:tcPr>
          <w:p>
            <w:pPr>
              <w:spacing w:after="0"/>
              <w:rPr>
                <w:sz w:val="10"/>
                <w:szCs w:val="10"/>
                <w:color w:val="auto"/>
              </w:rPr>
            </w:pPr>
          </w:p>
        </w:tc>
        <w:tc>
          <w:tcPr>
            <w:tcW w:w="900" w:type="dxa"/>
            <w:vAlign w:val="bottom"/>
            <w:gridSpan w:val="2"/>
          </w:tcPr>
          <w:p>
            <w:pPr>
              <w:jc w:val="right"/>
              <w:ind w:right="46"/>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40" w:type="dxa"/>
            <w:vAlign w:val="bottom"/>
          </w:tcPr>
          <w:p>
            <w:pPr>
              <w:spacing w:after="0"/>
              <w:rPr>
                <w:sz w:val="10"/>
                <w:szCs w:val="10"/>
                <w:color w:val="auto"/>
              </w:rPr>
            </w:pPr>
          </w:p>
        </w:tc>
        <w:tc>
          <w:tcPr>
            <w:tcW w:w="9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58"/>
        </w:trPr>
        <w:tc>
          <w:tcPr>
            <w:tcW w:w="406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6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Balances at December 31,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124,865,485</w:t>
            </w:r>
          </w:p>
        </w:tc>
        <w:tc>
          <w:tcPr>
            <w:tcW w:w="40" w:type="dxa"/>
            <w:vAlign w:val="bottom"/>
          </w:tcPr>
          <w:p>
            <w:pPr>
              <w:spacing w:after="0"/>
              <w:rPr>
                <w:sz w:val="16"/>
                <w:szCs w:val="16"/>
                <w:color w:val="auto"/>
              </w:rPr>
            </w:pPr>
          </w:p>
        </w:tc>
        <w:tc>
          <w:tcPr>
            <w:tcW w:w="680" w:type="dxa"/>
            <w:vAlign w:val="bottom"/>
          </w:tcPr>
          <w:p>
            <w:pPr>
              <w:jc w:val="right"/>
              <w:ind w:right="489"/>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12</w:t>
            </w:r>
          </w:p>
        </w:tc>
        <w:tc>
          <w:tcPr>
            <w:tcW w:w="4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455,330</w:t>
            </w:r>
          </w:p>
        </w:tc>
        <w:tc>
          <w:tcPr>
            <w:tcW w:w="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(1,854)</w:t>
            </w:r>
          </w:p>
        </w:tc>
        <w:tc>
          <w:tcPr>
            <w:tcW w:w="4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(138,564)</w:t>
            </w:r>
          </w:p>
        </w:tc>
        <w:tc>
          <w:tcPr>
            <w:tcW w:w="40" w:type="dxa"/>
            <w:vAlign w:val="bottom"/>
          </w:tcPr>
          <w:p>
            <w:pPr>
              <w:spacing w:after="0"/>
              <w:rPr>
                <w:sz w:val="16"/>
                <w:szCs w:val="16"/>
                <w:color w:val="auto"/>
              </w:rPr>
            </w:pP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314,924</w:t>
            </w: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upon exercise of vested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70,865</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under employee stock 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132,251</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12,137</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1,599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1,599</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(63,675)</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(63,675)</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Balances at December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125,068,601</w:t>
            </w:r>
          </w:p>
        </w:tc>
        <w:tc>
          <w:tcPr>
            <w:tcW w:w="40" w:type="dxa"/>
            <w:vAlign w:val="bottom"/>
          </w:tcPr>
          <w:p>
            <w:pPr>
              <w:spacing w:after="0"/>
              <w:rPr>
                <w:sz w:val="16"/>
                <w:szCs w:val="16"/>
                <w:color w:val="auto"/>
              </w:rPr>
            </w:pPr>
          </w:p>
        </w:tc>
        <w:tc>
          <w:tcPr>
            <w:tcW w:w="680" w:type="dxa"/>
            <w:vAlign w:val="bottom"/>
          </w:tcPr>
          <w:p>
            <w:pPr>
              <w:jc w:val="right"/>
              <w:ind w:right="489"/>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13</w:t>
            </w:r>
          </w:p>
        </w:tc>
        <w:tc>
          <w:tcPr>
            <w:tcW w:w="4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467,834</w:t>
            </w:r>
          </w:p>
        </w:tc>
        <w:tc>
          <w:tcPr>
            <w:tcW w:w="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4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(202,239)</w:t>
            </w:r>
          </w:p>
        </w:tc>
        <w:tc>
          <w:tcPr>
            <w:tcW w:w="40" w:type="dxa"/>
            <w:vAlign w:val="bottom"/>
          </w:tcPr>
          <w:p>
            <w:pPr>
              <w:spacing w:after="0"/>
              <w:rPr>
                <w:sz w:val="16"/>
                <w:szCs w:val="16"/>
                <w:color w:val="auto"/>
              </w:rPr>
            </w:pP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265,353</w:t>
            </w: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upon exercise of vested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790,111</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common stock under employee stock 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247,464</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0" w:type="dxa"/>
            <w:vAlign w:val="bottom"/>
          </w:tcPr>
          <w:p>
            <w:pPr>
              <w:spacing w:after="0"/>
              <w:rPr>
                <w:sz w:val="1"/>
                <w:szCs w:val="1"/>
                <w:color w:val="auto"/>
              </w:rPr>
            </w:pPr>
          </w:p>
        </w:tc>
      </w:tr>
      <w:tr>
        <w:trPr>
          <w:trHeight w:val="184"/>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12,701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12,701</w:t>
            </w:r>
          </w:p>
        </w:tc>
        <w:tc>
          <w:tcPr>
            <w:tcW w:w="0" w:type="dxa"/>
            <w:vAlign w:val="bottom"/>
          </w:tcPr>
          <w:p>
            <w:pPr>
              <w:spacing w:after="0"/>
              <w:rPr>
                <w:sz w:val="1"/>
                <w:szCs w:val="1"/>
                <w:color w:val="auto"/>
              </w:rPr>
            </w:pPr>
          </w:p>
        </w:tc>
      </w:tr>
      <w:tr>
        <w:trPr>
          <w:trHeight w:val="180"/>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312</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0" w:type="dxa"/>
            <w:vAlign w:val="bottom"/>
          </w:tcPr>
          <w:p>
            <w:pPr>
              <w:spacing w:after="0"/>
              <w:rPr>
                <w:sz w:val="1"/>
                <w:szCs w:val="1"/>
                <w:color w:val="auto"/>
              </w:rPr>
            </w:pPr>
          </w:p>
        </w:tc>
      </w:tr>
      <w:tr>
        <w:trPr>
          <w:trHeight w:val="176"/>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(70,780)</w:t>
            </w: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(70,780)</w:t>
            </w:r>
          </w:p>
        </w:tc>
        <w:tc>
          <w:tcPr>
            <w:tcW w:w="0" w:type="dxa"/>
            <w:vAlign w:val="bottom"/>
          </w:tcPr>
          <w:p>
            <w:pPr>
              <w:spacing w:after="0"/>
              <w:rPr>
                <w:sz w:val="1"/>
                <w:szCs w:val="1"/>
                <w:color w:val="auto"/>
              </w:rPr>
            </w:pPr>
          </w:p>
        </w:tc>
      </w:tr>
      <w:tr>
        <w:trPr>
          <w:trHeight w:val="145"/>
        </w:trPr>
        <w:tc>
          <w:tcPr>
            <w:tcW w:w="40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Balances at December 31, 2024</w:t>
            </w:r>
          </w:p>
        </w:tc>
        <w:tc>
          <w:tcPr>
            <w:tcW w:w="90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5"/>
                <w:szCs w:val="15"/>
                <w:color w:val="auto"/>
              </w:rPr>
              <w:t>126,106,176</w:t>
            </w:r>
          </w:p>
        </w:tc>
        <w:tc>
          <w:tcPr>
            <w:tcW w:w="40" w:type="dxa"/>
            <w:vAlign w:val="bottom"/>
          </w:tcPr>
          <w:p>
            <w:pPr>
              <w:spacing w:after="0"/>
              <w:rPr>
                <w:sz w:val="12"/>
                <w:szCs w:val="12"/>
                <w:color w:val="auto"/>
              </w:rPr>
            </w:pPr>
          </w:p>
        </w:tc>
        <w:tc>
          <w:tcPr>
            <w:tcW w:w="680" w:type="dxa"/>
            <w:vAlign w:val="bottom"/>
            <w:tcBorders>
              <w:bottom w:val="single" w:sz="8" w:color="auto"/>
            </w:tcBorders>
          </w:tcPr>
          <w:p>
            <w:pPr>
              <w:jc w:val="right"/>
              <w:ind w:right="489"/>
              <w:spacing w:after="0" w:line="14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5"/>
                <w:szCs w:val="15"/>
                <w:color w:val="auto"/>
                <w:w w:val="93"/>
              </w:rPr>
              <w:t>13</w:t>
            </w:r>
          </w:p>
        </w:tc>
        <w:tc>
          <w:tcPr>
            <w:tcW w:w="40" w:type="dxa"/>
            <w:vAlign w:val="bottom"/>
          </w:tcPr>
          <w:p>
            <w:pPr>
              <w:spacing w:after="0"/>
              <w:rPr>
                <w:sz w:val="12"/>
                <w:szCs w:val="12"/>
                <w:color w:val="auto"/>
              </w:rPr>
            </w:pPr>
          </w:p>
        </w:tc>
        <w:tc>
          <w:tcPr>
            <w:tcW w:w="160" w:type="dxa"/>
            <w:vAlign w:val="bottom"/>
            <w:tcBorders>
              <w:bottom w:val="single" w:sz="8" w:color="auto"/>
            </w:tcBorders>
          </w:tcPr>
          <w:p>
            <w:pPr>
              <w:ind w:left="4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5"/>
                <w:szCs w:val="15"/>
                <w:color w:val="auto"/>
              </w:rPr>
              <w:t>481,679</w:t>
            </w:r>
          </w:p>
        </w:tc>
        <w:tc>
          <w:tcPr>
            <w:tcW w:w="60" w:type="dxa"/>
            <w:vAlign w:val="bottom"/>
          </w:tcPr>
          <w:p>
            <w:pPr>
              <w:spacing w:after="0"/>
              <w:rPr>
                <w:sz w:val="12"/>
                <w:szCs w:val="12"/>
                <w:color w:val="auto"/>
              </w:rPr>
            </w:pPr>
          </w:p>
        </w:tc>
        <w:tc>
          <w:tcPr>
            <w:tcW w:w="200" w:type="dxa"/>
            <w:vAlign w:val="bottom"/>
            <w:tcBorders>
              <w:bottom w:val="single" w:sz="8" w:color="auto"/>
            </w:tcBorders>
          </w:tcPr>
          <w:p>
            <w:pPr>
              <w:ind w:left="20"/>
              <w:spacing w:after="0" w:line="145"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ind w:right="6"/>
              <w:spacing w:after="0" w:line="145" w:lineRule="exact"/>
              <w:rPr>
                <w:sz w:val="20"/>
                <w:szCs w:val="20"/>
                <w:color w:val="auto"/>
              </w:rPr>
            </w:pPr>
            <w:r>
              <w:rPr>
                <w:rFonts w:ascii="Times New Roman" w:cs="Times New Roman" w:eastAsia="Times New Roman" w:hAnsi="Times New Roman"/>
                <w:sz w:val="15"/>
                <w:szCs w:val="15"/>
                <w:color w:val="auto"/>
              </w:rPr>
              <w:t>57</w:t>
            </w:r>
          </w:p>
        </w:tc>
        <w:tc>
          <w:tcPr>
            <w:tcW w:w="40" w:type="dxa"/>
            <w:vAlign w:val="bottom"/>
          </w:tcPr>
          <w:p>
            <w:pPr>
              <w:spacing w:after="0"/>
              <w:rPr>
                <w:sz w:val="12"/>
                <w:szCs w:val="12"/>
                <w:color w:val="auto"/>
              </w:rPr>
            </w:pPr>
          </w:p>
        </w:tc>
        <w:tc>
          <w:tcPr>
            <w:tcW w:w="200" w:type="dxa"/>
            <w:vAlign w:val="bottom"/>
            <w:tcBorders>
              <w:bottom w:val="single" w:sz="8" w:color="auto"/>
            </w:tcBorders>
          </w:tcPr>
          <w:p>
            <w:pPr>
              <w:jc w:val="right"/>
              <w:ind w:right="29"/>
              <w:spacing w:after="0" w:line="145"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5"/>
                <w:szCs w:val="15"/>
                <w:color w:val="auto"/>
              </w:rPr>
              <w:t>(273,019)</w:t>
            </w:r>
          </w:p>
        </w:tc>
        <w:tc>
          <w:tcPr>
            <w:tcW w:w="40" w:type="dxa"/>
            <w:vAlign w:val="bottom"/>
          </w:tcPr>
          <w:p>
            <w:pPr>
              <w:spacing w:after="0"/>
              <w:rPr>
                <w:sz w:val="12"/>
                <w:szCs w:val="12"/>
                <w:color w:val="auto"/>
              </w:rPr>
            </w:pPr>
          </w:p>
        </w:tc>
        <w:tc>
          <w:tcPr>
            <w:tcW w:w="200" w:type="dxa"/>
            <w:vAlign w:val="bottom"/>
            <w:tcBorders>
              <w:bottom w:val="single" w:sz="8" w:color="auto"/>
            </w:tcBorders>
          </w:tcPr>
          <w:p>
            <w:pPr>
              <w:jc w:val="right"/>
              <w:ind w:right="9"/>
              <w:spacing w:after="0" w:line="145"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5"/>
                <w:szCs w:val="15"/>
                <w:color w:val="auto"/>
              </w:rPr>
              <w:t>208,730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-1706880</wp:posOffset>
            </wp:positionV>
            <wp:extent cx="6197600" cy="171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6197600" cy="171386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90</w:t>
      </w:r>
    </w:p>
    <w:p>
      <w:pPr>
        <w:sectPr>
          <w:pgSz w:w="11880" w:h="15480" w:orient="portrait"/>
          <w:cols w:equalWidth="0" w:num="1">
            <w:col w:w="9680"/>
          </w:cols>
          <w:pgMar w:left="1120" w:top="1440" w:right="108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Consolidated Statements of Cash Flows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Years Ended December 31, 2024 and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-26670</wp:posOffset>
                </wp:positionH>
                <wp:positionV relativeFrom="paragraph">
                  <wp:posOffset>15240</wp:posOffset>
                </wp:positionV>
                <wp:extent cx="576834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1.2pt" to="452.1pt,1.2pt" o:allowincell="f" strokecolor="#000000" strokeweight="1pt"/>
            </w:pict>
          </mc:Fallback>
        </mc:AlternateConten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20" w:type="dxa"/>
            <w:vAlign w:val="bottom"/>
          </w:tcPr>
          <w:p>
            <w:pPr>
              <w:jc w:val="center"/>
              <w:ind w:right="65"/>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5"/>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(70,780)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(63,675)</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Adjustments to reconcile net loss to net cash used in operating activities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Stock-based compensation</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12,137</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 of operating lease right-of-use assets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3,856</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Depreciation</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1,975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1,849</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In-process research and development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Loss on disposal of property and equipment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 (accretion) of premiums (discount) on securities, net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(2,804)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(2,659)</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Changes in operating assets and liabilities: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Prepaid expenses and other assets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(821)</w:t>
            </w: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Accounts payable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w:t>
            </w: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Accrued expenses and other liabilities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417</w:t>
            </w:r>
          </w:p>
        </w:tc>
        <w:tc>
          <w:tcPr>
            <w:tcW w:w="0" w:type="dxa"/>
            <w:vAlign w:val="bottom"/>
          </w:tcPr>
          <w:p>
            <w:pPr>
              <w:spacing w:after="0"/>
              <w:rPr>
                <w:sz w:val="1"/>
                <w:szCs w:val="1"/>
                <w:color w:val="auto"/>
              </w:rPr>
            </w:pPr>
          </w:p>
        </w:tc>
      </w:tr>
      <w:tr>
        <w:trPr>
          <w:trHeight w:val="279"/>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(4,150)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(3,208)</w:t>
            </w:r>
          </w:p>
        </w:tc>
        <w:tc>
          <w:tcPr>
            <w:tcW w:w="0" w:type="dxa"/>
            <w:vAlign w:val="bottom"/>
          </w:tcPr>
          <w:p>
            <w:pPr>
              <w:spacing w:after="0"/>
              <w:rPr>
                <w:sz w:val="1"/>
                <w:szCs w:val="1"/>
                <w:color w:val="auto"/>
              </w:rPr>
            </w:pPr>
          </w:p>
        </w:tc>
      </w:tr>
      <w:tr>
        <w:trPr>
          <w:trHeight w:val="257"/>
        </w:trPr>
        <w:tc>
          <w:tcPr>
            <w:tcW w:w="64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Net cash used in operating activities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(59,145)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(51,711)</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Proceeds from maturities of securities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155,410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71,599</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Purchases of securities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(86,278)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(112,892)</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Purchases of property and equipment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(2,442)</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Cash paid in connection with asset acquisition</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(760)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7"/>
        </w:trPr>
        <w:tc>
          <w:tcPr>
            <w:tcW w:w="64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Net cash provided (used) by investing activities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66,250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(43,735)</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Proceeds from exercise of stock options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Proceeds from issuance of common stock under employee stock purchase plan</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264</w:t>
            </w:r>
          </w:p>
        </w:tc>
        <w:tc>
          <w:tcPr>
            <w:tcW w:w="0" w:type="dxa"/>
            <w:vAlign w:val="bottom"/>
          </w:tcPr>
          <w:p>
            <w:pPr>
              <w:spacing w:after="0"/>
              <w:rPr>
                <w:sz w:val="1"/>
                <w:szCs w:val="1"/>
                <w:color w:val="auto"/>
              </w:rPr>
            </w:pPr>
          </w:p>
        </w:tc>
      </w:tr>
      <w:tr>
        <w:trPr>
          <w:trHeight w:val="257"/>
        </w:trPr>
        <w:tc>
          <w:tcPr>
            <w:tcW w:w="64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Net cash provided by financing activities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1,144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368</w:t>
            </w:r>
          </w:p>
        </w:tc>
        <w:tc>
          <w:tcPr>
            <w:tcW w:w="0" w:type="dxa"/>
            <w:vAlign w:val="bottom"/>
          </w:tcPr>
          <w:p>
            <w:pPr>
              <w:spacing w:after="0"/>
              <w:rPr>
                <w:sz w:val="1"/>
                <w:szCs w:val="1"/>
                <w:color w:val="auto"/>
              </w:rPr>
            </w:pPr>
          </w:p>
        </w:tc>
      </w:tr>
      <w:tr>
        <w:trPr>
          <w:trHeight w:val="254"/>
        </w:trPr>
        <w:tc>
          <w:tcPr>
            <w:tcW w:w="64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Net increase (decrease) in cash, cash equivalents and restricted cash</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8,249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(95,078)</w:t>
            </w:r>
          </w:p>
        </w:tc>
        <w:tc>
          <w:tcPr>
            <w:tcW w:w="0" w:type="dxa"/>
            <w:vAlign w:val="bottom"/>
          </w:tcPr>
          <w:p>
            <w:pPr>
              <w:spacing w:after="0"/>
              <w:rPr>
                <w:sz w:val="1"/>
                <w:szCs w:val="1"/>
                <w:color w:val="auto"/>
              </w:rPr>
            </w:pPr>
          </w:p>
        </w:tc>
      </w:tr>
      <w:tr>
        <w:trPr>
          <w:trHeight w:val="556"/>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Cash, cash equivalents and restricted cash at beginning of period</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20,399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115,477</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Cash, cash equivalents and restricted cash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28,648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20,399</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Supplementary cash flow information on non-cash activities: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6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Acquisitions of property and equipment included in 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Right-of-use assets obtained in exchange for operating lease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-5624830</wp:posOffset>
            </wp:positionV>
            <wp:extent cx="5794375" cy="5646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extLst>
                    </a:blip>
                    <a:srcRect/>
                    <a:stretch>
                      <a:fillRect/>
                    </a:stretch>
                  </pic:blipFill>
                  <pic:spPr bwMode="auto">
                    <a:xfrm>
                      <a:off x="0" y="0"/>
                      <a:ext cx="5794375" cy="564642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1880" w:h="15480" w:orient="portrait"/>
          <w:cols w:equalWidth="0" w:num="1">
            <w:col w:w="9040"/>
          </w:cols>
          <w:pgMar w:left="1440" w:top="298"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91</w:t>
      </w:r>
    </w:p>
    <w:p>
      <w:pPr>
        <w:sectPr>
          <w:pgSz w:w="11880" w:h="15480" w:orient="portrait"/>
          <w:cols w:equalWidth="0" w:num="1">
            <w:col w:w="9040"/>
          </w:cols>
          <w:pgMar w:left="1440" w:top="298" w:right="1400" w:bottom="0" w:gutter="0" w:footer="0" w:header="0"/>
          <w:type w:val="continuous"/>
        </w:sectPr>
      </w:pPr>
    </w:p>
    <w:bookmarkStart w:id="93" w:name="page94"/>
    <w:bookmarkEnd w:id="93"/>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00" w:lineRule="exact"/>
        <w:rPr>
          <w:sz w:val="20"/>
          <w:szCs w:val="20"/>
          <w:color w:val="auto"/>
        </w:rPr>
      </w:pPr>
    </w:p>
    <w:p>
      <w:pPr>
        <w:spacing w:after="0" w:line="246" w:lineRule="exact"/>
        <w:rPr>
          <w:sz w:val="20"/>
          <w:szCs w:val="20"/>
          <w:color w:val="auto"/>
        </w:rPr>
      </w:pPr>
    </w:p>
    <w:p>
      <w:pPr>
        <w:ind w:left="702" w:hanging="702"/>
        <w:spacing w:after="0"/>
        <w:tabs>
          <w:tab w:leader="none" w:pos="702" w:val="left"/>
        </w:tabs>
        <w:numPr>
          <w:ilvl w:val="0"/>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Description of Business and Basis of Presentation</w:t>
      </w:r>
    </w:p>
    <w:p>
      <w:pPr>
        <w:spacing w:after="0" w:line="196" w:lineRule="exact"/>
        <w:rPr>
          <w:sz w:val="20"/>
          <w:szCs w:val="20"/>
          <w:color w:val="auto"/>
        </w:rPr>
      </w:pPr>
    </w:p>
    <w:p>
      <w:pPr>
        <w:ind w:left="2" w:right="20" w:firstLine="349"/>
        <w:spacing w:after="0" w:line="263" w:lineRule="auto"/>
        <w:rPr>
          <w:sz w:val="20"/>
          <w:szCs w:val="20"/>
          <w:color w:val="auto"/>
        </w:rPr>
      </w:pPr>
      <w:r>
        <w:rPr>
          <w:rFonts w:ascii="Times New Roman" w:cs="Times New Roman" w:eastAsia="Times New Roman" w:hAnsi="Times New Roman"/>
          <w:sz w:val="19"/>
          <w:szCs w:val="19"/>
          <w:color w:val="auto"/>
        </w:rPr>
        <w:t>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36" w:lineRule="exact"/>
        <w:rPr>
          <w:sz w:val="20"/>
          <w:szCs w:val="20"/>
          <w:color w:val="auto"/>
        </w:rPr>
      </w:pPr>
    </w:p>
    <w:p>
      <w:pPr>
        <w:ind w:left="2" w:firstLine="349"/>
        <w:spacing w:after="0" w:line="260" w:lineRule="auto"/>
        <w:rPr>
          <w:sz w:val="20"/>
          <w:szCs w:val="20"/>
          <w:color w:val="auto"/>
        </w:rPr>
      </w:pPr>
      <w:r>
        <w:rPr>
          <w:rFonts w:ascii="Times New Roman" w:cs="Times New Roman" w:eastAsia="Times New Roman" w:hAnsi="Times New Roman"/>
          <w:sz w:val="19"/>
          <w:szCs w:val="19"/>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374" w:lineRule="exact"/>
        <w:rPr>
          <w:sz w:val="20"/>
          <w:szCs w:val="20"/>
          <w:color w:val="auto"/>
        </w:rPr>
      </w:pPr>
    </w:p>
    <w:p>
      <w:pPr>
        <w:ind w:left="2" w:right="420" w:firstLine="349"/>
        <w:spacing w:after="0" w:line="268" w:lineRule="auto"/>
        <w:rPr>
          <w:sz w:val="20"/>
          <w:szCs w:val="20"/>
          <w:color w:val="auto"/>
        </w:rPr>
      </w:pPr>
      <w:r>
        <w:rPr>
          <w:rFonts w:ascii="Times New Roman" w:cs="Times New Roman" w:eastAsia="Times New Roman" w:hAnsi="Times New Roman"/>
          <w:sz w:val="19"/>
          <w:szCs w:val="19"/>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24"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w:t>
      </w:r>
    </w:p>
    <w:p>
      <w:pPr>
        <w:spacing w:after="0" w:line="196" w:lineRule="exact"/>
        <w:rPr>
          <w:sz w:val="20"/>
          <w:szCs w:val="20"/>
          <w:color w:val="auto"/>
        </w:rPr>
      </w:pPr>
    </w:p>
    <w:p>
      <w:pPr>
        <w:ind w:left="2" w:right="80" w:firstLine="349"/>
        <w:spacing w:after="0" w:line="263" w:lineRule="auto"/>
        <w:rPr>
          <w:sz w:val="20"/>
          <w:szCs w:val="20"/>
          <w:color w:val="auto"/>
        </w:rPr>
      </w:pPr>
      <w:r>
        <w:rPr>
          <w:rFonts w:ascii="Times New Roman" w:cs="Times New Roman" w:eastAsia="Times New Roman" w:hAnsi="Times New Roman"/>
          <w:sz w:val="19"/>
          <w:szCs w:val="19"/>
          <w:color w:val="auto"/>
        </w:rPr>
        <w:t>The consolidated financial statements and accompanying notes were prepared in accordance with accounting principles generally accepted in the United States of America (“U.S. GAAP”) and regulations of the U.S. Securities and Exchange Commission. The accompanying financial statements are consolidated for the years ended December 31, 2024 and 2023 and include the accounts of Nautilus Biotechnology, Inc. and its wholly-owned subsidiary, Nautilus Subsidiary, Inc. All intercompany transactions and balances have been eliminated upon consolidation. The Company’s reporting currency is the U.S. dollar.</w:t>
      </w:r>
    </w:p>
    <w:p>
      <w:pPr>
        <w:spacing w:after="0" w:line="129"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Going Concern</w:t>
      </w:r>
    </w:p>
    <w:p>
      <w:pPr>
        <w:spacing w:after="0" w:line="196" w:lineRule="exact"/>
        <w:rPr>
          <w:sz w:val="20"/>
          <w:szCs w:val="20"/>
          <w:color w:val="auto"/>
        </w:rPr>
      </w:pPr>
    </w:p>
    <w:p>
      <w:pPr>
        <w:ind w:left="2" w:right="80" w:firstLine="349"/>
        <w:spacing w:after="0" w:line="259" w:lineRule="auto"/>
        <w:rPr>
          <w:sz w:val="20"/>
          <w:szCs w:val="20"/>
          <w:color w:val="auto"/>
        </w:rPr>
      </w:pPr>
      <w:r>
        <w:rPr>
          <w:rFonts w:ascii="Times New Roman" w:cs="Times New Roman" w:eastAsia="Times New Roman" w:hAnsi="Times New Roman"/>
          <w:sz w:val="19"/>
          <w:szCs w:val="19"/>
          <w:color w:val="auto"/>
        </w:rPr>
        <w:t>The Company’s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2024, the Company had an accumulated deficit of $273.0 million.</w:t>
      </w:r>
    </w:p>
    <w:p>
      <w:pPr>
        <w:spacing w:after="0" w:line="144" w:lineRule="exact"/>
        <w:rPr>
          <w:sz w:val="20"/>
          <w:szCs w:val="20"/>
          <w:color w:val="auto"/>
        </w:rPr>
      </w:pPr>
    </w:p>
    <w:p>
      <w:pPr>
        <w:ind w:left="2" w:right="80" w:firstLine="349"/>
        <w:spacing w:after="0" w:line="262" w:lineRule="auto"/>
        <w:rPr>
          <w:sz w:val="20"/>
          <w:szCs w:val="20"/>
          <w:color w:val="auto"/>
        </w:rPr>
      </w:pPr>
      <w:r>
        <w:rPr>
          <w:rFonts w:ascii="Times New Roman" w:cs="Times New Roman" w:eastAsia="Times New Roman" w:hAnsi="Times New Roman"/>
          <w:sz w:val="19"/>
          <w:szCs w:val="19"/>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$129.9 million as of December 31, 2024. As of the date on which these consolidated financial statements were issued, the Company believes that its cash, cash equivalents, and short-term investments will be sufficient to fund its operations for at least the next twelve months following the issuance of the</w:t>
      </w:r>
    </w:p>
    <w:p>
      <w:pPr>
        <w:sectPr>
          <w:pgSz w:w="11880" w:h="15480" w:orient="portrait"/>
          <w:cols w:equalWidth="0" w:num="1">
            <w:col w:w="9062"/>
          </w:cols>
          <w:pgMar w:left="1398" w:top="577"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92</w:t>
      </w:r>
    </w:p>
    <w:p>
      <w:pPr>
        <w:sectPr>
          <w:pgSz w:w="11880" w:h="15480" w:orient="portrait"/>
          <w:cols w:equalWidth="0" w:num="1">
            <w:col w:w="9062"/>
          </w:cols>
          <w:pgMar w:left="1398" w:top="577" w:right="1420" w:bottom="0" w:gutter="0" w:footer="0" w:header="0"/>
          <w:type w:val="continuous"/>
        </w:sectPr>
      </w:pPr>
    </w:p>
    <w:bookmarkStart w:id="94" w:name="page95"/>
    <w:bookmarkEnd w:id="94"/>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spacing w:after="0" w:line="260" w:lineRule="auto"/>
        <w:rPr>
          <w:sz w:val="20"/>
          <w:szCs w:val="20"/>
          <w:color w:val="auto"/>
        </w:rPr>
      </w:pPr>
      <w:r>
        <w:rPr>
          <w:rFonts w:ascii="Times New Roman" w:cs="Times New Roman" w:eastAsia="Times New Roman" w:hAnsi="Times New Roman"/>
          <w:sz w:val="19"/>
          <w:szCs w:val="19"/>
          <w:color w:val="auto"/>
        </w:rPr>
        <w:t>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57" w:lineRule="exact"/>
        <w:rPr>
          <w:sz w:val="20"/>
          <w:szCs w:val="20"/>
          <w:color w:val="auto"/>
        </w:rPr>
      </w:pPr>
    </w:p>
    <w:p>
      <w:pPr>
        <w:ind w:left="702" w:hanging="702"/>
        <w:spacing w:after="0"/>
        <w:tabs>
          <w:tab w:leader="none" w:pos="702"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Significant Accounting Policies</w:t>
      </w:r>
    </w:p>
    <w:p>
      <w:pPr>
        <w:spacing w:after="0" w:line="189"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196" w:lineRule="exact"/>
        <w:rPr>
          <w:sz w:val="20"/>
          <w:szCs w:val="20"/>
          <w:color w:val="auto"/>
        </w:rPr>
      </w:pPr>
    </w:p>
    <w:p>
      <w:pPr>
        <w:ind w:left="2" w:right="20" w:firstLine="349"/>
        <w:spacing w:after="0" w:line="259" w:lineRule="auto"/>
        <w:rPr>
          <w:sz w:val="20"/>
          <w:szCs w:val="20"/>
          <w:color w:val="auto"/>
        </w:rPr>
      </w:pPr>
      <w:r>
        <w:rPr>
          <w:rFonts w:ascii="Times New Roman" w:cs="Times New Roman" w:eastAsia="Times New Roman" w:hAnsi="Times New Roman"/>
          <w:sz w:val="19"/>
          <w:szCs w:val="19"/>
          <w:color w:val="auto"/>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34"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Concentrations of Credit Risk and Other Risks and Uncertainties</w:t>
      </w:r>
    </w:p>
    <w:p>
      <w:pPr>
        <w:spacing w:after="0" w:line="196" w:lineRule="exact"/>
        <w:rPr>
          <w:sz w:val="20"/>
          <w:szCs w:val="20"/>
          <w:color w:val="auto"/>
        </w:rPr>
      </w:pPr>
    </w:p>
    <w:p>
      <w:pPr>
        <w:ind w:left="2" w:right="360" w:firstLine="349"/>
        <w:spacing w:after="0" w:line="293" w:lineRule="auto"/>
        <w:rPr>
          <w:sz w:val="20"/>
          <w:szCs w:val="20"/>
          <w:color w:val="auto"/>
        </w:rPr>
      </w:pPr>
      <w:r>
        <w:rPr>
          <w:rFonts w:ascii="Times New Roman" w:cs="Times New Roman" w:eastAsia="Times New Roman" w:hAnsi="Times New Roman"/>
          <w:sz w:val="19"/>
          <w:szCs w:val="19"/>
          <w:color w:val="auto"/>
        </w:rPr>
        <w:t>Credit risk represents the accounting loss that would be recognized as of the reporting date if counterparties failed to perform as contracted.</w:t>
      </w:r>
    </w:p>
    <w:p>
      <w:pPr>
        <w:spacing w:after="0" w:line="107" w:lineRule="exact"/>
        <w:rPr>
          <w:sz w:val="20"/>
          <w:szCs w:val="20"/>
          <w:color w:val="auto"/>
        </w:rPr>
      </w:pPr>
    </w:p>
    <w:p>
      <w:pPr>
        <w:ind w:left="2" w:firstLine="349"/>
        <w:spacing w:after="0" w:line="259" w:lineRule="auto"/>
        <w:rPr>
          <w:sz w:val="20"/>
          <w:szCs w:val="20"/>
          <w:color w:val="auto"/>
        </w:rPr>
      </w:pPr>
      <w:r>
        <w:rPr>
          <w:rFonts w:ascii="Times New Roman" w:cs="Times New Roman" w:eastAsia="Times New Roman" w:hAnsi="Times New Roman"/>
          <w:sz w:val="19"/>
          <w:szCs w:val="19"/>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44" w:lineRule="exact"/>
        <w:rPr>
          <w:sz w:val="20"/>
          <w:szCs w:val="20"/>
          <w:color w:val="auto"/>
        </w:rPr>
      </w:pPr>
    </w:p>
    <w:p>
      <w:pPr>
        <w:ind w:left="2" w:firstLine="349"/>
        <w:spacing w:after="0" w:line="263" w:lineRule="auto"/>
        <w:rPr>
          <w:sz w:val="20"/>
          <w:szCs w:val="20"/>
          <w:color w:val="auto"/>
        </w:rPr>
      </w:pPr>
      <w:r>
        <w:rPr>
          <w:rFonts w:ascii="Times New Roman" w:cs="Times New Roman" w:eastAsia="Times New Roman" w:hAnsi="Times New Roman"/>
          <w:sz w:val="19"/>
          <w:szCs w:val="19"/>
          <w:color w:val="auto"/>
        </w:rPr>
        <w:t>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negative global and national events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w:t>
      </w:r>
    </w:p>
    <w:p>
      <w:pPr>
        <w:sectPr>
          <w:pgSz w:w="11880" w:h="15480" w:orient="portrait"/>
          <w:cols w:equalWidth="0" w:num="1">
            <w:col w:w="9062"/>
          </w:cols>
          <w:pgMar w:left="1398" w:top="577"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93</w:t>
      </w:r>
    </w:p>
    <w:p>
      <w:pPr>
        <w:sectPr>
          <w:pgSz w:w="11880" w:h="15480" w:orient="portrait"/>
          <w:cols w:equalWidth="0" w:num="1">
            <w:col w:w="9062"/>
          </w:cols>
          <w:pgMar w:left="1398" w:top="577" w:right="1420" w:bottom="0" w:gutter="0" w:footer="0" w:header="0"/>
          <w:type w:val="continuous"/>
        </w:sectPr>
      </w:pPr>
    </w:p>
    <w:bookmarkStart w:id="95" w:name="page96"/>
    <w:bookmarkEnd w:id="95"/>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9"/>
          <w:szCs w:val="19"/>
          <w:color w:val="auto"/>
        </w:rPr>
        <w:t>approval or that any approved products will be commercially viable. Even if the Company’s development efforts are successful, it is uncertain when, if ever, the Company will generate significant revenue from the sale of its products.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Segment Reporting</w:t>
      </w:r>
    </w:p>
    <w:p>
      <w:pPr>
        <w:spacing w:after="0" w:line="196" w:lineRule="exact"/>
        <w:rPr>
          <w:sz w:val="20"/>
          <w:szCs w:val="20"/>
          <w:color w:val="auto"/>
        </w:rPr>
      </w:pPr>
    </w:p>
    <w:p>
      <w:pPr>
        <w:ind w:right="160" w:firstLine="349"/>
        <w:spacing w:after="0" w:line="263" w:lineRule="auto"/>
        <w:rPr>
          <w:sz w:val="20"/>
          <w:szCs w:val="20"/>
          <w:color w:val="auto"/>
        </w:rPr>
      </w:pPr>
      <w:r>
        <w:rPr>
          <w:rFonts w:ascii="Times New Roman" w:cs="Times New Roman" w:eastAsia="Times New Roman" w:hAnsi="Times New Roman"/>
          <w:sz w:val="19"/>
          <w:szCs w:val="19"/>
          <w:color w:val="auto"/>
        </w:rPr>
        <w:t>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196" w:lineRule="exact"/>
        <w:rPr>
          <w:sz w:val="20"/>
          <w:szCs w:val="20"/>
          <w:color w:val="auto"/>
        </w:rPr>
      </w:pPr>
    </w:p>
    <w:p>
      <w:pPr>
        <w:ind w:right="20" w:firstLine="349"/>
        <w:spacing w:after="0" w:line="293" w:lineRule="auto"/>
        <w:rPr>
          <w:sz w:val="20"/>
          <w:szCs w:val="20"/>
          <w:color w:val="auto"/>
        </w:rPr>
      </w:pPr>
      <w:r>
        <w:rPr>
          <w:rFonts w:ascii="Times New Roman" w:cs="Times New Roman" w:eastAsia="Times New Roman" w:hAnsi="Times New Roman"/>
          <w:sz w:val="19"/>
          <w:szCs w:val="19"/>
          <w:color w:val="auto"/>
        </w:rPr>
        <w:t>The Company considers all highly-liquid investments with an original maturity of three months or less as of the date of acquisition to be cash equivalents.</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Investments</w:t>
      </w:r>
    </w:p>
    <w:p>
      <w:pPr>
        <w:spacing w:after="0" w:line="196" w:lineRule="exact"/>
        <w:rPr>
          <w:sz w:val="20"/>
          <w:szCs w:val="20"/>
          <w:color w:val="auto"/>
        </w:rPr>
      </w:pPr>
    </w:p>
    <w:p>
      <w:pPr>
        <w:ind w:right="100" w:firstLine="349"/>
        <w:spacing w:after="0" w:line="274" w:lineRule="auto"/>
        <w:rPr>
          <w:sz w:val="20"/>
          <w:szCs w:val="20"/>
          <w:color w:val="auto"/>
        </w:rPr>
      </w:pPr>
      <w:r>
        <w:rPr>
          <w:rFonts w:ascii="Times New Roman" w:cs="Times New Roman" w:eastAsia="Times New Roman" w:hAnsi="Times New Roman"/>
          <w:sz w:val="19"/>
          <w:szCs w:val="19"/>
          <w:color w:val="auto"/>
        </w:rPr>
        <w:t>The Company considers investments with an original maturity greater than three months and remaining maturities less than 12 months to be short-term investments. The Company classifies those investments that are not required for use in current operations and that mature in more than 12 months as long-term investments.</w:t>
      </w:r>
    </w:p>
    <w:p>
      <w:pPr>
        <w:spacing w:after="0" w:line="125" w:lineRule="exact"/>
        <w:rPr>
          <w:sz w:val="20"/>
          <w:szCs w:val="20"/>
          <w:color w:val="auto"/>
        </w:rPr>
      </w:pPr>
    </w:p>
    <w:p>
      <w:pPr>
        <w:jc w:val="both"/>
        <w:ind w:right="60" w:firstLine="398"/>
        <w:spacing w:after="0" w:line="268" w:lineRule="auto"/>
        <w:rPr>
          <w:sz w:val="20"/>
          <w:szCs w:val="20"/>
          <w:color w:val="auto"/>
        </w:rPr>
      </w:pPr>
      <w:r>
        <w:rPr>
          <w:rFonts w:ascii="Times New Roman" w:cs="Times New Roman" w:eastAsia="Times New Roman" w:hAnsi="Times New Roman"/>
          <w:sz w:val="19"/>
          <w:szCs w:val="19"/>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consolidated statement of operations.</w:t>
      </w:r>
    </w:p>
    <w:p>
      <w:pPr>
        <w:spacing w:after="0" w:line="131" w:lineRule="exact"/>
        <w:rPr>
          <w:sz w:val="20"/>
          <w:szCs w:val="20"/>
          <w:color w:val="auto"/>
        </w:rPr>
      </w:pPr>
    </w:p>
    <w:p>
      <w:pPr>
        <w:ind w:right="200" w:firstLine="349"/>
        <w:spacing w:after="0" w:line="263" w:lineRule="auto"/>
        <w:rPr>
          <w:sz w:val="20"/>
          <w:szCs w:val="20"/>
          <w:color w:val="auto"/>
        </w:rPr>
      </w:pPr>
      <w:r>
        <w:rPr>
          <w:rFonts w:ascii="Times New Roman" w:cs="Times New Roman" w:eastAsia="Times New Roman" w:hAnsi="Times New Roman"/>
          <w:sz w:val="19"/>
          <w:szCs w:val="19"/>
          <w:color w:val="auto"/>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Fair Value of Financial Instruments</w:t>
      </w:r>
    </w:p>
    <w:p>
      <w:pPr>
        <w:spacing w:after="0" w:line="196" w:lineRule="exact"/>
        <w:rPr>
          <w:sz w:val="20"/>
          <w:szCs w:val="20"/>
          <w:color w:val="auto"/>
        </w:rPr>
      </w:pPr>
    </w:p>
    <w:p>
      <w:pPr>
        <w:jc w:val="both"/>
        <w:ind w:right="80" w:firstLine="349"/>
        <w:spacing w:after="0" w:line="274" w:lineRule="auto"/>
        <w:rPr>
          <w:sz w:val="20"/>
          <w:szCs w:val="20"/>
          <w:color w:val="auto"/>
        </w:rPr>
      </w:pPr>
      <w:r>
        <w:rPr>
          <w:rFonts w:ascii="Times New Roman" w:cs="Times New Roman" w:eastAsia="Times New Roman" w:hAnsi="Times New Roman"/>
          <w:sz w:val="19"/>
          <w:szCs w:val="19"/>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25" w:lineRule="exact"/>
        <w:rPr>
          <w:sz w:val="20"/>
          <w:szCs w:val="20"/>
          <w:color w:val="auto"/>
        </w:rPr>
      </w:pPr>
    </w:p>
    <w:p>
      <w:pPr>
        <w:jc w:val="both"/>
        <w:ind w:right="320" w:firstLine="349"/>
        <w:spacing w:after="0" w:line="274" w:lineRule="auto"/>
        <w:rPr>
          <w:sz w:val="20"/>
          <w:szCs w:val="20"/>
          <w:color w:val="auto"/>
        </w:rPr>
      </w:pPr>
      <w:r>
        <w:rPr>
          <w:rFonts w:ascii="Times New Roman" w:cs="Times New Roman" w:eastAsia="Times New Roman" w:hAnsi="Times New Roman"/>
          <w:sz w:val="19"/>
          <w:szCs w:val="19"/>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Level 1, defined as observable inputs such as quoted prices for identical instruments in active markets;</w:t>
      </w:r>
    </w:p>
    <w:p>
      <w:pPr>
        <w:spacing w:after="0" w:line="189" w:lineRule="exact"/>
        <w:rPr>
          <w:sz w:val="20"/>
          <w:szCs w:val="20"/>
          <w:color w:val="auto"/>
        </w:rPr>
      </w:pPr>
    </w:p>
    <w:p>
      <w:pPr>
        <w:ind w:right="220" w:firstLine="349"/>
        <w:spacing w:after="0" w:line="274" w:lineRule="auto"/>
        <w:rPr>
          <w:sz w:val="20"/>
          <w:szCs w:val="20"/>
          <w:color w:val="auto"/>
        </w:rPr>
      </w:pPr>
      <w:r>
        <w:rPr>
          <w:rFonts w:ascii="Times New Roman" w:cs="Times New Roman" w:eastAsia="Times New Roman" w:hAnsi="Times New Roman"/>
          <w:sz w:val="19"/>
          <w:szCs w:val="19"/>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25" w:lineRule="exact"/>
        <w:rPr>
          <w:sz w:val="20"/>
          <w:szCs w:val="20"/>
          <w:color w:val="auto"/>
        </w:rPr>
      </w:pPr>
    </w:p>
    <w:p>
      <w:pPr>
        <w:jc w:val="both"/>
        <w:ind w:right="20" w:firstLine="349"/>
        <w:spacing w:after="0" w:line="274" w:lineRule="auto"/>
        <w:rPr>
          <w:sz w:val="20"/>
          <w:szCs w:val="20"/>
          <w:color w:val="auto"/>
        </w:rPr>
      </w:pPr>
      <w:r>
        <w:rPr>
          <w:rFonts w:ascii="Times New Roman" w:cs="Times New Roman" w:eastAsia="Times New Roman" w:hAnsi="Times New Roman"/>
          <w:sz w:val="19"/>
          <w:szCs w:val="19"/>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ectPr>
          <w:pgSz w:w="11880" w:h="15480" w:orient="portrait"/>
          <w:cols w:equalWidth="0" w:num="1">
            <w:col w:w="9040"/>
          </w:cols>
          <w:pgMar w:left="1400" w:top="5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94</w:t>
      </w:r>
    </w:p>
    <w:p>
      <w:pPr>
        <w:sectPr>
          <w:pgSz w:w="11880" w:h="15480" w:orient="portrait"/>
          <w:cols w:equalWidth="0" w:num="1">
            <w:col w:w="9040"/>
          </w:cols>
          <w:pgMar w:left="1400" w:top="577" w:right="1440" w:bottom="0" w:gutter="0" w:footer="0" w:header="0"/>
          <w:type w:val="continuous"/>
        </w:sectPr>
      </w:pPr>
    </w:p>
    <w:bookmarkStart w:id="96" w:name="page97"/>
    <w:bookmarkEnd w:id="96"/>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80" w:firstLine="349"/>
        <w:spacing w:after="0" w:line="274" w:lineRule="auto"/>
        <w:rPr>
          <w:sz w:val="20"/>
          <w:szCs w:val="20"/>
          <w:color w:val="auto"/>
        </w:rPr>
      </w:pPr>
      <w:r>
        <w:rPr>
          <w:rFonts w:ascii="Times New Roman" w:cs="Times New Roman" w:eastAsia="Times New Roman" w:hAnsi="Times New Roman"/>
          <w:sz w:val="19"/>
          <w:szCs w:val="19"/>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5" w:lineRule="exact"/>
        <w:rPr>
          <w:sz w:val="20"/>
          <w:szCs w:val="20"/>
          <w:color w:val="auto"/>
        </w:rPr>
      </w:pPr>
    </w:p>
    <w:p>
      <w:pPr>
        <w:ind w:right="20" w:firstLine="349"/>
        <w:spacing w:after="0" w:line="293" w:lineRule="auto"/>
        <w:rPr>
          <w:sz w:val="20"/>
          <w:szCs w:val="20"/>
          <w:color w:val="auto"/>
        </w:rPr>
      </w:pPr>
      <w:r>
        <w:rPr>
          <w:rFonts w:ascii="Times New Roman" w:cs="Times New Roman" w:eastAsia="Times New Roman" w:hAnsi="Times New Roman"/>
          <w:sz w:val="19"/>
          <w:szCs w:val="19"/>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 net</w:t>
      </w:r>
    </w:p>
    <w:p>
      <w:pPr>
        <w:spacing w:after="0" w:line="196" w:lineRule="exact"/>
        <w:rPr>
          <w:sz w:val="20"/>
          <w:szCs w:val="20"/>
          <w:color w:val="auto"/>
        </w:rPr>
      </w:pPr>
    </w:p>
    <w:p>
      <w:pPr>
        <w:ind w:right="40" w:firstLine="349"/>
        <w:spacing w:after="0" w:line="293" w:lineRule="auto"/>
        <w:rPr>
          <w:sz w:val="20"/>
          <w:szCs w:val="20"/>
          <w:color w:val="auto"/>
        </w:rPr>
      </w:pPr>
      <w:r>
        <w:rPr>
          <w:rFonts w:ascii="Times New Roman" w:cs="Times New Roman" w:eastAsia="Times New Roman" w:hAnsi="Times New Roman"/>
          <w:sz w:val="19"/>
          <w:szCs w:val="19"/>
          <w:color w:val="auto"/>
        </w:rPr>
        <w:t>Property and equipment, net, consisting primarily of laboratory equipment, computers, furniture and fixtures, and office equipment are recorded at cost and are depreciated on a straight-line basis over their estimated useful life.</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Useful lives assigned to property and equipment are as follows:</w:t>
      </w:r>
    </w:p>
    <w:p>
      <w:pPr>
        <w:spacing w:after="0" w:line="260"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auto"/>
        </w:rPr>
        <w:t>Laboratory equipment</w:t>
      </w:r>
      <w:r>
        <w:rPr>
          <w:sz w:val="20"/>
          <w:szCs w:val="20"/>
          <w:color w:val="auto"/>
        </w:rPr>
        <w:tab/>
      </w:r>
      <w:r>
        <w:rPr>
          <w:rFonts w:ascii="Times New Roman" w:cs="Times New Roman" w:eastAsia="Times New Roman" w:hAnsi="Times New Roman"/>
          <w:sz w:val="19"/>
          <w:szCs w:val="19"/>
          <w:color w:val="auto"/>
        </w:rPr>
        <w:t>3 years to 5 years</w:t>
      </w:r>
    </w:p>
    <w:p>
      <w:pPr>
        <w:spacing w:after="0" w:line="58"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auto"/>
        </w:rPr>
        <w:t>Prototype equipment</w:t>
      </w:r>
      <w:r>
        <w:rPr>
          <w:sz w:val="20"/>
          <w:szCs w:val="20"/>
          <w:color w:val="auto"/>
        </w:rPr>
        <w:tab/>
      </w:r>
      <w:r>
        <w:rPr>
          <w:rFonts w:ascii="Times New Roman" w:cs="Times New Roman" w:eastAsia="Times New Roman" w:hAnsi="Times New Roman"/>
          <w:sz w:val="19"/>
          <w:szCs w:val="19"/>
          <w:color w:val="auto"/>
        </w:rPr>
        <w:t>3 years</w:t>
      </w:r>
    </w:p>
    <w:p>
      <w:pPr>
        <w:spacing w:after="0" w:line="58"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auto"/>
        </w:rPr>
        <w:t>Computer hardware</w:t>
      </w:r>
      <w:r>
        <w:rPr>
          <w:sz w:val="20"/>
          <w:szCs w:val="20"/>
          <w:color w:val="auto"/>
        </w:rPr>
        <w:tab/>
      </w:r>
      <w:r>
        <w:rPr>
          <w:rFonts w:ascii="Times New Roman" w:cs="Times New Roman" w:eastAsia="Times New Roman" w:hAnsi="Times New Roman"/>
          <w:sz w:val="19"/>
          <w:szCs w:val="19"/>
          <w:color w:val="auto"/>
        </w:rPr>
        <w:t>3 years</w:t>
      </w:r>
    </w:p>
    <w:p>
      <w:pPr>
        <w:spacing w:after="0" w:line="87"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auto"/>
        </w:rPr>
        <w:t>Furniture and fixtures</w:t>
      </w:r>
      <w:r>
        <w:rPr>
          <w:sz w:val="20"/>
          <w:szCs w:val="20"/>
          <w:color w:val="auto"/>
        </w:rPr>
        <w:tab/>
      </w:r>
      <w:r>
        <w:rPr>
          <w:rFonts w:ascii="Times New Roman" w:cs="Times New Roman" w:eastAsia="Times New Roman" w:hAnsi="Times New Roman"/>
          <w:sz w:val="19"/>
          <w:szCs w:val="19"/>
          <w:color w:val="auto"/>
        </w:rPr>
        <w:t>3 years</w:t>
      </w:r>
    </w:p>
    <w:p>
      <w:pPr>
        <w:spacing w:after="0" w:line="58"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242424"/>
        </w:rPr>
        <w:t>Office equipment</w:t>
      </w:r>
      <w:r>
        <w:rPr>
          <w:sz w:val="20"/>
          <w:szCs w:val="20"/>
          <w:color w:val="auto"/>
        </w:rPr>
        <w:tab/>
      </w:r>
      <w:r>
        <w:rPr>
          <w:rFonts w:ascii="Times New Roman" w:cs="Times New Roman" w:eastAsia="Times New Roman" w:hAnsi="Times New Roman"/>
          <w:sz w:val="19"/>
          <w:szCs w:val="19"/>
          <w:color w:val="auto"/>
        </w:rPr>
        <w:t>3 years to 5 years</w:t>
      </w:r>
    </w:p>
    <w:p>
      <w:pPr>
        <w:spacing w:after="0" w:line="58" w:lineRule="exact"/>
        <w:rPr>
          <w:sz w:val="20"/>
          <w:szCs w:val="20"/>
          <w:color w:val="auto"/>
        </w:rPr>
      </w:pPr>
    </w:p>
    <w:p>
      <w:pPr>
        <w:ind w:left="400"/>
        <w:spacing w:after="0"/>
        <w:tabs>
          <w:tab w:leader="none" w:pos="3680" w:val="left"/>
        </w:tabs>
        <w:rPr>
          <w:sz w:val="20"/>
          <w:szCs w:val="20"/>
          <w:color w:val="auto"/>
        </w:rPr>
      </w:pPr>
      <w:r>
        <w:rPr>
          <w:rFonts w:ascii="Times New Roman" w:cs="Times New Roman" w:eastAsia="Times New Roman" w:hAnsi="Times New Roman"/>
          <w:sz w:val="19"/>
          <w:szCs w:val="19"/>
          <w:color w:val="242424"/>
        </w:rPr>
        <w:t>Leasehold improvements</w:t>
      </w:r>
      <w:r>
        <w:rPr>
          <w:sz w:val="20"/>
          <w:szCs w:val="20"/>
          <w:color w:val="auto"/>
        </w:rPr>
        <w:tab/>
      </w:r>
      <w:r>
        <w:rPr>
          <w:rFonts w:ascii="Times New Roman" w:cs="Times New Roman" w:eastAsia="Times New Roman" w:hAnsi="Times New Roman"/>
          <w:sz w:val="19"/>
          <w:szCs w:val="19"/>
          <w:color w:val="242424"/>
        </w:rPr>
        <w:t>Shorter of estimated useful life or remaining lease term</w:t>
      </w:r>
    </w:p>
    <w:p>
      <w:pPr>
        <w:spacing w:after="0" w:line="259" w:lineRule="exact"/>
        <w:rPr>
          <w:sz w:val="20"/>
          <w:szCs w:val="20"/>
          <w:color w:val="auto"/>
        </w:rPr>
      </w:pPr>
    </w:p>
    <w:p>
      <w:pPr>
        <w:ind w:right="320" w:firstLine="349"/>
        <w:spacing w:after="0" w:line="293" w:lineRule="auto"/>
        <w:rPr>
          <w:sz w:val="20"/>
          <w:szCs w:val="20"/>
          <w:color w:val="auto"/>
        </w:rPr>
      </w:pPr>
      <w:r>
        <w:rPr>
          <w:rFonts w:ascii="Times New Roman" w:cs="Times New Roman" w:eastAsia="Times New Roman" w:hAnsi="Times New Roman"/>
          <w:sz w:val="19"/>
          <w:szCs w:val="19"/>
          <w:color w:val="auto"/>
        </w:rPr>
        <w:t>When assets are retired or otherwise disposed of, the cost and related accumulated depreciation are removed from the accounts, and any resulting gain or loss is recognized as income or loss for the period.</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Maintenance and repairs are charged to operating expense in the period incurred.</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Impairment of Long-Lived Assets</w:t>
      </w:r>
    </w:p>
    <w:p>
      <w:pPr>
        <w:spacing w:after="0" w:line="196" w:lineRule="exact"/>
        <w:rPr>
          <w:sz w:val="20"/>
          <w:szCs w:val="20"/>
          <w:color w:val="auto"/>
        </w:rPr>
      </w:pPr>
    </w:p>
    <w:p>
      <w:pPr>
        <w:jc w:val="center"/>
        <w:ind w:right="100"/>
        <w:spacing w:after="0" w:line="293" w:lineRule="auto"/>
        <w:rPr>
          <w:sz w:val="20"/>
          <w:szCs w:val="20"/>
          <w:color w:val="auto"/>
        </w:rPr>
      </w:pPr>
      <w:r>
        <w:rPr>
          <w:rFonts w:ascii="Times New Roman" w:cs="Times New Roman" w:eastAsia="Times New Roman" w:hAnsi="Times New Roman"/>
          <w:sz w:val="19"/>
          <w:szCs w:val="19"/>
          <w:color w:val="auto"/>
        </w:rPr>
        <w:t>The Company periodically reviews its long-lived assets, including property and equipment, for impairment whenever events or changes in circumstances indicate that the carrying amount of the asset may not be recoverable.</w:t>
      </w:r>
    </w:p>
    <w:p>
      <w:pPr>
        <w:spacing w:after="0" w:line="107"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With respect to property and equipment, the Company compares the carrying value of the long-lived assets with the estimated future net undiscounted cash flows expected to result from the use and 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in any of the periods presented.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196" w:lineRule="exact"/>
        <w:rPr>
          <w:sz w:val="20"/>
          <w:szCs w:val="20"/>
          <w:color w:val="auto"/>
        </w:rPr>
      </w:pPr>
    </w:p>
    <w:p>
      <w:pPr>
        <w:ind w:firstLine="349"/>
        <w:spacing w:after="0" w:line="258" w:lineRule="auto"/>
        <w:rPr>
          <w:sz w:val="20"/>
          <w:szCs w:val="20"/>
          <w:color w:val="auto"/>
        </w:rPr>
      </w:pPr>
      <w:r>
        <w:rPr>
          <w:rFonts w:ascii="Times New Roman" w:cs="Times New Roman" w:eastAsia="Times New Roman" w:hAnsi="Times New Roman"/>
          <w:sz w:val="19"/>
          <w:szCs w:val="19"/>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w:t>
      </w:r>
    </w:p>
    <w:p>
      <w:pPr>
        <w:sectPr>
          <w:pgSz w:w="11880" w:h="15480" w:orient="portrait"/>
          <w:cols w:equalWidth="0" w:num="1">
            <w:col w:w="9060"/>
          </w:cols>
          <w:pgMar w:left="1400" w:top="577"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ectPr>
          <w:pgSz w:w="11880" w:h="15480" w:orient="portrait"/>
          <w:cols w:equalWidth="0" w:num="1">
            <w:col w:w="9060"/>
          </w:cols>
          <w:pgMar w:left="1400" w:top="577" w:right="1420" w:bottom="0" w:gutter="0" w:footer="0" w:header="0"/>
          <w:type w:val="continuous"/>
        </w:sectPr>
      </w:pPr>
    </w:p>
    <w:bookmarkStart w:id="97" w:name="page98"/>
    <w:bookmarkEnd w:id="97"/>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interest expense and amortization in the Company’s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96" w:lineRule="exact"/>
        <w:rPr>
          <w:sz w:val="20"/>
          <w:szCs w:val="20"/>
          <w:color w:val="auto"/>
        </w:rPr>
      </w:pPr>
    </w:p>
    <w:p>
      <w:pPr>
        <w:ind w:right="80" w:firstLine="349"/>
        <w:spacing w:after="0" w:line="259" w:lineRule="auto"/>
        <w:rPr>
          <w:sz w:val="20"/>
          <w:szCs w:val="20"/>
          <w:color w:val="auto"/>
        </w:rPr>
      </w:pPr>
      <w:r>
        <w:rPr>
          <w:rFonts w:ascii="Times New Roman" w:cs="Times New Roman" w:eastAsia="Times New Roman" w:hAnsi="Times New Roman"/>
          <w:sz w:val="19"/>
          <w:szCs w:val="19"/>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44" w:lineRule="exact"/>
        <w:rPr>
          <w:sz w:val="20"/>
          <w:szCs w:val="20"/>
          <w:color w:val="auto"/>
        </w:rPr>
      </w:pPr>
    </w:p>
    <w:p>
      <w:pPr>
        <w:ind w:firstLine="349"/>
        <w:spacing w:after="0" w:line="268" w:lineRule="auto"/>
        <w:rPr>
          <w:sz w:val="20"/>
          <w:szCs w:val="20"/>
          <w:color w:val="auto"/>
        </w:rPr>
      </w:pPr>
      <w:r>
        <w:rPr>
          <w:rFonts w:ascii="Times New Roman" w:cs="Times New Roman" w:eastAsia="Times New Roman" w:hAnsi="Times New Roman"/>
          <w:sz w:val="19"/>
          <w:szCs w:val="19"/>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196" w:lineRule="exact"/>
        <w:rPr>
          <w:sz w:val="20"/>
          <w:szCs w:val="20"/>
          <w:color w:val="auto"/>
        </w:rPr>
      </w:pPr>
    </w:p>
    <w:p>
      <w:pPr>
        <w:ind w:right="120" w:firstLine="349"/>
        <w:spacing w:after="0" w:line="263" w:lineRule="auto"/>
        <w:rPr>
          <w:sz w:val="20"/>
          <w:szCs w:val="20"/>
          <w:color w:val="auto"/>
        </w:rPr>
      </w:pPr>
      <w:r>
        <w:rPr>
          <w:rFonts w:ascii="Times New Roman" w:cs="Times New Roman" w:eastAsia="Times New Roman" w:hAnsi="Times New Roman"/>
          <w:sz w:val="19"/>
          <w:szCs w:val="19"/>
          <w:color w:val="auto"/>
        </w:rPr>
        <w:t>Costs for research and development activities are expensed in the period in which they are incurred. Research and development expenses consist of costs incurred in performing research and development activities, including salaries, bonuses, stock-based compensation, and employee benefits for product development personnel, laboratory supplies and equipment, depreciation and amortization, external costs of vendors engaged to conduct research and development activities, acquired in-process research and development, and allocated expenses for technology and facilities.</w:t>
      </w:r>
    </w:p>
    <w:p>
      <w:pPr>
        <w:spacing w:after="0" w:line="132"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As part of the process of preparing its financial statements, the Company estimates its accrued expenses</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196"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NASDAQ closing price of the Company’s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w:t>
      </w:r>
    </w:p>
    <w:p>
      <w:pPr>
        <w:sectPr>
          <w:pgSz w:w="11880" w:h="15480" w:orient="portrait"/>
          <w:cols w:equalWidth="0" w:num="1">
            <w:col w:w="9060"/>
          </w:cols>
          <w:pgMar w:left="1400" w:top="577"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ectPr>
          <w:pgSz w:w="11880" w:h="15480" w:orient="portrait"/>
          <w:cols w:equalWidth="0" w:num="1">
            <w:col w:w="9060"/>
          </w:cols>
          <w:pgMar w:left="1400" w:top="577" w:right="1420" w:bottom="0" w:gutter="0" w:footer="0" w:header="0"/>
          <w:type w:val="continuous"/>
        </w:sectPr>
      </w:pPr>
    </w:p>
    <w:bookmarkStart w:id="98" w:name="page99"/>
    <w:bookmarkEnd w:id="98"/>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9"/>
          <w:szCs w:val="19"/>
          <w:color w:val="auto"/>
        </w:rPr>
        <w:t>which the award’s recipient’s service payments are classified. The Company’s stock-based compensation programs include stock options grants, as well as shares issued under its 2021 Employee Stock Purchase Plan.</w:t>
      </w:r>
    </w:p>
    <w:p>
      <w:pPr>
        <w:spacing w:after="0" w:line="107" w:lineRule="exact"/>
        <w:rPr>
          <w:sz w:val="20"/>
          <w:szCs w:val="20"/>
          <w:color w:val="auto"/>
        </w:rPr>
      </w:pPr>
    </w:p>
    <w:p>
      <w:pPr>
        <w:ind w:right="620" w:firstLine="349"/>
        <w:spacing w:after="0" w:line="293" w:lineRule="auto"/>
        <w:rPr>
          <w:sz w:val="20"/>
          <w:szCs w:val="20"/>
          <w:color w:val="auto"/>
        </w:rPr>
      </w:pPr>
      <w:r>
        <w:rPr>
          <w:rFonts w:ascii="Times New Roman" w:cs="Times New Roman" w:eastAsia="Times New Roman" w:hAnsi="Times New Roman"/>
          <w:sz w:val="19"/>
          <w:szCs w:val="19"/>
          <w:color w:val="auto"/>
        </w:rPr>
        <w:t>The Company calculates the expected term as the mid-point between the requisite service period and the contractual term of the award.</w:t>
      </w:r>
    </w:p>
    <w:p>
      <w:pPr>
        <w:spacing w:after="0" w:line="107" w:lineRule="exact"/>
        <w:rPr>
          <w:sz w:val="20"/>
          <w:szCs w:val="20"/>
          <w:color w:val="auto"/>
        </w:rPr>
      </w:pPr>
    </w:p>
    <w:p>
      <w:pPr>
        <w:ind w:right="340" w:firstLine="349"/>
        <w:spacing w:after="0" w:line="293" w:lineRule="auto"/>
        <w:rPr>
          <w:sz w:val="20"/>
          <w:szCs w:val="20"/>
          <w:color w:val="auto"/>
        </w:rPr>
      </w:pPr>
      <w:r>
        <w:rPr>
          <w:rFonts w:ascii="Times New Roman" w:cs="Times New Roman" w:eastAsia="Times New Roman" w:hAnsi="Times New Roman"/>
          <w:sz w:val="19"/>
          <w:szCs w:val="19"/>
          <w:color w:val="auto"/>
        </w:rPr>
        <w:t>The Company bases its estimate of expected volatility on the historical volatility of comparable public companies from a representative peer group selected based on industry, financial, and market capitalization data.</w:t>
      </w:r>
    </w:p>
    <w:p>
      <w:pPr>
        <w:spacing w:after="0" w:line="107" w:lineRule="exact"/>
        <w:rPr>
          <w:sz w:val="20"/>
          <w:szCs w:val="20"/>
          <w:color w:val="auto"/>
        </w:rPr>
      </w:pPr>
    </w:p>
    <w:p>
      <w:pPr>
        <w:ind w:right="20" w:firstLine="349"/>
        <w:spacing w:after="0" w:line="274" w:lineRule="auto"/>
        <w:rPr>
          <w:sz w:val="20"/>
          <w:szCs w:val="20"/>
          <w:color w:val="auto"/>
        </w:rPr>
      </w:pPr>
      <w:r>
        <w:rPr>
          <w:rFonts w:ascii="Times New Roman" w:cs="Times New Roman" w:eastAsia="Times New Roman" w:hAnsi="Times New Roman"/>
          <w:sz w:val="19"/>
          <w:szCs w:val="19"/>
          <w:color w:val="auto"/>
        </w:rPr>
        <w:t>The Company has never declared or paid any dividends and does not currently expect to do so in the future. The risk-free interest rate used in the model is based on the implied yield currently available in the U.S. Treasury securities at maturity with an equivalent term.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Comprehensive Loss</w:t>
      </w:r>
    </w:p>
    <w:p>
      <w:pPr>
        <w:spacing w:after="0" w:line="196" w:lineRule="exact"/>
        <w:rPr>
          <w:sz w:val="20"/>
          <w:szCs w:val="20"/>
          <w:color w:val="auto"/>
        </w:rPr>
      </w:pPr>
    </w:p>
    <w:p>
      <w:pPr>
        <w:jc w:val="both"/>
        <w:ind w:right="60" w:firstLine="349"/>
        <w:spacing w:after="0" w:line="274" w:lineRule="auto"/>
        <w:rPr>
          <w:sz w:val="20"/>
          <w:szCs w:val="20"/>
          <w:color w:val="auto"/>
        </w:rPr>
      </w:pPr>
      <w:r>
        <w:rPr>
          <w:rFonts w:ascii="Times New Roman" w:cs="Times New Roman" w:eastAsia="Times New Roman" w:hAnsi="Times New Roman"/>
          <w:sz w:val="19"/>
          <w:szCs w:val="19"/>
          <w:color w:val="auto"/>
        </w:rPr>
        <w:t>Comprehensive loss consists of net loss and other gains or losses affecting stockholders’ equity that, under U.S. GAAP are excluded from net loss. For the years ended December 31, 2024 and 2023, unrealized gains and losses on marketable debt securities were included as a component of comprehensive loss.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Net Loss per Share Attributable to Common Stockholders</w:t>
      </w:r>
    </w:p>
    <w:p>
      <w:pPr>
        <w:spacing w:after="0" w:line="196" w:lineRule="exact"/>
        <w:rPr>
          <w:sz w:val="20"/>
          <w:szCs w:val="20"/>
          <w:color w:val="auto"/>
        </w:rPr>
      </w:pPr>
    </w:p>
    <w:p>
      <w:pPr>
        <w:ind w:right="40" w:firstLine="349"/>
        <w:spacing w:after="0" w:line="261" w:lineRule="auto"/>
        <w:rPr>
          <w:sz w:val="20"/>
          <w:szCs w:val="20"/>
          <w:color w:val="auto"/>
        </w:rPr>
      </w:pPr>
      <w:r>
        <w:rPr>
          <w:rFonts w:ascii="Times New Roman" w:cs="Times New Roman" w:eastAsia="Times New Roman" w:hAnsi="Times New Roman"/>
          <w:sz w:val="19"/>
          <w:szCs w:val="19"/>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stock options and shares to be purchased from the Employee Stock Purchase Plan are considered to be potentially dilutive securities. The net loss is attributed entirely to the Company’s common stockholders. Since the Company has reported a net loss for all periods presented, diluted net loss per common share is the same as basic net loss per common share for those periods.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Accounting Pronouncements</w:t>
      </w:r>
    </w:p>
    <w:p>
      <w:pPr>
        <w:spacing w:after="0" w:line="196" w:lineRule="exact"/>
        <w:rPr>
          <w:sz w:val="20"/>
          <w:szCs w:val="20"/>
          <w:color w:val="auto"/>
        </w:rPr>
      </w:pPr>
    </w:p>
    <w:p>
      <w:pPr>
        <w:ind w:right="160" w:firstLine="349"/>
        <w:spacing w:after="0" w:line="263" w:lineRule="auto"/>
        <w:rPr>
          <w:sz w:val="20"/>
          <w:szCs w:val="20"/>
          <w:color w:val="auto"/>
        </w:rPr>
      </w:pPr>
      <w:r>
        <w:rPr>
          <w:rFonts w:ascii="Times New Roman" w:cs="Times New Roman" w:eastAsia="Times New Roman" w:hAnsi="Times New Roman"/>
          <w:sz w:val="19"/>
          <w:szCs w:val="19"/>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Recently Adopted Accounting Standards</w:t>
      </w:r>
    </w:p>
    <w:p>
      <w:pPr>
        <w:spacing w:after="0" w:line="191" w:lineRule="exact"/>
        <w:rPr>
          <w:sz w:val="20"/>
          <w:szCs w:val="20"/>
          <w:color w:val="auto"/>
        </w:rPr>
      </w:pPr>
    </w:p>
    <w:p>
      <w:pPr>
        <w:ind w:firstLine="349"/>
        <w:spacing w:after="0" w:line="263" w:lineRule="auto"/>
        <w:rPr>
          <w:sz w:val="20"/>
          <w:szCs w:val="20"/>
          <w:color w:val="auto"/>
        </w:rPr>
      </w:pPr>
      <w:r>
        <w:rPr>
          <w:rFonts w:ascii="Times New Roman" w:cs="Times New Roman" w:eastAsia="Times New Roman" w:hAnsi="Times New Roman"/>
          <w:sz w:val="19"/>
          <w:szCs w:val="19"/>
          <w:color w:val="auto"/>
        </w:rPr>
        <w:t>In November 2023, the FASB issued ASU 2023-07, “Segment Reporting (Topic 280): Improvements to Reportable Segment Disclosures,” which amends existing guidance on segment reporting to improve reportable segment disclosure requirements through enhanced disclosures about significant segment expenses. The ASU is effective for the Company for the fiscal year ending December 31, 2024 and for interim periods beginning after December 31, 2024. The Company adopted the ASU during the fiscal year ended December 31, 2024 and the related disclosure requirements are included in Note 10, “Segment Information.”</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Recently Issued Accounting Pronouncements</w:t>
      </w:r>
    </w:p>
    <w:p>
      <w:pPr>
        <w:spacing w:after="0" w:line="191" w:lineRule="exact"/>
        <w:rPr>
          <w:sz w:val="20"/>
          <w:szCs w:val="20"/>
          <w:color w:val="auto"/>
        </w:rPr>
      </w:pPr>
    </w:p>
    <w:p>
      <w:pPr>
        <w:ind w:right="100" w:firstLine="349"/>
        <w:spacing w:after="0" w:line="263" w:lineRule="auto"/>
        <w:rPr>
          <w:sz w:val="20"/>
          <w:szCs w:val="20"/>
          <w:color w:val="auto"/>
        </w:rPr>
      </w:pPr>
      <w:r>
        <w:rPr>
          <w:rFonts w:ascii="Times New Roman" w:cs="Times New Roman" w:eastAsia="Times New Roman" w:hAnsi="Times New Roman"/>
          <w:sz w:val="19"/>
          <w:szCs w:val="19"/>
          <w:color w:val="auto"/>
        </w:rPr>
        <w:t>In December 2023, the FASB issued ASU 2023-09, “Income Taxes (Topic 740): Improvements to Income Tax Disclosures,” to enhance the transparency and decision usefulness of income tax disclosures. The ASU is effective for the Company for the fiscal year ending December 31, 2025. The Company is in the process of evaluating the impact of the adoption of this Accounting Standards Update on its consolidated financial statements and related disclosures. The Company does not anticipate adoption to have a material impact on its consolidated financial statements and related disclosures.</w:t>
      </w:r>
    </w:p>
    <w:p>
      <w:pPr>
        <w:sectPr>
          <w:pgSz w:w="11880" w:h="15480" w:orient="portrait"/>
          <w:cols w:equalWidth="0" w:num="1">
            <w:col w:w="9080"/>
          </w:cols>
          <w:pgMar w:left="1400"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ectPr>
          <w:pgSz w:w="11880" w:h="15480" w:orient="portrait"/>
          <w:cols w:equalWidth="0" w:num="1">
            <w:col w:w="9080"/>
          </w:cols>
          <w:pgMar w:left="1400" w:top="577" w:right="1400" w:bottom="0" w:gutter="0" w:footer="0" w:header="0"/>
          <w:type w:val="continuous"/>
        </w:sectPr>
      </w:pPr>
    </w:p>
    <w:bookmarkStart w:id="99" w:name="page100"/>
    <w:bookmarkEnd w:id="99"/>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right="340" w:firstLine="349"/>
        <w:spacing w:after="0" w:line="263" w:lineRule="auto"/>
        <w:rPr>
          <w:sz w:val="20"/>
          <w:szCs w:val="20"/>
          <w:color w:val="auto"/>
        </w:rPr>
      </w:pPr>
      <w:r>
        <w:rPr>
          <w:rFonts w:ascii="Times New Roman" w:cs="Times New Roman" w:eastAsia="Times New Roman" w:hAnsi="Times New Roman"/>
          <w:sz w:val="19"/>
          <w:szCs w:val="19"/>
          <w:color w:val="auto"/>
        </w:rPr>
        <w:t>In November 2024, the FASB issued ASU 2024-03, Income Statement—Reporting Comprehensive Income— Expense Disaggregation Disclosures (Subtopic 220-40). The amendments in this update require disclosure, in the notes to financial statements, of specified information about certain costs and expenses. The ASU is effective for the Company for the fiscal year ending December 31, 2027 and for interim periods beginning after December 31, 2027. The Company is in the process of evaluating the impact of the adoption of this Accounting Standards Update on its consolidated financial statements and related disclosures.</w:t>
      </w:r>
    </w:p>
    <w:p>
      <w:pPr>
        <w:spacing w:after="0" w:line="152" w:lineRule="exact"/>
        <w:rPr>
          <w:sz w:val="20"/>
          <w:szCs w:val="20"/>
          <w:color w:val="auto"/>
        </w:rPr>
      </w:pPr>
    </w:p>
    <w:p>
      <w:pPr>
        <w:ind w:left="702" w:hanging="702"/>
        <w:spacing w:after="0"/>
        <w:tabs>
          <w:tab w:leader="none" w:pos="702" w:val="left"/>
        </w:tabs>
        <w:numPr>
          <w:ilvl w:val="0"/>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Fair Value Measurements</w:t>
      </w:r>
    </w:p>
    <w:p>
      <w:pPr>
        <w:spacing w:after="0" w:line="196" w:lineRule="exact"/>
        <w:rPr>
          <w:sz w:val="20"/>
          <w:szCs w:val="20"/>
          <w:color w:val="auto"/>
        </w:rPr>
      </w:pPr>
    </w:p>
    <w:p>
      <w:pPr>
        <w:ind w:left="2" w:right="640" w:firstLine="349"/>
        <w:spacing w:after="0" w:line="293" w:lineRule="auto"/>
        <w:rPr>
          <w:sz w:val="20"/>
          <w:szCs w:val="20"/>
          <w:color w:val="auto"/>
        </w:rPr>
      </w:pPr>
      <w:r>
        <w:rPr>
          <w:rFonts w:ascii="Times New Roman" w:cs="Times New Roman" w:eastAsia="Times New Roman" w:hAnsi="Times New Roman"/>
          <w:sz w:val="19"/>
          <w:szCs w:val="19"/>
          <w:color w:val="auto"/>
        </w:rPr>
        <w:t>The following table details the assets carried at fair value and measured on a recurring basis within the three levels of fair value as of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5988050" cy="2312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a:extLst>
                        <a:ext uri="{28A0092B-C50C-407E-A947-70E740481C1C}"/>
                      </a:extLst>
                    </a:blip>
                    <a:srcRect/>
                    <a:stretch>
                      <a:fillRect/>
                    </a:stretch>
                  </pic:blipFill>
                  <pic:spPr bwMode="auto">
                    <a:xfrm>
                      <a:off x="0" y="0"/>
                      <a:ext cx="5988050" cy="2312035"/>
                    </a:xfrm>
                    <a:prstGeom prst="rect">
                      <a:avLst/>
                    </a:prstGeom>
                    <a:noFill/>
                  </pic:spPr>
                </pic:pic>
              </a:graphicData>
            </a:graphic>
          </wp:anchor>
        </w:drawing>
      </w:r>
    </w:p>
    <w:p>
      <w:pPr>
        <w:spacing w:after="0" w:line="160" w:lineRule="exact"/>
        <w:rPr>
          <w:sz w:val="20"/>
          <w:szCs w:val="20"/>
          <w:color w:val="auto"/>
        </w:rPr>
      </w:pPr>
    </w:p>
    <w:tbl>
      <w:tblPr>
        <w:tblLayout w:type="fixed"/>
        <w:tblInd w:w="42" w:type="dxa"/>
        <w:tblCellMar>
          <w:top w:w="0" w:type="dxa"/>
          <w:left w:w="0" w:type="dxa"/>
          <w:bottom w:w="0" w:type="dxa"/>
          <w:right w:w="0" w:type="dxa"/>
        </w:tblCellMar>
      </w:tblPr>
      <w:tr>
        <w:trPr>
          <w:trHeight w:val="211"/>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Reported as: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7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40" w:type="dxa"/>
            <w:vAlign w:val="bottom"/>
          </w:tcPr>
          <w:p>
            <w:pPr>
              <w:spacing w:after="0"/>
              <w:rPr>
                <w:sz w:val="24"/>
                <w:szCs w:val="24"/>
                <w:color w:val="auto"/>
              </w:rPr>
            </w:pPr>
          </w:p>
        </w:tc>
        <w:tc>
          <w:tcPr>
            <w:tcW w:w="780" w:type="dxa"/>
            <w:vAlign w:val="bottom"/>
            <w:vMerge w:val="restart"/>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Gains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vMerge w:val="restart"/>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24"/>
                <w:szCs w:val="24"/>
                <w:color w:val="auto"/>
              </w:rPr>
            </w:pPr>
          </w:p>
        </w:tc>
        <w:tc>
          <w:tcPr>
            <w:tcW w:w="78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Short-term</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4"/>
              </w:rPr>
              <w:t>Long-term</w:t>
            </w:r>
          </w:p>
        </w:tc>
        <w:tc>
          <w:tcPr>
            <w:tcW w:w="0" w:type="dxa"/>
            <w:vAlign w:val="bottom"/>
          </w:tcPr>
          <w:p>
            <w:pPr>
              <w:spacing w:after="0"/>
              <w:rPr>
                <w:sz w:val="1"/>
                <w:szCs w:val="1"/>
                <w:color w:val="auto"/>
              </w:rPr>
            </w:pPr>
          </w:p>
        </w:tc>
      </w:tr>
      <w:tr>
        <w:trPr>
          <w:trHeight w:val="208"/>
        </w:trPr>
        <w:tc>
          <w:tcPr>
            <w:tcW w:w="1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equivalents</w:t>
            </w:r>
          </w:p>
        </w:tc>
        <w:tc>
          <w:tcPr>
            <w:tcW w:w="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investments</w:t>
            </w:r>
          </w:p>
        </w:tc>
        <w:tc>
          <w:tcPr>
            <w:tcW w:w="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Level 1</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Mutual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w:t>
            </w:r>
          </w:p>
        </w:tc>
        <w:tc>
          <w:tcPr>
            <w:tcW w:w="60" w:type="dxa"/>
            <w:vAlign w:val="bottom"/>
          </w:tcPr>
          <w:p>
            <w:pPr>
              <w:spacing w:after="0"/>
              <w:rPr>
                <w:sz w:val="21"/>
                <w:szCs w:val="21"/>
                <w:color w:val="auto"/>
              </w:rPr>
            </w:pP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w:t>
            </w:r>
          </w:p>
        </w:tc>
        <w:tc>
          <w:tcPr>
            <w:tcW w:w="60" w:type="dxa"/>
            <w:vAlign w:val="bottom"/>
          </w:tcPr>
          <w:p>
            <w:pPr>
              <w:spacing w:after="0"/>
              <w:rPr>
                <w:sz w:val="21"/>
                <w:szCs w:val="21"/>
                <w:color w:val="auto"/>
              </w:rPr>
            </w:pPr>
          </w:p>
        </w:tc>
        <w:tc>
          <w:tcPr>
            <w:tcW w:w="240" w:type="dxa"/>
            <w:vAlign w:val="bottom"/>
          </w:tcPr>
          <w:p>
            <w:pPr>
              <w:jc w:val="right"/>
              <w:ind w:right="9"/>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5"/>
        </w:trPr>
        <w:tc>
          <w:tcPr>
            <w:tcW w:w="176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U.S. treasury</w:t>
            </w: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68,529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138</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68,556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25,836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42,720</w:t>
            </w:r>
          </w:p>
        </w:tc>
        <w:tc>
          <w:tcPr>
            <w:tcW w:w="0" w:type="dxa"/>
            <w:vAlign w:val="bottom"/>
          </w:tcPr>
          <w:p>
            <w:pPr>
              <w:spacing w:after="0"/>
              <w:rPr>
                <w:sz w:val="1"/>
                <w:szCs w:val="1"/>
                <w:color w:val="auto"/>
              </w:rPr>
            </w:pPr>
          </w:p>
        </w:tc>
      </w:tr>
      <w:tr>
        <w:trPr>
          <w:trHeight w:val="255"/>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securities</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Level 1</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69,050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69,077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25,836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42,720</w:t>
            </w: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Level 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Commercial paper</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30,881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30,878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26,924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9"/>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Agency securities</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106,109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106,142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72,457</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33,685</w:t>
            </w:r>
          </w:p>
        </w:tc>
        <w:tc>
          <w:tcPr>
            <w:tcW w:w="0" w:type="dxa"/>
            <w:vAlign w:val="bottom"/>
          </w:tcPr>
          <w:p>
            <w:pPr>
              <w:spacing w:after="0"/>
              <w:rPr>
                <w:sz w:val="1"/>
                <w:szCs w:val="1"/>
                <w:color w:val="auto"/>
              </w:rPr>
            </w:pPr>
          </w:p>
        </w:tc>
      </w:tr>
      <w:tr>
        <w:trPr>
          <w:trHeight w:val="257"/>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Level 2</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136,990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213</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137,020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26,924</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76,411</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33,685</w:t>
            </w:r>
          </w:p>
        </w:tc>
        <w:tc>
          <w:tcPr>
            <w:tcW w:w="0" w:type="dxa"/>
            <w:vAlign w:val="bottom"/>
          </w:tcPr>
          <w:p>
            <w:pPr>
              <w:spacing w:after="0"/>
              <w:rPr>
                <w:sz w:val="1"/>
                <w:szCs w:val="1"/>
                <w:color w:val="auto"/>
              </w:rPr>
            </w:pPr>
          </w:p>
        </w:tc>
      </w:tr>
      <w:tr>
        <w:trPr>
          <w:trHeight w:val="176"/>
        </w:trPr>
        <w:tc>
          <w:tcPr>
            <w:tcW w:w="1760" w:type="dxa"/>
            <w:vAlign w:val="bottom"/>
          </w:tcPr>
          <w:p>
            <w:pPr>
              <w:ind w:left="240"/>
              <w:spacing w:after="0" w:line="176" w:lineRule="exact"/>
              <w:rPr>
                <w:sz w:val="20"/>
                <w:szCs w:val="20"/>
                <w:color w:val="auto"/>
              </w:rPr>
            </w:pPr>
            <w:r>
              <w:rPr>
                <w:rFonts w:ascii="Times New Roman" w:cs="Times New Roman" w:eastAsia="Times New Roman" w:hAnsi="Times New Roman"/>
                <w:sz w:val="19"/>
                <w:szCs w:val="19"/>
                <w:color w:val="auto"/>
              </w:rPr>
              <w:t>Total Level 1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206,040</w:t>
            </w:r>
          </w:p>
        </w:tc>
        <w:tc>
          <w:tcPr>
            <w:tcW w:w="60" w:type="dxa"/>
            <w:vAlign w:val="bottom"/>
          </w:tcPr>
          <w:p>
            <w:pPr>
              <w:spacing w:after="0"/>
              <w:rPr>
                <w:sz w:val="15"/>
                <w:szCs w:val="15"/>
                <w:color w:val="auto"/>
              </w:rPr>
            </w:pPr>
          </w:p>
        </w:tc>
        <w:tc>
          <w:tcPr>
            <w:tcW w:w="24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351</w:t>
            </w:r>
          </w:p>
        </w:tc>
        <w:tc>
          <w:tcPr>
            <w:tcW w:w="60" w:type="dxa"/>
            <w:vAlign w:val="bottom"/>
            <w:vMerge w:val="restart"/>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(294)</w:t>
            </w:r>
          </w:p>
        </w:tc>
        <w:tc>
          <w:tcPr>
            <w:tcW w:w="6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206,097</w:t>
            </w:r>
          </w:p>
        </w:tc>
        <w:tc>
          <w:tcPr>
            <w:tcW w:w="60" w:type="dxa"/>
            <w:vAlign w:val="bottom"/>
          </w:tcPr>
          <w:p>
            <w:pPr>
              <w:spacing w:after="0"/>
              <w:rPr>
                <w:sz w:val="15"/>
                <w:szCs w:val="15"/>
                <w:color w:val="auto"/>
              </w:rPr>
            </w:pPr>
          </w:p>
        </w:tc>
        <w:tc>
          <w:tcPr>
            <w:tcW w:w="240" w:type="dxa"/>
            <w:vAlign w:val="bottom"/>
            <w:vMerge w:val="restart"/>
          </w:tcPr>
          <w:p>
            <w:pPr>
              <w:jc w:val="right"/>
              <w:ind w:right="9"/>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27,445</w:t>
            </w:r>
          </w:p>
        </w:tc>
        <w:tc>
          <w:tcPr>
            <w:tcW w:w="6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102,247</w:t>
            </w:r>
          </w:p>
        </w:tc>
        <w:tc>
          <w:tcPr>
            <w:tcW w:w="6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76,405</w:t>
            </w:r>
          </w:p>
        </w:tc>
        <w:tc>
          <w:tcPr>
            <w:tcW w:w="0" w:type="dxa"/>
            <w:vAlign w:val="bottom"/>
          </w:tcPr>
          <w:p>
            <w:pPr>
              <w:spacing w:after="0"/>
              <w:rPr>
                <w:sz w:val="1"/>
                <w:szCs w:val="1"/>
                <w:color w:val="auto"/>
              </w:rPr>
            </w:pPr>
          </w:p>
        </w:tc>
      </w:tr>
      <w:tr>
        <w:trPr>
          <w:trHeight w:val="241"/>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Level 2</w:t>
            </w: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Reported as:</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40" w:type="dxa"/>
            <w:vAlign w:val="bottom"/>
          </w:tcPr>
          <w:p>
            <w:pPr>
              <w:spacing w:after="0"/>
              <w:rPr>
                <w:sz w:val="24"/>
                <w:szCs w:val="24"/>
                <w:color w:val="auto"/>
              </w:rPr>
            </w:pPr>
          </w:p>
        </w:tc>
        <w:tc>
          <w:tcPr>
            <w:tcW w:w="780" w:type="dxa"/>
            <w:vAlign w:val="bottom"/>
            <w:vMerge w:val="restart"/>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Gains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vMerge w:val="restart"/>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24"/>
                <w:szCs w:val="24"/>
                <w:color w:val="auto"/>
              </w:rPr>
            </w:pPr>
          </w:p>
        </w:tc>
        <w:tc>
          <w:tcPr>
            <w:tcW w:w="78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Short-term</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4"/>
              </w:rPr>
              <w:t>Long-term</w:t>
            </w:r>
          </w:p>
        </w:tc>
        <w:tc>
          <w:tcPr>
            <w:tcW w:w="0" w:type="dxa"/>
            <w:vAlign w:val="bottom"/>
          </w:tcPr>
          <w:p>
            <w:pPr>
              <w:spacing w:after="0"/>
              <w:rPr>
                <w:sz w:val="1"/>
                <w:szCs w:val="1"/>
                <w:color w:val="auto"/>
              </w:rPr>
            </w:pPr>
          </w:p>
        </w:tc>
      </w:tr>
      <w:tr>
        <w:trPr>
          <w:trHeight w:val="208"/>
        </w:trPr>
        <w:tc>
          <w:tcPr>
            <w:tcW w:w="1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equivalents</w:t>
            </w:r>
          </w:p>
        </w:tc>
        <w:tc>
          <w:tcPr>
            <w:tcW w:w="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investments</w:t>
            </w:r>
          </w:p>
        </w:tc>
        <w:tc>
          <w:tcPr>
            <w:tcW w:w="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Level 1</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Mutual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w:t>
            </w:r>
          </w:p>
        </w:tc>
        <w:tc>
          <w:tcPr>
            <w:tcW w:w="60" w:type="dxa"/>
            <w:vAlign w:val="bottom"/>
          </w:tcPr>
          <w:p>
            <w:pPr>
              <w:spacing w:after="0"/>
              <w:rPr>
                <w:sz w:val="24"/>
                <w:szCs w:val="24"/>
                <w:color w:val="auto"/>
              </w:rPr>
            </w:pP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w:t>
            </w:r>
          </w:p>
        </w:tc>
        <w:tc>
          <w:tcPr>
            <w:tcW w:w="60" w:type="dxa"/>
            <w:vAlign w:val="bottom"/>
          </w:tcPr>
          <w:p>
            <w:pPr>
              <w:spacing w:after="0"/>
              <w:rPr>
                <w:sz w:val="24"/>
                <w:szCs w:val="24"/>
                <w:color w:val="auto"/>
              </w:rPr>
            </w:pPr>
          </w:p>
        </w:tc>
        <w:tc>
          <w:tcPr>
            <w:tcW w:w="240" w:type="dxa"/>
            <w:vAlign w:val="bottom"/>
          </w:tcPr>
          <w:p>
            <w:pPr>
              <w:jc w:val="right"/>
              <w:ind w:right="9"/>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9"/>
        </w:trPr>
        <w:tc>
          <w:tcPr>
            <w:tcW w:w="176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U.S. treasury</w:t>
            </w: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74,115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(247)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73,972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50,638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23,334</w:t>
            </w:r>
          </w:p>
        </w:tc>
        <w:tc>
          <w:tcPr>
            <w:tcW w:w="0" w:type="dxa"/>
            <w:vAlign w:val="bottom"/>
          </w:tcPr>
          <w:p>
            <w:pPr>
              <w:spacing w:after="0"/>
              <w:rPr>
                <w:sz w:val="1"/>
                <w:szCs w:val="1"/>
                <w:color w:val="auto"/>
              </w:rPr>
            </w:pPr>
          </w:p>
        </w:tc>
      </w:tr>
      <w:tr>
        <w:trPr>
          <w:trHeight w:val="255"/>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securities</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Level 1</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74,705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74,562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50,638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23,334</w:t>
            </w: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Level 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Commercial paper</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18,653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18,644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18,644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9"/>
        </w:trPr>
        <w:tc>
          <w:tcPr>
            <w:tcW w:w="176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Corporate debt</w:t>
            </w: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6,950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6,913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6,913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3"/>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securities</w:t>
            </w: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1760" w:type="dxa"/>
            <w:vAlign w:val="bottom"/>
          </w:tcPr>
          <w:p>
            <w:pPr>
              <w:spacing w:after="0"/>
              <w:rPr>
                <w:sz w:val="20"/>
                <w:szCs w:val="20"/>
                <w:color w:val="auto"/>
              </w:rPr>
            </w:pPr>
            <w:r>
              <w:rPr>
                <w:rFonts w:ascii="Times New Roman" w:cs="Times New Roman" w:eastAsia="Times New Roman" w:hAnsi="Times New Roman"/>
                <w:sz w:val="19"/>
                <w:szCs w:val="19"/>
                <w:color w:val="auto"/>
              </w:rPr>
              <w:t>Agency securities</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163,849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163,783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96,470</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67,313</w:t>
            </w:r>
          </w:p>
        </w:tc>
        <w:tc>
          <w:tcPr>
            <w:tcW w:w="0" w:type="dxa"/>
            <w:vAlign w:val="bottom"/>
          </w:tcPr>
          <w:p>
            <w:pPr>
              <w:spacing w:after="0"/>
              <w:rPr>
                <w:sz w:val="1"/>
                <w:szCs w:val="1"/>
                <w:color w:val="auto"/>
              </w:rPr>
            </w:pPr>
          </w:p>
        </w:tc>
      </w:tr>
      <w:tr>
        <w:trPr>
          <w:trHeight w:val="257"/>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 Level 2</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189,452</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358</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189,340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18,644</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103,383</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67,313</w:t>
            </w:r>
          </w:p>
        </w:tc>
        <w:tc>
          <w:tcPr>
            <w:tcW w:w="0" w:type="dxa"/>
            <w:vAlign w:val="bottom"/>
          </w:tcPr>
          <w:p>
            <w:pPr>
              <w:spacing w:after="0"/>
              <w:rPr>
                <w:sz w:val="1"/>
                <w:szCs w:val="1"/>
                <w:color w:val="auto"/>
              </w:rPr>
            </w:pPr>
          </w:p>
        </w:tc>
      </w:tr>
      <w:tr>
        <w:trPr>
          <w:trHeight w:val="176"/>
        </w:trPr>
        <w:tc>
          <w:tcPr>
            <w:tcW w:w="1760" w:type="dxa"/>
            <w:vAlign w:val="bottom"/>
          </w:tcPr>
          <w:p>
            <w:pPr>
              <w:ind w:left="240"/>
              <w:spacing w:after="0" w:line="176" w:lineRule="exact"/>
              <w:rPr>
                <w:sz w:val="20"/>
                <w:szCs w:val="20"/>
                <w:color w:val="auto"/>
              </w:rPr>
            </w:pPr>
            <w:r>
              <w:rPr>
                <w:rFonts w:ascii="Times New Roman" w:cs="Times New Roman" w:eastAsia="Times New Roman" w:hAnsi="Times New Roman"/>
                <w:sz w:val="19"/>
                <w:szCs w:val="19"/>
                <w:color w:val="auto"/>
              </w:rPr>
              <w:t>Total Level 1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264,157</w:t>
            </w:r>
          </w:p>
        </w:tc>
        <w:tc>
          <w:tcPr>
            <w:tcW w:w="60" w:type="dxa"/>
            <w:vAlign w:val="bottom"/>
          </w:tcPr>
          <w:p>
            <w:pPr>
              <w:spacing w:after="0"/>
              <w:rPr>
                <w:sz w:val="15"/>
                <w:szCs w:val="15"/>
                <w:color w:val="auto"/>
              </w:rPr>
            </w:pPr>
          </w:p>
        </w:tc>
        <w:tc>
          <w:tcPr>
            <w:tcW w:w="24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462</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(717)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263,902</w:t>
            </w:r>
          </w:p>
        </w:tc>
        <w:tc>
          <w:tcPr>
            <w:tcW w:w="60" w:type="dxa"/>
            <w:vAlign w:val="bottom"/>
          </w:tcPr>
          <w:p>
            <w:pPr>
              <w:spacing w:after="0"/>
              <w:rPr>
                <w:sz w:val="15"/>
                <w:szCs w:val="15"/>
                <w:color w:val="auto"/>
              </w:rPr>
            </w:pPr>
          </w:p>
        </w:tc>
        <w:tc>
          <w:tcPr>
            <w:tcW w:w="240" w:type="dxa"/>
            <w:vAlign w:val="bottom"/>
            <w:vMerge w:val="restart"/>
          </w:tcPr>
          <w:p>
            <w:pPr>
              <w:jc w:val="right"/>
              <w:ind w:right="9"/>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19,234</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154,021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90,647</w:t>
            </w:r>
          </w:p>
        </w:tc>
        <w:tc>
          <w:tcPr>
            <w:tcW w:w="0" w:type="dxa"/>
            <w:vAlign w:val="bottom"/>
          </w:tcPr>
          <w:p>
            <w:pPr>
              <w:spacing w:after="0"/>
              <w:rPr>
                <w:sz w:val="1"/>
                <w:szCs w:val="1"/>
                <w:color w:val="auto"/>
              </w:rPr>
            </w:pPr>
          </w:p>
        </w:tc>
      </w:tr>
      <w:tr>
        <w:trPr>
          <w:trHeight w:val="236"/>
        </w:trPr>
        <w:tc>
          <w:tcPr>
            <w:tcW w:w="17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Level 2</w:t>
            </w:r>
          </w:p>
        </w:tc>
        <w:tc>
          <w:tcPr>
            <w:tcW w:w="1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-2609850</wp:posOffset>
            </wp:positionV>
            <wp:extent cx="5988050" cy="26168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a:extLst>
                        <a:ext uri="{28A0092B-C50C-407E-A947-70E740481C1C}"/>
                      </a:extLst>
                    </a:blip>
                    <a:srcRect/>
                    <a:stretch>
                      <a:fillRect/>
                    </a:stretch>
                  </pic:blipFill>
                  <pic:spPr bwMode="auto">
                    <a:xfrm>
                      <a:off x="0" y="0"/>
                      <a:ext cx="5988050" cy="2616835"/>
                    </a:xfrm>
                    <a:prstGeom prst="rect">
                      <a:avLst/>
                    </a:prstGeom>
                    <a:noFill/>
                  </pic:spPr>
                </pic:pic>
              </a:graphicData>
            </a:graphic>
          </wp:anchor>
        </w:drawing>
      </w:r>
    </w:p>
    <w:p>
      <w:pPr>
        <w:spacing w:after="0" w:line="395" w:lineRule="exact"/>
        <w:rPr>
          <w:sz w:val="20"/>
          <w:szCs w:val="20"/>
          <w:color w:val="auto"/>
        </w:rPr>
      </w:pPr>
    </w:p>
    <w:p>
      <w:pPr>
        <w:jc w:val="both"/>
        <w:ind w:left="2" w:right="720" w:firstLine="349"/>
        <w:spacing w:after="0" w:line="274" w:lineRule="auto"/>
        <w:rPr>
          <w:sz w:val="20"/>
          <w:szCs w:val="20"/>
          <w:color w:val="auto"/>
        </w:rPr>
      </w:pPr>
      <w:r>
        <w:rPr>
          <w:rFonts w:ascii="Times New Roman" w:cs="Times New Roman" w:eastAsia="Times New Roman" w:hAnsi="Times New Roman"/>
          <w:sz w:val="19"/>
          <w:szCs w:val="19"/>
          <w:color w:val="auto"/>
        </w:rPr>
        <w:t>Short-term investments have a contractual maturity date that is one year or less from the respective balance sheet date. Long-term investments have a contractual maturity date that is more than one year, but less than two years from the respective balance sheet date.</w:t>
      </w:r>
    </w:p>
    <w:p>
      <w:pPr>
        <w:spacing w:after="0" w:line="125" w:lineRule="exact"/>
        <w:rPr>
          <w:sz w:val="20"/>
          <w:szCs w:val="20"/>
          <w:color w:val="auto"/>
        </w:rPr>
      </w:pPr>
    </w:p>
    <w:p>
      <w:pPr>
        <w:jc w:val="both"/>
        <w:ind w:left="2" w:right="300" w:firstLine="349"/>
        <w:spacing w:after="0" w:line="293" w:lineRule="auto"/>
        <w:rPr>
          <w:sz w:val="20"/>
          <w:szCs w:val="20"/>
          <w:color w:val="auto"/>
        </w:rPr>
      </w:pPr>
      <w:r>
        <w:rPr>
          <w:rFonts w:ascii="Times New Roman" w:cs="Times New Roman" w:eastAsia="Times New Roman" w:hAnsi="Times New Roman"/>
          <w:sz w:val="19"/>
          <w:szCs w:val="19"/>
          <w:color w:val="auto"/>
        </w:rPr>
        <w:t>The unrealized losses and fair values of available-for-sale securities that have been in an unrealized loss position for a period of less than and greater than 12 months as of December 31, 2024 and December 31, 2023 are as follows:</w:t>
      </w:r>
    </w:p>
    <w:p>
      <w:pPr>
        <w:sectPr>
          <w:pgSz w:w="11880" w:h="15480" w:orient="portrait"/>
          <w:cols w:equalWidth="0" w:num="1">
            <w:col w:w="9382"/>
          </w:cols>
          <w:pgMar w:left="1398" w:top="577"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6"/>
          <w:szCs w:val="16"/>
          <w:color w:val="auto"/>
        </w:rPr>
        <w:t>98</w:t>
      </w:r>
    </w:p>
    <w:p>
      <w:pPr>
        <w:sectPr>
          <w:pgSz w:w="11880" w:h="15480" w:orient="portrait"/>
          <w:cols w:equalWidth="0" w:num="1">
            <w:col w:w="9382"/>
          </w:cols>
          <w:pgMar w:left="1398" w:top="577" w:right="1100" w:bottom="0" w:gutter="0" w:footer="0" w:header="0"/>
          <w:type w:val="continuous"/>
        </w:sectPr>
      </w:pPr>
    </w:p>
    <w:bookmarkStart w:id="100" w:name="page101"/>
    <w:bookmarkEnd w:id="100"/>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326390</wp:posOffset>
            </wp:positionV>
            <wp:extent cx="5794375" cy="13874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5">
                      <a:extLst>
                        <a:ext uri="{28A0092B-C50C-407E-A947-70E740481C1C}"/>
                      </a:extLst>
                    </a:blip>
                    <a:srcRect/>
                    <a:stretch>
                      <a:fillRect/>
                    </a:stretch>
                  </pic:blipFill>
                  <pic:spPr bwMode="auto">
                    <a:xfrm>
                      <a:off x="0" y="0"/>
                      <a:ext cx="5794375" cy="13874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00" w:lineRule="exact"/>
        <w:rPr>
          <w:sz w:val="20"/>
          <w:szCs w:val="20"/>
          <w:color w:val="auto"/>
        </w:rPr>
      </w:pPr>
    </w:p>
    <w:p>
      <w:pPr>
        <w:spacing w:after="0" w:line="392"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2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120" w:type="dxa"/>
            <w:vAlign w:val="bottom"/>
            <w:gridSpan w:val="5"/>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Securities in Unrealized Loss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4"/>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Securities in Unrealized Loss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20" w:type="dxa"/>
            <w:vAlign w:val="bottom"/>
            <w:vMerge w:val="continue"/>
          </w:tcPr>
          <w:p>
            <w:pPr>
              <w:spacing w:after="0"/>
              <w:rPr>
                <w:sz w:val="18"/>
                <w:szCs w:val="18"/>
                <w:color w:val="auto"/>
              </w:rPr>
            </w:pPr>
          </w:p>
        </w:tc>
        <w:tc>
          <w:tcPr>
            <w:tcW w:w="2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Position Less than 12 months</w:t>
            </w:r>
          </w:p>
        </w:tc>
        <w:tc>
          <w:tcPr>
            <w:tcW w:w="60" w:type="dxa"/>
            <w:vAlign w:val="bottom"/>
          </w:tcPr>
          <w:p>
            <w:pPr>
              <w:spacing w:after="0"/>
              <w:rPr>
                <w:sz w:val="18"/>
                <w:szCs w:val="18"/>
                <w:color w:val="auto"/>
              </w:rPr>
            </w:pPr>
          </w:p>
        </w:tc>
        <w:tc>
          <w:tcPr>
            <w:tcW w:w="2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Position Greater than 12 months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02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Fair Market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2"/>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Fair Market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Gross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155"/>
        </w:trPr>
        <w:tc>
          <w:tcPr>
            <w:tcW w:w="2720" w:type="dxa"/>
            <w:vAlign w:val="bottom"/>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3"/>
                <w:szCs w:val="13"/>
                <w:color w:val="auto"/>
              </w:rPr>
            </w:pPr>
          </w:p>
        </w:tc>
        <w:tc>
          <w:tcPr>
            <w:tcW w:w="88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2"/>
              <w:spacing w:after="0" w:line="155"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51"/>
              <w:spacing w:after="0" w:line="155" w:lineRule="exact"/>
              <w:rPr>
                <w:sz w:val="20"/>
                <w:szCs w:val="20"/>
                <w:color w:val="auto"/>
              </w:rPr>
            </w:pPr>
            <w:r>
              <w:rPr>
                <w:rFonts w:ascii="Times New Roman" w:cs="Times New Roman" w:eastAsia="Times New Roman" w:hAnsi="Times New Roman"/>
                <w:sz w:val="16"/>
                <w:szCs w:val="16"/>
                <w:b w:val="1"/>
                <w:bCs w:val="1"/>
                <w:color w:val="auto"/>
                <w:w w:val="96"/>
              </w:rPr>
              <w:t>Market</w:t>
            </w:r>
          </w:p>
        </w:tc>
        <w:tc>
          <w:tcPr>
            <w:tcW w:w="0" w:type="dxa"/>
            <w:vAlign w:val="bottom"/>
          </w:tcPr>
          <w:p>
            <w:pPr>
              <w:spacing w:after="0"/>
              <w:rPr>
                <w:sz w:val="1"/>
                <w:szCs w:val="1"/>
                <w:color w:val="auto"/>
              </w:rPr>
            </w:pPr>
          </w:p>
        </w:tc>
      </w:tr>
      <w:tr>
        <w:trPr>
          <w:trHeight w:val="208"/>
        </w:trPr>
        <w:tc>
          <w:tcPr>
            <w:tcW w:w="27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54"/>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U.S. treasury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25,804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25,804</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Commercial paper</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28,895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28,895</w:t>
            </w:r>
          </w:p>
        </w:tc>
        <w:tc>
          <w:tcPr>
            <w:tcW w:w="0" w:type="dxa"/>
            <w:vAlign w:val="bottom"/>
          </w:tcPr>
          <w:p>
            <w:pPr>
              <w:spacing w:after="0"/>
              <w:rPr>
                <w:sz w:val="1"/>
                <w:szCs w:val="1"/>
                <w:color w:val="auto"/>
              </w:rPr>
            </w:pPr>
          </w:p>
        </w:tc>
      </w:tr>
      <w:tr>
        <w:trPr>
          <w:trHeight w:val="279"/>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Agency securities</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32,873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5,000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177</w:t>
            </w: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37,873</w:t>
            </w: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293</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87,572</w:t>
            </w:r>
          </w:p>
        </w:tc>
        <w:tc>
          <w:tcPr>
            <w:tcW w:w="60" w:type="dxa"/>
            <w:vAlign w:val="bottom"/>
          </w:tcPr>
          <w:p>
            <w:pPr>
              <w:spacing w:after="0"/>
              <w:rPr>
                <w:sz w:val="20"/>
                <w:szCs w:val="20"/>
                <w:color w:val="auto"/>
              </w:rPr>
            </w:pP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5,000</w:t>
            </w:r>
          </w:p>
        </w:tc>
        <w:tc>
          <w:tcPr>
            <w:tcW w:w="60" w:type="dxa"/>
            <w:vAlign w:val="bottom"/>
          </w:tcPr>
          <w:p>
            <w:pPr>
              <w:spacing w:after="0"/>
              <w:rPr>
                <w:sz w:val="20"/>
                <w:szCs w:val="20"/>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294</w:t>
            </w:r>
          </w:p>
        </w:tc>
        <w:tc>
          <w:tcPr>
            <w:tcW w:w="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92,572</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2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120" w:type="dxa"/>
            <w:vAlign w:val="bottom"/>
            <w:gridSpan w:val="5"/>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Securities in Unrealized Loss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4"/>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Securities in Unrealized Loss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720" w:type="dxa"/>
            <w:vAlign w:val="bottom"/>
            <w:vMerge w:val="continue"/>
          </w:tcPr>
          <w:p>
            <w:pPr>
              <w:spacing w:after="0"/>
              <w:rPr>
                <w:sz w:val="18"/>
                <w:szCs w:val="18"/>
                <w:color w:val="auto"/>
              </w:rPr>
            </w:pPr>
          </w:p>
        </w:tc>
        <w:tc>
          <w:tcPr>
            <w:tcW w:w="2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Position Less than 12 months</w:t>
            </w:r>
          </w:p>
        </w:tc>
        <w:tc>
          <w:tcPr>
            <w:tcW w:w="60" w:type="dxa"/>
            <w:vAlign w:val="bottom"/>
          </w:tcPr>
          <w:p>
            <w:pPr>
              <w:spacing w:after="0"/>
              <w:rPr>
                <w:sz w:val="18"/>
                <w:szCs w:val="18"/>
                <w:color w:val="auto"/>
              </w:rPr>
            </w:pPr>
          </w:p>
        </w:tc>
        <w:tc>
          <w:tcPr>
            <w:tcW w:w="2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Position Greater than 12 months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02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Fair Market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2"/>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Fair Market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Gross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155"/>
        </w:trPr>
        <w:tc>
          <w:tcPr>
            <w:tcW w:w="2720" w:type="dxa"/>
            <w:vAlign w:val="bottom"/>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Pr>
          <w:p>
            <w:pPr>
              <w:spacing w:after="0"/>
              <w:rPr>
                <w:sz w:val="13"/>
                <w:szCs w:val="13"/>
                <w:color w:val="auto"/>
              </w:rPr>
            </w:pPr>
          </w:p>
        </w:tc>
        <w:tc>
          <w:tcPr>
            <w:tcW w:w="880" w:type="dxa"/>
            <w:vAlign w:val="bottom"/>
          </w:tcPr>
          <w:p>
            <w:pPr>
              <w:jc w:val="center"/>
              <w:ind w:right="71"/>
              <w:spacing w:after="0" w:line="155"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2"/>
              <w:spacing w:after="0" w:line="155"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51"/>
              <w:spacing w:after="0" w:line="155" w:lineRule="exact"/>
              <w:rPr>
                <w:sz w:val="20"/>
                <w:szCs w:val="20"/>
                <w:color w:val="auto"/>
              </w:rPr>
            </w:pPr>
            <w:r>
              <w:rPr>
                <w:rFonts w:ascii="Times New Roman" w:cs="Times New Roman" w:eastAsia="Times New Roman" w:hAnsi="Times New Roman"/>
                <w:sz w:val="16"/>
                <w:szCs w:val="16"/>
                <w:b w:val="1"/>
                <w:bCs w:val="1"/>
                <w:color w:val="auto"/>
                <w:w w:val="96"/>
              </w:rPr>
              <w:t>Market</w:t>
            </w:r>
          </w:p>
        </w:tc>
        <w:tc>
          <w:tcPr>
            <w:tcW w:w="0" w:type="dxa"/>
            <w:vAlign w:val="bottom"/>
          </w:tcPr>
          <w:p>
            <w:pPr>
              <w:spacing w:after="0"/>
              <w:rPr>
                <w:sz w:val="1"/>
                <w:szCs w:val="1"/>
                <w:color w:val="auto"/>
              </w:rPr>
            </w:pPr>
          </w:p>
        </w:tc>
      </w:tr>
      <w:tr>
        <w:trPr>
          <w:trHeight w:val="208"/>
        </w:trPr>
        <w:tc>
          <w:tcPr>
            <w:tcW w:w="27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54"/>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U.S. treasury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20,408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162</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30,230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50,638</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Commercial paper</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18,644</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Corporate debt securities</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6,913</w:t>
            </w:r>
          </w:p>
        </w:tc>
        <w:tc>
          <w:tcPr>
            <w:tcW w:w="0" w:type="dxa"/>
            <w:vAlign w:val="bottom"/>
          </w:tcPr>
          <w:p>
            <w:pPr>
              <w:spacing w:after="0"/>
              <w:rPr>
                <w:sz w:val="1"/>
                <w:szCs w:val="1"/>
                <w:color w:val="auto"/>
              </w:rPr>
            </w:pPr>
          </w:p>
        </w:tc>
      </w:tr>
      <w:tr>
        <w:trPr>
          <w:trHeight w:val="279"/>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Agency securities</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85,039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25,704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424</w:t>
            </w: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110,743</w:t>
            </w: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360</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131,004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357</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55,934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186,938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-1556385</wp:posOffset>
            </wp:positionV>
            <wp:extent cx="5794375" cy="1563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6">
                      <a:extLst>
                        <a:ext uri="{28A0092B-C50C-407E-A947-70E740481C1C}"/>
                      </a:extLst>
                    </a:blip>
                    <a:srcRect/>
                    <a:stretch>
                      <a:fillRect/>
                    </a:stretch>
                  </pic:blipFill>
                  <pic:spPr bwMode="auto">
                    <a:xfrm>
                      <a:off x="0" y="0"/>
                      <a:ext cx="5794375" cy="1563370"/>
                    </a:xfrm>
                    <a:prstGeom prst="rect">
                      <a:avLst/>
                    </a:prstGeom>
                    <a:noFill/>
                  </pic:spPr>
                </pic:pic>
              </a:graphicData>
            </a:graphic>
          </wp:anchor>
        </w:drawing>
      </w:r>
    </w:p>
    <w:p>
      <w:pPr>
        <w:spacing w:after="0" w:line="162" w:lineRule="exact"/>
        <w:rPr>
          <w:sz w:val="20"/>
          <w:szCs w:val="20"/>
          <w:color w:val="auto"/>
        </w:rPr>
      </w:pPr>
    </w:p>
    <w:p>
      <w:pPr>
        <w:ind w:left="2" w:right="120" w:firstLine="398"/>
        <w:spacing w:after="0" w:line="265" w:lineRule="auto"/>
        <w:rPr>
          <w:sz w:val="20"/>
          <w:szCs w:val="20"/>
          <w:color w:val="auto"/>
        </w:rPr>
      </w:pPr>
      <w:r>
        <w:rPr>
          <w:rFonts w:ascii="Times New Roman" w:cs="Times New Roman" w:eastAsia="Times New Roman" w:hAnsi="Times New Roman"/>
          <w:sz w:val="19"/>
          <w:szCs w:val="19"/>
          <w:color w:val="auto"/>
        </w:rPr>
        <w:t>The Company reviewed its investment portfolio based on the underlying risk profile of the securities and have no loss expectation for these investments. The Company reviewed the securities in an unrealized loss position and evaluated the current expected credit loss by considering factors such as historical experience, market data, issuer-specific factors, and current economic conditions. The Company recognized no credit losses during the years ended December 31, 2024 and 2023, and had no allowance for credit losses as of December 31, 2024 and 2023.</w:t>
      </w:r>
    </w:p>
    <w:p>
      <w:pPr>
        <w:spacing w:after="0" w:line="126" w:lineRule="exact"/>
        <w:rPr>
          <w:sz w:val="20"/>
          <w:szCs w:val="20"/>
          <w:color w:val="auto"/>
        </w:rPr>
      </w:pPr>
    </w:p>
    <w:p>
      <w:pPr>
        <w:ind w:left="2" w:right="2640" w:hanging="2"/>
        <w:spacing w:after="0" w:line="451" w:lineRule="auto"/>
        <w:tabs>
          <w:tab w:leader="none" w:pos="701" w:val="left"/>
        </w:tabs>
        <w:numPr>
          <w:ilvl w:val="0"/>
          <w:numId w:val="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Composition of Certain Consolidated Financial Statement Line Items Property and Equipment, Net</w:t>
      </w:r>
    </w:p>
    <w:p>
      <w:pPr>
        <w:spacing w:after="0" w:line="1"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Property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5794375" cy="18681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7">
                      <a:extLst>
                        <a:ext uri="{28A0092B-C50C-407E-A947-70E740481C1C}"/>
                      </a:extLst>
                    </a:blip>
                    <a:srcRect/>
                    <a:stretch>
                      <a:fillRect/>
                    </a:stretch>
                  </pic:blipFill>
                  <pic:spPr bwMode="auto">
                    <a:xfrm>
                      <a:off x="0" y="0"/>
                      <a:ext cx="5794375" cy="1868170"/>
                    </a:xfrm>
                    <a:prstGeom prst="rect">
                      <a:avLst/>
                    </a:prstGeom>
                    <a:noFill/>
                  </pic:spPr>
                </pic:pic>
              </a:graphicData>
            </a:graphic>
          </wp:anchor>
        </w:drawing>
      </w:r>
    </w:p>
    <w:p>
      <w:pPr>
        <w:spacing w:after="0" w:line="221"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Laboratory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6,337</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Leasehold improvements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Computer hardware</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222</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Furniture, fixtures and office equipment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324</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Prototype equipment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996</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Construction in progress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1,186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10,610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8,901</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Less: Accumulated depreciation</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(6,534)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(4,634)</w:t>
            </w:r>
          </w:p>
        </w:tc>
        <w:tc>
          <w:tcPr>
            <w:tcW w:w="0" w:type="dxa"/>
            <w:vAlign w:val="bottom"/>
          </w:tcPr>
          <w:p>
            <w:pPr>
              <w:spacing w:after="0"/>
              <w:rPr>
                <w:sz w:val="1"/>
                <w:szCs w:val="1"/>
                <w:color w:val="auto"/>
              </w:rPr>
            </w:pPr>
          </w:p>
        </w:tc>
      </w:tr>
      <w:tr>
        <w:trPr>
          <w:trHeight w:val="23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4,267</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2" w:right="20" w:firstLine="349"/>
        <w:spacing w:after="0" w:line="293" w:lineRule="auto"/>
        <w:rPr>
          <w:sz w:val="20"/>
          <w:szCs w:val="20"/>
          <w:color w:val="auto"/>
        </w:rPr>
      </w:pPr>
      <w:r>
        <w:rPr>
          <w:rFonts w:ascii="Times New Roman" w:cs="Times New Roman" w:eastAsia="Times New Roman" w:hAnsi="Times New Roman"/>
          <w:sz w:val="19"/>
          <w:szCs w:val="19"/>
          <w:color w:val="auto"/>
        </w:rPr>
        <w:t>The Company recorded $2.0 million and $1.8 million of depreciation expense for the years ended December 31, 2024 and 2023, respectively, which was primarily allocated to research and development expense.</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99</w:t>
      </w:r>
    </w:p>
    <w:p>
      <w:pPr>
        <w:sectPr>
          <w:pgSz w:w="11880" w:h="15480" w:orient="portrait"/>
          <w:cols w:equalWidth="0" w:num="1">
            <w:col w:w="9082"/>
          </w:cols>
          <w:pgMar w:left="1398" w:top="577" w:right="1400" w:bottom="0" w:gutter="0" w:footer="0" w:header="0"/>
          <w:type w:val="continuous"/>
        </w:sectPr>
      </w:pPr>
    </w:p>
    <w:bookmarkStart w:id="101" w:name="page102"/>
    <w:bookmarkEnd w:id="101"/>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Accrued Expenses and Other Liabilities</w:t>
      </w:r>
    </w:p>
    <w:p>
      <w:pPr>
        <w:spacing w:after="0" w:line="19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Accrued expenses and other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5794375" cy="1165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8">
                      <a:extLst>
                        <a:ext uri="{28A0092B-C50C-407E-A947-70E740481C1C}"/>
                      </a:extLst>
                    </a:blip>
                    <a:srcRect/>
                    <a:stretch>
                      <a:fillRect/>
                    </a:stretch>
                  </pic:blipFill>
                  <pic:spPr bwMode="auto">
                    <a:xfrm>
                      <a:off x="0" y="0"/>
                      <a:ext cx="5794375" cy="1165860"/>
                    </a:xfrm>
                    <a:prstGeom prst="rect">
                      <a:avLst/>
                    </a:prstGeom>
                    <a:noFill/>
                  </pic:spPr>
                </pic:pic>
              </a:graphicData>
            </a:graphic>
          </wp:anchor>
        </w:drawing>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6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5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0" w:type="dxa"/>
            <w:vAlign w:val="bottom"/>
          </w:tcPr>
          <w:p>
            <w:pPr>
              <w:spacing w:after="0"/>
              <w:rPr>
                <w:sz w:val="1"/>
                <w:szCs w:val="1"/>
                <w:color w:val="auto"/>
              </w:rPr>
            </w:pPr>
          </w:p>
        </w:tc>
      </w:tr>
      <w:tr>
        <w:trPr>
          <w:trHeight w:val="254"/>
        </w:trPr>
        <w:tc>
          <w:tcPr>
            <w:tcW w:w="65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Employee compensation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2,590</w:t>
            </w:r>
          </w:p>
        </w:tc>
        <w:tc>
          <w:tcPr>
            <w:tcW w:w="0" w:type="dxa"/>
            <w:vAlign w:val="bottom"/>
          </w:tcPr>
          <w:p>
            <w:pPr>
              <w:spacing w:after="0"/>
              <w:rPr>
                <w:sz w:val="1"/>
                <w:szCs w:val="1"/>
                <w:color w:val="auto"/>
              </w:rPr>
            </w:pPr>
          </w:p>
        </w:tc>
      </w:tr>
      <w:tr>
        <w:trPr>
          <w:trHeight w:val="277"/>
        </w:trPr>
        <w:tc>
          <w:tcPr>
            <w:tcW w:w="65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Accrued research and development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731</w:t>
            </w:r>
          </w:p>
        </w:tc>
        <w:tc>
          <w:tcPr>
            <w:tcW w:w="0" w:type="dxa"/>
            <w:vAlign w:val="bottom"/>
          </w:tcPr>
          <w:p>
            <w:pPr>
              <w:spacing w:after="0"/>
              <w:rPr>
                <w:sz w:val="1"/>
                <w:szCs w:val="1"/>
                <w:color w:val="auto"/>
              </w:rPr>
            </w:pPr>
          </w:p>
        </w:tc>
      </w:tr>
      <w:tr>
        <w:trPr>
          <w:trHeight w:val="277"/>
        </w:trPr>
        <w:tc>
          <w:tcPr>
            <w:tcW w:w="65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Accrued professional and consulting fees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245</w:t>
            </w:r>
          </w:p>
        </w:tc>
        <w:tc>
          <w:tcPr>
            <w:tcW w:w="0" w:type="dxa"/>
            <w:vAlign w:val="bottom"/>
          </w:tcPr>
          <w:p>
            <w:pPr>
              <w:spacing w:after="0"/>
              <w:rPr>
                <w:sz w:val="1"/>
                <w:szCs w:val="1"/>
                <w:color w:val="auto"/>
              </w:rPr>
            </w:pPr>
          </w:p>
        </w:tc>
      </w:tr>
      <w:tr>
        <w:trPr>
          <w:trHeight w:val="279"/>
        </w:trPr>
        <w:tc>
          <w:tcPr>
            <w:tcW w:w="65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Other</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379</w:t>
            </w:r>
          </w:p>
        </w:tc>
        <w:tc>
          <w:tcPr>
            <w:tcW w:w="0" w:type="dxa"/>
            <w:vAlign w:val="bottom"/>
          </w:tcPr>
          <w:p>
            <w:pPr>
              <w:spacing w:after="0"/>
              <w:rPr>
                <w:sz w:val="1"/>
                <w:szCs w:val="1"/>
                <w:color w:val="auto"/>
              </w:rPr>
            </w:pPr>
          </w:p>
        </w:tc>
      </w:tr>
      <w:tr>
        <w:trPr>
          <w:trHeight w:val="237"/>
        </w:trPr>
        <w:tc>
          <w:tcPr>
            <w:tcW w:w="65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3,945</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Cash, Cash Equivalents and Restricted Cash</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50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Cash, cash equivalents and restricted cash consisted of the following: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6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24"/>
                <w:szCs w:val="24"/>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5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0" w:type="dxa"/>
            <w:vAlign w:val="bottom"/>
          </w:tcPr>
          <w:p>
            <w:pPr>
              <w:spacing w:after="0"/>
              <w:rPr>
                <w:sz w:val="1"/>
                <w:szCs w:val="1"/>
                <w:color w:val="auto"/>
              </w:rPr>
            </w:pPr>
          </w:p>
        </w:tc>
      </w:tr>
      <w:tr>
        <w:trPr>
          <w:trHeight w:val="254"/>
        </w:trPr>
        <w:tc>
          <w:tcPr>
            <w:tcW w:w="65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27,646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19,397</w:t>
            </w:r>
          </w:p>
        </w:tc>
        <w:tc>
          <w:tcPr>
            <w:tcW w:w="0" w:type="dxa"/>
            <w:vAlign w:val="bottom"/>
          </w:tcPr>
          <w:p>
            <w:pPr>
              <w:spacing w:after="0"/>
              <w:rPr>
                <w:sz w:val="1"/>
                <w:szCs w:val="1"/>
                <w:color w:val="auto"/>
              </w:rPr>
            </w:pPr>
          </w:p>
        </w:tc>
      </w:tr>
      <w:tr>
        <w:trPr>
          <w:trHeight w:val="279"/>
        </w:trPr>
        <w:tc>
          <w:tcPr>
            <w:tcW w:w="65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Restricted cash included in other long-term assets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1,002</w:t>
            </w:r>
          </w:p>
        </w:tc>
        <w:tc>
          <w:tcPr>
            <w:tcW w:w="0" w:type="dxa"/>
            <w:vAlign w:val="bottom"/>
          </w:tcPr>
          <w:p>
            <w:pPr>
              <w:spacing w:after="0"/>
              <w:rPr>
                <w:sz w:val="1"/>
                <w:szCs w:val="1"/>
                <w:color w:val="auto"/>
              </w:rPr>
            </w:pPr>
          </w:p>
        </w:tc>
      </w:tr>
      <w:tr>
        <w:trPr>
          <w:trHeight w:val="237"/>
        </w:trPr>
        <w:tc>
          <w:tcPr>
            <w:tcW w:w="65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28,648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20,399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-807085</wp:posOffset>
            </wp:positionV>
            <wp:extent cx="5794375" cy="8140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9">
                      <a:extLst>
                        <a:ext uri="{28A0092B-C50C-407E-A947-70E740481C1C}"/>
                      </a:extLst>
                    </a:blip>
                    <a:srcRect/>
                    <a:stretch>
                      <a:fillRect/>
                    </a:stretch>
                  </pic:blipFill>
                  <pic:spPr bwMode="auto">
                    <a:xfrm>
                      <a:off x="0" y="0"/>
                      <a:ext cx="5794375" cy="814070"/>
                    </a:xfrm>
                    <a:prstGeom prst="rect">
                      <a:avLst/>
                    </a:prstGeom>
                    <a:noFill/>
                  </pic:spPr>
                </pic:pic>
              </a:graphicData>
            </a:graphic>
          </wp:anchor>
        </w:drawing>
      </w:r>
    </w:p>
    <w:p>
      <w:pPr>
        <w:spacing w:after="0" w:line="162" w:lineRule="exact"/>
        <w:rPr>
          <w:sz w:val="20"/>
          <w:szCs w:val="20"/>
          <w:color w:val="auto"/>
        </w:rPr>
      </w:pPr>
    </w:p>
    <w:p>
      <w:pPr>
        <w:ind w:left="2" w:right="980" w:firstLine="349"/>
        <w:spacing w:after="0" w:line="293" w:lineRule="auto"/>
        <w:rPr>
          <w:sz w:val="20"/>
          <w:szCs w:val="20"/>
          <w:color w:val="auto"/>
        </w:rPr>
      </w:pPr>
      <w:r>
        <w:rPr>
          <w:rFonts w:ascii="Times New Roman" w:cs="Times New Roman" w:eastAsia="Times New Roman" w:hAnsi="Times New Roman"/>
          <w:sz w:val="19"/>
          <w:szCs w:val="19"/>
          <w:color w:val="auto"/>
        </w:rPr>
        <w:t>Other long-term assets consisted of $1.0 million of restricted cash and $0.2 million of deposits as of December 31, 2024 and December 31, 2023.</w:t>
      </w:r>
    </w:p>
    <w:p>
      <w:pPr>
        <w:spacing w:after="0" w:line="123" w:lineRule="exact"/>
        <w:rPr>
          <w:sz w:val="20"/>
          <w:szCs w:val="20"/>
          <w:color w:val="auto"/>
        </w:rPr>
      </w:pPr>
    </w:p>
    <w:p>
      <w:pPr>
        <w:ind w:left="702" w:hanging="702"/>
        <w:spacing w:after="0"/>
        <w:tabs>
          <w:tab w:leader="none" w:pos="702"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Common Stock</w:t>
      </w:r>
    </w:p>
    <w:p>
      <w:pPr>
        <w:spacing w:after="0" w:line="19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There were 126,106,176 shares issued and outstanding as of December 31, 2024.</w:t>
      </w:r>
    </w:p>
    <w:p>
      <w:pPr>
        <w:spacing w:after="0" w:line="182"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Common Stock Reserved for Future Issuance</w:t>
      </w:r>
    </w:p>
    <w:p>
      <w:pPr>
        <w:spacing w:after="0" w:line="19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Shares of common stock reserved for future issuance on an as-if converted basis,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5794375" cy="9899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0">
                      <a:extLst>
                        <a:ext uri="{28A0092B-C50C-407E-A947-70E740481C1C}"/>
                      </a:extLst>
                    </a:blip>
                    <a:srcRect/>
                    <a:stretch>
                      <a:fillRect/>
                    </a:stretch>
                  </pic:blipFill>
                  <pic:spPr bwMode="auto">
                    <a:xfrm>
                      <a:off x="0" y="0"/>
                      <a:ext cx="5794375" cy="989965"/>
                    </a:xfrm>
                    <a:prstGeom prst="rect">
                      <a:avLst/>
                    </a:prstGeom>
                    <a:noFill/>
                  </pic:spPr>
                </pic:pic>
              </a:graphicData>
            </a:graphic>
          </wp:anchor>
        </w:drawing>
      </w:r>
    </w:p>
    <w:p>
      <w:pPr>
        <w:spacing w:after="0" w:line="221"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60" w:type="dxa"/>
            <w:vAlign w:val="bottom"/>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29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4"/>
        </w:trPr>
        <w:tc>
          <w:tcPr>
            <w:tcW w:w="2940" w:type="dxa"/>
            <w:vAlign w:val="bottom"/>
          </w:tcPr>
          <w:p>
            <w:pPr>
              <w:spacing w:after="0"/>
              <w:rPr>
                <w:sz w:val="20"/>
                <w:szCs w:val="20"/>
                <w:color w:val="auto"/>
              </w:rPr>
            </w:pPr>
            <w:r>
              <w:rPr>
                <w:rFonts w:ascii="Times New Roman" w:cs="Times New Roman" w:eastAsia="Times New Roman" w:hAnsi="Times New Roman"/>
                <w:sz w:val="19"/>
                <w:szCs w:val="19"/>
                <w:color w:val="auto"/>
              </w:rPr>
              <w:t>Shares available for grant under 2021</w:t>
            </w:r>
          </w:p>
        </w:tc>
        <w:tc>
          <w:tcPr>
            <w:tcW w:w="35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Equity Incentive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23,784,439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20,279,560</w:t>
            </w:r>
          </w:p>
        </w:tc>
      </w:tr>
      <w:tr>
        <w:trPr>
          <w:trHeight w:val="277"/>
        </w:trPr>
        <w:tc>
          <w:tcPr>
            <w:tcW w:w="2940" w:type="dxa"/>
            <w:vAlign w:val="bottom"/>
          </w:tcPr>
          <w:p>
            <w:pPr>
              <w:spacing w:after="0"/>
              <w:rPr>
                <w:sz w:val="20"/>
                <w:szCs w:val="20"/>
                <w:color w:val="auto"/>
              </w:rPr>
            </w:pPr>
            <w:r>
              <w:rPr>
                <w:rFonts w:ascii="Times New Roman" w:cs="Times New Roman" w:eastAsia="Times New Roman" w:hAnsi="Times New Roman"/>
                <w:sz w:val="19"/>
                <w:szCs w:val="19"/>
                <w:color w:val="auto"/>
              </w:rPr>
              <w:t>Stock options issued and outstanding</w:t>
            </w:r>
          </w:p>
        </w:tc>
        <w:tc>
          <w:tcPr>
            <w:tcW w:w="35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16,634,775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14,676,335</w:t>
            </w:r>
          </w:p>
        </w:tc>
      </w:tr>
      <w:tr>
        <w:trPr>
          <w:trHeight w:val="279"/>
        </w:trPr>
        <w:tc>
          <w:tcPr>
            <w:tcW w:w="2940" w:type="dxa"/>
            <w:vAlign w:val="bottom"/>
          </w:tcPr>
          <w:p>
            <w:pPr>
              <w:spacing w:after="0"/>
              <w:rPr>
                <w:sz w:val="20"/>
                <w:szCs w:val="20"/>
                <w:color w:val="auto"/>
              </w:rPr>
            </w:pPr>
            <w:r>
              <w:rPr>
                <w:rFonts w:ascii="Times New Roman" w:cs="Times New Roman" w:eastAsia="Times New Roman" w:hAnsi="Times New Roman"/>
                <w:sz w:val="19"/>
                <w:szCs w:val="19"/>
                <w:color w:val="auto"/>
              </w:rPr>
              <w:t>Shares available for grant under 2021</w:t>
            </w:r>
          </w:p>
        </w:tc>
        <w:tc>
          <w:tcPr>
            <w:tcW w:w="35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Employee Stock Purchase Plan</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4,508,360</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3,505,138</w:t>
            </w:r>
          </w:p>
        </w:tc>
      </w:tr>
      <w:tr>
        <w:trPr>
          <w:trHeight w:val="237"/>
        </w:trPr>
        <w:tc>
          <w:tcPr>
            <w:tcW w:w="64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shares of common stock reserved</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44,927,574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38,461,033</w:t>
            </w:r>
          </w:p>
        </w:tc>
      </w:tr>
      <w:tr>
        <w:trPr>
          <w:trHeight w:val="20"/>
        </w:trPr>
        <w:tc>
          <w:tcPr>
            <w:tcW w:w="2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702" w:hanging="702"/>
        <w:spacing w:after="0"/>
        <w:tabs>
          <w:tab w:leader="none" w:pos="702" w:val="left"/>
        </w:tabs>
        <w:numPr>
          <w:ilvl w:val="0"/>
          <w:numId w:val="5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Income Taxes</w:t>
      </w:r>
    </w:p>
    <w:p>
      <w:pPr>
        <w:spacing w:after="0" w:line="196" w:lineRule="exact"/>
        <w:rPr>
          <w:sz w:val="20"/>
          <w:szCs w:val="20"/>
          <w:color w:val="auto"/>
        </w:rPr>
      </w:pPr>
    </w:p>
    <w:p>
      <w:pPr>
        <w:ind w:left="2" w:right="40" w:firstLine="349"/>
        <w:spacing w:after="0" w:line="265" w:lineRule="auto"/>
        <w:rPr>
          <w:sz w:val="20"/>
          <w:szCs w:val="20"/>
          <w:color w:val="auto"/>
        </w:rPr>
      </w:pPr>
      <w:r>
        <w:rPr>
          <w:rFonts w:ascii="Times New Roman" w:cs="Times New Roman" w:eastAsia="Times New Roman" w:hAnsi="Times New Roman"/>
          <w:sz w:val="19"/>
          <w:szCs w:val="19"/>
          <w:color w:val="auto"/>
        </w:rPr>
        <w:t>The Company is liable for income taxes in the United States. For the years ended December 31, 2024 and 2023,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100</w:t>
      </w:r>
    </w:p>
    <w:p>
      <w:pPr>
        <w:sectPr>
          <w:pgSz w:w="11880" w:h="15480" w:orient="portrait"/>
          <w:cols w:equalWidth="0" w:num="1">
            <w:col w:w="9082"/>
          </w:cols>
          <w:pgMar w:left="1398" w:top="577" w:right="1400" w:bottom="0" w:gutter="0" w:footer="0" w:header="0"/>
          <w:type w:val="continuous"/>
        </w:sectPr>
      </w:pPr>
    </w:p>
    <w:bookmarkStart w:id="102" w:name="page103"/>
    <w:bookmarkEnd w:id="102"/>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20" w:firstLine="349"/>
        <w:spacing w:after="0" w:line="293" w:lineRule="auto"/>
        <w:rPr>
          <w:sz w:val="20"/>
          <w:szCs w:val="20"/>
          <w:color w:val="auto"/>
        </w:rPr>
      </w:pPr>
      <w:r>
        <w:rPr>
          <w:rFonts w:ascii="Times New Roman" w:cs="Times New Roman" w:eastAsia="Times New Roman" w:hAnsi="Times New Roman"/>
          <w:sz w:val="19"/>
          <w:szCs w:val="19"/>
          <w:color w:val="auto"/>
        </w:rPr>
        <w:t>A reconciliation between the expected income tax provision at the federal statutory rate and the reported income tax provision is approximately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93980</wp:posOffset>
            </wp:positionV>
            <wp:extent cx="5794375" cy="160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1">
                      <a:extLst>
                        <a:ext uri="{28A0092B-C50C-407E-A947-70E740481C1C}"/>
                      </a:extLst>
                    </a:blip>
                    <a:srcRect/>
                    <a:stretch>
                      <a:fillRect/>
                    </a:stretch>
                  </pic:blipFill>
                  <pic:spPr bwMode="auto">
                    <a:xfrm>
                      <a:off x="0" y="0"/>
                      <a:ext cx="5794375" cy="1609090"/>
                    </a:xfrm>
                    <a:prstGeom prst="rect">
                      <a:avLst/>
                    </a:prstGeom>
                    <a:noFill/>
                  </pic:spPr>
                </pic:pic>
              </a:graphicData>
            </a:graphic>
          </wp:anchor>
        </w:drawing>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20" w:type="dxa"/>
            <w:vAlign w:val="bottom"/>
          </w:tcPr>
          <w:p>
            <w:pPr>
              <w:jc w:val="center"/>
              <w:ind w:right="69"/>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9"/>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Federal income tax at statutory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(14,864)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(13,372)</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State income tax, net of federal benefit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(4,027)</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Equity-based Compensation</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2,423</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Tax credits generated in current year</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(2,091)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(2,075)</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Valuation allowance change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20,167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17,011</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Other</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w:t>
            </w:r>
          </w:p>
        </w:tc>
        <w:tc>
          <w:tcPr>
            <w:tcW w:w="0" w:type="dxa"/>
            <w:vAlign w:val="bottom"/>
          </w:tcPr>
          <w:p>
            <w:pPr>
              <w:spacing w:after="0"/>
              <w:rPr>
                <w:sz w:val="1"/>
                <w:szCs w:val="1"/>
                <w:color w:val="auto"/>
              </w:rPr>
            </w:pPr>
          </w:p>
        </w:tc>
      </w:tr>
      <w:tr>
        <w:trPr>
          <w:trHeight w:val="23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100" w:firstLine="349"/>
        <w:spacing w:after="0" w:line="268" w:lineRule="auto"/>
        <w:rPr>
          <w:sz w:val="20"/>
          <w:szCs w:val="20"/>
          <w:color w:val="auto"/>
        </w:rPr>
      </w:pPr>
      <w:r>
        <w:rPr>
          <w:rFonts w:ascii="Times New Roman" w:cs="Times New Roman" w:eastAsia="Times New Roman" w:hAnsi="Times New Roman"/>
          <w:sz w:val="19"/>
          <w:szCs w:val="19"/>
          <w:color w:val="auto"/>
        </w:rPr>
        <w:t>As of December 31, 2024, the Company had federal net operating loss carryforwards of $0.5 million that begin to expire in 2037 and federal net operating loss carryforwards of $105.1 million that arose after the 2017 tax year that will carryforward indefinitely and will be subject to the 80% of taxable income limitation. The Company has state net operating loss carryforwards of $150.4 million that will begin to expire in 2037.</w:t>
      </w:r>
    </w:p>
    <w:p>
      <w:pPr>
        <w:spacing w:after="0" w:line="131" w:lineRule="exact"/>
        <w:rPr>
          <w:sz w:val="20"/>
          <w:szCs w:val="20"/>
          <w:color w:val="auto"/>
        </w:rPr>
      </w:pPr>
    </w:p>
    <w:p>
      <w:pPr>
        <w:ind w:right="100" w:firstLine="349"/>
        <w:spacing w:after="0" w:line="274" w:lineRule="auto"/>
        <w:rPr>
          <w:sz w:val="20"/>
          <w:szCs w:val="20"/>
          <w:color w:val="auto"/>
        </w:rPr>
      </w:pPr>
      <w:r>
        <w:rPr>
          <w:rFonts w:ascii="Times New Roman" w:cs="Times New Roman" w:eastAsia="Times New Roman" w:hAnsi="Times New Roman"/>
          <w:sz w:val="19"/>
          <w:szCs w:val="19"/>
          <w:color w:val="auto"/>
        </w:rPr>
        <w:t>As of December 31, 2024, the Company had research and development tax credit carryover of $9.4 million and $6.3 million for federal and state tax purposes, respectively. If not utilized, the federal carryforward will expire in various amounts beginning in 2039. The California credits can be carried forward indefinitely.</w:t>
      </w:r>
    </w:p>
    <w:p>
      <w:pPr>
        <w:spacing w:after="0" w:line="125" w:lineRule="exact"/>
        <w:rPr>
          <w:sz w:val="20"/>
          <w:szCs w:val="20"/>
          <w:color w:val="auto"/>
        </w:rPr>
      </w:pPr>
    </w:p>
    <w:p>
      <w:pPr>
        <w:ind w:right="20" w:firstLine="349"/>
        <w:spacing w:after="0" w:line="263" w:lineRule="auto"/>
        <w:rPr>
          <w:sz w:val="20"/>
          <w:szCs w:val="20"/>
          <w:color w:val="auto"/>
        </w:rPr>
      </w:pPr>
      <w:r>
        <w:rPr>
          <w:rFonts w:ascii="Times New Roman" w:cs="Times New Roman" w:eastAsia="Times New Roman" w:hAnsi="Times New Roman"/>
          <w:sz w:val="19"/>
          <w:szCs w:val="19"/>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 net deferred tax assets. The valuation allowance increased by $20.2 million during the year ended December 31, 2024. Management reevaluates the positive and negative evidence at each reporting period.</w:t>
      </w:r>
    </w:p>
    <w:p>
      <w:pPr>
        <w:spacing w:after="0" w:line="136" w:lineRule="exact"/>
        <w:rPr>
          <w:sz w:val="20"/>
          <w:szCs w:val="20"/>
          <w:color w:val="auto"/>
        </w:rPr>
      </w:pPr>
    </w:p>
    <w:p>
      <w:pPr>
        <w:jc w:val="both"/>
        <w:ind w:right="420" w:firstLine="349"/>
        <w:spacing w:after="0" w:line="274" w:lineRule="auto"/>
        <w:rPr>
          <w:sz w:val="20"/>
          <w:szCs w:val="20"/>
          <w:color w:val="auto"/>
        </w:rPr>
      </w:pPr>
      <w:r>
        <w:rPr>
          <w:rFonts w:ascii="Times New Roman" w:cs="Times New Roman" w:eastAsia="Times New Roman" w:hAnsi="Times New Roman"/>
          <w:sz w:val="19"/>
          <w:szCs w:val="19"/>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5794375" cy="2940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2">
                      <a:extLst>
                        <a:ext uri="{28A0092B-C50C-407E-A947-70E740481C1C}"/>
                      </a:extLst>
                    </a:blip>
                    <a:srcRect/>
                    <a:stretch>
                      <a:fillRect/>
                    </a:stretch>
                  </pic:blipFill>
                  <pic:spPr bwMode="auto">
                    <a:xfrm>
                      <a:off x="0" y="0"/>
                      <a:ext cx="5794375" cy="2940685"/>
                    </a:xfrm>
                    <a:prstGeom prst="rect">
                      <a:avLst/>
                    </a:prstGeom>
                    <a:noFill/>
                  </pic:spPr>
                </pic:pic>
              </a:graphicData>
            </a:graphic>
          </wp:anchor>
        </w:drawing>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Deferred tax 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4,287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6,508</w:t>
            </w: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Capitalized research and development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16,502</w:t>
            </w: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Loss carryforwards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32,740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21,617</w:t>
            </w:r>
          </w:p>
        </w:tc>
        <w:tc>
          <w:tcPr>
            <w:tcW w:w="0" w:type="dxa"/>
            <w:vAlign w:val="bottom"/>
          </w:tcPr>
          <w:p>
            <w:pPr>
              <w:spacing w:after="0"/>
              <w:rPr>
                <w:sz w:val="1"/>
                <w:szCs w:val="1"/>
                <w:color w:val="auto"/>
              </w:rPr>
            </w:pPr>
          </w:p>
        </w:tc>
      </w:tr>
      <w:tr>
        <w:trPr>
          <w:trHeight w:val="306"/>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Lease liabilities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8,158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9,213</w:t>
            </w: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Tax credit carryforwards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8,438</w:t>
            </w:r>
          </w:p>
        </w:tc>
        <w:tc>
          <w:tcPr>
            <w:tcW w:w="0" w:type="dxa"/>
            <w:vAlign w:val="bottom"/>
          </w:tcPr>
          <w:p>
            <w:pPr>
              <w:spacing w:after="0"/>
              <w:rPr>
                <w:sz w:val="1"/>
                <w:szCs w:val="1"/>
                <w:color w:val="auto"/>
              </w:rPr>
            </w:pPr>
          </w:p>
        </w:tc>
      </w:tr>
      <w:tr>
        <w:trPr>
          <w:trHeight w:val="27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Equity-based compensation</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4,196</w:t>
            </w:r>
          </w:p>
        </w:tc>
        <w:tc>
          <w:tcPr>
            <w:tcW w:w="0" w:type="dxa"/>
            <w:vAlign w:val="bottom"/>
          </w:tcPr>
          <w:p>
            <w:pPr>
              <w:spacing w:after="0"/>
              <w:rPr>
                <w:sz w:val="1"/>
                <w:szCs w:val="1"/>
                <w:color w:val="auto"/>
              </w:rPr>
            </w:pPr>
          </w:p>
        </w:tc>
      </w:tr>
      <w:tr>
        <w:trPr>
          <w:trHeight w:val="279"/>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Other accruals and reserves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deferred tax assets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85,944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66,898</w:t>
            </w:r>
          </w:p>
        </w:tc>
        <w:tc>
          <w:tcPr>
            <w:tcW w:w="0" w:type="dxa"/>
            <w:vAlign w:val="bottom"/>
          </w:tcPr>
          <w:p>
            <w:pPr>
              <w:spacing w:after="0"/>
              <w:rPr>
                <w:sz w:val="1"/>
                <w:szCs w:val="1"/>
                <w:color w:val="auto"/>
              </w:rPr>
            </w:pPr>
          </w:p>
        </w:tc>
      </w:tr>
      <w:tr>
        <w:trPr>
          <w:trHeight w:val="279"/>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Valuation allowance for deferred tax assets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(78,381)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(58,215)</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deferred tax assets, net of valuation allowance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7,563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8,683</w:t>
            </w:r>
          </w:p>
        </w:tc>
        <w:tc>
          <w:tcPr>
            <w:tcW w:w="0" w:type="dxa"/>
            <w:vAlign w:val="bottom"/>
          </w:tcPr>
          <w:p>
            <w:pPr>
              <w:spacing w:after="0"/>
              <w:rPr>
                <w:sz w:val="1"/>
                <w:szCs w:val="1"/>
                <w:color w:val="auto"/>
              </w:rPr>
            </w:pPr>
          </w:p>
        </w:tc>
      </w:tr>
      <w:tr>
        <w:trPr>
          <w:trHeight w:val="553"/>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Deferred tax liability</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Right-of-use assets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(7,563)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(8,683)</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deferred tax assets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080"/>
          </w:cols>
          <w:pgMar w:left="1400"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ectPr>
          <w:pgSz w:w="11880" w:h="15480" w:orient="portrait"/>
          <w:cols w:equalWidth="0" w:num="1">
            <w:col w:w="9080"/>
          </w:cols>
          <w:pgMar w:left="1400" w:top="577" w:right="1400" w:bottom="0" w:gutter="0" w:footer="0" w:header="0"/>
          <w:type w:val="continuous"/>
        </w:sectPr>
      </w:pPr>
    </w:p>
    <w:bookmarkStart w:id="103" w:name="page104"/>
    <w:bookmarkEnd w:id="103"/>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right="920" w:firstLine="349"/>
        <w:spacing w:after="0" w:line="293" w:lineRule="auto"/>
        <w:rPr>
          <w:sz w:val="20"/>
          <w:szCs w:val="20"/>
          <w:color w:val="auto"/>
        </w:rPr>
      </w:pPr>
      <w:r>
        <w:rPr>
          <w:rFonts w:ascii="Times New Roman" w:cs="Times New Roman" w:eastAsia="Times New Roman" w:hAnsi="Times New Roman"/>
          <w:sz w:val="19"/>
          <w:szCs w:val="19"/>
          <w:color w:val="auto"/>
        </w:rPr>
        <w:t>The Company began to file income tax returns in the United States in 2017. All tax years are open to examination.</w:t>
      </w:r>
    </w:p>
    <w:p>
      <w:pPr>
        <w:spacing w:after="0" w:line="107" w:lineRule="exact"/>
        <w:rPr>
          <w:sz w:val="20"/>
          <w:szCs w:val="20"/>
          <w:color w:val="auto"/>
        </w:rPr>
      </w:pPr>
    </w:p>
    <w:p>
      <w:pPr>
        <w:ind w:left="2" w:right="20" w:firstLine="349"/>
        <w:spacing w:after="0" w:line="263" w:lineRule="auto"/>
        <w:rPr>
          <w:sz w:val="20"/>
          <w:szCs w:val="20"/>
          <w:color w:val="auto"/>
        </w:rPr>
      </w:pPr>
      <w:r>
        <w:rPr>
          <w:rFonts w:ascii="Times New Roman" w:cs="Times New Roman" w:eastAsia="Times New Roman" w:hAnsi="Times New Roman"/>
          <w:sz w:val="19"/>
          <w:szCs w:val="19"/>
          <w:color w:val="auto"/>
        </w:rPr>
        <w:t>A valuation allowance of $78.4 million and $58.2 million at December 31, 2024 and 2023, respectively, has been recognized to offset net deferred tax assets where realization of such net deferred tax assets is determined to be more likely than not to not be realized. The valuation allowance increased by $20.2 million in 2024 and increased by $17.0 million in 2023, which was primarily due to changes in our deferred tax asset balances. The increases in the valuation allowance in 2024 and 2023 was primarily due to the net operating loss and tax credit generation, capitalized research and development expense and stock-based compensation.</w:t>
      </w:r>
    </w:p>
    <w:p>
      <w:pPr>
        <w:spacing w:after="0" w:line="136" w:lineRule="exact"/>
        <w:rPr>
          <w:sz w:val="20"/>
          <w:szCs w:val="20"/>
          <w:color w:val="auto"/>
        </w:rPr>
      </w:pPr>
    </w:p>
    <w:p>
      <w:pPr>
        <w:ind w:left="2" w:right="20" w:firstLine="349"/>
        <w:spacing w:after="0" w:line="261" w:lineRule="auto"/>
        <w:rPr>
          <w:sz w:val="20"/>
          <w:szCs w:val="20"/>
          <w:color w:val="auto"/>
        </w:rPr>
      </w:pPr>
      <w:r>
        <w:rPr>
          <w:rFonts w:ascii="Times New Roman" w:cs="Times New Roman" w:eastAsia="Times New Roman" w:hAnsi="Times New Roman"/>
          <w:sz w:val="19"/>
          <w:szCs w:val="19"/>
          <w:color w:val="auto"/>
        </w:rPr>
        <w:t>The Company had an unrecognized tax benefit balance of $3.1 million and $2.4 million related to research and development credits and California net operating loss carryforward as of December 31, 2024 and 2023, respectively. No amount of unrecognized tax benefits as of December 31, 2024, if recognized, would reduce the Company’s effective tax rate because the benefits would be in the form of tax credit carryforwards, which would be reduced to $0 by a full valuation allowance. There are no provisions for which it is reasonably possible that the total amounts of unrecognized tax benefits will significantly increase or decrease within 12 months of the reporting date. Because the statute of limitations does not expire until after the net operating loss and credit carryforwards are actually used, the statutes are still open on calendars years ending 2017 forward for federal and state purposes.</w:t>
      </w:r>
    </w:p>
    <w:p>
      <w:pPr>
        <w:spacing w:after="0" w:line="137" w:lineRule="exact"/>
        <w:rPr>
          <w:sz w:val="20"/>
          <w:szCs w:val="20"/>
          <w:color w:val="auto"/>
        </w:rPr>
      </w:pPr>
    </w:p>
    <w:p>
      <w:pPr>
        <w:ind w:left="2" w:right="540" w:firstLine="349"/>
        <w:spacing w:after="0" w:line="293" w:lineRule="auto"/>
        <w:rPr>
          <w:sz w:val="20"/>
          <w:szCs w:val="20"/>
          <w:color w:val="auto"/>
        </w:rPr>
      </w:pPr>
      <w:r>
        <w:rPr>
          <w:rFonts w:ascii="Times New Roman" w:cs="Times New Roman" w:eastAsia="Times New Roman" w:hAnsi="Times New Roman"/>
          <w:sz w:val="19"/>
          <w:szCs w:val="19"/>
          <w:color w:val="auto"/>
        </w:rPr>
        <w:t>A reconciliation of the beginning and ending amount of the liability for uncertain tax positions, excluding potential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5794375" cy="9899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3">
                      <a:extLst>
                        <a:ext uri="{28A0092B-C50C-407E-A947-70E740481C1C}"/>
                      </a:extLst>
                    </a:blip>
                    <a:srcRect/>
                    <a:stretch>
                      <a:fillRect/>
                    </a:stretch>
                  </pic:blipFill>
                  <pic:spPr bwMode="auto">
                    <a:xfrm>
                      <a:off x="0" y="0"/>
                      <a:ext cx="5794375" cy="989965"/>
                    </a:xfrm>
                    <a:prstGeom prst="rect">
                      <a:avLst/>
                    </a:prstGeom>
                    <a:noFill/>
                  </pic:spPr>
                </pic:pic>
              </a:graphicData>
            </a:graphic>
          </wp:anchor>
        </w:drawing>
      </w:r>
    </w:p>
    <w:p>
      <w:pPr>
        <w:spacing w:after="0" w:line="139"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6"/>
                <w:szCs w:val="16"/>
                <w:color w:val="auto"/>
              </w:rPr>
            </w:pP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2,365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1,544</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Increase based on current year tax positions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812</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Increase (decrease) for prior year tax positions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0" w:type="dxa"/>
            <w:vAlign w:val="bottom"/>
          </w:tcPr>
          <w:p>
            <w:pPr>
              <w:spacing w:after="0"/>
              <w:rPr>
                <w:sz w:val="1"/>
                <w:szCs w:val="1"/>
                <w:color w:val="auto"/>
              </w:rPr>
            </w:pPr>
          </w:p>
        </w:tc>
      </w:tr>
      <w:tr>
        <w:trPr>
          <w:trHeight w:val="237"/>
        </w:trPr>
        <w:tc>
          <w:tcPr>
            <w:tcW w:w="646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3,146</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2,365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2" w:right="80" w:firstLine="349"/>
        <w:spacing w:after="0" w:line="261" w:lineRule="auto"/>
        <w:rPr>
          <w:sz w:val="20"/>
          <w:szCs w:val="20"/>
          <w:color w:val="auto"/>
        </w:rPr>
      </w:pPr>
      <w:r>
        <w:rPr>
          <w:rFonts w:ascii="Times New Roman" w:cs="Times New Roman" w:eastAsia="Times New Roman" w:hAnsi="Times New Roman"/>
          <w:sz w:val="19"/>
          <w:szCs w:val="19"/>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pacing w:after="0" w:line="154" w:lineRule="exact"/>
        <w:rPr>
          <w:sz w:val="20"/>
          <w:szCs w:val="20"/>
          <w:color w:val="auto"/>
        </w:rPr>
      </w:pPr>
    </w:p>
    <w:p>
      <w:pPr>
        <w:ind w:left="702" w:hanging="702"/>
        <w:spacing w:after="0"/>
        <w:tabs>
          <w:tab w:leader="none" w:pos="702" w:val="left"/>
        </w:tabs>
        <w:numPr>
          <w:ilvl w:val="0"/>
          <w:numId w:val="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Equity Incentive Plans and Stock-based Compensation</w:t>
      </w:r>
    </w:p>
    <w:p>
      <w:pPr>
        <w:spacing w:after="0" w:line="196" w:lineRule="exact"/>
        <w:rPr>
          <w:sz w:val="20"/>
          <w:szCs w:val="20"/>
          <w:color w:val="auto"/>
        </w:rPr>
      </w:pPr>
    </w:p>
    <w:p>
      <w:pPr>
        <w:ind w:left="2" w:right="120" w:firstLine="349"/>
        <w:spacing w:after="0" w:line="274" w:lineRule="auto"/>
        <w:rPr>
          <w:sz w:val="20"/>
          <w:szCs w:val="20"/>
          <w:color w:val="auto"/>
        </w:rPr>
      </w:pPr>
      <w:r>
        <w:rPr>
          <w:rFonts w:ascii="Times New Roman" w:cs="Times New Roman" w:eastAsia="Times New Roman" w:hAnsi="Times New Roman"/>
          <w:sz w:val="19"/>
          <w:szCs w:val="19"/>
          <w:color w:val="auto"/>
        </w:rPr>
        <w:t>On June 8, 2021, the stockholders of the Company approved the 2021 Equity Incentive Plan (“2021 Plan”) and the 2021 Employee Stock Purchase Plan (“2021 ESPP”). As of December 31, 2024, 23,784,439 and 4,508,360 shares were available for grant under the 2021 Plan and 2021 ESPP, respectively.</w:t>
      </w:r>
    </w:p>
    <w:p>
      <w:pPr>
        <w:spacing w:after="0" w:line="118"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2021 Employee Stock Purchase Plan</w:t>
      </w:r>
    </w:p>
    <w:p>
      <w:pPr>
        <w:spacing w:after="0" w:line="196" w:lineRule="exact"/>
        <w:rPr>
          <w:sz w:val="20"/>
          <w:szCs w:val="20"/>
          <w:color w:val="auto"/>
        </w:rPr>
      </w:pPr>
    </w:p>
    <w:p>
      <w:pPr>
        <w:ind w:left="2" w:right="60" w:firstLine="349"/>
        <w:spacing w:after="0" w:line="260" w:lineRule="auto"/>
        <w:rPr>
          <w:sz w:val="20"/>
          <w:szCs w:val="20"/>
          <w:color w:val="auto"/>
        </w:rPr>
      </w:pPr>
      <w:r>
        <w:rPr>
          <w:rFonts w:ascii="Times New Roman" w:cs="Times New Roman" w:eastAsia="Times New Roman" w:hAnsi="Times New Roman"/>
          <w:sz w:val="19"/>
          <w:szCs w:val="19"/>
          <w:color w:val="auto"/>
        </w:rPr>
        <w:t>Under the 2021 ESPP, participants are permitted to purchase shares of Common Stock, up to the IRS allowable limit, through contributions (in the form of payroll deductions or otherwise to the extent permitted by the administrator of the 2021 ESPP)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The Company offers a six-month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in an amount equal to the least of (i)</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102</w:t>
      </w:r>
    </w:p>
    <w:p>
      <w:pPr>
        <w:sectPr>
          <w:pgSz w:w="11880" w:h="15480" w:orient="portrait"/>
          <w:cols w:equalWidth="0" w:num="1">
            <w:col w:w="9082"/>
          </w:cols>
          <w:pgMar w:left="1398" w:top="577" w:right="1400" w:bottom="0" w:gutter="0" w:footer="0" w:header="0"/>
          <w:type w:val="continuous"/>
        </w:sectPr>
      </w:pPr>
    </w:p>
    <w:bookmarkStart w:id="104" w:name="page105"/>
    <w:bookmarkEnd w:id="104"/>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right="40"/>
        <w:spacing w:after="0" w:line="268" w:lineRule="auto"/>
        <w:rPr>
          <w:sz w:val="20"/>
          <w:szCs w:val="20"/>
          <w:color w:val="auto"/>
        </w:rPr>
      </w:pPr>
      <w:r>
        <w:rPr>
          <w:rFonts w:ascii="Times New Roman" w:cs="Times New Roman" w:eastAsia="Times New Roman" w:hAnsi="Times New Roman"/>
          <w:sz w:val="19"/>
          <w:szCs w:val="19"/>
          <w:color w:val="auto"/>
        </w:rPr>
        <w:t>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spacing w:after="0" w:line="124"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2021 Equity Incentive Plan</w:t>
      </w:r>
    </w:p>
    <w:p>
      <w:pPr>
        <w:spacing w:after="0" w:line="196" w:lineRule="exact"/>
        <w:rPr>
          <w:sz w:val="20"/>
          <w:szCs w:val="20"/>
          <w:color w:val="auto"/>
        </w:rPr>
      </w:pPr>
    </w:p>
    <w:p>
      <w:pPr>
        <w:ind w:left="2" w:right="40" w:firstLine="349"/>
        <w:spacing w:after="0" w:line="259" w:lineRule="auto"/>
        <w:rPr>
          <w:sz w:val="20"/>
          <w:szCs w:val="20"/>
          <w:color w:val="auto"/>
        </w:rPr>
      </w:pPr>
      <w:r>
        <w:rPr>
          <w:rFonts w:ascii="Times New Roman" w:cs="Times New Roman" w:eastAsia="Times New Roman" w:hAnsi="Times New Roman"/>
          <w:sz w:val="19"/>
          <w:szCs w:val="19"/>
          <w:color w:val="auto"/>
        </w:rPr>
        <w:t>Under the 2021 Plan, the Company can grant incentive stock options, nonstatutory stock options, stock appreciation rights, restricted stock, restricted stock units and performance awards to employees, non-employee directors and consultants. Options generally expire ten years after the date of grant. The number of shares available for issuance under the 2021 Plan will be increased on the first day of each fiscal year, in an amount equal to the least of (i) 18,672,200 shares, (ii) a number of shares equal to five percent (5%) of the total number of shares of all classes of common stock of the Company outstanding on the last day of the immediately preceding fiscal year, or</w:t>
      </w:r>
    </w:p>
    <w:p>
      <w:pPr>
        <w:spacing w:after="0" w:line="3" w:lineRule="exact"/>
        <w:rPr>
          <w:sz w:val="20"/>
          <w:szCs w:val="20"/>
          <w:color w:val="auto"/>
        </w:rPr>
      </w:pPr>
    </w:p>
    <w:p>
      <w:pPr>
        <w:ind w:left="2" w:right="140" w:hanging="2"/>
        <w:spacing w:after="0" w:line="271" w:lineRule="auto"/>
        <w:tabs>
          <w:tab w:leader="none" w:pos="34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number of shares determined by the Administrator no later than the last day of the immediately preceding fiscal year.</w:t>
      </w:r>
    </w:p>
    <w:p>
      <w:pPr>
        <w:spacing w:after="0" w:line="120"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2017 Equity Incentive Plan</w:t>
      </w:r>
    </w:p>
    <w:p>
      <w:pPr>
        <w:spacing w:after="0" w:line="196" w:lineRule="exact"/>
        <w:rPr>
          <w:sz w:val="20"/>
          <w:szCs w:val="20"/>
          <w:color w:val="auto"/>
        </w:rPr>
      </w:pPr>
    </w:p>
    <w:p>
      <w:pPr>
        <w:jc w:val="both"/>
        <w:ind w:left="2" w:right="160" w:firstLine="349"/>
        <w:spacing w:after="0" w:line="274" w:lineRule="auto"/>
        <w:rPr>
          <w:sz w:val="20"/>
          <w:szCs w:val="20"/>
          <w:color w:val="auto"/>
        </w:rPr>
      </w:pPr>
      <w:r>
        <w:rPr>
          <w:rFonts w:ascii="Times New Roman" w:cs="Times New Roman" w:eastAsia="Times New Roman" w:hAnsi="Times New Roman"/>
          <w:sz w:val="19"/>
          <w:szCs w:val="19"/>
          <w:color w:val="auto"/>
        </w:rPr>
        <w:t>At the time of adoption of the 2021 Plan and the 2021 ESPP, no further awards will be granted under the 2017 Equity Incentive Plan (“2017 Plan”). Stock-based awards forfeited or cancelled from the 2017 Plan are returned to the pool of shares of Common Stock available for issuance under the 2021 Plan.</w:t>
      </w:r>
    </w:p>
    <w:p>
      <w:pPr>
        <w:spacing w:after="0" w:line="118"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Grant Date Fair Value of Stock Options</w:t>
      </w:r>
    </w:p>
    <w:p>
      <w:pPr>
        <w:spacing w:after="0" w:line="196" w:lineRule="exact"/>
        <w:rPr>
          <w:sz w:val="20"/>
          <w:szCs w:val="20"/>
          <w:color w:val="auto"/>
        </w:rPr>
      </w:pPr>
    </w:p>
    <w:p>
      <w:pPr>
        <w:ind w:left="2" w:right="120" w:firstLine="349"/>
        <w:spacing w:after="0" w:line="274" w:lineRule="auto"/>
        <w:rPr>
          <w:sz w:val="20"/>
          <w:szCs w:val="20"/>
          <w:color w:val="auto"/>
        </w:rPr>
      </w:pPr>
      <w:r>
        <w:rPr>
          <w:rFonts w:ascii="Times New Roman" w:cs="Times New Roman" w:eastAsia="Times New Roman" w:hAnsi="Times New Roman"/>
          <w:sz w:val="19"/>
          <w:szCs w:val="19"/>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105410</wp:posOffset>
            </wp:positionV>
            <wp:extent cx="5794375" cy="9779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4">
                      <a:extLst>
                        <a:ext uri="{28A0092B-C50C-407E-A947-70E740481C1C}"/>
                      </a:extLst>
                    </a:blip>
                    <a:srcRect/>
                    <a:stretch>
                      <a:fillRect/>
                    </a:stretch>
                  </pic:blipFill>
                  <pic:spPr bwMode="auto">
                    <a:xfrm>
                      <a:off x="0" y="0"/>
                      <a:ext cx="5794375" cy="977900"/>
                    </a:xfrm>
                    <a:prstGeom prst="rect">
                      <a:avLst/>
                    </a:prstGeom>
                    <a:noFill/>
                  </pic:spPr>
                </pic:pic>
              </a:graphicData>
            </a:graphic>
          </wp:anchor>
        </w:drawing>
      </w:r>
    </w:p>
    <w:p>
      <w:pPr>
        <w:spacing w:after="0" w:line="157"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560" w:type="dxa"/>
            <w:vAlign w:val="bottom"/>
          </w:tcPr>
          <w:p>
            <w:pPr>
              <w:jc w:val="right"/>
              <w:ind w:right="28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16"/>
                <w:szCs w:val="16"/>
                <w:color w:val="auto"/>
              </w:rPr>
            </w:pPr>
          </w:p>
        </w:tc>
        <w:tc>
          <w:tcPr>
            <w:tcW w:w="156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8"/>
        </w:trPr>
        <w:tc>
          <w:tcPr>
            <w:tcW w:w="5860" w:type="dxa"/>
            <w:vAlign w:val="bottom"/>
          </w:tcPr>
          <w:p>
            <w:pPr>
              <w:spacing w:after="0"/>
              <w:rPr>
                <w:sz w:val="18"/>
                <w:szCs w:val="18"/>
                <w:color w:val="auto"/>
              </w:rPr>
            </w:pPr>
          </w:p>
        </w:tc>
        <w:tc>
          <w:tcPr>
            <w:tcW w:w="15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18"/>
                <w:szCs w:val="18"/>
                <w:color w:val="auto"/>
              </w:rPr>
            </w:pPr>
          </w:p>
        </w:tc>
        <w:tc>
          <w:tcPr>
            <w:tcW w:w="15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4"/>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auto"/>
              </w:rPr>
              <w:t>Expected term (in years)</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5.3 - 6.1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5.3 - 6.4</w:t>
            </w:r>
          </w:p>
        </w:tc>
      </w:tr>
      <w:tr>
        <w:trPr>
          <w:trHeight w:val="277"/>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auto"/>
              </w:rPr>
              <w:t>Expected 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99.7% - 101.6%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102.7% - 107.5%</w:t>
            </w:r>
          </w:p>
        </w:tc>
      </w:tr>
      <w:tr>
        <w:trPr>
          <w:trHeight w:val="277"/>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auto"/>
              </w:rPr>
              <w:t>Expected dividend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0.0%</w:t>
            </w:r>
          </w:p>
        </w:tc>
      </w:tr>
      <w:tr>
        <w:trPr>
          <w:trHeight w:val="277"/>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auto"/>
              </w:rPr>
              <w:t>Risk free interest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 - 4.6%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3.5% - 4.8%</w:t>
            </w:r>
          </w:p>
        </w:tc>
      </w:tr>
    </w:tbl>
    <w:p>
      <w:pPr>
        <w:spacing w:after="0" w:line="185" w:lineRule="exact"/>
        <w:rPr>
          <w:sz w:val="20"/>
          <w:szCs w:val="20"/>
          <w:color w:val="auto"/>
        </w:rPr>
      </w:pPr>
    </w:p>
    <w:p>
      <w:pPr>
        <w:ind w:left="2" w:right="40" w:firstLine="349"/>
        <w:spacing w:after="0" w:line="265" w:lineRule="auto"/>
        <w:rPr>
          <w:sz w:val="20"/>
          <w:szCs w:val="20"/>
          <w:color w:val="auto"/>
        </w:rPr>
      </w:pPr>
      <w:r>
        <w:rPr>
          <w:rFonts w:ascii="Times New Roman" w:cs="Times New Roman" w:eastAsia="Times New Roman" w:hAnsi="Times New Roman"/>
          <w:sz w:val="19"/>
          <w:szCs w:val="19"/>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21" w:lineRule="exact"/>
        <w:rPr>
          <w:sz w:val="20"/>
          <w:szCs w:val="20"/>
          <w:color w:val="auto"/>
        </w:rPr>
      </w:pPr>
    </w:p>
    <w:p>
      <w:pPr>
        <w:ind w:left="2" w:right="260" w:firstLine="349"/>
        <w:spacing w:after="0" w:line="266" w:lineRule="auto"/>
        <w:rPr>
          <w:sz w:val="20"/>
          <w:szCs w:val="20"/>
          <w:color w:val="auto"/>
        </w:rPr>
      </w:pPr>
      <w:r>
        <w:rPr>
          <w:rFonts w:ascii="Times New Roman" w:cs="Times New Roman" w:eastAsia="Times New Roman" w:hAnsi="Times New Roman"/>
          <w:sz w:val="19"/>
          <w:szCs w:val="19"/>
          <w:color w:val="auto"/>
        </w:rPr>
        <w:t>Expected volatility: Historically, the Company has been a private company and lacked company</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31" w:lineRule="exact"/>
        <w:rPr>
          <w:sz w:val="20"/>
          <w:szCs w:val="20"/>
          <w:color w:val="auto"/>
        </w:rPr>
      </w:pPr>
    </w:p>
    <w:p>
      <w:pPr>
        <w:ind w:left="2" w:right="280" w:firstLine="349"/>
        <w:spacing w:after="0" w:line="293" w:lineRule="auto"/>
        <w:rPr>
          <w:sz w:val="20"/>
          <w:szCs w:val="20"/>
          <w:color w:val="auto"/>
        </w:rPr>
      </w:pPr>
      <w:r>
        <w:rPr>
          <w:rFonts w:ascii="Times New Roman" w:cs="Times New Roman" w:eastAsia="Times New Roman" w:hAnsi="Times New Roman"/>
          <w:sz w:val="19"/>
          <w:szCs w:val="19"/>
          <w:color w:val="auto"/>
        </w:rPr>
        <w:t>Expected dividend yield: The expected dividend rate is zero as the Company has no history or expectation of declaring dividends on its common stock.</w:t>
      </w:r>
    </w:p>
    <w:p>
      <w:pPr>
        <w:spacing w:after="0" w:line="107" w:lineRule="exact"/>
        <w:rPr>
          <w:sz w:val="20"/>
          <w:szCs w:val="20"/>
          <w:color w:val="auto"/>
        </w:rPr>
      </w:pPr>
    </w:p>
    <w:p>
      <w:pPr>
        <w:ind w:left="2" w:right="180" w:firstLine="349"/>
        <w:spacing w:after="0" w:line="293" w:lineRule="auto"/>
        <w:rPr>
          <w:sz w:val="20"/>
          <w:szCs w:val="20"/>
          <w:color w:val="auto"/>
        </w:rPr>
      </w:pPr>
      <w:r>
        <w:rPr>
          <w:rFonts w:ascii="Times New Roman" w:cs="Times New Roman" w:eastAsia="Times New Roman" w:hAnsi="Times New Roman"/>
          <w:sz w:val="19"/>
          <w:szCs w:val="19"/>
          <w:color w:val="auto"/>
        </w:rPr>
        <w:t>Risk-free interest rate: The risk-free interest rate is based on the U.S. Treasury yield curve in effect at the time of grant for zero-coupon U.S. Treasury notes with maturities corresponding to the expected term of the awards.</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103</w:t>
      </w:r>
    </w:p>
    <w:p>
      <w:pPr>
        <w:sectPr>
          <w:pgSz w:w="11880" w:h="15480" w:orient="portrait"/>
          <w:cols w:equalWidth="0" w:num="1">
            <w:col w:w="9082"/>
          </w:cols>
          <w:pgMar w:left="1398" w:top="577" w:right="1400" w:bottom="0" w:gutter="0" w:footer="0" w:header="0"/>
          <w:type w:val="continuous"/>
        </w:sectPr>
      </w:pPr>
    </w:p>
    <w:bookmarkStart w:id="105" w:name="page106"/>
    <w:bookmarkEnd w:id="105"/>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color w:val="auto"/>
        </w:rPr>
        <w:t>The following table summarizes option award activity during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5794375" cy="1932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5">
                      <a:extLst>
                        <a:ext uri="{28A0092B-C50C-407E-A947-70E740481C1C}"/>
                      </a:extLst>
                    </a:blip>
                    <a:srcRect/>
                    <a:stretch>
                      <a:fillRect/>
                    </a:stretch>
                  </pic:blipFill>
                  <pic:spPr bwMode="auto">
                    <a:xfrm>
                      <a:off x="0" y="0"/>
                      <a:ext cx="5794375" cy="1932940"/>
                    </a:xfrm>
                    <a:prstGeom prst="rect">
                      <a:avLst/>
                    </a:prstGeom>
                    <a:noFill/>
                  </pic:spPr>
                </pic:pic>
              </a:graphicData>
            </a:graphic>
          </wp:anchor>
        </w:drawing>
      </w:r>
    </w:p>
    <w:p>
      <w:pPr>
        <w:spacing w:after="0" w:line="221"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Stock</w:t>
            </w:r>
          </w:p>
        </w:tc>
        <w:tc>
          <w:tcPr>
            <w:tcW w:w="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Average Exercise</w:t>
            </w: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Contractual Life</w:t>
            </w:r>
          </w:p>
        </w:tc>
        <w:tc>
          <w:tcPr>
            <w:tcW w:w="60" w:type="dxa"/>
            <w:vAlign w:val="bottom"/>
          </w:tcPr>
          <w:p>
            <w:pPr>
              <w:spacing w:after="0"/>
              <w:rPr>
                <w:sz w:val="13"/>
                <w:szCs w:val="13"/>
                <w:color w:val="auto"/>
              </w:rPr>
            </w:pPr>
          </w:p>
        </w:tc>
        <w:tc>
          <w:tcPr>
            <w:tcW w:w="12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Intrinsic Value</w:t>
            </w:r>
          </w:p>
        </w:tc>
        <w:tc>
          <w:tcPr>
            <w:tcW w:w="0" w:type="dxa"/>
            <w:vAlign w:val="bottom"/>
          </w:tcPr>
          <w:p>
            <w:pPr>
              <w:spacing w:after="0"/>
              <w:rPr>
                <w:sz w:val="1"/>
                <w:szCs w:val="1"/>
                <w:color w:val="auto"/>
              </w:rPr>
            </w:pPr>
          </w:p>
        </w:tc>
      </w:tr>
      <w:tr>
        <w:trPr>
          <w:trHeight w:val="208"/>
        </w:trPr>
        <w:tc>
          <w:tcPr>
            <w:tcW w:w="3800" w:type="dxa"/>
            <w:vAlign w:val="bottom"/>
          </w:tcPr>
          <w:p>
            <w:pPr>
              <w:spacing w:after="0"/>
              <w:rPr>
                <w:sz w:val="18"/>
                <w:szCs w:val="18"/>
                <w:color w:val="auto"/>
              </w:rPr>
            </w:pPr>
          </w:p>
        </w:tc>
        <w:tc>
          <w:tcPr>
            <w:tcW w:w="12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4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0" w:type="dxa"/>
            <w:vAlign w:val="bottom"/>
          </w:tcPr>
          <w:p>
            <w:pPr>
              <w:spacing w:after="0"/>
              <w:rPr>
                <w:sz w:val="1"/>
                <w:szCs w:val="1"/>
                <w:color w:val="auto"/>
              </w:rPr>
            </w:pPr>
          </w:p>
        </w:tc>
      </w:tr>
      <w:tr>
        <w:trPr>
          <w:trHeight w:val="254"/>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Outstanding as of December 31,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14,676,335</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3.63</w:t>
            </w: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4,108,900</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2.68</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(790,111)</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0.78</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(1,360,349)</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3.11</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Outstanding as of December 31,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16,634,775</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2,389</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line="211" w:lineRule="exact"/>
              <w:rPr>
                <w:sz w:val="20"/>
                <w:szCs w:val="20"/>
                <w:color w:val="auto"/>
              </w:rPr>
            </w:pPr>
            <w:r>
              <w:rPr>
                <w:rFonts w:ascii="Times New Roman" w:cs="Times New Roman" w:eastAsia="Times New Roman" w:hAnsi="Times New Roman"/>
                <w:sz w:val="19"/>
                <w:szCs w:val="19"/>
                <w:color w:val="auto"/>
              </w:rPr>
              <w:t>Options vested and expected to vest as of</w:t>
            </w: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0" w:type="dxa"/>
            <w:vAlign w:val="bottom"/>
            <w:vMerge w:val="continue"/>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16,634,775</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3.57</w:t>
            </w: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38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December 31, 2024</w:t>
            </w:r>
          </w:p>
        </w:tc>
        <w:tc>
          <w:tcPr>
            <w:tcW w:w="126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4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Vested and exercisable at December 31,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10,169,730</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2,371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 w:right="60" w:firstLine="349"/>
        <w:spacing w:after="0" w:line="265" w:lineRule="auto"/>
        <w:rPr>
          <w:sz w:val="20"/>
          <w:szCs w:val="20"/>
          <w:color w:val="auto"/>
        </w:rPr>
      </w:pPr>
      <w:r>
        <w:rPr>
          <w:rFonts w:ascii="Times New Roman" w:cs="Times New Roman" w:eastAsia="Times New Roman" w:hAnsi="Times New Roman"/>
          <w:sz w:val="19"/>
          <w:szCs w:val="19"/>
          <w:color w:val="auto"/>
        </w:rPr>
        <w:t>As of December 31, 2024, there was $13.2 million of total unrecognized compensation expense expected to be recognized over a weighted average-period of 2.3 years. The total intrinsic value of options exercised during the years ended December 31, 2024 and 2023 was $1.3 million and $0.1 million, respectively. Aggregate intrinsic value represents the difference between the fair market value of the common stock and the exercise price of outstanding, in-the-money options.</w:t>
      </w:r>
    </w:p>
    <w:p>
      <w:pPr>
        <w:spacing w:after="0" w:line="133" w:lineRule="exact"/>
        <w:rPr>
          <w:sz w:val="20"/>
          <w:szCs w:val="20"/>
          <w:color w:val="auto"/>
        </w:rPr>
      </w:pPr>
    </w:p>
    <w:p>
      <w:pPr>
        <w:ind w:left="2" w:right="220" w:firstLine="349"/>
        <w:spacing w:after="0" w:line="293" w:lineRule="auto"/>
        <w:rPr>
          <w:sz w:val="20"/>
          <w:szCs w:val="20"/>
          <w:color w:val="auto"/>
        </w:rPr>
      </w:pPr>
      <w:r>
        <w:rPr>
          <w:rFonts w:ascii="Times New Roman" w:cs="Times New Roman" w:eastAsia="Times New Roman" w:hAnsi="Times New Roman"/>
          <w:sz w:val="19"/>
          <w:szCs w:val="19"/>
          <w:color w:val="auto"/>
        </w:rPr>
        <w:t>The weighted-average grant-date fair value of options granted during the years ended December 31, 2024 and 2023 was $2.16 and $1.98 per share, respectively.</w:t>
      </w:r>
    </w:p>
    <w:p>
      <w:pPr>
        <w:spacing w:after="0" w:line="100"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 Expense</w:t>
      </w:r>
    </w:p>
    <w:p>
      <w:pPr>
        <w:spacing w:after="0" w:line="196" w:lineRule="exact"/>
        <w:rPr>
          <w:sz w:val="20"/>
          <w:szCs w:val="20"/>
          <w:color w:val="auto"/>
        </w:rPr>
      </w:pPr>
    </w:p>
    <w:p>
      <w:pPr>
        <w:ind w:left="2" w:right="20" w:firstLine="349"/>
        <w:spacing w:after="0" w:line="293" w:lineRule="auto"/>
        <w:rPr>
          <w:sz w:val="20"/>
          <w:szCs w:val="20"/>
          <w:color w:val="auto"/>
        </w:rPr>
      </w:pPr>
      <w:r>
        <w:rPr>
          <w:rFonts w:ascii="Times New Roman" w:cs="Times New Roman" w:eastAsia="Times New Roman" w:hAnsi="Times New Roman"/>
          <w:sz w:val="19"/>
          <w:szCs w:val="19"/>
          <w:color w:val="auto"/>
        </w:rPr>
        <w:t>The following sets forth the total stock-based compensation expense for the Company’s stock options and ESPP included in the Company’s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5794375" cy="9067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6">
                      <a:extLst>
                        <a:ext uri="{28A0092B-C50C-407E-A947-70E740481C1C}"/>
                      </a:extLst>
                    </a:blip>
                    <a:srcRect/>
                    <a:stretch>
                      <a:fillRect/>
                    </a:stretch>
                  </pic:blipFill>
                  <pic:spPr bwMode="auto">
                    <a:xfrm>
                      <a:off x="0" y="0"/>
                      <a:ext cx="5794375" cy="906780"/>
                    </a:xfrm>
                    <a:prstGeom prst="rect">
                      <a:avLst/>
                    </a:prstGeom>
                    <a:noFill/>
                  </pic:spPr>
                </pic:pic>
              </a:graphicData>
            </a:graphic>
          </wp:anchor>
        </w:drawing>
      </w:r>
    </w:p>
    <w:p>
      <w:pPr>
        <w:spacing w:after="0" w:line="129"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20" w:type="dxa"/>
            <w:vAlign w:val="bottom"/>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93"/>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4,626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4,199</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8,075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7,938</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stock-based compensation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12,137</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702" w:hanging="702"/>
        <w:spacing w:after="0"/>
        <w:tabs>
          <w:tab w:leader="none" w:pos="702" w:val="left"/>
        </w:tabs>
        <w:numPr>
          <w:ilvl w:val="0"/>
          <w:numId w:val="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Commitments and Contingencies</w:t>
      </w:r>
    </w:p>
    <w:p>
      <w:pPr>
        <w:spacing w:after="0" w:line="189"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Purchase Commitments</w:t>
      </w:r>
    </w:p>
    <w:p>
      <w:pPr>
        <w:spacing w:after="0" w:line="196" w:lineRule="exact"/>
        <w:rPr>
          <w:sz w:val="20"/>
          <w:szCs w:val="20"/>
          <w:color w:val="auto"/>
        </w:rPr>
      </w:pPr>
    </w:p>
    <w:p>
      <w:pPr>
        <w:ind w:left="2" w:right="200" w:firstLine="349"/>
        <w:spacing w:after="0" w:line="265" w:lineRule="auto"/>
        <w:rPr>
          <w:sz w:val="20"/>
          <w:szCs w:val="20"/>
          <w:color w:val="auto"/>
        </w:rPr>
      </w:pPr>
      <w:r>
        <w:rPr>
          <w:rFonts w:ascii="Times New Roman" w:cs="Times New Roman" w:eastAsia="Times New Roman" w:hAnsi="Times New Roman"/>
          <w:sz w:val="19"/>
          <w:szCs w:val="19"/>
          <w:color w:val="auto"/>
        </w:rPr>
        <w:t>Open purchase commitments are for the purchase of goods and services related to, but not limited to, research and development, facilities, and professional services under non-cancellable contracts. They were not recorded as liabilities on the consolidated balance sheet as of December 31, 2024 as the Company had not yet received the related goods or services. As of December 31, 2024, the Company had open purchase commitments for goods and services of $1.7 million, of which $1.3 million are expected to be received through the next 12 months.</w:t>
      </w:r>
    </w:p>
    <w:p>
      <w:pPr>
        <w:spacing w:after="0" w:line="12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Legal Proceedings</w:t>
      </w:r>
    </w:p>
    <w:p>
      <w:pPr>
        <w:spacing w:after="0" w:line="194"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U.S. District Court Proceedings</w:t>
      </w:r>
    </w:p>
    <w:p>
      <w:pPr>
        <w:spacing w:after="0" w:line="191" w:lineRule="exact"/>
        <w:rPr>
          <w:sz w:val="20"/>
          <w:szCs w:val="20"/>
          <w:color w:val="auto"/>
        </w:rPr>
      </w:pPr>
    </w:p>
    <w:p>
      <w:pPr>
        <w:ind w:left="2" w:right="100" w:firstLine="349"/>
        <w:spacing w:after="0" w:line="265" w:lineRule="auto"/>
        <w:rPr>
          <w:sz w:val="20"/>
          <w:szCs w:val="20"/>
          <w:color w:val="auto"/>
        </w:rPr>
      </w:pPr>
      <w:r>
        <w:rPr>
          <w:rFonts w:ascii="Times New Roman" w:cs="Times New Roman" w:eastAsia="Times New Roman" w:hAnsi="Times New Roman"/>
          <w:sz w:val="19"/>
          <w:szCs w:val="19"/>
          <w:color w:val="auto"/>
        </w:rPr>
        <w:t>On December 14, 2023, we filed suit in the United States District Court for the Northern District of California (the “Court”) against Somalogic, Inc. (Somalogic) which recently merged with and is now part of “Standard Biotools, Inc.,” and the California Institute of Technology. This suit sought declaratory judgment that Nautilus does not infringe any claims of US Patent No. 7,842,793 related to DNA origami structures (the ‘793 Patent), which Somalogic had allegedly licensed from the California Institute of Technology through its purchase of Palamedrix,</w:t>
      </w: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104</w:t>
      </w:r>
    </w:p>
    <w:p>
      <w:pPr>
        <w:sectPr>
          <w:pgSz w:w="11880" w:h="15480" w:orient="portrait"/>
          <w:cols w:equalWidth="0" w:num="1">
            <w:col w:w="9082"/>
          </w:cols>
          <w:pgMar w:left="1398" w:top="577" w:right="1400" w:bottom="0" w:gutter="0" w:footer="0" w:header="0"/>
          <w:type w:val="continuous"/>
        </w:sectPr>
      </w:pPr>
    </w:p>
    <w:bookmarkStart w:id="106" w:name="page107"/>
    <w:bookmarkEnd w:id="106"/>
    <w:p>
      <w:pPr>
        <w:ind w:left="40"/>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15240</wp:posOffset>
                </wp:positionV>
                <wp:extent cx="576834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pt" to="454.1pt,1.2pt" o:allowincell="f" strokecolor="#000000" strokeweight="1pt"/>
            </w:pict>
          </mc:Fallback>
        </mc:AlternateContent>
      </w:r>
    </w:p>
    <w:p>
      <w:pPr>
        <w:spacing w:after="0" w:line="220" w:lineRule="exact"/>
        <w:rPr>
          <w:sz w:val="20"/>
          <w:szCs w:val="20"/>
          <w:color w:val="auto"/>
        </w:rPr>
      </w:pPr>
    </w:p>
    <w:p>
      <w:pPr>
        <w:ind w:right="460"/>
        <w:spacing w:after="0" w:line="293" w:lineRule="auto"/>
        <w:rPr>
          <w:sz w:val="20"/>
          <w:szCs w:val="20"/>
          <w:color w:val="auto"/>
        </w:rPr>
      </w:pPr>
      <w:r>
        <w:rPr>
          <w:rFonts w:ascii="Times New Roman" w:cs="Times New Roman" w:eastAsia="Times New Roman" w:hAnsi="Times New Roman"/>
          <w:sz w:val="19"/>
          <w:szCs w:val="19"/>
          <w:color w:val="auto"/>
        </w:rPr>
        <w:t>Inc. On November 19, 2024, the Company, Standard Biotools, Inc., and the California Institute of Technology agreed to dismiss the suit and settle any and all disputes and/or claims related to the suit.</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Company is obligated under certain non-cancellable operating leases for office space and laboratory space.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space includes operating leases in Seattle, Washington, San Carlos, California, and San Diego, California.</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Seattle Lease</w:t>
      </w:r>
    </w:p>
    <w:p>
      <w:pPr>
        <w:spacing w:after="0" w:line="191" w:lineRule="exact"/>
        <w:rPr>
          <w:sz w:val="20"/>
          <w:szCs w:val="20"/>
          <w:color w:val="auto"/>
        </w:rPr>
      </w:pPr>
    </w:p>
    <w:p>
      <w:pPr>
        <w:ind w:right="120" w:firstLine="349"/>
        <w:spacing w:after="0" w:line="274" w:lineRule="auto"/>
        <w:rPr>
          <w:sz w:val="20"/>
          <w:szCs w:val="20"/>
          <w:color w:val="auto"/>
        </w:rPr>
      </w:pPr>
      <w:r>
        <w:rPr>
          <w:rFonts w:ascii="Times New Roman" w:cs="Times New Roman" w:eastAsia="Times New Roman" w:hAnsi="Times New Roman"/>
          <w:sz w:val="19"/>
          <w:szCs w:val="19"/>
          <w:color w:val="auto"/>
        </w:rPr>
        <w:t>In July 2021, the Company entered into a 7-year non-cancellable operating lease, which commenced in August 2021, for office space in Seattle, Washington. Total non-cancellable payments under this lease aggregate $4.5 million through June 2028.</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San Carlos Leases</w:t>
      </w:r>
    </w:p>
    <w:p>
      <w:pPr>
        <w:spacing w:after="0" w:line="191" w:lineRule="exact"/>
        <w:rPr>
          <w:sz w:val="20"/>
          <w:szCs w:val="20"/>
          <w:color w:val="auto"/>
        </w:rPr>
      </w:pPr>
    </w:p>
    <w:p>
      <w:pPr>
        <w:ind w:right="340" w:firstLine="349"/>
        <w:spacing w:after="0" w:line="293" w:lineRule="auto"/>
        <w:rPr>
          <w:sz w:val="20"/>
          <w:szCs w:val="20"/>
          <w:color w:val="auto"/>
        </w:rPr>
      </w:pPr>
      <w:r>
        <w:rPr>
          <w:rFonts w:ascii="Times New Roman" w:cs="Times New Roman" w:eastAsia="Times New Roman" w:hAnsi="Times New Roman"/>
          <w:sz w:val="19"/>
          <w:szCs w:val="19"/>
          <w:color w:val="auto"/>
        </w:rPr>
        <w:t>In December 2020, the Company entered into a new lease in San Carlos, California for ten years which commenced in October 2021 and expiring in October 2031 with total minimum lease payments of $40.7 million.</w:t>
      </w:r>
    </w:p>
    <w:p>
      <w:pPr>
        <w:spacing w:after="0" w:line="107" w:lineRule="exact"/>
        <w:rPr>
          <w:sz w:val="20"/>
          <w:szCs w:val="20"/>
          <w:color w:val="auto"/>
        </w:rPr>
      </w:pPr>
    </w:p>
    <w:p>
      <w:pPr>
        <w:ind w:right="60" w:firstLine="349"/>
        <w:spacing w:after="0" w:line="263" w:lineRule="auto"/>
        <w:rPr>
          <w:sz w:val="20"/>
          <w:szCs w:val="20"/>
          <w:color w:val="auto"/>
        </w:rPr>
      </w:pPr>
      <w:r>
        <w:rPr>
          <w:rFonts w:ascii="Times New Roman" w:cs="Times New Roman" w:eastAsia="Times New Roman" w:hAnsi="Times New Roman"/>
          <w:sz w:val="19"/>
          <w:szCs w:val="19"/>
          <w:color w:val="auto"/>
        </w:rPr>
        <w:t>In December 2021, the Company entered into another lease in San Carlos, California for nine years commencing in March 2023. The Company can terminate this lease after five years from the commencement date without bearing any significant termination penalties and therefore the Company concluded that the lease term is five years with total minimum lease payments of $7.2 million. The Company utilized $2.0 million from the landlord with an interest rate of 7% to finance its tenant improvements. The principal and interest payments are included in the payments used to measure the lease liability.</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San Diego Lease</w:t>
      </w:r>
    </w:p>
    <w:p>
      <w:pPr>
        <w:spacing w:after="0" w:line="191" w:lineRule="exact"/>
        <w:rPr>
          <w:sz w:val="20"/>
          <w:szCs w:val="20"/>
          <w:color w:val="auto"/>
        </w:rPr>
      </w:pPr>
    </w:p>
    <w:p>
      <w:pPr>
        <w:ind w:right="260" w:firstLine="349"/>
        <w:spacing w:after="0" w:line="293" w:lineRule="auto"/>
        <w:rPr>
          <w:sz w:val="20"/>
          <w:szCs w:val="20"/>
          <w:color w:val="auto"/>
        </w:rPr>
      </w:pPr>
      <w:r>
        <w:rPr>
          <w:rFonts w:ascii="Times New Roman" w:cs="Times New Roman" w:eastAsia="Times New Roman" w:hAnsi="Times New Roman"/>
          <w:sz w:val="19"/>
          <w:szCs w:val="19"/>
          <w:color w:val="auto"/>
        </w:rPr>
        <w:t>In November 2022, the Company entered into a lease in San Diego, California for 39 months commencing in December 2022. Total non-cancellable payments under this lease aggregate $2.1 million through March 2026.</w:t>
      </w:r>
    </w:p>
    <w:p>
      <w:pPr>
        <w:spacing w:after="0" w:line="107" w:lineRule="exact"/>
        <w:rPr>
          <w:sz w:val="20"/>
          <w:szCs w:val="20"/>
          <w:color w:val="auto"/>
        </w:rPr>
      </w:pPr>
    </w:p>
    <w:p>
      <w:pPr>
        <w:ind w:right="380" w:firstLine="349"/>
        <w:spacing w:after="0" w:line="293" w:lineRule="auto"/>
        <w:rPr>
          <w:sz w:val="20"/>
          <w:szCs w:val="20"/>
          <w:color w:val="auto"/>
        </w:rPr>
      </w:pPr>
      <w:r>
        <w:rPr>
          <w:rFonts w:ascii="Times New Roman" w:cs="Times New Roman" w:eastAsia="Times New Roman" w:hAnsi="Times New Roman"/>
          <w:sz w:val="19"/>
          <w:szCs w:val="19"/>
          <w:color w:val="auto"/>
        </w:rPr>
        <w:t>The components of lease costs which were included in operating expenses in the consolidated statements of operations were as follows: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00" w:type="dxa"/>
            <w:vAlign w:val="bottom"/>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0" w:type="dxa"/>
            <w:vAlign w:val="bottom"/>
          </w:tcPr>
          <w:p>
            <w:pPr>
              <w:spacing w:after="0"/>
              <w:rPr>
                <w:sz w:val="1"/>
                <w:szCs w:val="1"/>
                <w:color w:val="auto"/>
              </w:rPr>
            </w:pPr>
          </w:p>
        </w:tc>
      </w:tr>
      <w:tr>
        <w:trPr>
          <w:trHeight w:val="283"/>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Fixed operating lease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7,233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6,893</w:t>
            </w:r>
          </w:p>
        </w:tc>
        <w:tc>
          <w:tcPr>
            <w:tcW w:w="0" w:type="dxa"/>
            <w:vAlign w:val="bottom"/>
          </w:tcPr>
          <w:p>
            <w:pPr>
              <w:spacing w:after="0"/>
              <w:rPr>
                <w:sz w:val="1"/>
                <w:szCs w:val="1"/>
                <w:color w:val="auto"/>
              </w:rPr>
            </w:pP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Variable operating lease costs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2,904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2,432</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lease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9,325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-575945</wp:posOffset>
            </wp:positionV>
            <wp:extent cx="5794375" cy="582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7">
                      <a:extLst>
                        <a:ext uri="{28A0092B-C50C-407E-A947-70E740481C1C}"/>
                      </a:extLst>
                    </a:blip>
                    <a:srcRect/>
                    <a:stretch>
                      <a:fillRect/>
                    </a:stretch>
                  </pic:blipFill>
                  <pic:spPr bwMode="auto">
                    <a:xfrm>
                      <a:off x="0" y="0"/>
                      <a:ext cx="5794375" cy="582930"/>
                    </a:xfrm>
                    <a:prstGeom prst="rect">
                      <a:avLst/>
                    </a:prstGeom>
                    <a:noFill/>
                  </pic:spPr>
                </pic:pic>
              </a:graphicData>
            </a:graphic>
          </wp:anchor>
        </w:drawing>
      </w:r>
    </w:p>
    <w:p>
      <w:pPr>
        <w:sectPr>
          <w:pgSz w:w="11880" w:h="15480" w:orient="portrait"/>
          <w:cols w:equalWidth="0" w:num="1">
            <w:col w:w="9080"/>
          </w:cols>
          <w:pgMar w:left="1400"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ectPr>
          <w:pgSz w:w="11880" w:h="15480" w:orient="portrait"/>
          <w:cols w:equalWidth="0" w:num="1">
            <w:col w:w="9080"/>
          </w:cols>
          <w:pgMar w:left="1400" w:top="577" w:right="1400" w:bottom="0" w:gutter="0" w:footer="0" w:header="0"/>
          <w:type w:val="continuous"/>
        </w:sectPr>
      </w:pPr>
    </w:p>
    <w:bookmarkStart w:id="107" w:name="page108"/>
    <w:bookmarkEnd w:id="107"/>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jc w:val="both"/>
        <w:ind w:left="2" w:right="500" w:firstLine="349"/>
        <w:spacing w:after="0" w:line="274" w:lineRule="auto"/>
        <w:rPr>
          <w:sz w:val="20"/>
          <w:szCs w:val="20"/>
          <w:color w:val="auto"/>
        </w:rPr>
      </w:pPr>
      <w:r>
        <w:rPr>
          <w:rFonts w:ascii="Times New Roman" w:cs="Times New Roman" w:eastAsia="Times New Roman" w:hAnsi="Times New Roman"/>
          <w:sz w:val="19"/>
          <w:szCs w:val="19"/>
          <w:color w:val="auto"/>
        </w:rPr>
        <w:t>For the years ended December 31, 2024 and 2023, cash paid for amounts included in the measurement of operating lease liabilities included in cash flows used in operating activities was $7.0 million and $6.2 million, respectively.</w:t>
      </w:r>
    </w:p>
    <w:p>
      <w:pPr>
        <w:spacing w:after="0" w:line="125" w:lineRule="exact"/>
        <w:rPr>
          <w:sz w:val="20"/>
          <w:szCs w:val="20"/>
          <w:color w:val="auto"/>
        </w:rPr>
      </w:pPr>
    </w:p>
    <w:p>
      <w:pPr>
        <w:ind w:left="2" w:right="220" w:firstLine="349"/>
        <w:spacing w:after="0" w:line="293" w:lineRule="auto"/>
        <w:rPr>
          <w:sz w:val="20"/>
          <w:szCs w:val="20"/>
          <w:color w:val="auto"/>
        </w:rPr>
      </w:pPr>
      <w:r>
        <w:rPr>
          <w:rFonts w:ascii="Times New Roman" w:cs="Times New Roman" w:eastAsia="Times New Roman" w:hAnsi="Times New Roman"/>
          <w:sz w:val="19"/>
          <w:szCs w:val="19"/>
          <w:color w:val="auto"/>
        </w:rPr>
        <w:t>As of December 31, 2024, the weighted-average remaining lease term and weighted-average discount rate for operating leases was 5.8 years and 9.1%, respectively.</w:t>
      </w:r>
    </w:p>
    <w:p>
      <w:pPr>
        <w:spacing w:after="0" w:line="107" w:lineRule="exact"/>
        <w:rPr>
          <w:sz w:val="20"/>
          <w:szCs w:val="20"/>
          <w:color w:val="auto"/>
        </w:rPr>
      </w:pPr>
    </w:p>
    <w:p>
      <w:pPr>
        <w:ind w:left="2" w:right="460" w:firstLine="349"/>
        <w:spacing w:after="0" w:line="293" w:lineRule="auto"/>
        <w:rPr>
          <w:sz w:val="20"/>
          <w:szCs w:val="20"/>
          <w:color w:val="auto"/>
        </w:rPr>
      </w:pPr>
      <w:r>
        <w:rPr>
          <w:rFonts w:ascii="Times New Roman" w:cs="Times New Roman" w:eastAsia="Times New Roman" w:hAnsi="Times New Roman"/>
          <w:sz w:val="19"/>
          <w:szCs w:val="19"/>
          <w:color w:val="auto"/>
        </w:rPr>
        <w:t>The following table summarizes the Company's future principal contractual obligations for operating lease commitments as of December 31, 2024:</w:t>
      </w:r>
    </w:p>
    <w:p>
      <w:pPr>
        <w:spacing w:after="0" w:line="180" w:lineRule="exact"/>
        <w:rPr>
          <w:sz w:val="20"/>
          <w:szCs w:val="20"/>
          <w:color w:val="auto"/>
        </w:rPr>
      </w:pPr>
    </w:p>
    <w:tbl>
      <w:tblPr>
        <w:tblLayout w:type="fixed"/>
        <w:tblInd w:w="42" w:type="dxa"/>
        <w:tblCellMar>
          <w:top w:w="0" w:type="dxa"/>
          <w:left w:w="0" w:type="dxa"/>
          <w:bottom w:w="0" w:type="dxa"/>
          <w:right w:w="0" w:type="dxa"/>
        </w:tblCellMar>
      </w:tblPr>
      <w:tr>
        <w:trPr>
          <w:trHeight w:val="204"/>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6"/>
                <w:szCs w:val="16"/>
                <w:color w:val="auto"/>
              </w:rPr>
            </w:pPr>
          </w:p>
        </w:tc>
        <w:tc>
          <w:tcPr>
            <w:tcW w:w="1060" w:type="dxa"/>
            <w:vAlign w:val="bottom"/>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2025</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6,588</w:t>
            </w: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2026</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6,874</w:t>
            </w: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2027</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6,889</w:t>
            </w:r>
          </w:p>
        </w:tc>
        <w:tc>
          <w:tcPr>
            <w:tcW w:w="0" w:type="dxa"/>
            <w:vAlign w:val="bottom"/>
          </w:tcPr>
          <w:p>
            <w:pPr>
              <w:spacing w:after="0"/>
              <w:rPr>
                <w:sz w:val="1"/>
                <w:szCs w:val="1"/>
                <w:color w:val="auto"/>
              </w:rPr>
            </w:pPr>
          </w:p>
        </w:tc>
      </w:tr>
      <w:tr>
        <w:trPr>
          <w:trHeight w:val="27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2028</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5,816</w:t>
            </w:r>
          </w:p>
        </w:tc>
        <w:tc>
          <w:tcPr>
            <w:tcW w:w="0" w:type="dxa"/>
            <w:vAlign w:val="bottom"/>
          </w:tcPr>
          <w:p>
            <w:pPr>
              <w:spacing w:after="0"/>
              <w:rPr>
                <w:sz w:val="1"/>
                <w:szCs w:val="1"/>
                <w:color w:val="auto"/>
              </w:rPr>
            </w:pPr>
          </w:p>
        </w:tc>
      </w:tr>
      <w:tr>
        <w:trPr>
          <w:trHeight w:val="279"/>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2029 and thereafter</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13,208</w:t>
            </w:r>
          </w:p>
        </w:tc>
        <w:tc>
          <w:tcPr>
            <w:tcW w:w="0" w:type="dxa"/>
            <w:vAlign w:val="bottom"/>
          </w:tcPr>
          <w:p>
            <w:pPr>
              <w:spacing w:after="0"/>
              <w:rPr>
                <w:sz w:val="1"/>
                <w:szCs w:val="1"/>
                <w:color w:val="auto"/>
              </w:rPr>
            </w:pPr>
          </w:p>
        </w:tc>
      </w:tr>
      <w:tr>
        <w:trPr>
          <w:trHeight w:val="254"/>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Total future minimum lease payments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39,375</w:t>
            </w:r>
          </w:p>
        </w:tc>
        <w:tc>
          <w:tcPr>
            <w:tcW w:w="0" w:type="dxa"/>
            <w:vAlign w:val="bottom"/>
          </w:tcPr>
          <w:p>
            <w:pPr>
              <w:spacing w:after="0"/>
              <w:rPr>
                <w:sz w:val="1"/>
                <w:szCs w:val="1"/>
                <w:color w:val="auto"/>
              </w:rPr>
            </w:pPr>
          </w:p>
        </w:tc>
      </w:tr>
      <w:tr>
        <w:trPr>
          <w:trHeight w:val="279"/>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Less: Imputed interest</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(8,897)</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r>
              <w:rPr>
                <w:rFonts w:ascii="Times New Roman" w:cs="Times New Roman" w:eastAsia="Times New Roman" w:hAnsi="Times New Roman"/>
                <w:sz w:val="19"/>
                <w:szCs w:val="19"/>
                <w:color w:val="auto"/>
              </w:rPr>
              <w:t>Total operating lease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30,478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-1685290</wp:posOffset>
            </wp:positionV>
            <wp:extent cx="5794375" cy="1692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8">
                      <a:extLst>
                        <a:ext uri="{28A0092B-C50C-407E-A947-70E740481C1C}"/>
                      </a:extLst>
                    </a:blip>
                    <a:srcRect/>
                    <a:stretch>
                      <a:fillRect/>
                    </a:stretch>
                  </pic:blipFill>
                  <pic:spPr bwMode="auto">
                    <a:xfrm>
                      <a:off x="0" y="0"/>
                      <a:ext cx="5794375" cy="1692275"/>
                    </a:xfrm>
                    <a:prstGeom prst="rect">
                      <a:avLst/>
                    </a:prstGeom>
                    <a:noFill/>
                  </pic:spPr>
                </pic:pic>
              </a:graphicData>
            </a:graphic>
          </wp:anchor>
        </w:drawing>
      </w:r>
    </w:p>
    <w:p>
      <w:pPr>
        <w:spacing w:after="0" w:line="116"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9"/>
          <w:szCs w:val="19"/>
          <w:b w:val="1"/>
          <w:bCs w:val="1"/>
          <w:i w:val="1"/>
          <w:iCs w:val="1"/>
          <w:color w:val="auto"/>
        </w:rPr>
        <w:t>Indemnification Agreements</w:t>
      </w:r>
    </w:p>
    <w:p>
      <w:pPr>
        <w:spacing w:after="0" w:line="196" w:lineRule="exact"/>
        <w:rPr>
          <w:sz w:val="20"/>
          <w:szCs w:val="20"/>
          <w:color w:val="auto"/>
        </w:rPr>
      </w:pPr>
    </w:p>
    <w:p>
      <w:pPr>
        <w:ind w:left="2" w:right="80" w:firstLine="349"/>
        <w:spacing w:after="0" w:line="262" w:lineRule="auto"/>
        <w:rPr>
          <w:sz w:val="20"/>
          <w:szCs w:val="20"/>
          <w:color w:val="auto"/>
        </w:rPr>
      </w:pPr>
      <w:r>
        <w:rPr>
          <w:rFonts w:ascii="Times New Roman" w:cs="Times New Roman" w:eastAsia="Times New Roman" w:hAnsi="Times New Roman"/>
          <w:sz w:val="19"/>
          <w:szCs w:val="19"/>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36" w:lineRule="exact"/>
        <w:rPr>
          <w:sz w:val="20"/>
          <w:szCs w:val="20"/>
          <w:color w:val="auto"/>
        </w:rPr>
      </w:pPr>
    </w:p>
    <w:p>
      <w:pPr>
        <w:ind w:left="2" w:right="120" w:firstLine="349"/>
        <w:spacing w:after="0" w:line="263" w:lineRule="auto"/>
        <w:rPr>
          <w:sz w:val="20"/>
          <w:szCs w:val="20"/>
          <w:color w:val="auto"/>
        </w:rPr>
      </w:pPr>
      <w:r>
        <w:rPr>
          <w:rFonts w:ascii="Times New Roman" w:cs="Times New Roman" w:eastAsia="Times New Roman" w:hAnsi="Times New Roman"/>
          <w:sz w:val="19"/>
          <w:szCs w:val="19"/>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52" w:lineRule="exact"/>
        <w:rPr>
          <w:sz w:val="20"/>
          <w:szCs w:val="20"/>
          <w:color w:val="auto"/>
        </w:rPr>
      </w:pPr>
    </w:p>
    <w:p>
      <w:pPr>
        <w:ind w:left="702" w:hanging="702"/>
        <w:spacing w:after="0"/>
        <w:tabs>
          <w:tab w:leader="none" w:pos="702" w:val="left"/>
        </w:tabs>
        <w:numPr>
          <w:ilvl w:val="0"/>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Basic and Diluted Net Loss per Share</w:t>
      </w:r>
    </w:p>
    <w:p>
      <w:pPr>
        <w:spacing w:after="0" w:line="196" w:lineRule="exact"/>
        <w:rPr>
          <w:sz w:val="20"/>
          <w:szCs w:val="20"/>
          <w:color w:val="auto"/>
        </w:rPr>
      </w:pPr>
    </w:p>
    <w:p>
      <w:pPr>
        <w:ind w:left="2" w:right="20" w:firstLine="349"/>
        <w:spacing w:after="0" w:line="293" w:lineRule="auto"/>
        <w:rPr>
          <w:sz w:val="20"/>
          <w:szCs w:val="20"/>
          <w:color w:val="auto"/>
        </w:rPr>
      </w:pPr>
      <w:r>
        <w:rPr>
          <w:rFonts w:ascii="Times New Roman" w:cs="Times New Roman" w:eastAsia="Times New Roman" w:hAnsi="Times New Roman"/>
          <w:sz w:val="19"/>
          <w:szCs w:val="19"/>
          <w:color w:val="auto"/>
        </w:rPr>
        <w:t>The following tables set forth the computation of the Company’s basic and diluted net loss per share attributable to common stockholders 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5794375" cy="13690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9">
                      <a:extLst>
                        <a:ext uri="{28A0092B-C50C-407E-A947-70E740481C1C}"/>
                      </a:extLst>
                    </a:blip>
                    <a:srcRect/>
                    <a:stretch>
                      <a:fillRect/>
                    </a:stretch>
                  </pic:blipFill>
                  <pic:spPr bwMode="auto">
                    <a:xfrm>
                      <a:off x="0" y="0"/>
                      <a:ext cx="5794375" cy="1369060"/>
                    </a:xfrm>
                    <a:prstGeom prst="rect">
                      <a:avLst/>
                    </a:prstGeom>
                    <a:noFill/>
                  </pic:spPr>
                </pic:pic>
              </a:graphicData>
            </a:graphic>
          </wp:anchor>
        </w:drawing>
      </w:r>
    </w:p>
    <w:p>
      <w:pPr>
        <w:spacing w:after="0" w:line="129"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data)</w:t>
            </w:r>
          </w:p>
        </w:tc>
        <w:tc>
          <w:tcPr>
            <w:tcW w:w="160" w:type="dxa"/>
            <w:vAlign w:val="bottom"/>
          </w:tcPr>
          <w:p>
            <w:pPr>
              <w:spacing w:after="0"/>
              <w:rPr>
                <w:sz w:val="13"/>
                <w:szCs w:val="13"/>
                <w:color w:val="auto"/>
              </w:rPr>
            </w:pPr>
          </w:p>
        </w:tc>
        <w:tc>
          <w:tcPr>
            <w:tcW w:w="1120" w:type="dxa"/>
            <w:vAlign w:val="bottom"/>
          </w:tcPr>
          <w:p>
            <w:pPr>
              <w:jc w:val="center"/>
              <w:ind w:right="73"/>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93"/>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Numerator:</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loss attributable to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(70,780)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(63,675)</w:t>
            </w:r>
          </w:p>
        </w:tc>
        <w:tc>
          <w:tcPr>
            <w:tcW w:w="0" w:type="dxa"/>
            <w:vAlign w:val="bottom"/>
          </w:tcPr>
          <w:p>
            <w:pPr>
              <w:spacing w:after="0"/>
              <w:rPr>
                <w:sz w:val="1"/>
                <w:szCs w:val="1"/>
                <w:color w:val="auto"/>
              </w:rPr>
            </w:pPr>
          </w:p>
        </w:tc>
      </w:tr>
      <w:tr>
        <w:trPr>
          <w:trHeight w:val="27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Denominator:</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46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Weighted average shares used in computing net loss per share attributable to</w:t>
            </w: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125,426,509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124,919,144</w:t>
            </w:r>
          </w:p>
        </w:tc>
        <w:tc>
          <w:tcPr>
            <w:tcW w:w="0" w:type="dxa"/>
            <w:vAlign w:val="bottom"/>
          </w:tcPr>
          <w:p>
            <w:pPr>
              <w:spacing w:after="0"/>
              <w:rPr>
                <w:sz w:val="1"/>
                <w:szCs w:val="1"/>
                <w:color w:val="auto"/>
              </w:rPr>
            </w:pPr>
          </w:p>
        </w:tc>
      </w:tr>
      <w:tr>
        <w:trPr>
          <w:trHeight w:val="255"/>
        </w:trPr>
        <w:tc>
          <w:tcPr>
            <w:tcW w:w="646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common stockholders, basic and diluted</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loss per share attributable to common stockholders,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(0.51)</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082"/>
          </w:cols>
          <w:pgMar w:left="1398" w:top="57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7"/>
          <w:szCs w:val="17"/>
          <w:color w:val="auto"/>
        </w:rPr>
        <w:t>106</w:t>
      </w:r>
    </w:p>
    <w:p>
      <w:pPr>
        <w:sectPr>
          <w:pgSz w:w="11880" w:h="15480" w:orient="portrait"/>
          <w:cols w:equalWidth="0" w:num="1">
            <w:col w:w="9082"/>
          </w:cols>
          <w:pgMar w:left="1398" w:top="577" w:right="1400" w:bottom="0" w:gutter="0" w:footer="0" w:header="0"/>
          <w:type w:val="continuous"/>
        </w:sectPr>
      </w:pPr>
    </w:p>
    <w:bookmarkStart w:id="108" w:name="page109"/>
    <w:bookmarkEnd w:id="108"/>
    <w:p>
      <w:pPr>
        <w:ind w:left="42"/>
        <w:spacing w:after="0"/>
        <w:rPr>
          <w:sz w:val="20"/>
          <w:szCs w:val="20"/>
          <w:color w:val="auto"/>
        </w:rPr>
      </w:pPr>
      <w:r>
        <w:rPr>
          <w:rFonts w:ascii="Times New Roman" w:cs="Times New Roman" w:eastAsia="Times New Roman" w:hAnsi="Times New Roman"/>
          <w:sz w:val="23"/>
          <w:szCs w:val="23"/>
          <w:b w:val="1"/>
          <w:bCs w:val="1"/>
          <w:color w:val="auto"/>
        </w:rPr>
        <w:t>Nautilus Biotechnology, Inc.</w:t>
      </w:r>
    </w:p>
    <w:p>
      <w:pPr>
        <w:spacing w:after="0" w:line="43" w:lineRule="exact"/>
        <w:rPr>
          <w:sz w:val="20"/>
          <w:szCs w:val="20"/>
          <w:color w:val="auto"/>
        </w:rPr>
      </w:pPr>
    </w:p>
    <w:p>
      <w:pPr>
        <w:ind w:left="42"/>
        <w:spacing w:after="0"/>
        <w:rPr>
          <w:sz w:val="20"/>
          <w:szCs w:val="20"/>
          <w:color w:val="auto"/>
        </w:rPr>
      </w:pPr>
      <w:r>
        <w:rPr>
          <w:rFonts w:ascii="Times New Roman" w:cs="Times New Roman" w:eastAsia="Times New Roman" w:hAnsi="Times New Roman"/>
          <w:sz w:val="23"/>
          <w:szCs w:val="23"/>
          <w:b w:val="1"/>
          <w:bCs w:val="1"/>
          <w:color w:val="auto"/>
        </w:rPr>
        <w:t>Notes to Consolidated Financial Statements—(Continued)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576834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454.2pt,1.2pt" o:allowincell="f" strokecolor="#000000" strokeweight="1pt"/>
            </w:pict>
          </mc:Fallback>
        </mc:AlternateContent>
      </w:r>
    </w:p>
    <w:p>
      <w:pPr>
        <w:spacing w:after="0" w:line="220" w:lineRule="exact"/>
        <w:rPr>
          <w:sz w:val="20"/>
          <w:szCs w:val="20"/>
          <w:color w:val="auto"/>
        </w:rPr>
      </w:pPr>
    </w:p>
    <w:p>
      <w:pPr>
        <w:ind w:left="2" w:right="700" w:firstLine="349"/>
        <w:spacing w:after="0" w:line="274" w:lineRule="auto"/>
        <w:rPr>
          <w:sz w:val="20"/>
          <w:szCs w:val="20"/>
          <w:color w:val="auto"/>
        </w:rPr>
      </w:pPr>
      <w:r>
        <w:rPr>
          <w:rFonts w:ascii="Times New Roman" w:cs="Times New Roman" w:eastAsia="Times New Roman" w:hAnsi="Times New Roman"/>
          <w:sz w:val="19"/>
          <w:szCs w:val="19"/>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105410</wp:posOffset>
            </wp:positionV>
            <wp:extent cx="5794375" cy="9067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0">
                      <a:extLst>
                        <a:ext uri="{28A0092B-C50C-407E-A947-70E740481C1C}"/>
                      </a:extLst>
                    </a:blip>
                    <a:srcRect/>
                    <a:stretch>
                      <a:fillRect/>
                    </a:stretch>
                  </pic:blipFill>
                  <pic:spPr bwMode="auto">
                    <a:xfrm>
                      <a:off x="0" y="0"/>
                      <a:ext cx="5794375" cy="906780"/>
                    </a:xfrm>
                    <a:prstGeom prst="rect">
                      <a:avLst/>
                    </a:prstGeom>
                    <a:noFill/>
                  </pic:spPr>
                </pic:pic>
              </a:graphicData>
            </a:graphic>
          </wp:anchor>
        </w:drawing>
      </w:r>
    </w:p>
    <w:p>
      <w:pPr>
        <w:spacing w:after="0" w:line="147" w:lineRule="exact"/>
        <w:rPr>
          <w:sz w:val="20"/>
          <w:szCs w:val="20"/>
          <w:color w:val="auto"/>
        </w:rPr>
      </w:pPr>
    </w:p>
    <w:tbl>
      <w:tblPr>
        <w:tblLayout w:type="fixed"/>
        <w:tblInd w:w="42"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155"/>
        </w:trPr>
        <w:tc>
          <w:tcPr>
            <w:tcW w:w="646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8"/>
        </w:trPr>
        <w:tc>
          <w:tcPr>
            <w:tcW w:w="646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Options to purchase common stock</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16,634,775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14,676,335</w:t>
            </w:r>
          </w:p>
        </w:tc>
      </w:tr>
      <w:tr>
        <w:trPr>
          <w:trHeight w:val="279"/>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Employee stock purchase plan</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144,928</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141,720</w:t>
            </w: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potentially dilutive common share equivalents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16,779,703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14,818,055</w:t>
            </w:r>
          </w:p>
        </w:tc>
      </w:tr>
      <w:tr>
        <w:trPr>
          <w:trHeight w:val="20"/>
        </w:trPr>
        <w:tc>
          <w:tcPr>
            <w:tcW w:w="64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702" w:hanging="702"/>
        <w:spacing w:after="0"/>
        <w:tabs>
          <w:tab w:leader="none" w:pos="702" w:val="left"/>
        </w:tabs>
        <w:numPr>
          <w:ilvl w:val="0"/>
          <w:numId w:val="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Segment Information</w:t>
      </w:r>
    </w:p>
    <w:p>
      <w:pPr>
        <w:spacing w:after="0" w:line="196" w:lineRule="exact"/>
        <w:rPr>
          <w:sz w:val="20"/>
          <w:szCs w:val="20"/>
          <w:color w:val="auto"/>
        </w:rPr>
      </w:pPr>
    </w:p>
    <w:p>
      <w:pPr>
        <w:ind w:left="2" w:right="360" w:firstLine="349"/>
        <w:spacing w:after="0" w:line="274" w:lineRule="auto"/>
        <w:rPr>
          <w:sz w:val="20"/>
          <w:szCs w:val="20"/>
          <w:color w:val="auto"/>
        </w:rPr>
      </w:pPr>
      <w:r>
        <w:rPr>
          <w:rFonts w:ascii="Times New Roman" w:cs="Times New Roman" w:eastAsia="Times New Roman" w:hAnsi="Times New Roman"/>
          <w:sz w:val="19"/>
          <w:szCs w:val="19"/>
          <w:color w:val="auto"/>
        </w:rPr>
        <w:t>The Company’s Chief Executive Officer is its CODM. The Company’s CODM uses GAAP net loss in assessing operating decisions, allocating resources and evaluating financial performance. The Company identified the following significant segment expenses for its single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wp:posOffset>
            </wp:positionV>
            <wp:extent cx="5794375" cy="24879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
                      <a:extLst>
                        <a:ext uri="{28A0092B-C50C-407E-A947-70E740481C1C}"/>
                      </a:extLst>
                    </a:blip>
                    <a:srcRect/>
                    <a:stretch>
                      <a:fillRect/>
                    </a:stretch>
                  </pic:blipFill>
                  <pic:spPr bwMode="auto">
                    <a:xfrm>
                      <a:off x="0" y="0"/>
                      <a:ext cx="5794375" cy="2487930"/>
                    </a:xfrm>
                    <a:prstGeom prst="rect">
                      <a:avLst/>
                    </a:prstGeom>
                    <a:noFill/>
                  </pic:spPr>
                </pic:pic>
              </a:graphicData>
            </a:graphic>
          </wp:anchor>
        </w:drawing>
      </w:r>
    </w:p>
    <w:tbl>
      <w:tblPr>
        <w:tblLayout w:type="fixed"/>
        <w:tblInd w:w="42" w:type="dxa"/>
        <w:tblCellMar>
          <w:top w:w="0" w:type="dxa"/>
          <w:left w:w="0" w:type="dxa"/>
          <w:bottom w:w="0" w:type="dxa"/>
          <w:right w:w="0" w:type="dxa"/>
        </w:tblCellMar>
      </w:tblPr>
      <w:tr>
        <w:trPr>
          <w:trHeight w:val="177"/>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68"/>
              <w:spacing w:after="0" w:line="177" w:lineRule="exact"/>
              <w:rPr>
                <w:sz w:val="20"/>
                <w:szCs w:val="20"/>
                <w:color w:val="auto"/>
              </w:rPr>
            </w:pPr>
            <w:r>
              <w:rPr>
                <w:rFonts w:ascii="Times New Roman" w:cs="Times New Roman" w:eastAsia="Times New Roman" w:hAnsi="Times New Roman"/>
                <w:sz w:val="16"/>
                <w:szCs w:val="16"/>
                <w:b w:val="1"/>
                <w:bCs w:val="1"/>
                <w:color w:val="auto"/>
                <w:w w:val="97"/>
              </w:rPr>
              <w:t>Year Ended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68"/>
              <w:spacing w:after="0" w:line="177" w:lineRule="exact"/>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55"/>
        </w:trPr>
        <w:tc>
          <w:tcPr>
            <w:tcW w:w="6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3"/>
                <w:szCs w:val="13"/>
                <w:color w:val="auto"/>
              </w:rPr>
            </w:pPr>
          </w:p>
        </w:tc>
        <w:tc>
          <w:tcPr>
            <w:tcW w:w="1120" w:type="dxa"/>
            <w:vAlign w:val="bottom"/>
          </w:tcPr>
          <w:p>
            <w:pPr>
              <w:jc w:val="center"/>
              <w:ind w:right="68"/>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8"/>
              <w:spacing w:after="0" w:line="155" w:lineRule="exact"/>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Significant segment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Payroll-related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33,502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31,609</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Professional services and laboratory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17,716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16,397</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Stock-based compensation expense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12,137</w:t>
            </w: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Facilities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10,285</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line="280" w:lineRule="exact"/>
              <w:rPr>
                <w:sz w:val="20"/>
                <w:szCs w:val="20"/>
                <w:color w:val="auto"/>
              </w:rPr>
            </w:pPr>
            <w:r>
              <w:rPr>
                <w:rFonts w:ascii="Times New Roman" w:cs="Times New Roman" w:eastAsia="Times New Roman" w:hAnsi="Times New Roman"/>
                <w:sz w:val="19"/>
                <w:szCs w:val="19"/>
                <w:color w:val="auto"/>
              </w:rPr>
              <w:t xml:space="preserve">Other segment items </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6,655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5,724</w:t>
            </w:r>
          </w:p>
        </w:tc>
        <w:tc>
          <w:tcPr>
            <w:tcW w:w="0" w:type="dxa"/>
            <w:vAlign w:val="bottom"/>
          </w:tcPr>
          <w:p>
            <w:pPr>
              <w:spacing w:after="0"/>
              <w:rPr>
                <w:sz w:val="1"/>
                <w:szCs w:val="1"/>
                <w:color w:val="auto"/>
              </w:rPr>
            </w:pPr>
          </w:p>
        </w:tc>
      </w:tr>
      <w:tr>
        <w:trPr>
          <w:trHeight w:val="254"/>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Total segment expenses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81,476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76,152</w:t>
            </w:r>
          </w:p>
        </w:tc>
        <w:tc>
          <w:tcPr>
            <w:tcW w:w="0" w:type="dxa"/>
            <w:vAlign w:val="bottom"/>
          </w:tcPr>
          <w:p>
            <w:pPr>
              <w:spacing w:after="0"/>
              <w:rPr>
                <w:sz w:val="1"/>
                <w:szCs w:val="1"/>
                <w:color w:val="auto"/>
              </w:rPr>
            </w:pPr>
          </w:p>
        </w:tc>
      </w:tr>
      <w:tr>
        <w:trPr>
          <w:trHeight w:val="553"/>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Reconciliation to net loss: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Interest income</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(12,550)</w:t>
            </w:r>
          </w:p>
        </w:tc>
        <w:tc>
          <w:tcPr>
            <w:tcW w:w="0" w:type="dxa"/>
            <w:vAlign w:val="bottom"/>
          </w:tcPr>
          <w:p>
            <w:pPr>
              <w:spacing w:after="0"/>
              <w:rPr>
                <w:sz w:val="1"/>
                <w:szCs w:val="1"/>
                <w:color w:val="auto"/>
              </w:rPr>
            </w:pPr>
          </w:p>
        </w:tc>
      </w:tr>
      <w:tr>
        <w:trPr>
          <w:trHeight w:val="279"/>
        </w:trPr>
        <w:tc>
          <w:tcPr>
            <w:tcW w:w="64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Other expense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73</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70,780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63,675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6"/>
          <w:szCs w:val="16"/>
          <w:color w:val="auto"/>
        </w:rPr>
        <w:t>Footnotes:</w:t>
      </w:r>
    </w:p>
    <w:p>
      <w:pPr>
        <w:spacing w:after="0" w:line="66" w:lineRule="exact"/>
        <w:rPr>
          <w:sz w:val="20"/>
          <w:szCs w:val="20"/>
          <w:color w:val="auto"/>
        </w:rPr>
      </w:pPr>
    </w:p>
    <w:p>
      <w:pPr>
        <w:ind w:left="442" w:hanging="318"/>
        <w:spacing w:after="0" w:line="233" w:lineRule="auto"/>
        <w:tabs>
          <w:tab w:leader="none" w:pos="44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the Company’s single reportable segment include travel and entertainment, insurance, tax, expensed computer hardware and software, depreciation, and other miscellaneous expenses.</w:t>
      </w:r>
    </w:p>
    <w:p>
      <w:pPr>
        <w:sectPr>
          <w:pgSz w:w="11880" w:h="15480" w:orient="portrait"/>
          <w:cols w:equalWidth="0" w:num="1">
            <w:col w:w="9442"/>
          </w:cols>
          <w:pgMar w:left="1398" w:top="57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58"/>
        <w:spacing w:after="0"/>
        <w:rPr>
          <w:sz w:val="20"/>
          <w:szCs w:val="20"/>
          <w:color w:val="auto"/>
        </w:rPr>
      </w:pPr>
      <w:r>
        <w:rPr>
          <w:rFonts w:ascii="Times New Roman" w:cs="Times New Roman" w:eastAsia="Times New Roman" w:hAnsi="Times New Roman"/>
          <w:sz w:val="17"/>
          <w:szCs w:val="17"/>
          <w:color w:val="auto"/>
        </w:rPr>
        <w:t>107</w:t>
      </w:r>
    </w:p>
    <w:p>
      <w:pPr>
        <w:sectPr>
          <w:pgSz w:w="11880" w:h="15480" w:orient="portrait"/>
          <w:cols w:equalWidth="0" w:num="1">
            <w:col w:w="9442"/>
          </w:cols>
          <w:pgMar w:left="1398" w:top="577" w:right="104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Evaluation of Disclosure Controls and Procedures</w:t>
      </w:r>
    </w:p>
    <w:p>
      <w:pPr>
        <w:spacing w:after="0" w:line="196" w:lineRule="exact"/>
        <w:rPr>
          <w:sz w:val="20"/>
          <w:szCs w:val="20"/>
          <w:color w:val="auto"/>
        </w:rPr>
      </w:pPr>
    </w:p>
    <w:p>
      <w:pPr>
        <w:ind w:right="80" w:firstLine="349"/>
        <w:spacing w:after="0" w:line="268" w:lineRule="auto"/>
        <w:rPr>
          <w:sz w:val="20"/>
          <w:szCs w:val="20"/>
          <w:color w:val="auto"/>
        </w:rPr>
      </w:pPr>
      <w:r>
        <w:rPr>
          <w:rFonts w:ascii="Times New Roman" w:cs="Times New Roman" w:eastAsia="Times New Roman" w:hAnsi="Times New Roman"/>
          <w:sz w:val="19"/>
          <w:szCs w:val="19"/>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w:t>
      </w:r>
    </w:p>
    <w:p>
      <w:pPr>
        <w:spacing w:after="0" w:line="131" w:lineRule="exact"/>
        <w:rPr>
          <w:sz w:val="20"/>
          <w:szCs w:val="20"/>
          <w:color w:val="auto"/>
        </w:rPr>
      </w:pPr>
    </w:p>
    <w:p>
      <w:pPr>
        <w:ind w:right="20" w:firstLine="349"/>
        <w:spacing w:after="0" w:line="265" w:lineRule="auto"/>
        <w:rPr>
          <w:sz w:val="20"/>
          <w:szCs w:val="20"/>
          <w:color w:val="auto"/>
        </w:rPr>
      </w:pPr>
      <w:r>
        <w:rPr>
          <w:rFonts w:ascii="Times New Roman" w:cs="Times New Roman" w:eastAsia="Times New Roman" w:hAnsi="Times New Roman"/>
          <w:sz w:val="19"/>
          <w:szCs w:val="19"/>
          <w:color w:val="auto"/>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such date, our disclosure controls and procedures were, in design and operation, effective at a reasonable assurance level.</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Management’s Report on Internal Control Over Financial Reporting</w:t>
      </w:r>
    </w:p>
    <w:p>
      <w:pPr>
        <w:spacing w:after="0" w:line="196" w:lineRule="exact"/>
        <w:rPr>
          <w:sz w:val="20"/>
          <w:szCs w:val="20"/>
          <w:color w:val="auto"/>
        </w:rPr>
      </w:pPr>
    </w:p>
    <w:p>
      <w:pPr>
        <w:ind w:right="160" w:firstLine="349"/>
        <w:spacing w:after="0" w:line="263"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2024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2024.</w:t>
      </w:r>
    </w:p>
    <w:p>
      <w:pPr>
        <w:spacing w:after="0" w:line="136" w:lineRule="exact"/>
        <w:rPr>
          <w:sz w:val="20"/>
          <w:szCs w:val="20"/>
          <w:color w:val="auto"/>
        </w:rPr>
      </w:pPr>
    </w:p>
    <w:p>
      <w:pPr>
        <w:ind w:right="140" w:firstLine="349"/>
        <w:spacing w:after="0" w:line="293" w:lineRule="auto"/>
        <w:rPr>
          <w:sz w:val="20"/>
          <w:szCs w:val="20"/>
          <w:color w:val="auto"/>
        </w:rPr>
      </w:pPr>
      <w:r>
        <w:rPr>
          <w:rFonts w:ascii="Times New Roman" w:cs="Times New Roman" w:eastAsia="Times New Roman" w:hAnsi="Times New Roman"/>
          <w:sz w:val="19"/>
          <w:szCs w:val="19"/>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Changes in Internal Control over Financial Reporting</w:t>
      </w:r>
    </w:p>
    <w:p>
      <w:pPr>
        <w:spacing w:after="0" w:line="193" w:lineRule="exact"/>
        <w:rPr>
          <w:sz w:val="20"/>
          <w:szCs w:val="20"/>
          <w:color w:val="auto"/>
        </w:rPr>
      </w:pPr>
    </w:p>
    <w:p>
      <w:pPr>
        <w:jc w:val="both"/>
        <w:ind w:right="80" w:firstLine="349"/>
        <w:spacing w:after="0" w:line="274" w:lineRule="auto"/>
        <w:rPr>
          <w:sz w:val="20"/>
          <w:szCs w:val="20"/>
          <w:color w:val="auto"/>
        </w:rPr>
      </w:pPr>
      <w:r>
        <w:rPr>
          <w:rFonts w:ascii="Times New Roman" w:cs="Times New Roman" w:eastAsia="Times New Roman" w:hAnsi="Times New Roman"/>
          <w:sz w:val="19"/>
          <w:szCs w:val="19"/>
          <w:color w:val="auto"/>
        </w:rPr>
        <w:t>There was no change in our internal control over financial reporting identified in connection with the evaluation required by Rule 13a-15(d) and 15d-15(d) of the Securities Exchange Act of 1934 that occurred during the quarter ended December 31, 2024, that has materially affected, or is reasonably likely to materially affect, our internal control over financial reporting.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Inherent Limitations on Effectiveness of Controls</w:t>
      </w:r>
    </w:p>
    <w:p>
      <w:pPr>
        <w:spacing w:after="0" w:line="196" w:lineRule="exact"/>
        <w:rPr>
          <w:sz w:val="20"/>
          <w:szCs w:val="20"/>
          <w:color w:val="auto"/>
        </w:rPr>
      </w:pPr>
    </w:p>
    <w:p>
      <w:pPr>
        <w:ind w:firstLine="349"/>
        <w:spacing w:after="0" w:line="259" w:lineRule="auto"/>
        <w:rPr>
          <w:sz w:val="20"/>
          <w:szCs w:val="20"/>
          <w:color w:val="auto"/>
        </w:rPr>
      </w:pPr>
      <w:r>
        <w:rPr>
          <w:rFonts w:ascii="Times New Roman" w:cs="Times New Roman" w:eastAsia="Times New Roman" w:hAnsi="Times New Roman"/>
          <w:sz w:val="19"/>
          <w:szCs w:val="19"/>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196" w:lineRule="exact"/>
        <w:rPr>
          <w:sz w:val="20"/>
          <w:szCs w:val="20"/>
          <w:color w:val="auto"/>
        </w:rPr>
      </w:pPr>
    </w:p>
    <w:p>
      <w:pPr>
        <w:ind w:right="480" w:firstLine="243"/>
        <w:spacing w:after="0" w:line="293" w:lineRule="auto"/>
        <w:rPr>
          <w:sz w:val="20"/>
          <w:szCs w:val="20"/>
          <w:color w:val="auto"/>
        </w:rPr>
      </w:pPr>
      <w:r>
        <w:rPr>
          <w:rFonts w:ascii="Times New Roman" w:cs="Times New Roman" w:eastAsia="Times New Roman" w:hAnsi="Times New Roman"/>
          <w:sz w:val="19"/>
          <w:szCs w:val="19"/>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Not applicable.</w:t>
      </w:r>
    </w:p>
    <w:p>
      <w:pPr>
        <w:sectPr>
          <w:pgSz w:w="11880" w:h="15480" w:orient="portrait"/>
          <w:cols w:equalWidth="0" w:num="1">
            <w:col w:w="10480"/>
          </w:cols>
          <w:pgMar w:left="700" w:top="687"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ectPr>
          <w:pgSz w:w="11880" w:h="15480" w:orient="portrait"/>
          <w:cols w:equalWidth="0" w:num="1">
            <w:col w:w="10480"/>
          </w:cols>
          <w:pgMar w:left="700" w:top="687" w:right="700" w:bottom="0" w:gutter="0" w:footer="0" w:header="0"/>
          <w:type w:val="continuous"/>
        </w:sectPr>
      </w:pPr>
    </w:p>
    <w:bookmarkStart w:id="110" w:name="page111"/>
    <w:bookmarkEnd w:id="110"/>
    <w:p>
      <w:pPr>
        <w:ind w:left="4860"/>
        <w:spacing w:after="0"/>
        <w:rPr>
          <w:sz w:val="20"/>
          <w:szCs w:val="20"/>
          <w:color w:val="auto"/>
        </w:rPr>
      </w:pPr>
      <w:r>
        <w:rPr>
          <w:rFonts w:ascii="Times New Roman" w:cs="Times New Roman" w:eastAsia="Times New Roman" w:hAnsi="Times New Roman"/>
          <w:sz w:val="23"/>
          <w:szCs w:val="23"/>
          <w:b w:val="1"/>
          <w:bCs w:val="1"/>
          <w:color w:val="auto"/>
        </w:rPr>
        <w:t>Part III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196" w:lineRule="exact"/>
        <w:rPr>
          <w:sz w:val="20"/>
          <w:szCs w:val="20"/>
          <w:color w:val="auto"/>
        </w:rPr>
      </w:pPr>
    </w:p>
    <w:p>
      <w:pPr>
        <w:ind w:firstLine="349"/>
        <w:spacing w:after="0" w:line="274" w:lineRule="auto"/>
        <w:rPr>
          <w:sz w:val="20"/>
          <w:szCs w:val="20"/>
          <w:color w:val="auto"/>
        </w:rPr>
      </w:pPr>
      <w:r>
        <w:rPr>
          <w:rFonts w:ascii="Times New Roman" w:cs="Times New Roman" w:eastAsia="Times New Roman" w:hAnsi="Times New Roman"/>
          <w:sz w:val="19"/>
          <w:szCs w:val="19"/>
          <w:color w:val="auto"/>
        </w:rPr>
        <w:t>The information called for by this item will be set forth in our Proxy Statement for the Annual Meeting of Stockholders to be filed with the SEC within 120 days of the fiscal year ended December 31, 2024 (the “Proxy Statement”) and is incorporated herein by reference.</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b w:val="1"/>
          <w:bCs w:val="1"/>
          <w:i w:val="1"/>
          <w:iCs w:val="1"/>
          <w:color w:val="auto"/>
        </w:rPr>
        <w:t>Code of Business Conduct and Ethics</w:t>
      </w:r>
    </w:p>
    <w:p>
      <w:pPr>
        <w:spacing w:after="0" w:line="191" w:lineRule="exact"/>
        <w:rPr>
          <w:sz w:val="20"/>
          <w:szCs w:val="20"/>
          <w:color w:val="auto"/>
        </w:rPr>
      </w:pPr>
    </w:p>
    <w:p>
      <w:pPr>
        <w:ind w:right="180" w:firstLine="349"/>
        <w:spacing w:after="0" w:line="268" w:lineRule="auto"/>
        <w:rPr>
          <w:sz w:val="20"/>
          <w:szCs w:val="20"/>
          <w:color w:val="auto"/>
        </w:rPr>
      </w:pPr>
      <w:r>
        <w:rPr>
          <w:rFonts w:ascii="Times New Roman" w:cs="Times New Roman" w:eastAsia="Times New Roman" w:hAnsi="Times New Roman"/>
          <w:sz w:val="19"/>
          <w:szCs w:val="19"/>
          <w:color w:val="auto"/>
        </w:rPr>
        <w:t>Our board of directors has adopted a Code of Business Conduct and Ethics applicable to all employees, officers and directors of the Company. The full text of our Code of Business Conduct and Ethics is posted on our investors relations website at http:// www.https://investors.nautilus.bio/. We will post any amendments to our Code of Business Conduct and Ethics, or waivers of its requirements, on our website.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information required by this item will be disclosed in the Proxy Statement and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 and Management and Related Stockholder Matters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information required by this item will be disclosed in the Proxy Statement and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Transactions, and Director Independence</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information required by this item will be disclosed in the Proxy Statement and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Principal Accountant Fees and Services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The information required by this item will be disclosed in the Proxy Statement and is incorporated herein by reference.</w:t>
      </w:r>
    </w:p>
    <w:p>
      <w:pPr>
        <w:sectPr>
          <w:pgSz w:w="11880" w:h="15480" w:orient="portrait"/>
          <w:cols w:equalWidth="0" w:num="1">
            <w:col w:w="10460"/>
          </w:cols>
          <w:pgMar w:left="700" w:top="67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ectPr>
          <w:pgSz w:w="11880" w:h="15480" w:orient="portrait"/>
          <w:cols w:equalWidth="0" w:num="1">
            <w:col w:w="10460"/>
          </w:cols>
          <w:pgMar w:left="700" w:top="671" w:right="720" w:bottom="0"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3"/>
          <w:szCs w:val="23"/>
          <w:b w:val="1"/>
          <w:bCs w:val="1"/>
          <w:color w:val="auto"/>
        </w:rPr>
        <w:t>Part IV</w:t>
      </w:r>
    </w:p>
    <w:p>
      <w:pPr>
        <w:spacing w:after="0" w:line="21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color w:val="auto"/>
        </w:rPr>
        <w:t>Item 15. Exhibits and Financial Statement Schedules</w:t>
      </w:r>
    </w:p>
    <w:p>
      <w:pPr>
        <w:spacing w:after="0" w:line="19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i w:val="1"/>
          <w:iCs w:val="1"/>
          <w:color w:val="auto"/>
        </w:rPr>
        <w:t>(a) 1. Financial Statements</w:t>
      </w:r>
    </w:p>
    <w:p>
      <w:pPr>
        <w:spacing w:after="0" w:line="191" w:lineRule="exact"/>
        <w:rPr>
          <w:sz w:val="20"/>
          <w:szCs w:val="20"/>
          <w:color w:val="auto"/>
        </w:rPr>
      </w:pPr>
    </w:p>
    <w:p>
      <w:pPr>
        <w:ind w:left="1" w:firstLine="349"/>
        <w:spacing w:after="0" w:line="293" w:lineRule="auto"/>
        <w:rPr>
          <w:sz w:val="20"/>
          <w:szCs w:val="20"/>
          <w:color w:val="auto"/>
        </w:rPr>
      </w:pPr>
      <w:r>
        <w:rPr>
          <w:rFonts w:ascii="Times New Roman" w:cs="Times New Roman" w:eastAsia="Times New Roman" w:hAnsi="Times New Roman"/>
          <w:sz w:val="19"/>
          <w:szCs w:val="19"/>
          <w:color w:val="auto"/>
        </w:rPr>
        <w:t>See Index to consolidated financial statements in Part II, Item 8 of this Annual Report on Form 10-K, which is incorporated herein by reference.</w:t>
      </w:r>
    </w:p>
    <w:p>
      <w:pPr>
        <w:spacing w:after="0" w:line="10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i w:val="1"/>
          <w:iCs w:val="1"/>
          <w:color w:val="auto"/>
        </w:rPr>
        <w:t>2. Financial Statement Schedules</w:t>
      </w:r>
    </w:p>
    <w:p>
      <w:pPr>
        <w:spacing w:after="0" w:line="191" w:lineRule="exact"/>
        <w:rPr>
          <w:sz w:val="20"/>
          <w:szCs w:val="20"/>
          <w:color w:val="auto"/>
        </w:rPr>
      </w:pPr>
    </w:p>
    <w:p>
      <w:pPr>
        <w:ind w:left="1" w:right="40" w:firstLine="349"/>
        <w:spacing w:after="0" w:line="293" w:lineRule="auto"/>
        <w:rPr>
          <w:sz w:val="20"/>
          <w:szCs w:val="20"/>
          <w:color w:val="auto"/>
        </w:rPr>
      </w:pPr>
      <w:r>
        <w:rPr>
          <w:rFonts w:ascii="Times New Roman" w:cs="Times New Roman" w:eastAsia="Times New Roman" w:hAnsi="Times New Roman"/>
          <w:sz w:val="19"/>
          <w:szCs w:val="19"/>
          <w:color w:val="auto"/>
        </w:rPr>
        <w:t>All financial statement schedules have been omitted because they are either not applicable or the required information is shown in the consolidated financial statements or notes thereto.</w:t>
      </w:r>
    </w:p>
    <w:p>
      <w:pPr>
        <w:spacing w:after="0" w:line="10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i w:val="1"/>
          <w:iCs w:val="1"/>
          <w:color w:val="auto"/>
        </w:rPr>
        <w:t>3. Exhibits</w:t>
      </w:r>
    </w:p>
    <w:p>
      <w:pPr>
        <w:spacing w:after="0" w:line="191" w:lineRule="exact"/>
        <w:rPr>
          <w:sz w:val="20"/>
          <w:szCs w:val="20"/>
          <w:color w:val="auto"/>
        </w:rPr>
      </w:pPr>
    </w:p>
    <w:p>
      <w:pPr>
        <w:ind w:left="341"/>
        <w:spacing w:after="0"/>
        <w:rPr>
          <w:sz w:val="20"/>
          <w:szCs w:val="20"/>
          <w:color w:val="auto"/>
        </w:rPr>
      </w:pPr>
      <w:r>
        <w:rPr>
          <w:rFonts w:ascii="Times New Roman" w:cs="Times New Roman" w:eastAsia="Times New Roman" w:hAnsi="Times New Roman"/>
          <w:sz w:val="19"/>
          <w:szCs w:val="19"/>
          <w:color w:val="auto"/>
        </w:rPr>
        <w:t>See the Exhibit Index which precedes the signature page of this Annual Report, which is incorporated herein by reference.</w:t>
      </w:r>
    </w:p>
    <w:p>
      <w:pPr>
        <w:spacing w:after="0" w:line="18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9"/>
          <w:szCs w:val="19"/>
          <w:b w:val="1"/>
          <w:bCs w:val="1"/>
          <w:i w:val="1"/>
          <w:iCs w:val="1"/>
          <w:color w:val="auto"/>
        </w:rPr>
        <w:t>(b) Exhibits</w:t>
      </w:r>
    </w:p>
    <w:p>
      <w:pPr>
        <w:spacing w:after="0" w:line="191" w:lineRule="exact"/>
        <w:rPr>
          <w:sz w:val="20"/>
          <w:szCs w:val="20"/>
          <w:color w:val="auto"/>
        </w:rPr>
      </w:pPr>
    </w:p>
    <w:p>
      <w:pPr>
        <w:ind w:left="341"/>
        <w:spacing w:after="0"/>
        <w:rPr>
          <w:sz w:val="20"/>
          <w:szCs w:val="20"/>
          <w:color w:val="auto"/>
        </w:rPr>
      </w:pPr>
      <w:r>
        <w:rPr>
          <w:rFonts w:ascii="Times New Roman" w:cs="Times New Roman" w:eastAsia="Times New Roman" w:hAnsi="Times New Roman"/>
          <w:sz w:val="19"/>
          <w:szCs w:val="19"/>
          <w:color w:val="auto"/>
        </w:rPr>
        <w:t>See Item 15(a)(3) above.</w:t>
      </w:r>
    </w:p>
    <w:p>
      <w:pPr>
        <w:spacing w:after="0" w:line="187" w:lineRule="exact"/>
        <w:rPr>
          <w:sz w:val="20"/>
          <w:szCs w:val="20"/>
          <w:color w:val="auto"/>
        </w:rPr>
      </w:pPr>
    </w:p>
    <w:p>
      <w:pPr>
        <w:ind w:left="341" w:right="7820" w:hanging="341"/>
        <w:spacing w:after="0" w:line="528" w:lineRule="auto"/>
        <w:tabs>
          <w:tab w:leader="none" w:pos="256"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Financial Statement Schedules </w:t>
      </w:r>
      <w:r>
        <w:rPr>
          <w:rFonts w:ascii="Times New Roman" w:cs="Times New Roman" w:eastAsia="Times New Roman" w:hAnsi="Times New Roman"/>
          <w:sz w:val="18"/>
          <w:szCs w:val="18"/>
          <w:color w:val="auto"/>
        </w:rPr>
        <w:t>See Item 15(a)(2) above.</w:t>
      </w:r>
    </w:p>
    <w:p>
      <w:pPr>
        <w:sectPr>
          <w:pgSz w:w="11880" w:h="15480" w:orient="portrait"/>
          <w:cols w:equalWidth="0" w:num="1">
            <w:col w:w="10481"/>
          </w:cols>
          <w:pgMar w:left="699" w:top="671"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ectPr>
          <w:pgSz w:w="11880" w:h="15480" w:orient="portrait"/>
          <w:cols w:equalWidth="0" w:num="1">
            <w:col w:w="10481"/>
          </w:cols>
          <w:pgMar w:left="699" w:top="671" w:right="70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9"/>
          <w:szCs w:val="19"/>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600" w:type="dxa"/>
            <w:vAlign w:val="bottom"/>
          </w:tcPr>
          <w:p>
            <w:pPr>
              <w:spacing w:after="0"/>
              <w:rPr>
                <w:sz w:val="16"/>
                <w:szCs w:val="16"/>
                <w:color w:val="auto"/>
              </w:rPr>
            </w:pPr>
          </w:p>
        </w:tc>
      </w:tr>
      <w:tr>
        <w:trPr>
          <w:trHeight w:val="227"/>
        </w:trPr>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600" w:type="dxa"/>
            <w:vAlign w:val="bottom"/>
          </w:tcPr>
          <w:p>
            <w:pPr>
              <w:ind w:left="45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780" w:type="dxa"/>
            <w:vAlign w:val="bottom"/>
          </w:tcPr>
          <w:p>
            <w:pPr>
              <w:ind w:left="40"/>
              <w:spacing w:after="0" w:line="186" w:lineRule="exact"/>
              <w:rPr>
                <w:sz w:val="20"/>
                <w:szCs w:val="20"/>
                <w:color w:val="auto"/>
              </w:rPr>
            </w:pPr>
            <w:r>
              <w:rPr>
                <w:rFonts w:ascii="Times New Roman" w:cs="Times New Roman" w:eastAsia="Times New Roman" w:hAnsi="Times New Roman"/>
                <w:sz w:val="17"/>
                <w:szCs w:val="17"/>
                <w:color w:val="auto"/>
              </w:rPr>
              <w:t>2.1</w:t>
            </w:r>
          </w:p>
        </w:tc>
        <w:tc>
          <w:tcPr>
            <w:tcW w:w="9600" w:type="dxa"/>
            <w:vAlign w:val="bottom"/>
          </w:tcPr>
          <w:p>
            <w:pPr>
              <w:ind w:left="240"/>
              <w:spacing w:after="0" w:line="186" w:lineRule="exact"/>
              <w:rPr>
                <w:sz w:val="20"/>
                <w:szCs w:val="20"/>
                <w:color w:val="auto"/>
              </w:rPr>
            </w:pPr>
            <w:r>
              <w:rPr>
                <w:rFonts w:ascii="Times New Roman" w:cs="Times New Roman" w:eastAsia="Times New Roman" w:hAnsi="Times New Roman"/>
                <w:sz w:val="19"/>
                <w:szCs w:val="19"/>
                <w:color w:val="464646"/>
              </w:rPr>
              <w:t>Business Combination Agreement, dated as of February 7, 2021, by and among ARYA Sciences Acquisition Corp III,</w:t>
            </w:r>
          </w:p>
        </w:tc>
      </w:tr>
      <w:tr>
        <w:trPr>
          <w:trHeight w:val="194"/>
        </w:trPr>
        <w:tc>
          <w:tcPr>
            <w:tcW w:w="78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Mako Merger Sub, Inc., and Nautilus Biotechnology, Inc. (incorporated by reference to Exhibit 2.1 to the Company’s</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Current Report on Form 8-K filed with the SEC on February 8,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3.1</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464646"/>
              </w:rPr>
              <w:t>Certificate of Incorporation of Nautilus Biotechnology, Inc. (incorporated by reference to Exhibit 3.1 to the Company’s</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Current Report on Form 8-K filed with the SEC on June 10,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3.2</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464646"/>
              </w:rPr>
              <w:t>Amended and Restated Bylaws of Nautilus Biotechnology, Inc. (incorporated by reference to Exhibit 3.2 to the</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Company’s Quarterly Report on Form 10-Q filed with the SEC on August 2, 2023).</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4.1</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464646"/>
              </w:rPr>
              <w:t>Specimen Common Stock Certificate (incorporated by reference to Exhibit 4.1 to the Company’s Current Report on</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Form 8-K filed with the SEC on June 10, 2021).</w:t>
            </w:r>
          </w:p>
        </w:tc>
      </w:tr>
      <w:tr>
        <w:trPr>
          <w:trHeight w:val="227"/>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4.2</w:t>
            </w: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Description of Securities (incorporated by reference to Exhibit 4.2 to the Company’s Annual Report on Form 10-K filed</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with the SEC on February 23, 2023).</w:t>
            </w:r>
          </w:p>
        </w:tc>
      </w:tr>
      <w:tr>
        <w:trPr>
          <w:trHeight w:val="199"/>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w:t>
            </w:r>
          </w:p>
        </w:tc>
        <w:tc>
          <w:tcPr>
            <w:tcW w:w="9600" w:type="dxa"/>
            <w:vAlign w:val="bottom"/>
          </w:tcPr>
          <w:p>
            <w:pPr>
              <w:ind w:left="240"/>
              <w:spacing w:after="0" w:line="199" w:lineRule="exact"/>
              <w:rPr>
                <w:sz w:val="20"/>
                <w:szCs w:val="20"/>
                <w:color w:val="auto"/>
              </w:rPr>
            </w:pPr>
            <w:r>
              <w:rPr>
                <w:rFonts w:ascii="Times New Roman" w:cs="Times New Roman" w:eastAsia="Times New Roman" w:hAnsi="Times New Roman"/>
                <w:sz w:val="19"/>
                <w:szCs w:val="19"/>
                <w:color w:val="464646"/>
              </w:rPr>
              <w:t>Form of Subscription Agreement (incorporated by reference to Exhibit 10.3 to the Company’s Current Report on Form</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8-K filed with the SEC on February 8,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464646"/>
              </w:rPr>
              <w:t>Form of Amended and Restated Registration Rights and Lock-Up Agreement (incorporated by reference to Exhibit 10.2</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to the Company’s Current Report on Form 8-K filed with the SEC on February 8,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464646"/>
              </w:rPr>
              <w:t>Amendment No. 1 to Amended and Restated Registration Rights and Lock-Up Agreement (incorporated by reference to</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Exhibit 10.3 to the Company’s Annual Report on Form 10-K filed with the SEC on February 28, 2024).</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10.4+</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464646"/>
              </w:rPr>
              <w:t>Nautilus Biotechnology, Inc. 2021 Equity Incentive Plan (incorporated by reference to Exhibit 10.4 to the Company’s</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Current Report on Form 8-K filed with the SEC on June 10,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10.5+</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464646"/>
              </w:rPr>
              <w:t>Nautilus Biotechnology, Inc. 2021 Employee Stock Purchase Plan (incorporated by reference to Exhibit 10.5 to the</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Company’s Current Report on Form 8-K filed with the SEC on June 10,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10.6+</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464646"/>
              </w:rPr>
              <w:t>Form of Stock Option Agreement under the Nautilus Biotechnology, Inc. 2021 Equity Incentive Plan (incorporated by</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reference to Exhibit 10.7 to the Company’s Form S-4 filed with the SEC on March 26, 2021).</w:t>
            </w:r>
          </w:p>
        </w:tc>
      </w:tr>
      <w:tr>
        <w:trPr>
          <w:trHeight w:val="227"/>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10.7+</w:t>
            </w: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Form of Restricted Stock Unit Agreement under the Nautilus Biotechnology, Inc. 2021 Equity Incentive Plan</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(incorporated by reference to Exhibit 10.8 to the Company’s Form S-4 filed with the SEC on March 26, 2021).</w:t>
            </w:r>
          </w:p>
        </w:tc>
      </w:tr>
      <w:tr>
        <w:trPr>
          <w:trHeight w:val="199"/>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10.8+</w:t>
            </w:r>
          </w:p>
        </w:tc>
        <w:tc>
          <w:tcPr>
            <w:tcW w:w="9600" w:type="dxa"/>
            <w:vAlign w:val="bottom"/>
          </w:tcPr>
          <w:p>
            <w:pPr>
              <w:ind w:left="240"/>
              <w:spacing w:after="0" w:line="199" w:lineRule="exact"/>
              <w:rPr>
                <w:sz w:val="20"/>
                <w:szCs w:val="20"/>
                <w:color w:val="auto"/>
              </w:rPr>
            </w:pPr>
            <w:r>
              <w:rPr>
                <w:rFonts w:ascii="Times New Roman" w:cs="Times New Roman" w:eastAsia="Times New Roman" w:hAnsi="Times New Roman"/>
                <w:sz w:val="19"/>
                <w:szCs w:val="19"/>
                <w:color w:val="464646"/>
              </w:rPr>
              <w:t>Form of Restricted Stock Award Agreement under the Nautilus Biotechnology, Inc. 2021 Equity Incentive Plan</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(incorporated by reference to Exhibit 10.9 to the Company’s Form S-4 filed with the SEC on March 26, 2021).</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10.9+</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464646"/>
              </w:rPr>
              <w:t>Nautilus Biotechnology, Inc. 2017 Equity Incentive Plan and forms of agreements thereunder (incorporated by reference</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to Exhibit 10.11 to the Company’s Form S-4 filed with the SEC on March 26, 2021).</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10.10+</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Amended and Restated Confirmatory Employment Letter between Nautilus Biotechnology, Inc. and Sujal Patel, dated</w:t>
            </w:r>
          </w:p>
        </w:tc>
      </w:tr>
      <w:tr>
        <w:trPr>
          <w:trHeight w:val="194"/>
        </w:trPr>
        <w:tc>
          <w:tcPr>
            <w:tcW w:w="78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as of July 31, 2023 (incorporated by reference to Exhibit 10.1 to the Company’s Quarterly Report on Form 10-Q filed</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10.11+</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Amended and Restated Confirmatory Employment Letter between Nautilus Biotechnology, Inc. and Parag Mallick,</w:t>
            </w:r>
          </w:p>
        </w:tc>
      </w:tr>
      <w:tr>
        <w:trPr>
          <w:trHeight w:val="194"/>
        </w:trPr>
        <w:tc>
          <w:tcPr>
            <w:tcW w:w="78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dated as of July 31, 2023 (incorporated by reference to Exhibit 10.2 to the Company’s Quarterly Report on Form 10-Q</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filed 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10.12+</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Amended and Restated Confirmatory Employment Letter between Nautilus Biotechnology, Inc. and Anna Mowry,</w:t>
            </w:r>
          </w:p>
        </w:tc>
      </w:tr>
      <w:tr>
        <w:trPr>
          <w:trHeight w:val="194"/>
        </w:trPr>
        <w:tc>
          <w:tcPr>
            <w:tcW w:w="78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dated as of July 31, 2023 (incorporated by reference to Exhibit 10.3 to the Company’s Quarterly Report on Form 10-Q</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filed 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10.13+</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Amended and Restated Confirmatory Employment Letter between Nautilus Biotechnology, Inc. and Nick Nelson, dated</w:t>
            </w:r>
          </w:p>
        </w:tc>
      </w:tr>
      <w:tr>
        <w:trPr>
          <w:trHeight w:val="194"/>
        </w:trPr>
        <w:tc>
          <w:tcPr>
            <w:tcW w:w="78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of as July 31, 2023 (incorporated by reference to Exhibit 10.4 to the Company’s Quarterly Report on Form 10-Q filed</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10.14+</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Amended and Restated Confirmatory Employment Letter between Nautilus Biotechnology, Inc. and Gwen Weld, dated</w:t>
            </w:r>
          </w:p>
        </w:tc>
      </w:tr>
      <w:tr>
        <w:trPr>
          <w:trHeight w:val="194"/>
        </w:trPr>
        <w:tc>
          <w:tcPr>
            <w:tcW w:w="78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as of July 31, 2023 (incorporated by reference to Exhibit 10.5 to the Company’s Quarterly Report on Form 10-Q filed</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10.15+</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Amended and Restated Confirmatory Employment Letter between Nautilus Biotechnology, Inc. and Subra Sankar,</w:t>
            </w:r>
          </w:p>
        </w:tc>
      </w:tr>
      <w:tr>
        <w:trPr>
          <w:trHeight w:val="194"/>
        </w:trPr>
        <w:tc>
          <w:tcPr>
            <w:tcW w:w="78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dated as of July 31, 2023 (incorporated by reference to Exhibit 10.7 to the Company’s Quarterly Report on Form 10-Q</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filed 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10.16+</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Amended and Restated Confirmatory Employment Letter between Nautilus Biotechnology, Inc. and Matthew Murphy,</w:t>
            </w:r>
          </w:p>
        </w:tc>
      </w:tr>
      <w:tr>
        <w:trPr>
          <w:trHeight w:val="194"/>
        </w:trPr>
        <w:tc>
          <w:tcPr>
            <w:tcW w:w="78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dated as of July 31, 2023 (incorporated by reference to Exhibit 10.8 to the Company’s Quarterly Report on Form 10-Q</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filed with the SEC on August 2, 2023)</w:t>
            </w:r>
          </w:p>
        </w:tc>
      </w:tr>
      <w:tr>
        <w:trPr>
          <w:trHeight w:val="19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10.17+</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464646"/>
              </w:rPr>
              <w:t>Offer Letter between Nautilus Biotechnology, Inc. and Ken Suzuki, dated as of July 5, 2024 (incorporated by reference</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to Exhibit 10.1 to the Company’s Quarterly Report on Form 10-Q filed with the SEC on October 29, 2024)</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10.18+</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Amended and Restated Change in Control and Severance Agreement between Nautilus Biotechnology, Inc. and Sujal</w:t>
            </w:r>
          </w:p>
        </w:tc>
      </w:tr>
      <w:tr>
        <w:trPr>
          <w:trHeight w:val="194"/>
        </w:trPr>
        <w:tc>
          <w:tcPr>
            <w:tcW w:w="78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Patel, dated as of July 31, 2023 (incorporated by reference to Exhibit 10.9 to the Company’s Quarterly Report on Form</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10-Q filed with the SEC on August 2, 2023)</w:t>
            </w:r>
          </w:p>
        </w:tc>
      </w:tr>
      <w:tr>
        <w:trPr>
          <w:trHeight w:val="208"/>
        </w:trPr>
        <w:tc>
          <w:tcPr>
            <w:tcW w:w="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10.19+</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Amended and Restated Change in Control and Severance Agreement between Nautilus Biotechnology, Inc. and Parag</w:t>
            </w:r>
          </w:p>
        </w:tc>
      </w:tr>
      <w:tr>
        <w:trPr>
          <w:trHeight w:val="194"/>
        </w:trPr>
        <w:tc>
          <w:tcPr>
            <w:tcW w:w="78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Mallick, dated as of July 31, 2023 (incorporated by reference to Exhibit 10.10 to the Company’s Quarterly Report on</w:t>
            </w:r>
          </w:p>
        </w:tc>
      </w:tr>
      <w:tr>
        <w:trPr>
          <w:trHeight w:val="253"/>
        </w:trPr>
        <w:tc>
          <w:tcPr>
            <w:tcW w:w="78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Form 10-Q filed with the SEC on August 2, 2023)</w:t>
            </w:r>
          </w:p>
        </w:tc>
      </w:tr>
    </w:tbl>
    <w:p>
      <w:pPr>
        <w:spacing w:after="0" w:line="200" w:lineRule="exact"/>
        <w:rPr>
          <w:sz w:val="20"/>
          <w:szCs w:val="20"/>
          <w:color w:val="auto"/>
        </w:rPr>
      </w:pPr>
    </w:p>
    <w:p>
      <w:pPr>
        <w:sectPr>
          <w:pgSz w:w="11880" w:h="15480" w:orient="portrait"/>
          <w:cols w:equalWidth="0" w:num="1">
            <w:col w:w="10380"/>
          </w:cols>
          <w:pgMar w:left="700" w:top="684" w:right="800" w:bottom="0" w:gutter="0" w:footer="0" w:header="0"/>
        </w:sect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111</w:t>
      </w:r>
    </w:p>
    <w:p>
      <w:pPr>
        <w:sectPr>
          <w:pgSz w:w="11880" w:h="15480" w:orient="portrait"/>
          <w:cols w:equalWidth="0" w:num="1">
            <w:col w:w="10380"/>
          </w:cols>
          <w:pgMar w:left="700" w:top="684" w:right="800" w:bottom="0" w:gutter="0" w:footer="0" w:header="0"/>
          <w:type w:val="continuous"/>
        </w:sectPr>
      </w:pPr>
    </w:p>
    <w:bookmarkStart w:id="113" w:name="page114"/>
    <w:bookmarkEnd w:id="113"/>
    <w:tbl>
      <w:tblPr>
        <w:tblLayout w:type="fixed"/>
        <w:tblInd w:w="41"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10.20+</w:t>
            </w: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Amended and Restated Change in Control and Severance Agreement between Nautilus Biotechnology, Inc. and Anna</w:t>
            </w:r>
          </w:p>
        </w:tc>
      </w:tr>
      <w:tr>
        <w:trPr>
          <w:trHeight w:val="194"/>
        </w:trPr>
        <w:tc>
          <w:tcPr>
            <w:tcW w:w="74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Mowry, dated as of July 31, 2023 (incorporated by reference to Exhibit 10.11 to the Company’s Quarterly Report on</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Form 10-Q filed with the SEC on August 2, 2023)</w:t>
            </w:r>
          </w:p>
        </w:tc>
      </w:tr>
      <w:tr>
        <w:trPr>
          <w:trHeight w:val="2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10.21+</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Amended and Restated Change in Control and Severance Agreement between Nautilus Biotechnology, Inc. and Nick</w:t>
            </w:r>
          </w:p>
        </w:tc>
      </w:tr>
      <w:tr>
        <w:trPr>
          <w:trHeight w:val="194"/>
        </w:trPr>
        <w:tc>
          <w:tcPr>
            <w:tcW w:w="74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Nelson, dated as of July 31, 2023 (incorporated by reference to Exhibit 10.12 to the Company’s Quarterly Report on</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Form 10-Q filed with the SEC on August 2, 2023)</w:t>
            </w:r>
          </w:p>
        </w:tc>
      </w:tr>
      <w:tr>
        <w:trPr>
          <w:trHeight w:val="2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10.22+</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Amended and Restated Change in Control and Severance Agreement between Nautilus Biotechnology, Inc. and Gwen</w:t>
            </w:r>
          </w:p>
        </w:tc>
      </w:tr>
      <w:tr>
        <w:trPr>
          <w:trHeight w:val="194"/>
        </w:trPr>
        <w:tc>
          <w:tcPr>
            <w:tcW w:w="74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Weld, dated as of July 31, 2023 (incorporated by reference to Exhibit 10.13 to the Company’s Quarterly Report on Form</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10-Q filed with the SEC on August 2, 2023)</w:t>
            </w:r>
          </w:p>
        </w:tc>
      </w:tr>
      <w:tr>
        <w:trPr>
          <w:trHeight w:val="2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10.23+</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Amended and Restated Change in Control and Severance Agreement between Nautilus Biotechnology, Inc. and Subra</w:t>
            </w:r>
          </w:p>
        </w:tc>
      </w:tr>
      <w:tr>
        <w:trPr>
          <w:trHeight w:val="194"/>
        </w:trPr>
        <w:tc>
          <w:tcPr>
            <w:tcW w:w="74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Sankar, dated as of July 31, 2023 (incorporated by reference to Exhibit 10.15 to the Company’s Quarterly Report on</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Form 10-Q filed with the SEC on August 2, 2023)</w:t>
            </w:r>
          </w:p>
        </w:tc>
      </w:tr>
      <w:tr>
        <w:trPr>
          <w:trHeight w:val="2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10.24+</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Amended and Restated Change in Control and Severance Agreement between Nautilus Biotechnology, Inc. and</w:t>
            </w:r>
          </w:p>
        </w:tc>
      </w:tr>
      <w:tr>
        <w:trPr>
          <w:trHeight w:val="194"/>
        </w:trPr>
        <w:tc>
          <w:tcPr>
            <w:tcW w:w="74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Matthew Murphy, dated as of July 31, 2023 (incorporated by reference to Exhibit 10.16 to the Company’s Quarterly</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Report on Form 10-Q filed with the SEC on August 2, 2023)</w:t>
            </w:r>
          </w:p>
        </w:tc>
      </w:tr>
      <w:tr>
        <w:trPr>
          <w:trHeight w:val="20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10.25+</w:t>
            </w:r>
          </w:p>
        </w:tc>
        <w:tc>
          <w:tcPr>
            <w:tcW w:w="9600" w:type="dxa"/>
            <w:vAlign w:val="bottom"/>
          </w:tcPr>
          <w:p>
            <w:pPr>
              <w:ind w:left="240"/>
              <w:spacing w:after="0" w:line="208" w:lineRule="exact"/>
              <w:rPr>
                <w:sz w:val="20"/>
                <w:szCs w:val="20"/>
                <w:color w:val="auto"/>
              </w:rPr>
            </w:pPr>
            <w:r>
              <w:rPr>
                <w:rFonts w:ascii="Times New Roman" w:cs="Times New Roman" w:eastAsia="Times New Roman" w:hAnsi="Times New Roman"/>
                <w:sz w:val="19"/>
                <w:szCs w:val="19"/>
                <w:color w:val="464646"/>
              </w:rPr>
              <w:t>Change in Control and Severance Agreement between Nautilus Biotechnology, Inc. and Ken Suzuki dated September</w:t>
            </w:r>
          </w:p>
        </w:tc>
      </w:tr>
      <w:tr>
        <w:trPr>
          <w:trHeight w:val="194"/>
        </w:trPr>
        <w:tc>
          <w:tcPr>
            <w:tcW w:w="740" w:type="dxa"/>
            <w:vAlign w:val="bottom"/>
          </w:tcPr>
          <w:p>
            <w:pPr>
              <w:spacing w:after="0"/>
              <w:rPr>
                <w:sz w:val="16"/>
                <w:szCs w:val="16"/>
                <w:color w:val="auto"/>
              </w:rPr>
            </w:pPr>
          </w:p>
        </w:tc>
        <w:tc>
          <w:tcPr>
            <w:tcW w:w="9600" w:type="dxa"/>
            <w:vAlign w:val="bottom"/>
          </w:tcPr>
          <w:p>
            <w:pPr>
              <w:ind w:left="240"/>
              <w:spacing w:after="0" w:line="194" w:lineRule="exact"/>
              <w:rPr>
                <w:sz w:val="20"/>
                <w:szCs w:val="20"/>
                <w:color w:val="auto"/>
              </w:rPr>
            </w:pPr>
            <w:r>
              <w:rPr>
                <w:rFonts w:ascii="Times New Roman" w:cs="Times New Roman" w:eastAsia="Times New Roman" w:hAnsi="Times New Roman"/>
                <w:sz w:val="19"/>
                <w:szCs w:val="19"/>
                <w:color w:val="464646"/>
              </w:rPr>
              <w:t>16, 2024 (incorporated by reference to Exhibit 10.2 to the Company’s Quarterly Report on Form 10-Q filed with the</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SEC on October 29, 2024)</w:t>
            </w:r>
          </w:p>
        </w:tc>
      </w:tr>
      <w:tr>
        <w:trPr>
          <w:trHeight w:val="19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10.26+</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464646"/>
              </w:rPr>
              <w:t>Form of Nautilus Biotechnology, Inc. Indemnification Agreement (incorporated by reference to Exhibit 10.24 to the</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Company’s Form S-4/A filed with the SEC on April 26, 2021).</w:t>
            </w:r>
          </w:p>
        </w:tc>
      </w:tr>
      <w:tr>
        <w:trPr>
          <w:trHeight w:val="19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10.27+</w:t>
            </w:r>
          </w:p>
        </w:tc>
        <w:tc>
          <w:tcPr>
            <w:tcW w:w="9600" w:type="dxa"/>
            <w:vAlign w:val="bottom"/>
          </w:tcPr>
          <w:p>
            <w:pPr>
              <w:ind w:left="240"/>
              <w:spacing w:after="0" w:line="198" w:lineRule="exact"/>
              <w:rPr>
                <w:sz w:val="20"/>
                <w:szCs w:val="20"/>
                <w:color w:val="auto"/>
              </w:rPr>
            </w:pPr>
            <w:r>
              <w:rPr>
                <w:rFonts w:ascii="Times New Roman" w:cs="Times New Roman" w:eastAsia="Times New Roman" w:hAnsi="Times New Roman"/>
                <w:sz w:val="19"/>
                <w:szCs w:val="19"/>
                <w:color w:val="464646"/>
              </w:rPr>
              <w:t>Nautilus Biotechnology, Inc. Executive Incentive Compensation Plan (incorporated by reference to Exhibit 10.25 to the</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Company’s Form S-4/A filed with the SEC on April 26, 2021).</w:t>
            </w: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10.28</w:t>
            </w: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Sales Agreement, dated as of February 28, 2024, between Nautilus Biotechnology, Inc. and Cowen and Company, LLC</w:t>
            </w:r>
          </w:p>
        </w:tc>
      </w:tr>
      <w:tr>
        <w:trPr>
          <w:trHeight w:val="217"/>
        </w:trPr>
        <w:tc>
          <w:tcPr>
            <w:tcW w:w="740" w:type="dxa"/>
            <w:vAlign w:val="bottom"/>
          </w:tcPr>
          <w:p>
            <w:pPr>
              <w:spacing w:after="0"/>
              <w:rPr>
                <w:sz w:val="18"/>
                <w:szCs w:val="18"/>
                <w:color w:val="auto"/>
              </w:rPr>
            </w:pPr>
          </w:p>
        </w:tc>
        <w:tc>
          <w:tcPr>
            <w:tcW w:w="9600" w:type="dxa"/>
            <w:vAlign w:val="bottom"/>
          </w:tcPr>
          <w:p>
            <w:pPr>
              <w:ind w:left="240"/>
              <w:spacing w:after="0" w:line="217" w:lineRule="exact"/>
              <w:rPr>
                <w:sz w:val="20"/>
                <w:szCs w:val="20"/>
                <w:color w:val="auto"/>
              </w:rPr>
            </w:pPr>
            <w:r>
              <w:rPr>
                <w:rFonts w:ascii="Times New Roman" w:cs="Times New Roman" w:eastAsia="Times New Roman" w:hAnsi="Times New Roman"/>
                <w:sz w:val="19"/>
                <w:szCs w:val="19"/>
                <w:color w:val="464646"/>
              </w:rPr>
              <w:t>(incorporated by reference to Exhibit 1.1 to the Company’s Current Report on Form 8-K filed with the SEC on February</w:t>
            </w:r>
          </w:p>
        </w:tc>
      </w:tr>
      <w:tr>
        <w:trPr>
          <w:trHeight w:val="253"/>
        </w:trPr>
        <w:tc>
          <w:tcPr>
            <w:tcW w:w="740" w:type="dxa"/>
            <w:vAlign w:val="bottom"/>
          </w:tcPr>
          <w:p>
            <w:pPr>
              <w:spacing w:after="0"/>
              <w:rPr>
                <w:sz w:val="21"/>
                <w:szCs w:val="21"/>
                <w:color w:val="auto"/>
              </w:rPr>
            </w:pP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28, 2024)</w:t>
            </w: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19.1*</w:t>
            </w: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Nautilus Biotechnology, Inc. Insider Trading Policy</w:t>
            </w:r>
          </w:p>
        </w:tc>
      </w:tr>
      <w:tr>
        <w:trPr>
          <w:trHeight w:val="249"/>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9600" w:type="dxa"/>
            <w:vAlign w:val="bottom"/>
          </w:tcPr>
          <w:p>
            <w:pPr>
              <w:ind w:left="240"/>
              <w:spacing w:after="0"/>
              <w:rPr>
                <w:sz w:val="20"/>
                <w:szCs w:val="20"/>
                <w:color w:val="auto"/>
              </w:rPr>
            </w:pPr>
            <w:r>
              <w:rPr>
                <w:rFonts w:ascii="Times New Roman" w:cs="Times New Roman" w:eastAsia="Times New Roman" w:hAnsi="Times New Roman"/>
                <w:sz w:val="19"/>
                <w:szCs w:val="19"/>
                <w:color w:val="464646"/>
              </w:rPr>
              <w:t>List of Subsidiaries of the Registrant (incorporated by reference to Exhibit 21.1 to the Company’s Annual Report on</w:t>
            </w:r>
          </w:p>
        </w:tc>
      </w:tr>
    </w:tbl>
    <w:p>
      <w:pPr>
        <w:spacing w:after="0" w:line="1" w:lineRule="exact"/>
        <w:rPr>
          <w:sz w:val="20"/>
          <w:szCs w:val="20"/>
          <w:color w:val="auto"/>
        </w:rPr>
      </w:pPr>
    </w:p>
    <w:p>
      <w:pPr>
        <w:sectPr>
          <w:pgSz w:w="11880" w:h="15480" w:orient="portrait"/>
          <w:cols w:equalWidth="0" w:num="1">
            <w:col w:w="10481"/>
          </w:cols>
          <w:pgMar w:left="699" w:top="729" w:right="700" w:bottom="0" w:gutter="0" w:footer="0" w:header="0"/>
        </w:sectPr>
      </w:pPr>
    </w:p>
    <w:p>
      <w:pPr>
        <w:spacing w:after="0" w:line="239"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7"/>
          <w:szCs w:val="17"/>
          <w:color w:val="auto"/>
        </w:rPr>
        <w:t>23.1*</w:t>
      </w:r>
    </w:p>
    <w:p>
      <w:pPr>
        <w:spacing w:after="0" w:line="8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7"/>
          <w:szCs w:val="17"/>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464646"/>
        </w:rPr>
        <w:t>Form 10-K filed with the SEC on February 24, 2022).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464646"/>
        </w:rPr>
        <w:t>Consent of Independent Registered Public Accounting Firm</w:t>
      </w:r>
    </w:p>
    <w:p>
      <w:pPr>
        <w:spacing w:after="0" w:line="39"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9"/>
          <w:szCs w:val="19"/>
          <w:color w:val="464646"/>
        </w:rPr>
        <w:t>Certification of Principal Executive Officer Pursuant to Rules 13a-14(a) and 15d-14(a) under the Securities Exchange Act of 1934, as Adopted Pursuant to Section 302 of the Sarbanes-Oxley Act of 2002.</w:t>
      </w:r>
    </w:p>
    <w:p>
      <w:pPr>
        <w:spacing w:after="0" w:line="1" w:lineRule="exact"/>
        <w:rPr>
          <w:sz w:val="20"/>
          <w:szCs w:val="20"/>
          <w:color w:val="auto"/>
        </w:rPr>
      </w:pPr>
    </w:p>
    <w:p>
      <w:pPr>
        <w:sectPr>
          <w:pgSz w:w="11880" w:h="15480" w:orient="portrait"/>
          <w:cols w:equalWidth="0" w:num="2">
            <w:col w:w="441" w:space="580"/>
            <w:col w:w="9460"/>
          </w:cols>
          <w:pgMar w:left="699" w:top="729" w:right="700" w:bottom="0" w:gutter="0" w:footer="0" w:header="0"/>
          <w:type w:val="continuous"/>
        </w:sectPr>
      </w:pPr>
    </w:p>
    <w:tbl>
      <w:tblPr>
        <w:tblLayout w:type="fixed"/>
        <w:tblInd w:w="41" w:type="dxa"/>
        <w:tblCellMar>
          <w:top w:w="0" w:type="dxa"/>
          <w:left w:w="0" w:type="dxa"/>
          <w:bottom w:w="0" w:type="dxa"/>
          <w:right w:w="0" w:type="dxa"/>
        </w:tblCellMar>
      </w:tblPr>
      <w:tr>
        <w:trPr>
          <w:trHeight w:val="197"/>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9560" w:type="dxa"/>
            <w:vAlign w:val="bottom"/>
          </w:tcPr>
          <w:p>
            <w:pPr>
              <w:ind w:left="200"/>
              <w:spacing w:after="0" w:line="196" w:lineRule="exact"/>
              <w:rPr>
                <w:sz w:val="20"/>
                <w:szCs w:val="20"/>
                <w:color w:val="auto"/>
              </w:rPr>
            </w:pPr>
            <w:r>
              <w:rPr>
                <w:rFonts w:ascii="Times New Roman" w:cs="Times New Roman" w:eastAsia="Times New Roman" w:hAnsi="Times New Roman"/>
                <w:sz w:val="19"/>
                <w:szCs w:val="19"/>
                <w:color w:val="464646"/>
              </w:rPr>
              <w:t>Certification of Principal Financial Officer Pursuant to Rules 13a-14(a) and 15d-14(a) under the Securities Exchange</w:t>
            </w:r>
          </w:p>
        </w:tc>
      </w:tr>
      <w:tr>
        <w:trPr>
          <w:trHeight w:val="253"/>
        </w:trPr>
        <w:tc>
          <w:tcPr>
            <w:tcW w:w="780" w:type="dxa"/>
            <w:vAlign w:val="bottom"/>
          </w:tcPr>
          <w:p>
            <w:pPr>
              <w:spacing w:after="0"/>
              <w:rPr>
                <w:sz w:val="21"/>
                <w:szCs w:val="21"/>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9"/>
                <w:szCs w:val="19"/>
                <w:color w:val="464646"/>
              </w:rPr>
              <w:t>Act of 1934, as Adopted Pursuant to Section 302 of the Sarbanes-Oxley Act of 2002.</w:t>
            </w:r>
          </w:p>
        </w:tc>
      </w:tr>
      <w:tr>
        <w:trPr>
          <w:trHeight w:val="19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32.1*</w:t>
            </w:r>
            <w:r>
              <w:rPr>
                <w:rFonts w:ascii="Times New Roman" w:cs="Times New Roman" w:eastAsia="Times New Roman" w:hAnsi="Times New Roman"/>
                <w:sz w:val="15"/>
                <w:szCs w:val="15"/>
                <w:color w:val="auto"/>
              </w:rPr>
              <w:t>†</w:t>
            </w:r>
          </w:p>
        </w:tc>
        <w:tc>
          <w:tcPr>
            <w:tcW w:w="9560" w:type="dxa"/>
            <w:vAlign w:val="bottom"/>
          </w:tcPr>
          <w:p>
            <w:pPr>
              <w:ind w:left="200"/>
              <w:spacing w:after="0" w:line="198" w:lineRule="exact"/>
              <w:rPr>
                <w:sz w:val="20"/>
                <w:szCs w:val="20"/>
                <w:color w:val="auto"/>
              </w:rPr>
            </w:pPr>
            <w:r>
              <w:rPr>
                <w:rFonts w:ascii="Times New Roman" w:cs="Times New Roman" w:eastAsia="Times New Roman" w:hAnsi="Times New Roman"/>
                <w:sz w:val="19"/>
                <w:szCs w:val="19"/>
                <w:color w:val="464646"/>
              </w:rPr>
              <w:t>Certification of Principal Executive Officer Pursuant to 18 U.S.C. Section 1350, as Adopted Pursuant to Section 906 of</w:t>
            </w:r>
          </w:p>
        </w:tc>
      </w:tr>
      <w:tr>
        <w:trPr>
          <w:trHeight w:val="253"/>
        </w:trPr>
        <w:tc>
          <w:tcPr>
            <w:tcW w:w="780" w:type="dxa"/>
            <w:vAlign w:val="bottom"/>
          </w:tcPr>
          <w:p>
            <w:pPr>
              <w:spacing w:after="0"/>
              <w:rPr>
                <w:sz w:val="21"/>
                <w:szCs w:val="21"/>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9"/>
                <w:szCs w:val="19"/>
                <w:color w:val="464646"/>
              </w:rPr>
              <w:t>the Sarbanes-Oxley Act of 2002.</w:t>
            </w:r>
          </w:p>
        </w:tc>
      </w:tr>
      <w:tr>
        <w:trPr>
          <w:trHeight w:val="19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32.2*</w:t>
            </w:r>
            <w:r>
              <w:rPr>
                <w:rFonts w:ascii="Times New Roman" w:cs="Times New Roman" w:eastAsia="Times New Roman" w:hAnsi="Times New Roman"/>
                <w:sz w:val="15"/>
                <w:szCs w:val="15"/>
                <w:color w:val="auto"/>
              </w:rPr>
              <w:t>†</w:t>
            </w:r>
          </w:p>
        </w:tc>
        <w:tc>
          <w:tcPr>
            <w:tcW w:w="9560" w:type="dxa"/>
            <w:vAlign w:val="bottom"/>
          </w:tcPr>
          <w:p>
            <w:pPr>
              <w:ind w:left="200"/>
              <w:spacing w:after="0" w:line="198" w:lineRule="exact"/>
              <w:rPr>
                <w:sz w:val="20"/>
                <w:szCs w:val="20"/>
                <w:color w:val="auto"/>
              </w:rPr>
            </w:pPr>
            <w:r>
              <w:rPr>
                <w:rFonts w:ascii="Times New Roman" w:cs="Times New Roman" w:eastAsia="Times New Roman" w:hAnsi="Times New Roman"/>
                <w:sz w:val="19"/>
                <w:szCs w:val="19"/>
                <w:color w:val="464646"/>
              </w:rPr>
              <w:t>Certification of Principal Financial Officer Pursuant to 18 U.S.C. Section 1350, as Adopted Pursuant to Section 906 of</w:t>
            </w:r>
          </w:p>
        </w:tc>
      </w:tr>
      <w:tr>
        <w:trPr>
          <w:trHeight w:val="253"/>
        </w:trPr>
        <w:tc>
          <w:tcPr>
            <w:tcW w:w="780" w:type="dxa"/>
            <w:vAlign w:val="bottom"/>
          </w:tcPr>
          <w:p>
            <w:pPr>
              <w:spacing w:after="0"/>
              <w:rPr>
                <w:sz w:val="21"/>
                <w:szCs w:val="21"/>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9"/>
                <w:szCs w:val="19"/>
                <w:color w:val="464646"/>
              </w:rPr>
              <w:t>the Sarbanes-Oxley Act of 2002.</w:t>
            </w:r>
          </w:p>
        </w:tc>
      </w:tr>
      <w:tr>
        <w:trPr>
          <w:trHeight w:val="19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97.1</w:t>
            </w:r>
          </w:p>
        </w:tc>
        <w:tc>
          <w:tcPr>
            <w:tcW w:w="9560" w:type="dxa"/>
            <w:vAlign w:val="bottom"/>
          </w:tcPr>
          <w:p>
            <w:pPr>
              <w:ind w:left="200"/>
              <w:spacing w:after="0" w:line="198" w:lineRule="exact"/>
              <w:rPr>
                <w:sz w:val="20"/>
                <w:szCs w:val="20"/>
                <w:color w:val="auto"/>
              </w:rPr>
            </w:pPr>
            <w:r>
              <w:rPr>
                <w:rFonts w:ascii="Times New Roman" w:cs="Times New Roman" w:eastAsia="Times New Roman" w:hAnsi="Times New Roman"/>
                <w:sz w:val="19"/>
                <w:szCs w:val="19"/>
                <w:color w:val="464646"/>
              </w:rPr>
              <w:t>Nautilus Biotechnology, Inc. Compensation Recovery Policy as adopted on October 24, 2023 (incorporated by reference</w:t>
            </w:r>
          </w:p>
        </w:tc>
      </w:tr>
      <w:tr>
        <w:trPr>
          <w:trHeight w:val="253"/>
        </w:trPr>
        <w:tc>
          <w:tcPr>
            <w:tcW w:w="780" w:type="dxa"/>
            <w:vAlign w:val="bottom"/>
          </w:tcPr>
          <w:p>
            <w:pPr>
              <w:spacing w:after="0"/>
              <w:rPr>
                <w:sz w:val="21"/>
                <w:szCs w:val="21"/>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9"/>
                <w:szCs w:val="19"/>
                <w:color w:val="464646"/>
              </w:rPr>
              <w:t>to Exhibit 97.1 to the Company’s Annual Report on Form 10-K filed with the SEC on February 28, 2024).</w:t>
            </w:r>
          </w:p>
        </w:tc>
      </w:tr>
      <w:tr>
        <w:trPr>
          <w:trHeight w:val="198"/>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560" w:type="dxa"/>
            <w:vAlign w:val="bottom"/>
          </w:tcPr>
          <w:p>
            <w:pPr>
              <w:ind w:left="200"/>
              <w:spacing w:after="0" w:line="198" w:lineRule="exact"/>
              <w:rPr>
                <w:sz w:val="20"/>
                <w:szCs w:val="20"/>
                <w:color w:val="auto"/>
              </w:rPr>
            </w:pPr>
            <w:r>
              <w:rPr>
                <w:rFonts w:ascii="Times New Roman" w:cs="Times New Roman" w:eastAsia="Times New Roman" w:hAnsi="Times New Roman"/>
                <w:sz w:val="19"/>
                <w:szCs w:val="19"/>
                <w:color w:val="auto"/>
              </w:rPr>
              <w:t>Inline XBRL Instance Document – the instance document does not appear in the Interactive Data File because XBRL</w:t>
            </w:r>
          </w:p>
        </w:tc>
      </w:tr>
      <w:tr>
        <w:trPr>
          <w:trHeight w:val="253"/>
        </w:trPr>
        <w:tc>
          <w:tcPr>
            <w:tcW w:w="780" w:type="dxa"/>
            <w:vAlign w:val="bottom"/>
          </w:tcPr>
          <w:p>
            <w:pPr>
              <w:spacing w:after="0"/>
              <w:rPr>
                <w:sz w:val="21"/>
                <w:szCs w:val="21"/>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tags are embedded within the Inline XBRL document</w:t>
            </w:r>
          </w:p>
        </w:tc>
      </w:tr>
    </w:tbl>
    <w:p>
      <w:pPr>
        <w:spacing w:after="0" w:line="9" w:lineRule="exact"/>
        <w:rPr>
          <w:sz w:val="20"/>
          <w:szCs w:val="20"/>
          <w:color w:val="auto"/>
        </w:rPr>
      </w:pPr>
    </w:p>
    <w:p>
      <w:pPr>
        <w:sectPr>
          <w:pgSz w:w="11880" w:h="15480" w:orient="portrait"/>
          <w:cols w:equalWidth="0" w:num="1">
            <w:col w:w="10481"/>
          </w:cols>
          <w:pgMar w:left="699" w:top="729" w:right="700" w:bottom="0" w:gutter="0" w:footer="0" w:header="0"/>
          <w:type w:val="continuous"/>
        </w:sectPr>
      </w:pPr>
    </w:p>
    <w:p>
      <w:pPr>
        <w:ind w:left="41"/>
        <w:spacing w:after="0"/>
        <w:rPr>
          <w:sz w:val="20"/>
          <w:szCs w:val="20"/>
          <w:color w:val="auto"/>
        </w:rPr>
      </w:pPr>
      <w:r>
        <w:rPr>
          <w:rFonts w:ascii="Times New Roman" w:cs="Times New Roman" w:eastAsia="Times New Roman" w:hAnsi="Times New Roman"/>
          <w:sz w:val="17"/>
          <w:szCs w:val="17"/>
          <w:color w:val="auto"/>
        </w:rPr>
        <w:t>101.SCH</w:t>
      </w:r>
    </w:p>
    <w:p>
      <w:pPr>
        <w:spacing w:after="0" w:line="8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7"/>
          <w:szCs w:val="17"/>
          <w:color w:val="auto"/>
        </w:rPr>
        <w:t>101.CAL</w:t>
      </w:r>
    </w:p>
    <w:p>
      <w:pPr>
        <w:spacing w:after="0" w:line="8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7"/>
          <w:szCs w:val="17"/>
          <w:color w:val="auto"/>
        </w:rPr>
        <w:t>101.DEF</w:t>
      </w:r>
    </w:p>
    <w:p>
      <w:pPr>
        <w:spacing w:after="0" w:line="8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7"/>
          <w:szCs w:val="17"/>
          <w:color w:val="auto"/>
        </w:rPr>
        <w:t>101.LAB</w:t>
      </w:r>
    </w:p>
    <w:p>
      <w:pPr>
        <w:spacing w:after="0" w:line="81"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Inline XBRL Taxonomy Extension Schema Document</w:t>
      </w:r>
    </w:p>
    <w:p>
      <w:pPr>
        <w:spacing w:after="0" w:line="58" w:lineRule="exact"/>
        <w:rPr>
          <w:sz w:val="20"/>
          <w:szCs w:val="20"/>
          <w:color w:val="auto"/>
        </w:rPr>
      </w:pPr>
    </w:p>
    <w:p>
      <w:pPr>
        <w:ind w:right="4120"/>
        <w:spacing w:after="0" w:line="299" w:lineRule="auto"/>
        <w:rPr>
          <w:sz w:val="20"/>
          <w:szCs w:val="20"/>
          <w:color w:val="auto"/>
        </w:rPr>
      </w:pPr>
      <w:r>
        <w:rPr>
          <w:rFonts w:ascii="Times New Roman" w:cs="Times New Roman" w:eastAsia="Times New Roman" w:hAnsi="Times New Roman"/>
          <w:sz w:val="19"/>
          <w:szCs w:val="19"/>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line="1" w:lineRule="exact"/>
        <w:rPr>
          <w:sz w:val="20"/>
          <w:szCs w:val="20"/>
          <w:color w:val="auto"/>
        </w:rPr>
      </w:pPr>
    </w:p>
    <w:p>
      <w:pPr>
        <w:sectPr>
          <w:pgSz w:w="11880" w:h="15480" w:orient="portrait"/>
          <w:cols w:equalWidth="0" w:num="2">
            <w:col w:w="701" w:space="320"/>
            <w:col w:w="9460"/>
          </w:cols>
          <w:pgMar w:left="699" w:top="729" w:right="700" w:bottom="0" w:gutter="0" w:footer="0" w:header="0"/>
          <w:type w:val="continuous"/>
        </w:sectPr>
      </w:pPr>
    </w:p>
    <w:p>
      <w:pPr>
        <w:ind w:left="1021" w:hanging="970"/>
        <w:spacing w:after="0" w:line="182" w:lineRule="auto"/>
        <w:tabs>
          <w:tab w:leader="none" w:pos="1021" w:val="left"/>
        </w:tabs>
        <w:numPr>
          <w:ilvl w:val="0"/>
          <w:numId w:val="66"/>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8"/>
          <w:szCs w:val="18"/>
          <w:color w:val="auto"/>
        </w:rPr>
        <w:t>Cover page Interactive Data File (embedded with the Inline XBRL document)</w:t>
      </w:r>
    </w:p>
    <w:p>
      <w:pPr>
        <w:spacing w:after="0" w:line="7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__________________</w:t>
      </w:r>
    </w:p>
    <w:p>
      <w:pPr>
        <w:ind w:left="1"/>
        <w:spacing w:after="0"/>
        <w:rPr>
          <w:sz w:val="20"/>
          <w:szCs w:val="20"/>
          <w:color w:val="auto"/>
        </w:rPr>
      </w:pPr>
      <w:r>
        <w:rPr>
          <w:rFonts w:ascii="Times New Roman" w:cs="Times New Roman" w:eastAsia="Times New Roman" w:hAnsi="Times New Roman"/>
          <w:sz w:val="16"/>
          <w:szCs w:val="16"/>
          <w:color w:val="auto"/>
        </w:rPr>
        <w:t>* Filed herewith.</w:t>
      </w:r>
    </w:p>
    <w:p>
      <w:pPr>
        <w:spacing w:after="0" w:line="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 Indicates management contract or compensatory plan.</w:t>
      </w:r>
    </w:p>
    <w:p>
      <w:pPr>
        <w:spacing w:after="0" w:line="2" w:lineRule="exact"/>
        <w:rPr>
          <w:sz w:val="20"/>
          <w:szCs w:val="20"/>
          <w:color w:val="auto"/>
        </w:rPr>
      </w:pPr>
    </w:p>
    <w:p>
      <w:pPr>
        <w:ind w:left="341" w:hanging="341"/>
        <w:spacing w:after="0" w:line="244" w:lineRule="auto"/>
        <w:tabs>
          <w:tab w:leader="none" w:pos="10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32.2 that accompany this Annual Report on Form 10-K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Annual Report on Form 10-K, irrespective of any general incorporation language contained in such filing.</w:t>
      </w:r>
    </w:p>
    <w:p>
      <w:pPr>
        <w:sectPr>
          <w:pgSz w:w="11880" w:h="15480" w:orient="portrait"/>
          <w:cols w:equalWidth="0" w:num="1">
            <w:col w:w="10481"/>
          </w:cols>
          <w:pgMar w:left="699" w:top="729" w:right="7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ectPr>
          <w:pgSz w:w="11880" w:h="15480" w:orient="portrait"/>
          <w:cols w:equalWidth="0" w:num="1">
            <w:col w:w="10481"/>
          </w:cols>
          <w:pgMar w:left="699" w:top="729" w:right="70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ectPr>
          <w:pgSz w:w="11880" w:h="15480" w:orient="portrait"/>
          <w:cols w:equalWidth="0" w:num="1">
            <w:col w:w="9480"/>
          </w:cols>
          <w:pgMar w:left="960" w:top="815" w:right="1440" w:bottom="0" w:gutter="0" w:footer="0" w:header="0"/>
        </w:sectPr>
      </w:pP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ectPr>
          <w:pgSz w:w="11880" w:h="15480" w:orient="portrait"/>
          <w:cols w:equalWidth="0" w:num="1">
            <w:col w:w="9480"/>
          </w:cols>
          <w:pgMar w:left="960" w:top="81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113</w:t>
      </w:r>
    </w:p>
    <w:p>
      <w:pPr>
        <w:sectPr>
          <w:pgSz w:w="11880" w:h="15480" w:orient="portrait"/>
          <w:cols w:equalWidth="0" w:num="1">
            <w:col w:w="9480"/>
          </w:cols>
          <w:pgMar w:left="960" w:top="815" w:right="1440" w:bottom="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196" w:lineRule="exact"/>
        <w:rPr>
          <w:sz w:val="20"/>
          <w:szCs w:val="20"/>
          <w:color w:val="auto"/>
        </w:rPr>
      </w:pPr>
    </w:p>
    <w:p>
      <w:pPr>
        <w:ind w:right="380" w:firstLine="349"/>
        <w:spacing w:after="0" w:line="293" w:lineRule="auto"/>
        <w:rPr>
          <w:sz w:val="20"/>
          <w:szCs w:val="20"/>
          <w:color w:val="auto"/>
        </w:rPr>
      </w:pPr>
      <w:r>
        <w:rPr>
          <w:rFonts w:ascii="Times New Roman" w:cs="Times New Roman" w:eastAsia="Times New Roman" w:hAnsi="Times New Roman"/>
          <w:sz w:val="19"/>
          <w:szCs w:val="19"/>
          <w:color w:val="auto"/>
        </w:rPr>
        <w:t>Pursuant to the requirements of Section 13 or 15(d) of the Exchange Act the Registrant has duly caused this Annual Report to be signed on its behalf by the undersigned, thereunto duly authorized.</w:t>
      </w:r>
    </w:p>
    <w:p>
      <w:pPr>
        <w:spacing w:after="0" w:line="17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9"/>
          <w:szCs w:val="19"/>
          <w:b w:val="1"/>
          <w:bCs w:val="1"/>
          <w:color w:val="auto"/>
        </w:rPr>
        <w:t>NAUTILUS BIOTECHNOLOGY, INC.</w:t>
      </w:r>
    </w:p>
    <w:p>
      <w:pPr>
        <w:spacing w:after="0" w:line="33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9"/>
          <w:szCs w:val="19"/>
          <w:color w:val="auto"/>
        </w:rPr>
        <w:t>By: /s/ Sujal Patel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3631565</wp:posOffset>
                </wp:positionH>
                <wp:positionV relativeFrom="paragraph">
                  <wp:posOffset>29845</wp:posOffset>
                </wp:positionV>
                <wp:extent cx="213550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55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95pt,2.35pt" to="454.1pt,2.35pt" o:allowincell="f" strokecolor="#000000" strokeweight="1pt"/>
            </w:pict>
          </mc:Fallback>
        </mc:AlternateContent>
      </w:r>
    </w:p>
    <w:p>
      <w:pPr>
        <w:spacing w:after="0" w:line="3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9"/>
          <w:szCs w:val="19"/>
          <w:color w:val="auto"/>
        </w:rPr>
        <w:t>Sujal Patel</w:t>
      </w:r>
    </w:p>
    <w:p>
      <w:pPr>
        <w:spacing w:after="0" w:line="5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9"/>
          <w:szCs w:val="19"/>
          <w:color w:val="auto"/>
        </w:rPr>
        <w:t>Chief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96" w:lineRule="exact"/>
        <w:rPr>
          <w:sz w:val="20"/>
          <w:szCs w:val="20"/>
          <w:color w:val="auto"/>
        </w:rPr>
      </w:pPr>
    </w:p>
    <w:p>
      <w:pPr>
        <w:ind w:firstLine="349"/>
        <w:spacing w:after="0" w:line="260" w:lineRule="auto"/>
        <w:rPr>
          <w:sz w:val="20"/>
          <w:szCs w:val="20"/>
          <w:color w:val="auto"/>
        </w:rPr>
      </w:pPr>
      <w:r>
        <w:rPr>
          <w:rFonts w:ascii="Times New Roman" w:cs="Times New Roman" w:eastAsia="Times New Roman" w:hAnsi="Times New Roman"/>
          <w:sz w:val="19"/>
          <w:szCs w:val="19"/>
          <w:color w:val="auto"/>
        </w:rPr>
        <w:t>KNOW ALL PERSONS BY THESE PRESENTS, that each person whose signature appears below hereby constitutes and appoints Sujal Patel and Anna Mowry, and each of them, as his or her true and lawful attorney-in-fact and agent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spacing w:after="0" w:line="141" w:lineRule="exact"/>
        <w:rPr>
          <w:sz w:val="20"/>
          <w:szCs w:val="20"/>
          <w:color w:val="auto"/>
        </w:rPr>
      </w:pPr>
    </w:p>
    <w:p>
      <w:pPr>
        <w:ind w:right="240" w:firstLine="349"/>
        <w:spacing w:after="0" w:line="293"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as amended, this report has been signed by the following persons in the capacities and on the dates indicated:</w:t>
      </w:r>
    </w:p>
    <w:p>
      <w:pPr>
        <w:sectPr>
          <w:pgSz w:w="11880" w:h="15480" w:orient="portrait"/>
          <w:cols w:equalWidth="0" w:num="1">
            <w:col w:w="9080"/>
          </w:cols>
          <w:pgMar w:left="1400" w:top="1383"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ectPr>
          <w:pgSz w:w="11880" w:h="15480" w:orient="portrait"/>
          <w:cols w:equalWidth="0" w:num="1">
            <w:col w:w="9080"/>
          </w:cols>
          <w:pgMar w:left="1400" w:top="1383" w:right="1400" w:bottom="0" w:gutter="0" w:footer="0" w:header="0"/>
          <w:type w:val="continuous"/>
        </w:sectPr>
      </w:pPr>
    </w:p>
    <w:bookmarkStart w:id="116" w:name="page117"/>
    <w:bookmarkEnd w:id="11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60" w:type="dxa"/>
            <w:vAlign w:val="bottom"/>
          </w:tcPr>
          <w:p>
            <w:pPr>
              <w:spacing w:after="0"/>
              <w:rPr>
                <w:sz w:val="18"/>
                <w:szCs w:val="18"/>
                <w:color w:val="auto"/>
              </w:rPr>
            </w:pPr>
          </w:p>
        </w:tc>
        <w:tc>
          <w:tcPr>
            <w:tcW w:w="41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6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533"/>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Sujal Patel</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Chief Executive Officer, President and 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27, 2025</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Sujal Patel</w:t>
            </w:r>
          </w:p>
        </w:tc>
        <w:tc>
          <w:tcPr>
            <w:tcW w:w="60" w:type="dxa"/>
            <w:vAlign w:val="bottom"/>
          </w:tcPr>
          <w:p>
            <w:pPr>
              <w:spacing w:after="0"/>
              <w:rPr>
                <w:sz w:val="22"/>
                <w:szCs w:val="22"/>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(Principal Executive Officer)</w:t>
            </w: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Anna Mowry</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Chief Financial Officer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27, 2025</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Anna Mowry</w:t>
            </w:r>
          </w:p>
        </w:tc>
        <w:tc>
          <w:tcPr>
            <w:tcW w:w="60" w:type="dxa"/>
            <w:vAlign w:val="bottom"/>
          </w:tcPr>
          <w:p>
            <w:pPr>
              <w:spacing w:after="0"/>
              <w:rPr>
                <w:sz w:val="22"/>
                <w:szCs w:val="22"/>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(Principal Financial and Accounting Officer)</w:t>
            </w: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Michael Altman</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27, 2025</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Michael Altman</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Melissa Epperly</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27, 2025</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Melissa Epperly</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Parag Mallick</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27, 2025</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Parag Mallick</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Matthew McIlwain</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27, 2025</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Matthew McIlwain</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Farzad Nazem</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27, 2025</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Farzad Nazem</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Vijay Pande</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27, 2025</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Vijay Pande</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Matthew L. Posard</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27, 2025</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Matthew L. Posard</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381"/>
        </w:trPr>
        <w:tc>
          <w:tcPr>
            <w:tcW w:w="3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color w:val="auto"/>
              </w:rPr>
              <w:t>/s/ Karen Akinsanya</w:t>
            </w:r>
          </w:p>
        </w:tc>
        <w:tc>
          <w:tcPr>
            <w:tcW w:w="60" w:type="dxa"/>
            <w:vAlign w:val="bottom"/>
          </w:tcPr>
          <w:p>
            <w:pPr>
              <w:spacing w:after="0"/>
              <w:rPr>
                <w:sz w:val="24"/>
                <w:szCs w:val="24"/>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Director</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27, 2025</w:t>
            </w:r>
          </w:p>
        </w:tc>
      </w:tr>
      <w:tr>
        <w:trPr>
          <w:trHeight w:val="254"/>
        </w:trPr>
        <w:tc>
          <w:tcPr>
            <w:tcW w:w="3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Karen Akinsanya</w:t>
            </w:r>
          </w:p>
        </w:tc>
        <w:tc>
          <w:tcPr>
            <w:tcW w:w="6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080"/>
          </w:cols>
          <w:pgMar w:left="1400" w:top="144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ectPr>
          <w:pgSz w:w="11880" w:h="15480" w:orient="portrait"/>
          <w:cols w:equalWidth="0" w:num="1">
            <w:col w:w="9080"/>
          </w:cols>
          <w:pgMar w:left="1400" w:top="1440" w:right="1400" w:bottom="0" w:gutter="0" w:footer="0" w:header="0"/>
          <w:type w:val="continuous"/>
        </w:sectPr>
      </w:pPr>
    </w:p>
    <w:bookmarkStart w:id="117" w:name="page118"/>
    <w:bookmarkEnd w:id="117"/>
    <w:p>
      <w:pPr>
        <w:spacing w:after="0" w:line="67"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6"/>
          <w:szCs w:val="16"/>
          <w:b w:val="1"/>
          <w:bCs w:val="1"/>
          <w:color w:val="auto"/>
        </w:rPr>
        <w:t>BOARD OF DIRECTORS AND MANAGEMENT</w:t>
      </w:r>
    </w:p>
    <w:p>
      <w:pPr>
        <w:spacing w:after="0" w:line="20" w:lineRule="exact"/>
        <w:rPr>
          <w:sz w:val="20"/>
          <w:szCs w:val="20"/>
          <w:color w:val="auto"/>
        </w:rPr>
      </w:pPr>
      <w:r>
        <w:rPr>
          <w:sz w:val="20"/>
          <w:szCs w:val="20"/>
          <w:color w:val="auto"/>
        </w:rPr>
        <w:br w:type="column"/>
      </w:r>
    </w:p>
    <w:p>
      <w:pPr>
        <w:spacing w:after="0"/>
        <w:tabs>
          <w:tab w:leader="none" w:pos="3180" w:val="left"/>
        </w:tabs>
        <w:rPr>
          <w:sz w:val="20"/>
          <w:szCs w:val="20"/>
          <w:color w:val="auto"/>
        </w:rPr>
      </w:pPr>
      <w:r>
        <w:rPr>
          <w:rFonts w:ascii="Times New Roman" w:cs="Times New Roman" w:eastAsia="Times New Roman" w:hAnsi="Times New Roman"/>
          <w:sz w:val="16"/>
          <w:szCs w:val="16"/>
          <w:b w:val="1"/>
          <w:bCs w:val="1"/>
          <w:color w:val="auto"/>
        </w:rPr>
        <w:t>CORPORATE INFORMATION</w:t>
      </w:r>
      <w:r>
        <w:rPr>
          <w:sz w:val="20"/>
          <w:szCs w:val="20"/>
          <w:color w:val="auto"/>
        </w:rPr>
        <w:tab/>
      </w:r>
      <w:r>
        <w:rPr>
          <w:rFonts w:ascii="Times New Roman" w:cs="Times New Roman" w:eastAsia="Times New Roman" w:hAnsi="Times New Roman"/>
          <w:sz w:val="15"/>
          <w:szCs w:val="15"/>
          <w:b w:val="1"/>
          <w:bCs w:val="1"/>
          <w:color w:val="auto"/>
        </w:rPr>
        <w:t>ANNUAL REPORT ON FORM 10-K</w:t>
      </w:r>
    </w:p>
    <w:p>
      <w:pPr>
        <w:spacing w:after="0" w:line="20" w:lineRule="exact"/>
        <w:rPr>
          <w:sz w:val="20"/>
          <w:szCs w:val="20"/>
          <w:color w:val="auto"/>
        </w:rPr>
      </w:pPr>
    </w:p>
    <w:p>
      <w:pPr>
        <w:spacing w:after="0" w:line="466" w:lineRule="exact"/>
        <w:rPr>
          <w:sz w:val="20"/>
          <w:szCs w:val="20"/>
          <w:color w:val="auto"/>
        </w:rPr>
      </w:pPr>
    </w:p>
    <w:p>
      <w:pPr>
        <w:sectPr>
          <w:pgSz w:w="11880" w:h="15481" w:orient="portrait"/>
          <w:cols w:equalWidth="0" w:num="2">
            <w:col w:w="2580" w:space="720"/>
            <w:col w:w="6220"/>
          </w:cols>
          <w:pgMar w:left="1120" w:top="1167" w:right="1241" w:bottom="375"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Matthew L. Posard, </w:t>
      </w:r>
      <w:r>
        <w:rPr>
          <w:rFonts w:ascii="Times New Roman" w:cs="Times New Roman" w:eastAsia="Times New Roman" w:hAnsi="Times New Roman"/>
          <w:sz w:val="14"/>
          <w:szCs w:val="14"/>
          <w:i w:val="1"/>
          <w:iCs w:val="1"/>
          <w:color w:val="auto"/>
        </w:rPr>
        <w:t>Chairperson</w:t>
      </w:r>
    </w:p>
    <w:p>
      <w:pPr>
        <w:ind w:right="760" w:firstLine="120"/>
        <w:spacing w:after="0" w:line="346" w:lineRule="auto"/>
        <w:rPr>
          <w:sz w:val="20"/>
          <w:szCs w:val="20"/>
          <w:color w:val="auto"/>
        </w:rPr>
      </w:pPr>
      <w:r>
        <w:rPr>
          <w:rFonts w:ascii="Times New Roman" w:cs="Times New Roman" w:eastAsia="Times New Roman" w:hAnsi="Times New Roman"/>
          <w:sz w:val="14"/>
          <w:szCs w:val="14"/>
          <w:i w:val="1"/>
          <w:iCs w:val="1"/>
          <w:color w:val="auto"/>
        </w:rPr>
        <w:t xml:space="preserve">Founding Partner, Explore-DNA </w:t>
      </w:r>
      <w:r>
        <w:rPr>
          <w:rFonts w:ascii="Times New Roman" w:cs="Times New Roman" w:eastAsia="Times New Roman" w:hAnsi="Times New Roman"/>
          <w:sz w:val="14"/>
          <w:szCs w:val="14"/>
          <w:color w:val="auto"/>
        </w:rPr>
        <w:t>Karen Akinsanya</w:t>
      </w:r>
    </w:p>
    <w:p>
      <w:pPr>
        <w:spacing w:after="0" w:line="1" w:lineRule="exact"/>
        <w:rPr>
          <w:sz w:val="20"/>
          <w:szCs w:val="20"/>
          <w:color w:val="auto"/>
        </w:rPr>
      </w:pPr>
    </w:p>
    <w:p>
      <w:pPr>
        <w:ind w:left="100"/>
        <w:spacing w:after="0" w:line="278" w:lineRule="auto"/>
        <w:rPr>
          <w:sz w:val="20"/>
          <w:szCs w:val="20"/>
          <w:color w:val="auto"/>
        </w:rPr>
      </w:pPr>
      <w:r>
        <w:rPr>
          <w:rFonts w:ascii="Times New Roman" w:cs="Times New Roman" w:eastAsia="Times New Roman" w:hAnsi="Times New Roman"/>
          <w:sz w:val="14"/>
          <w:szCs w:val="14"/>
          <w:i w:val="1"/>
          <w:iCs w:val="1"/>
          <w:color w:val="auto"/>
        </w:rPr>
        <w:t>President of R&amp;D, Therapeutics, Schrodinger,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Michael Altman</w:t>
      </w:r>
    </w:p>
    <w:p>
      <w:pPr>
        <w:ind w:left="120"/>
        <w:spacing w:after="0"/>
        <w:rPr>
          <w:sz w:val="20"/>
          <w:szCs w:val="20"/>
          <w:color w:val="auto"/>
        </w:rPr>
      </w:pPr>
      <w:r>
        <w:rPr>
          <w:rFonts w:ascii="Times New Roman" w:cs="Times New Roman" w:eastAsia="Times New Roman" w:hAnsi="Times New Roman"/>
          <w:sz w:val="14"/>
          <w:szCs w:val="14"/>
          <w:i w:val="1"/>
          <w:iCs w:val="1"/>
          <w:color w:val="auto"/>
        </w:rPr>
        <w:t>Managing Director, Perceptive Advisors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Melissa Epperly</w:t>
      </w:r>
    </w:p>
    <w:p>
      <w:pPr>
        <w:ind w:left="120" w:right="300"/>
        <w:spacing w:after="0" w:line="249" w:lineRule="auto"/>
        <w:rPr>
          <w:sz w:val="20"/>
          <w:szCs w:val="20"/>
          <w:color w:val="auto"/>
        </w:rPr>
      </w:pPr>
      <w:r>
        <w:rPr>
          <w:rFonts w:ascii="Times New Roman" w:cs="Times New Roman" w:eastAsia="Times New Roman" w:hAnsi="Times New Roman"/>
          <w:sz w:val="14"/>
          <w:szCs w:val="14"/>
          <w:i w:val="1"/>
          <w:iCs w:val="1"/>
          <w:color w:val="auto"/>
        </w:rPr>
        <w:t>Former Chief Financial Officer, Zentalis Pharmaceuticals, Inc.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Parag Mallick</w:t>
      </w:r>
    </w:p>
    <w:p>
      <w:pPr>
        <w:ind w:left="120"/>
        <w:spacing w:after="0"/>
        <w:rPr>
          <w:sz w:val="20"/>
          <w:szCs w:val="20"/>
          <w:color w:val="auto"/>
        </w:rPr>
      </w:pPr>
      <w:r>
        <w:rPr>
          <w:rFonts w:ascii="Times New Roman" w:cs="Times New Roman" w:eastAsia="Times New Roman" w:hAnsi="Times New Roman"/>
          <w:sz w:val="14"/>
          <w:szCs w:val="14"/>
          <w:i w:val="1"/>
          <w:iCs w:val="1"/>
          <w:color w:val="auto"/>
        </w:rPr>
        <w:t>Chief Scientist and Director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Matthew McIlwain</w:t>
      </w:r>
    </w:p>
    <w:p>
      <w:pPr>
        <w:ind w:left="120"/>
        <w:spacing w:after="0"/>
        <w:rPr>
          <w:sz w:val="20"/>
          <w:szCs w:val="20"/>
          <w:color w:val="auto"/>
        </w:rPr>
      </w:pPr>
      <w:r>
        <w:rPr>
          <w:rFonts w:ascii="Times New Roman" w:cs="Times New Roman" w:eastAsia="Times New Roman" w:hAnsi="Times New Roman"/>
          <w:sz w:val="14"/>
          <w:szCs w:val="14"/>
          <w:i w:val="1"/>
          <w:iCs w:val="1"/>
          <w:color w:val="auto"/>
        </w:rPr>
        <w:t>Managing Director, Madrona Venture Group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Farzad Nazem</w:t>
      </w:r>
    </w:p>
    <w:p>
      <w:pPr>
        <w:spacing w:after="0" w:line="5"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4"/>
          <w:szCs w:val="14"/>
          <w:i w:val="1"/>
          <w:iCs w:val="1"/>
          <w:color w:val="auto"/>
        </w:rPr>
        <w:t>Private Investor and Advisor; Former Chief Technology Officer, Yahoo!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Vijay Pande</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General Partner, Andreessen Horowitz</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Sujal Patel</w:t>
      </w:r>
    </w:p>
    <w:p>
      <w:pPr>
        <w:ind w:left="120" w:right="80"/>
        <w:spacing w:after="0" w:line="256" w:lineRule="auto"/>
        <w:rPr>
          <w:sz w:val="20"/>
          <w:szCs w:val="20"/>
          <w:color w:val="auto"/>
        </w:rPr>
      </w:pPr>
      <w:r>
        <w:rPr>
          <w:rFonts w:ascii="Times New Roman" w:cs="Times New Roman" w:eastAsia="Times New Roman" w:hAnsi="Times New Roman"/>
          <w:sz w:val="14"/>
          <w:szCs w:val="14"/>
          <w:i w:val="1"/>
          <w:iCs w:val="1"/>
          <w:color w:val="auto"/>
        </w:rPr>
        <w:t>Chief Executive Officer, President, Secretary and Director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Sujal Patel</w:t>
      </w:r>
    </w:p>
    <w:p>
      <w:pPr>
        <w:ind w:left="120" w:right="80"/>
        <w:spacing w:after="0" w:line="271" w:lineRule="auto"/>
        <w:rPr>
          <w:sz w:val="20"/>
          <w:szCs w:val="20"/>
          <w:color w:val="auto"/>
        </w:rPr>
      </w:pPr>
      <w:r>
        <w:rPr>
          <w:rFonts w:ascii="Times New Roman" w:cs="Times New Roman" w:eastAsia="Times New Roman" w:hAnsi="Times New Roman"/>
          <w:sz w:val="14"/>
          <w:szCs w:val="14"/>
          <w:i w:val="1"/>
          <w:iCs w:val="1"/>
          <w:color w:val="auto"/>
        </w:rPr>
        <w:t>Chief Executive Officer, President, Secretary and Director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Parag Mallick</w:t>
      </w:r>
    </w:p>
    <w:p>
      <w:pPr>
        <w:ind w:left="120"/>
        <w:spacing w:after="0"/>
        <w:rPr>
          <w:sz w:val="20"/>
          <w:szCs w:val="20"/>
          <w:color w:val="auto"/>
        </w:rPr>
      </w:pPr>
      <w:r>
        <w:rPr>
          <w:rFonts w:ascii="Times New Roman" w:cs="Times New Roman" w:eastAsia="Times New Roman" w:hAnsi="Times New Roman"/>
          <w:sz w:val="14"/>
          <w:szCs w:val="14"/>
          <w:i w:val="1"/>
          <w:iCs w:val="1"/>
          <w:color w:val="auto"/>
        </w:rPr>
        <w:t>Chief Scientist and Director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Anna Mowry</w:t>
      </w:r>
    </w:p>
    <w:p>
      <w:pPr>
        <w:ind w:left="120"/>
        <w:spacing w:after="0"/>
        <w:rPr>
          <w:sz w:val="20"/>
          <w:szCs w:val="20"/>
          <w:color w:val="auto"/>
        </w:rPr>
      </w:pPr>
      <w:r>
        <w:rPr>
          <w:rFonts w:ascii="Times New Roman" w:cs="Times New Roman" w:eastAsia="Times New Roman" w:hAnsi="Times New Roman"/>
          <w:sz w:val="14"/>
          <w:szCs w:val="14"/>
          <w:i w:val="1"/>
          <w:iCs w:val="1"/>
          <w:color w:val="auto"/>
        </w:rPr>
        <w:t>Chief Financial Officer and Treasurer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Nick Nelson</w:t>
      </w:r>
    </w:p>
    <w:p>
      <w:pPr>
        <w:ind w:left="120" w:right="420"/>
        <w:spacing w:after="0" w:line="271" w:lineRule="auto"/>
        <w:rPr>
          <w:sz w:val="20"/>
          <w:szCs w:val="20"/>
          <w:color w:val="auto"/>
        </w:rPr>
      </w:pPr>
      <w:r>
        <w:rPr>
          <w:rFonts w:ascii="Times New Roman" w:cs="Times New Roman" w:eastAsia="Times New Roman" w:hAnsi="Times New Roman"/>
          <w:sz w:val="14"/>
          <w:szCs w:val="14"/>
          <w:i w:val="1"/>
          <w:iCs w:val="1"/>
          <w:color w:val="auto"/>
        </w:rPr>
        <w:t>Chief Business Officer and Senior Vice President, Business Development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Subra Sankar</w:t>
      </w:r>
    </w:p>
    <w:p>
      <w:pPr>
        <w:ind w:left="120"/>
        <w:spacing w:after="0"/>
        <w:rPr>
          <w:sz w:val="20"/>
          <w:szCs w:val="20"/>
          <w:color w:val="auto"/>
        </w:rPr>
      </w:pPr>
      <w:r>
        <w:rPr>
          <w:rFonts w:ascii="Times New Roman" w:cs="Times New Roman" w:eastAsia="Times New Roman" w:hAnsi="Times New Roman"/>
          <w:sz w:val="14"/>
          <w:szCs w:val="14"/>
          <w:i w:val="1"/>
          <w:iCs w:val="1"/>
          <w:color w:val="auto"/>
        </w:rPr>
        <w:t>Senior Vice President, Product Development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Matthew Murphy</w:t>
      </w:r>
    </w:p>
    <w:p>
      <w:pPr>
        <w:ind w:left="120"/>
        <w:spacing w:after="0"/>
        <w:rPr>
          <w:sz w:val="20"/>
          <w:szCs w:val="20"/>
          <w:color w:val="auto"/>
        </w:rPr>
      </w:pPr>
      <w:r>
        <w:rPr>
          <w:rFonts w:ascii="Times New Roman" w:cs="Times New Roman" w:eastAsia="Times New Roman" w:hAnsi="Times New Roman"/>
          <w:sz w:val="14"/>
          <w:szCs w:val="14"/>
          <w:i w:val="1"/>
          <w:iCs w:val="1"/>
          <w:color w:val="auto"/>
        </w:rPr>
        <w:t>General Counsel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Gwen Weld</w:t>
      </w:r>
    </w:p>
    <w:p>
      <w:pPr>
        <w:ind w:left="140"/>
        <w:spacing w:after="0"/>
        <w:rPr>
          <w:sz w:val="20"/>
          <w:szCs w:val="20"/>
          <w:color w:val="auto"/>
        </w:rPr>
      </w:pPr>
      <w:r>
        <w:rPr>
          <w:rFonts w:ascii="Times New Roman" w:cs="Times New Roman" w:eastAsia="Times New Roman" w:hAnsi="Times New Roman"/>
          <w:sz w:val="14"/>
          <w:szCs w:val="14"/>
          <w:i w:val="1"/>
          <w:iCs w:val="1"/>
          <w:color w:val="auto"/>
        </w:rPr>
        <w:t>Chief People Officer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Kentaro Suzuki</w:t>
      </w:r>
    </w:p>
    <w:p>
      <w:pPr>
        <w:ind w:left="120"/>
        <w:spacing w:after="0"/>
        <w:rPr>
          <w:sz w:val="20"/>
          <w:szCs w:val="20"/>
          <w:color w:val="auto"/>
        </w:rPr>
      </w:pPr>
      <w:r>
        <w:rPr>
          <w:rFonts w:ascii="Times New Roman" w:cs="Times New Roman" w:eastAsia="Times New Roman" w:hAnsi="Times New Roman"/>
          <w:sz w:val="14"/>
          <w:szCs w:val="14"/>
          <w:i w:val="1"/>
          <w:iCs w:val="1"/>
          <w:color w:val="auto"/>
        </w:rPr>
        <w:t>Chief Marketing Officer</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Headquarters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Nautilus Biotechnology, Inc.</w:t>
      </w:r>
    </w:p>
    <w:p>
      <w:pPr>
        <w:spacing w:after="0" w:line="207" w:lineRule="auto"/>
        <w:rPr>
          <w:sz w:val="20"/>
          <w:szCs w:val="20"/>
          <w:color w:val="auto"/>
        </w:rPr>
      </w:pPr>
      <w:r>
        <w:rPr>
          <w:rFonts w:ascii="Times New Roman" w:cs="Times New Roman" w:eastAsia="Times New Roman" w:hAnsi="Times New Roman"/>
          <w:sz w:val="14"/>
          <w:szCs w:val="14"/>
          <w:color w:val="auto"/>
        </w:rPr>
        <w:t>2701 Eastlake Avenue East</w:t>
      </w:r>
    </w:p>
    <w:p>
      <w:pPr>
        <w:spacing w:after="0"/>
        <w:rPr>
          <w:sz w:val="20"/>
          <w:szCs w:val="20"/>
          <w:color w:val="auto"/>
        </w:rPr>
      </w:pPr>
      <w:r>
        <w:rPr>
          <w:rFonts w:ascii="Times New Roman" w:cs="Times New Roman" w:eastAsia="Times New Roman" w:hAnsi="Times New Roman"/>
          <w:sz w:val="14"/>
          <w:szCs w:val="14"/>
          <w:color w:val="auto"/>
        </w:rPr>
        <w:t>Seattle, WA 98102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Meeting</w:t>
      </w:r>
    </w:p>
    <w:p>
      <w:pPr>
        <w:spacing w:after="0" w:line="100"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4"/>
          <w:szCs w:val="14"/>
          <w:color w:val="auto"/>
        </w:rPr>
        <w:t>Our 2025 Annual Meeting of Stockholders will take place on Friday, June 20, 2025 at 10:00 a.m. The annual meeting will be conducted virtually via live audio webcast. You will be able to attend the annual meeting virtually by visiting www.vitrualshareholdermeeting.com/NAUT2025, where you will be able to listen to the meeting live, submit questions and vote online during the meeting.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Independent Auditors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PricewaterhouseCoopers, LLP</w:t>
      </w: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Counsel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Wilson Sonsini Goodrich &amp; Rosati, P.C.</w:t>
      </w:r>
    </w:p>
    <w:p>
      <w:pPr>
        <w:spacing w:after="0"/>
        <w:rPr>
          <w:sz w:val="20"/>
          <w:szCs w:val="20"/>
          <w:color w:val="auto"/>
        </w:rPr>
      </w:pPr>
      <w:r>
        <w:rPr>
          <w:rFonts w:ascii="Times New Roman" w:cs="Times New Roman" w:eastAsia="Times New Roman" w:hAnsi="Times New Roman"/>
          <w:sz w:val="14"/>
          <w:szCs w:val="14"/>
          <w:color w:val="auto"/>
        </w:rPr>
        <w:t>Palo Alto, California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Services</w:t>
      </w:r>
    </w:p>
    <w:p>
      <w:pPr>
        <w:spacing w:after="0" w:line="96" w:lineRule="exact"/>
        <w:rPr>
          <w:sz w:val="20"/>
          <w:szCs w:val="20"/>
          <w:color w:val="auto"/>
        </w:rPr>
      </w:pPr>
    </w:p>
    <w:p>
      <w:pPr>
        <w:ind w:right="20" w:hanging="1"/>
        <w:spacing w:after="0" w:line="226" w:lineRule="auto"/>
        <w:rPr>
          <w:sz w:val="20"/>
          <w:szCs w:val="20"/>
          <w:color w:val="auto"/>
        </w:rPr>
      </w:pPr>
      <w:r>
        <w:rPr>
          <w:rFonts w:ascii="Times New Roman" w:cs="Times New Roman" w:eastAsia="Times New Roman" w:hAnsi="Times New Roman"/>
          <w:sz w:val="14"/>
          <w:szCs w:val="14"/>
          <w:color w:val="auto"/>
        </w:rPr>
        <w:t>You may contact our transfer agent Continental Stock Transfer &amp; Trust Company, by telephone at (212) 509-5586, or by writing Continental Stock Transfer &amp; Trust Company, at 1 State Street 30th Floor, New York, NY 10004-1561. You may also access instructions with respect to certain stockholder matters (e.g., change of address) via the Internet at https://continentalstock.com/.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Exchange Information</w:t>
      </w:r>
    </w:p>
    <w:p>
      <w:pPr>
        <w:spacing w:after="0" w:line="10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color w:val="auto"/>
        </w:rPr>
        <w:t>Our common stock is traded on the Nasdaq Global Select Market under the symbol NAUT.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Internet Address Information</w:t>
      </w:r>
    </w:p>
    <w:p>
      <w:pPr>
        <w:spacing w:after="0" w:line="100"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4"/>
          <w:szCs w:val="14"/>
          <w:color w:val="auto"/>
        </w:rPr>
        <w:t>Our investor relations website is located at https://investors.nautilus.bio/. Our 2024 Annual Report is available online at https://investors.nautilus.bio/.</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3"/>
          <w:szCs w:val="13"/>
          <w:b w:val="1"/>
          <w:bCs w:val="1"/>
          <w:color w:val="auto"/>
        </w:rPr>
        <w:t>Stockholders may receive a copy of our annual report on Form 10-K, including the financial statements and the financial statement schedules, free of charge upon written request. Please send such requests to Nautilus Biotechnology, Inc., 2701 Eastlake Avenue East, Seattle, Washington 98102, Attention: Investor Relations.</w:t>
      </w:r>
    </w:p>
    <w:p>
      <w:pPr>
        <w:spacing w:after="0" w:line="147" w:lineRule="exact"/>
        <w:rPr>
          <w:sz w:val="20"/>
          <w:szCs w:val="20"/>
          <w:color w:val="auto"/>
        </w:rPr>
      </w:pPr>
    </w:p>
    <w:p>
      <w:pPr>
        <w:ind w:right="520" w:hanging="1"/>
        <w:spacing w:after="0" w:line="225" w:lineRule="auto"/>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ind w:firstLine="1"/>
        <w:spacing w:after="0"/>
        <w:rPr>
          <w:sz w:val="20"/>
          <w:szCs w:val="20"/>
          <w:color w:val="auto"/>
        </w:rPr>
      </w:pPr>
      <w:r>
        <w:rPr>
          <w:rFonts w:ascii="Times New Roman" w:cs="Times New Roman" w:eastAsia="Times New Roman" w:hAnsi="Times New Roman"/>
          <w:sz w:val="13"/>
          <w:szCs w:val="13"/>
          <w:i w:val="1"/>
          <w:iCs w:val="1"/>
          <w:color w:val="auto"/>
        </w:rPr>
        <w:t>This Annual Report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sections of our Annual Report entitled “Business,” “Risk factors,” and “Management’s discussion and analysis of financial condition and results of operations.” Forward - looking statements include statements that are not historical facts and can be identified by terms such as “anticipates,” “believes,” “could,” “seeks,” “estimates,” “expects,” “intends,” “may,” “plans,” “potential,” “predicts,” “projects,” “should,” “will,” “would,” or similar expressions and the negatives of those terms. Forward-looking statements include, but are not limited to, statements regarding Nautilus’ expectations regarding the company’s business operations, financial performance and results of operations; our expectations regarding the timing and progress of the development of the Nautilus platform and any commercialization timelines; expectations with respect to the functionality and performance of Nautilus’ product platform, and its potential impact on pharmaceutical development and drug discovery; our estimates of our addressable market, market growth, future revenue, key performance indicators, expenses, capital requirements and needs for additional financing; the implementation of our business model and strategic plans for the Nautilus platform; and our expectations regarding any collaborations and strategic partnerships. These statements are based on numerous assumptions concerning the development of Nautilus’ products and target markets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Annual Report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and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 K filed with the SEC on February 27, 2025 and in our subsequent filings with the SEC.</w:t>
      </w:r>
    </w:p>
    <w:p>
      <w:pPr>
        <w:spacing w:after="0" w:line="200" w:lineRule="exact"/>
        <w:rPr>
          <w:sz w:val="20"/>
          <w:szCs w:val="20"/>
          <w:color w:val="auto"/>
        </w:rPr>
      </w:pPr>
    </w:p>
    <w:p>
      <w:pPr>
        <w:spacing w:after="0" w:line="279"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14"/>
          <w:szCs w:val="14"/>
          <w:i w:val="1"/>
          <w:iCs w:val="1"/>
          <w:color w:val="auto"/>
        </w:rPr>
        <w:t>Except as required by law, we assume no obligation to update these forward- looking statements publicly, or to update the reasons actual results could differ materially from those anticipated in these forward-looking statements, even if new information becomes available in the future.</w:t>
      </w:r>
    </w:p>
    <w:p>
      <w:pPr>
        <w:spacing w:after="0" w:line="20" w:lineRule="exact"/>
        <w:rPr>
          <w:sz w:val="20"/>
          <w:szCs w:val="20"/>
          <w:color w:val="auto"/>
        </w:rPr>
      </w:pPr>
    </w:p>
    <w:p>
      <w:pPr>
        <w:sectPr>
          <w:pgSz w:w="11880" w:h="15481" w:orient="portrait"/>
          <w:cols w:equalWidth="0" w:num="3">
            <w:col w:w="2720" w:space="580"/>
            <w:col w:w="2920" w:space="280"/>
            <w:col w:w="3020"/>
          </w:cols>
          <w:pgMar w:left="1120" w:top="1167" w:right="1241" w:bottom="375" w:gutter="0" w:footer="0" w:header="0"/>
          <w:type w:val="continuous"/>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2">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sectPr>
      <w:pgSz w:w="11880" w:h="15481"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decimal"/>
      <w:start w:val="2"/>
    </w:lvl>
  </w:abstractNum>
  <w:abstractNum w:abstractNumId="9">
    <w:nsid w:val="2463B9EA"/>
    <w:multiLevelType w:val="hybridMultilevel"/>
    <w:lvl w:ilvl="0">
      <w:lvlJc w:val="left"/>
      <w:lvlText w:val="%1."/>
      <w:numFmt w:val="decimal"/>
      <w:start w:val="3"/>
    </w:lvl>
  </w:abstractNum>
  <w:abstractNum w:abstractNumId="10">
    <w:nsid w:val="5E884ADC"/>
    <w:multiLevelType w:val="hybridMultilevel"/>
    <w:lvl w:ilvl="0">
      <w:lvlJc w:val="left"/>
      <w:lvlText w:val="%1."/>
      <w:numFmt w:val="decimal"/>
      <w:start w:val="4"/>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1"/>
      <w:numFmt w:val="upperLetter"/>
      <w:start w:val="35"/>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1."/>
      <w:numFmt w:val="decimal"/>
      <w:start w:val="2"/>
    </w:lvl>
  </w:abstractNum>
  <w:abstractNum w:abstractNumId="54">
    <w:nsid w:val="10233C99"/>
    <w:multiLevelType w:val="hybridMultilevel"/>
    <w:lvl w:ilvl="0">
      <w:lvlJc w:val="left"/>
      <w:lvlText w:val="%1."/>
      <w:numFmt w:val="decimal"/>
      <w:start w:val="3"/>
    </w:lvl>
  </w:abstractNum>
  <w:abstractNum w:abstractNumId="55">
    <w:nsid w:val="3F6AB60F"/>
    <w:multiLevelType w:val="hybridMultilevel"/>
    <w:lvl w:ilvl="0">
      <w:lvlJc w:val="left"/>
      <w:lvlText w:val="%1."/>
      <w:numFmt w:val="decimal"/>
      <w:start w:val="4"/>
    </w:lvl>
  </w:abstractNum>
  <w:abstractNum w:abstractNumId="56">
    <w:nsid w:val="61574095"/>
    <w:multiLevelType w:val="hybridMultilevel"/>
    <w:lvl w:ilvl="0">
      <w:lvlJc w:val="left"/>
      <w:lvlText w:val="%1."/>
      <w:numFmt w:val="decimal"/>
      <w:start w:val="5"/>
    </w:lvl>
  </w:abstractNum>
  <w:abstractNum w:abstractNumId="57">
    <w:nsid w:val="7E0C57B1"/>
    <w:multiLevelType w:val="hybridMultilevel"/>
    <w:lvl w:ilvl="0">
      <w:lvlJc w:val="left"/>
      <w:lvlText w:val="%1."/>
      <w:numFmt w:val="decimal"/>
      <w:start w:val="6"/>
    </w:lvl>
  </w:abstractNum>
  <w:abstractNum w:abstractNumId="58">
    <w:nsid w:val="77AE35EB"/>
    <w:multiLevelType w:val="hybridMultilevel"/>
    <w:lvl w:ilvl="0">
      <w:lvlJc w:val="left"/>
      <w:lvlText w:val="%1."/>
      <w:numFmt w:val="decimal"/>
      <w:start w:val="7"/>
    </w:lvl>
  </w:abstractNum>
  <w:abstractNum w:abstractNumId="59">
    <w:nsid w:val="579BE4F1"/>
    <w:multiLevelType w:val="hybridMultilevel"/>
    <w:lvl w:ilvl="0">
      <w:lvlJc w:val="left"/>
      <w:lvlText w:val="(%1)"/>
      <w:numFmt w:val="lowerRoman"/>
      <w:start w:val="3"/>
    </w:lvl>
  </w:abstractNum>
  <w:abstractNum w:abstractNumId="60">
    <w:nsid w:val="310C50B3"/>
    <w:multiLevelType w:val="hybridMultilevel"/>
    <w:lvl w:ilvl="0">
      <w:lvlJc w:val="left"/>
      <w:lvlText w:val="%1."/>
      <w:numFmt w:val="decimal"/>
      <w:start w:val="8"/>
    </w:lvl>
  </w:abstractNum>
  <w:abstractNum w:abstractNumId="61">
    <w:nsid w:val="5FF87E05"/>
    <w:multiLevelType w:val="hybridMultilevel"/>
    <w:lvl w:ilvl="0">
      <w:lvlJc w:val="left"/>
      <w:lvlText w:val="%1."/>
      <w:numFmt w:val="decimal"/>
      <w:start w:val="9"/>
    </w:lvl>
  </w:abstractNum>
  <w:abstractNum w:abstractNumId="62">
    <w:nsid w:val="2F305DEF"/>
    <w:multiLevelType w:val="hybridMultilevel"/>
    <w:lvl w:ilvl="0">
      <w:lvlJc w:val="left"/>
      <w:lvlText w:val="%1."/>
      <w:numFmt w:val="decimal"/>
      <w:start w:val="10"/>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lowerLetter"/>
      <w:start w:val="3"/>
    </w:lvl>
  </w:abstractNum>
  <w:abstractNum w:abstractNumId="65">
    <w:nsid w:val="4AD084E9"/>
    <w:multiLevelType w:val="hybridMultilevel"/>
    <w:lvl w:ilvl="0">
      <w:lvlJc w:val="left"/>
      <w:lvlText w:val="%1"/>
      <w:numFmt w:val="decimal"/>
      <w:start w:val="104"/>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2025-05-03T02:59:47Z</dcterms:created>
  <dcterms:modified xsi:type="dcterms:W3CDTF">2025-05-03T02:59:47Z</dcterms:modified>
</cp:coreProperties>
</file>