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20320</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2 of 7</w:t>
      </w:r>
    </w:p>
    <w:p>
      <w:pPr>
        <w:spacing w:after="0" w:line="243" w:lineRule="exact"/>
        <w:rPr>
          <w:sz w:val="20"/>
          <w:szCs w:val="20"/>
          <w:color w:val="auto"/>
        </w:rPr>
      </w:pPr>
    </w:p>
    <w:p>
      <w:pPr>
        <w:jc w:val="both"/>
        <w:ind w:left="1140" w:right="8140" w:hanging="1015"/>
        <w:spacing w:after="0" w:line="57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 Cercano Management LLC</w:t>
      </w:r>
    </w:p>
    <w:p>
      <w:pPr>
        <w:ind w:left="1140" w:hanging="101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480" w:hanging="343"/>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480" w:hanging="343"/>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140" w:hanging="101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right="7480" w:hanging="1015"/>
        <w:spacing w:after="0" w:line="50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-2226945</wp:posOffset>
            </wp:positionV>
            <wp:extent cx="7132320" cy="6558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5828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8740" w:type="dxa"/>
            <w:vAlign w:val="bottom"/>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68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40" w:type="dxa"/>
            <w:vAlign w:val="bottom"/>
            <w:vMerge w:val="continue"/>
          </w:tcPr>
          <w:p>
            <w:pPr>
              <w:spacing w:after="0"/>
              <w:rPr>
                <w:sz w:val="16"/>
                <w:szCs w:val="16"/>
                <w:color w:val="auto"/>
              </w:rPr>
            </w:pPr>
          </w:p>
        </w:tc>
        <w:tc>
          <w:tcPr>
            <w:tcW w:w="68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6.</w:t>
            </w:r>
          </w:p>
        </w:tc>
        <w:tc>
          <w:tcPr>
            <w:tcW w:w="8740" w:type="dxa"/>
            <w:vAlign w:val="bottom"/>
          </w:tcPr>
          <w:p>
            <w:pPr>
              <w:ind w:left="4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6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680" w:type="dxa"/>
            <w:vAlign w:val="bottom"/>
          </w:tcPr>
          <w:p>
            <w:pPr>
              <w:spacing w:after="0"/>
              <w:rPr>
                <w:sz w:val="18"/>
                <w:szCs w:val="18"/>
                <w:color w:val="auto"/>
              </w:rPr>
            </w:pPr>
          </w:p>
        </w:tc>
        <w:tc>
          <w:tcPr>
            <w:tcW w:w="8740" w:type="dxa"/>
            <w:vAlign w:val="bottom"/>
          </w:tcPr>
          <w:p>
            <w:pPr>
              <w:ind w:left="440"/>
              <w:spacing w:after="0"/>
              <w:rPr>
                <w:sz w:val="20"/>
                <w:szCs w:val="20"/>
                <w:color w:val="auto"/>
              </w:rPr>
            </w:pPr>
            <w:r>
              <w:rPr>
                <w:rFonts w:ascii="Arial" w:cs="Arial" w:eastAsia="Arial" w:hAnsi="Arial"/>
                <w:sz w:val="18"/>
                <w:szCs w:val="18"/>
                <w:color w:val="auto"/>
              </w:rPr>
              <w:t>7,172,985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430"/>
              <w:spacing w:after="0"/>
              <w:rPr>
                <w:sz w:val="20"/>
                <w:szCs w:val="20"/>
                <w:color w:val="auto"/>
              </w:rPr>
            </w:pPr>
            <w:r>
              <w:rPr>
                <w:rFonts w:ascii="Arial" w:cs="Arial" w:eastAsia="Arial" w:hAnsi="Arial"/>
                <w:sz w:val="18"/>
                <w:szCs w:val="18"/>
                <w:color w:val="auto"/>
                <w:w w:val="91"/>
              </w:rPr>
              <w:t>Owned by</w:t>
            </w:r>
          </w:p>
        </w:tc>
        <w:tc>
          <w:tcPr>
            <w:tcW w:w="6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410"/>
              <w:spacing w:after="0" w:line="182" w:lineRule="exact"/>
              <w:rPr>
                <w:sz w:val="20"/>
                <w:szCs w:val="20"/>
                <w:color w:val="auto"/>
              </w:rPr>
            </w:pPr>
            <w:r>
              <w:rPr>
                <w:rFonts w:ascii="Arial" w:cs="Arial" w:eastAsia="Arial" w:hAnsi="Arial"/>
                <w:sz w:val="18"/>
                <w:szCs w:val="18"/>
                <w:color w:val="auto"/>
                <w:w w:val="87"/>
              </w:rPr>
              <w:t>Each</w:t>
            </w:r>
          </w:p>
        </w:tc>
        <w:tc>
          <w:tcPr>
            <w:tcW w:w="68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7.</w:t>
            </w:r>
          </w:p>
        </w:tc>
        <w:tc>
          <w:tcPr>
            <w:tcW w:w="8740" w:type="dxa"/>
            <w:vAlign w:val="bottom"/>
          </w:tcPr>
          <w:p>
            <w:pPr>
              <w:ind w:left="4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6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410"/>
              <w:spacing w:after="0"/>
              <w:rPr>
                <w:sz w:val="20"/>
                <w:szCs w:val="20"/>
                <w:color w:val="auto"/>
              </w:rPr>
            </w:pPr>
            <w:r>
              <w:rPr>
                <w:rFonts w:ascii="Arial" w:cs="Arial" w:eastAsia="Arial" w:hAnsi="Arial"/>
                <w:sz w:val="18"/>
                <w:szCs w:val="18"/>
                <w:color w:val="auto"/>
                <w:w w:val="84"/>
              </w:rPr>
              <w:t>Person</w:t>
            </w:r>
          </w:p>
        </w:tc>
        <w:tc>
          <w:tcPr>
            <w:tcW w:w="680" w:type="dxa"/>
            <w:vAlign w:val="bottom"/>
          </w:tcPr>
          <w:p>
            <w:pPr>
              <w:spacing w:after="0"/>
              <w:rPr>
                <w:sz w:val="18"/>
                <w:szCs w:val="18"/>
                <w:color w:val="auto"/>
              </w:rPr>
            </w:pPr>
          </w:p>
        </w:tc>
        <w:tc>
          <w:tcPr>
            <w:tcW w:w="8740" w:type="dxa"/>
            <w:vAlign w:val="bottom"/>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370"/>
              <w:spacing w:after="0"/>
              <w:rPr>
                <w:sz w:val="20"/>
                <w:szCs w:val="20"/>
                <w:color w:val="auto"/>
              </w:rPr>
            </w:pPr>
            <w:r>
              <w:rPr>
                <w:rFonts w:ascii="Arial" w:cs="Arial" w:eastAsia="Arial" w:hAnsi="Arial"/>
                <w:sz w:val="18"/>
                <w:szCs w:val="18"/>
                <w:color w:val="auto"/>
                <w:w w:val="97"/>
              </w:rPr>
              <w:t>With:</w:t>
            </w:r>
          </w:p>
        </w:tc>
        <w:tc>
          <w:tcPr>
            <w:tcW w:w="68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940" w:right="6440" w:hanging="1006"/>
        <w:spacing w:after="0" w:line="508" w:lineRule="auto"/>
        <w:tabs>
          <w:tab w:leader="none" w:pos="29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7,172,985</w:t>
      </w:r>
    </w:p>
    <w:p>
      <w:pPr>
        <w:spacing w:after="0" w:line="1" w:lineRule="exact"/>
        <w:rPr>
          <w:rFonts w:ascii="Arial" w:cs="Arial" w:eastAsia="Arial" w:hAnsi="Arial"/>
          <w:sz w:val="18"/>
          <w:szCs w:val="18"/>
          <w:color w:val="auto"/>
        </w:rPr>
      </w:pPr>
    </w:p>
    <w:p>
      <w:pPr>
        <w:ind w:left="1140" w:right="5300" w:hanging="1015"/>
        <w:spacing w:after="0" w:line="489"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7,172,985</w:t>
      </w:r>
    </w:p>
    <w:p>
      <w:pPr>
        <w:spacing w:after="0" w:line="1" w:lineRule="exact"/>
        <w:rPr>
          <w:rFonts w:ascii="Arial" w:cs="Arial" w:eastAsia="Arial" w:hAnsi="Arial"/>
          <w:sz w:val="18"/>
          <w:szCs w:val="18"/>
          <w:color w:val="auto"/>
        </w:rPr>
      </w:pPr>
    </w:p>
    <w:p>
      <w:pPr>
        <w:ind w:left="1140" w:hanging="1015"/>
        <w:spacing w:after="0" w:line="207" w:lineRule="exact"/>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1140" w:right="6440" w:hanging="1015"/>
        <w:spacing w:after="0" w:line="508"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 (1)</w:t>
      </w:r>
    </w:p>
    <w:p>
      <w:pPr>
        <w:spacing w:after="0" w:line="1" w:lineRule="exact"/>
        <w:rPr>
          <w:rFonts w:ascii="Arial" w:cs="Arial" w:eastAsia="Arial" w:hAnsi="Arial"/>
          <w:sz w:val="18"/>
          <w:szCs w:val="18"/>
          <w:color w:val="auto"/>
        </w:rPr>
      </w:pPr>
    </w:p>
    <w:p>
      <w:pPr>
        <w:ind w:left="1140" w:hanging="101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in accordance with Rule 13(d)-3(d)(1)(i), promulgated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based on an aggregate total of 124,723,525 shares of the Issuer’s Common Stock outstanding as of October 28, 2022, as reported by the Issuer in its Quarterly Report for the period ended September 30, 2022, filed on Form 10-Q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3 of 7</w:t>
      </w:r>
    </w:p>
    <w:p>
      <w:pPr>
        <w:spacing w:after="0" w:line="243" w:lineRule="exact"/>
        <w:rPr>
          <w:sz w:val="20"/>
          <w:szCs w:val="20"/>
          <w:color w:val="auto"/>
        </w:rPr>
      </w:pPr>
    </w:p>
    <w:p>
      <w:pPr>
        <w:ind w:left="1140" w:right="8180" w:hanging="1015"/>
        <w:spacing w:after="0" w:line="57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Reporting Person Christopher N. Orndorff</w:t>
      </w:r>
    </w:p>
    <w:p>
      <w:pPr>
        <w:ind w:left="1140" w:hanging="101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480" w:hanging="343"/>
        <w:spacing w:after="0" w:line="207" w:lineRule="exact"/>
        <w:tabs>
          <w:tab w:leader="none" w:pos="14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480" w:hanging="343"/>
        <w:spacing w:after="0" w:line="207" w:lineRule="exact"/>
        <w:tabs>
          <w:tab w:leader="none" w:pos="14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140" w:hanging="101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right="7480" w:hanging="1015"/>
        <w:spacing w:after="0" w:line="50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940" w:right="6960" w:hanging="1006"/>
        <w:spacing w:after="0" w:line="508" w:lineRule="auto"/>
        <w:tabs>
          <w:tab w:leader="none" w:pos="29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-2783840</wp:posOffset>
            </wp:positionV>
            <wp:extent cx="7132320" cy="642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60" w:type="dxa"/>
            <w:vAlign w:val="bottom"/>
            <w:vMerge w:val="restart"/>
          </w:tcPr>
          <w:p>
            <w:pPr>
              <w:jc w:val="center"/>
              <w:ind w:right="350"/>
              <w:spacing w:after="0"/>
              <w:rPr>
                <w:sz w:val="20"/>
                <w:szCs w:val="20"/>
                <w:color w:val="auto"/>
              </w:rPr>
            </w:pPr>
            <w:r>
              <w:rPr>
                <w:rFonts w:ascii="Arial" w:cs="Arial" w:eastAsia="Arial" w:hAnsi="Arial"/>
                <w:sz w:val="18"/>
                <w:szCs w:val="18"/>
                <w:color w:val="auto"/>
                <w:w w:val="95"/>
              </w:rPr>
              <w:t>Number of</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8740" w:type="dxa"/>
            <w:vAlign w:val="bottom"/>
          </w:tcPr>
          <w:p>
            <w:pPr>
              <w:ind w:left="4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50"/>
              <w:spacing w:after="0"/>
              <w:rPr>
                <w:sz w:val="20"/>
                <w:szCs w:val="20"/>
                <w:color w:val="auto"/>
              </w:rPr>
            </w:pPr>
            <w:r>
              <w:rPr>
                <w:rFonts w:ascii="Arial" w:cs="Arial" w:eastAsia="Arial" w:hAnsi="Arial"/>
                <w:sz w:val="18"/>
                <w:szCs w:val="18"/>
                <w:color w:val="auto"/>
                <w:w w:val="84"/>
              </w:rPr>
              <w:t>Shares</w:t>
            </w:r>
          </w:p>
        </w:tc>
        <w:tc>
          <w:tcPr>
            <w:tcW w:w="680" w:type="dxa"/>
            <w:vAlign w:val="bottom"/>
          </w:tcPr>
          <w:p>
            <w:pPr>
              <w:spacing w:after="0"/>
              <w:rPr>
                <w:sz w:val="18"/>
                <w:szCs w:val="18"/>
                <w:color w:val="auto"/>
              </w:rPr>
            </w:pPr>
          </w:p>
        </w:tc>
        <w:tc>
          <w:tcPr>
            <w:tcW w:w="8740" w:type="dxa"/>
            <w:vAlign w:val="bottom"/>
            <w:vMerge w:val="restart"/>
          </w:tcPr>
          <w:p>
            <w:pPr>
              <w:ind w:left="440"/>
              <w:spacing w:after="0"/>
              <w:rPr>
                <w:sz w:val="20"/>
                <w:szCs w:val="20"/>
                <w:color w:val="auto"/>
              </w:rPr>
            </w:pPr>
            <w:r>
              <w:rPr>
                <w:rFonts w:ascii="Arial" w:cs="Arial" w:eastAsia="Arial" w:hAnsi="Arial"/>
                <w:sz w:val="18"/>
                <w:szCs w:val="18"/>
                <w:color w:val="auto"/>
              </w:rPr>
              <w:t>7,172,985</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Beneficially</w:t>
            </w:r>
          </w:p>
        </w:tc>
        <w:tc>
          <w:tcPr>
            <w:tcW w:w="68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ind w:right="350"/>
              <w:spacing w:after="0"/>
              <w:rPr>
                <w:sz w:val="20"/>
                <w:szCs w:val="20"/>
                <w:color w:val="auto"/>
              </w:rPr>
            </w:pPr>
            <w:r>
              <w:rPr>
                <w:rFonts w:ascii="Arial" w:cs="Arial" w:eastAsia="Arial" w:hAnsi="Arial"/>
                <w:sz w:val="18"/>
                <w:szCs w:val="18"/>
                <w:color w:val="auto"/>
                <w:w w:val="93"/>
              </w:rPr>
              <w:t>Owned by</w:t>
            </w:r>
          </w:p>
        </w:tc>
        <w:tc>
          <w:tcPr>
            <w:tcW w:w="680" w:type="dxa"/>
            <w:vAlign w:val="bottom"/>
            <w:tcBorders>
              <w:bottom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60" w:type="dxa"/>
            <w:vAlign w:val="bottom"/>
            <w:vMerge w:val="continue"/>
          </w:tcPr>
          <w:p>
            <w:pPr>
              <w:spacing w:after="0"/>
              <w:rPr>
                <w:sz w:val="6"/>
                <w:szCs w:val="6"/>
                <w:color w:val="auto"/>
              </w:rPr>
            </w:pPr>
          </w:p>
        </w:tc>
        <w:tc>
          <w:tcPr>
            <w:tcW w:w="68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8740" w:type="dxa"/>
            <w:vAlign w:val="bottom"/>
            <w:vMerge w:val="restart"/>
          </w:tcPr>
          <w:p>
            <w:pPr>
              <w:ind w:left="4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87"/>
              </w:rPr>
              <w:t>Each</w:t>
            </w:r>
          </w:p>
        </w:tc>
        <w:tc>
          <w:tcPr>
            <w:tcW w:w="680" w:type="dxa"/>
            <w:vAlign w:val="bottom"/>
            <w:vMerge w:val="continue"/>
          </w:tcPr>
          <w:p>
            <w:pPr>
              <w:spacing w:after="0"/>
              <w:rPr>
                <w:sz w:val="13"/>
                <w:szCs w:val="13"/>
                <w:color w:val="auto"/>
              </w:rPr>
            </w:pP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90"/>
              <w:spacing w:after="0"/>
              <w:rPr>
                <w:sz w:val="20"/>
                <w:szCs w:val="20"/>
                <w:color w:val="auto"/>
              </w:rPr>
            </w:pPr>
            <w:r>
              <w:rPr>
                <w:rFonts w:ascii="Arial" w:cs="Arial" w:eastAsia="Arial" w:hAnsi="Arial"/>
                <w:sz w:val="18"/>
                <w:szCs w:val="18"/>
                <w:color w:val="auto"/>
                <w:w w:val="92"/>
              </w:rPr>
              <w:t>Reporting</w:t>
            </w:r>
          </w:p>
        </w:tc>
        <w:tc>
          <w:tcPr>
            <w:tcW w:w="680" w:type="dxa"/>
            <w:vAlign w:val="bottom"/>
          </w:tcPr>
          <w:p>
            <w:pPr>
              <w:spacing w:after="0"/>
              <w:rPr>
                <w:sz w:val="18"/>
                <w:szCs w:val="18"/>
                <w:color w:val="auto"/>
              </w:rPr>
            </w:pPr>
          </w:p>
        </w:tc>
        <w:tc>
          <w:tcPr>
            <w:tcW w:w="874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60" w:type="dxa"/>
            <w:vAlign w:val="bottom"/>
            <w:vMerge w:val="restart"/>
          </w:tcPr>
          <w:p>
            <w:pPr>
              <w:jc w:val="center"/>
              <w:ind w:right="350"/>
              <w:spacing w:after="0"/>
              <w:rPr>
                <w:sz w:val="20"/>
                <w:szCs w:val="20"/>
                <w:color w:val="auto"/>
              </w:rPr>
            </w:pPr>
            <w:r>
              <w:rPr>
                <w:rFonts w:ascii="Arial" w:cs="Arial" w:eastAsia="Arial" w:hAnsi="Arial"/>
                <w:sz w:val="18"/>
                <w:szCs w:val="18"/>
                <w:color w:val="auto"/>
                <w:w w:val="89"/>
              </w:rPr>
              <w:t>Person With:</w:t>
            </w:r>
          </w:p>
        </w:tc>
        <w:tc>
          <w:tcPr>
            <w:tcW w:w="680" w:type="dxa"/>
            <w:vAlign w:val="bottom"/>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940" w:right="6440" w:hanging="1006"/>
        <w:spacing w:after="0" w:line="508" w:lineRule="auto"/>
        <w:tabs>
          <w:tab w:leader="none" w:pos="294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 7,172,985</w:t>
      </w:r>
    </w:p>
    <w:p>
      <w:pPr>
        <w:spacing w:after="0" w:line="1" w:lineRule="exact"/>
        <w:rPr>
          <w:rFonts w:ascii="Arial" w:cs="Arial" w:eastAsia="Arial" w:hAnsi="Arial"/>
          <w:sz w:val="18"/>
          <w:szCs w:val="18"/>
          <w:color w:val="auto"/>
        </w:rPr>
      </w:pPr>
    </w:p>
    <w:p>
      <w:pPr>
        <w:ind w:left="1140" w:right="5300" w:hanging="1015"/>
        <w:spacing w:after="0" w:line="489"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7,172,985</w:t>
      </w:r>
    </w:p>
    <w:p>
      <w:pPr>
        <w:spacing w:after="0" w:line="1" w:lineRule="exact"/>
        <w:rPr>
          <w:rFonts w:ascii="Arial" w:cs="Arial" w:eastAsia="Arial" w:hAnsi="Arial"/>
          <w:sz w:val="18"/>
          <w:szCs w:val="18"/>
          <w:color w:val="auto"/>
        </w:rPr>
      </w:pPr>
    </w:p>
    <w:p>
      <w:pPr>
        <w:ind w:left="1140" w:hanging="1015"/>
        <w:spacing w:after="0" w:line="207" w:lineRule="exact"/>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1140" w:right="6440" w:hanging="1015"/>
        <w:spacing w:after="0" w:line="508"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 (1)</w:t>
      </w:r>
    </w:p>
    <w:p>
      <w:pPr>
        <w:spacing w:after="0" w:line="1" w:lineRule="exact"/>
        <w:rPr>
          <w:rFonts w:ascii="Arial" w:cs="Arial" w:eastAsia="Arial" w:hAnsi="Arial"/>
          <w:sz w:val="18"/>
          <w:szCs w:val="18"/>
          <w:color w:val="auto"/>
        </w:rPr>
      </w:pPr>
    </w:p>
    <w:p>
      <w:pPr>
        <w:ind w:left="1140" w:hanging="1015"/>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3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in accordance with Rule 13(d)-3(d)(1)(i), promulgated under the Exchange Act, and based on an aggregate total of 124,723,525 shares of the Issuer’s Common Stock outstanding as of October 28, 2022, as reported by the Issuer in its Quarterly Report for the period ended September 30, 2022, filed on Form 10-Q with the SEC on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63909J108</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7</w:t>
      </w:r>
    </w:p>
    <w:p>
      <w:pPr>
        <w:spacing w:after="0" w:line="612" w:lineRule="exact"/>
        <w:rPr>
          <w:sz w:val="20"/>
          <w:szCs w:val="20"/>
          <w:color w:val="auto"/>
        </w:rPr>
      </w:pPr>
    </w:p>
    <w:p>
      <w:pPr>
        <w:sectPr>
          <w:pgSz w:w="11900" w:h="16838" w:orient="portrait"/>
          <w:cols w:equalWidth="0" w:num="2">
            <w:col w:w="9700" w:space="720"/>
            <w:col w:w="820"/>
          </w:cols>
          <w:pgMar w:left="320" w:top="904" w:right="339" w:bottom="1440" w:gutter="0" w:footer="0" w:header="0"/>
        </w:sectPr>
      </w:pPr>
    </w:p>
    <w:p>
      <w:pPr>
        <w:ind w:left="1620"/>
        <w:spacing w:after="0"/>
        <w:rPr>
          <w:sz w:val="20"/>
          <w:szCs w:val="20"/>
          <w:color w:val="auto"/>
        </w:rPr>
      </w:pPr>
      <w:r>
        <w:rPr>
          <w:rFonts w:ascii="Arial" w:cs="Arial" w:eastAsia="Arial" w:hAnsi="Arial"/>
          <w:sz w:val="16"/>
          <w:szCs w:val="16"/>
          <w:color w:val="auto"/>
        </w:rPr>
        <w:t>Nautilus Biotechnology, Inc.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w:t>
      </w:r>
    </w:p>
    <w:p>
      <w:pPr>
        <w:sectPr>
          <w:pgSz w:w="11900" w:h="16838" w:orient="portrait"/>
          <w:cols w:equalWidth="0" w:num="1">
            <w:col w:w="11240"/>
          </w:cols>
          <w:pgMar w:left="320" w:top="904"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184"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5"/>
          <w:szCs w:val="15"/>
          <w:color w:val="auto"/>
        </w:rPr>
        <w:t>2701 Eastlake Avenue East</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Seattle, WA 98102</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184"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Cercano Management LLC (the “</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Christopher N. Orndorff (“</w:t>
      </w:r>
      <w:r>
        <w:rPr>
          <w:rFonts w:ascii="Arial" w:cs="Arial" w:eastAsia="Arial" w:hAnsi="Arial"/>
          <w:sz w:val="16"/>
          <w:szCs w:val="16"/>
          <w:b w:val="1"/>
          <w:bCs w:val="1"/>
          <w:i w:val="1"/>
          <w:iCs w:val="1"/>
          <w:color w:val="auto"/>
        </w:rPr>
        <w:t>Mr. Orndorff</w:t>
      </w:r>
      <w:r>
        <w:rPr>
          <w:rFonts w:ascii="Arial" w:cs="Arial" w:eastAsia="Arial" w:hAnsi="Arial"/>
          <w:sz w:val="16"/>
          <w:szCs w:val="16"/>
          <w:color w:val="auto"/>
        </w:rPr>
        <w:t>” and, together with the Manager, the “</w:t>
      </w:r>
      <w:r>
        <w:rPr>
          <w:rFonts w:ascii="Arial" w:cs="Arial" w:eastAsia="Arial" w:hAnsi="Arial"/>
          <w:sz w:val="16"/>
          <w:szCs w:val="16"/>
          <w:b w:val="1"/>
          <w:bCs w:val="1"/>
          <w:i w:val="1"/>
          <w:iCs w:val="1"/>
          <w:color w:val="auto"/>
        </w:rPr>
        <w:t>Reporting Persons</w:t>
      </w:r>
      <w:r>
        <w:rPr>
          <w:rFonts w:ascii="Arial" w:cs="Arial" w:eastAsia="Arial" w:hAnsi="Arial"/>
          <w:sz w:val="16"/>
          <w:szCs w:val="16"/>
          <w:color w:val="auto"/>
        </w:rPr>
        <w:t>”)</w:t>
      </w:r>
    </w:p>
    <w:p>
      <w:pPr>
        <w:sectPr>
          <w:pgSz w:w="11900" w:h="16838" w:orient="portrait"/>
          <w:cols w:equalWidth="0" w:num="1">
            <w:col w:w="11240"/>
          </w:cols>
          <w:pgMar w:left="320" w:top="904" w:right="33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195"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The address of the principal business office of each of the Reporting Persons is: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1110 112</w:t>
      </w:r>
      <w:r>
        <w:rPr>
          <w:rFonts w:ascii="Arial" w:cs="Arial" w:eastAsia="Arial" w:hAnsi="Arial"/>
          <w:sz w:val="14"/>
          <w:szCs w:val="14"/>
          <w:color w:val="auto"/>
        </w:rPr>
        <w:t>th</w:t>
      </w:r>
      <w:r>
        <w:rPr>
          <w:rFonts w:ascii="Arial" w:cs="Arial" w:eastAsia="Arial" w:hAnsi="Arial"/>
          <w:sz w:val="18"/>
          <w:szCs w:val="18"/>
          <w:color w:val="auto"/>
        </w:rPr>
        <w:t xml:space="preserve"> Avenue NE</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Suite 202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Bellevue, WA 98004</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184"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Manager:            Delaware</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Mr. Orndorff:    United States of America</w:t>
      </w:r>
    </w:p>
    <w:p>
      <w:pPr>
        <w:sectPr>
          <w:pgSz w:w="11900" w:h="16838" w:orient="portrait"/>
          <w:cols w:equalWidth="0" w:num="1">
            <w:col w:w="11240"/>
          </w:cols>
          <w:pgMar w:left="320" w:top="904" w:right="33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195"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Common Stock, $0.0001 par value</w:t>
      </w:r>
    </w:p>
    <w:p>
      <w:pPr>
        <w:sectPr>
          <w:pgSz w:w="11900" w:h="16838" w:orient="portrait"/>
          <w:cols w:equalWidth="0" w:num="1">
            <w:col w:w="11240"/>
          </w:cols>
          <w:pgMar w:left="320" w:top="904"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73"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63909J108</w:t>
      </w:r>
    </w:p>
    <w:p>
      <w:pPr>
        <w:sectPr>
          <w:pgSz w:w="11900" w:h="16838" w:orient="portrait"/>
          <w:cols w:equalWidth="0" w:num="1">
            <w:col w:w="11240"/>
          </w:cols>
          <w:pgMar w:left="320" w:top="904" w:right="3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900" w:space="720"/>
            <w:col w:w="9620"/>
          </w:cols>
          <w:pgMar w:left="320" w:top="904" w:right="339" w:bottom="1440" w:gutter="0" w:footer="0" w:header="0"/>
          <w:type w:val="continuous"/>
        </w:sectPr>
      </w:pPr>
    </w:p>
    <w:p>
      <w:pPr>
        <w:spacing w:after="0" w:line="8" w:lineRule="exact"/>
        <w:rPr>
          <w:sz w:val="20"/>
          <w:szCs w:val="20"/>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620" w:hanging="640"/>
        <w:spacing w:after="0" w:line="184" w:lineRule="exact"/>
        <w:tabs>
          <w:tab w:leader="none" w:pos="162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248" w:lineRule="exact"/>
        <w:rPr>
          <w:rFonts w:ascii="Arial" w:cs="Arial" w:eastAsia="Arial" w:hAnsi="Arial"/>
          <w:sz w:val="16"/>
          <w:szCs w:val="16"/>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5 of 7</w:t>
      </w:r>
    </w:p>
    <w:p>
      <w:pPr>
        <w:spacing w:after="0" w:line="223" w:lineRule="exact"/>
        <w:rPr>
          <w:sz w:val="20"/>
          <w:szCs w:val="20"/>
          <w:color w:val="auto"/>
        </w:rPr>
      </w:pPr>
    </w:p>
    <w:p>
      <w:pPr>
        <w:ind w:left="1620" w:hanging="640"/>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980"/>
        <w:spacing w:after="0" w:line="239" w:lineRule="exact"/>
        <w:tabs>
          <w:tab w:leader="none" w:pos="1636"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57" w:lineRule="exact"/>
        <w:rPr>
          <w:rFonts w:ascii="Arial" w:cs="Arial" w:eastAsia="Arial" w:hAnsi="Arial"/>
          <w:sz w:val="18"/>
          <w:szCs w:val="18"/>
          <w:color w:val="auto"/>
        </w:rPr>
      </w:pPr>
    </w:p>
    <w:p>
      <w:pPr>
        <w:ind w:left="1620" w:right="2220"/>
        <w:spacing w:after="0" w:line="277" w:lineRule="auto"/>
        <w:rPr>
          <w:rFonts w:ascii="Arial" w:cs="Arial" w:eastAsia="Arial" w:hAnsi="Arial"/>
          <w:sz w:val="18"/>
          <w:szCs w:val="18"/>
          <w:color w:val="auto"/>
        </w:rPr>
      </w:pPr>
      <w:r>
        <w:rPr>
          <w:rFonts w:ascii="Arial" w:cs="Arial" w:eastAsia="Arial" w:hAnsi="Arial"/>
          <w:sz w:val="18"/>
          <w:szCs w:val="18"/>
          <w:color w:val="auto"/>
        </w:rPr>
        <w:t>If filing as a non-U.S. institution in accordance with §240.13d–1(b)(1)(ii)(J), please specify the type of institution: _________________.</w:t>
      </w:r>
    </w:p>
    <w:p>
      <w:pPr>
        <w:spacing w:after="0" w:line="16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4" w:lineRule="exact"/>
        <w:rPr>
          <w:sz w:val="20"/>
          <w:szCs w:val="20"/>
          <w:color w:val="auto"/>
        </w:rPr>
      </w:pPr>
    </w:p>
    <w:p>
      <w:pPr>
        <w:ind w:left="1960" w:hanging="332"/>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2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Manager:</w:t>
      </w:r>
      <w:r>
        <w:rPr>
          <w:rFonts w:ascii="Arial" w:cs="Arial" w:eastAsia="Arial" w:hAnsi="Arial"/>
          <w:sz w:val="16"/>
          <w:szCs w:val="16"/>
          <w:color w:val="auto"/>
        </w:rPr>
        <w:t>7,172,985</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Mr. Orndorff:    7,172,985</w:t>
      </w:r>
    </w:p>
    <w:p>
      <w:pPr>
        <w:spacing w:after="0" w:line="206" w:lineRule="exact"/>
        <w:rPr>
          <w:rFonts w:ascii="Arial" w:cs="Arial" w:eastAsia="Arial" w:hAnsi="Arial"/>
          <w:sz w:val="18"/>
          <w:szCs w:val="18"/>
          <w:color w:val="auto"/>
        </w:rPr>
      </w:pPr>
    </w:p>
    <w:p>
      <w:pPr>
        <w:ind w:left="1960" w:hanging="332"/>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Manager:</w:t>
      </w:r>
      <w:r>
        <w:rPr>
          <w:rFonts w:ascii="Arial" w:cs="Arial" w:eastAsia="Arial" w:hAnsi="Arial"/>
          <w:sz w:val="16"/>
          <w:szCs w:val="16"/>
          <w:color w:val="auto"/>
        </w:rPr>
        <w:t>5.8%</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Mr. Orndorff:    5.8%</w:t>
      </w:r>
    </w:p>
    <w:p>
      <w:pPr>
        <w:spacing w:after="0" w:line="210" w:lineRule="exact"/>
        <w:rPr>
          <w:rFonts w:ascii="Arial" w:cs="Arial" w:eastAsia="Arial" w:hAnsi="Arial"/>
          <w:sz w:val="18"/>
          <w:szCs w:val="18"/>
          <w:color w:val="auto"/>
        </w:rPr>
      </w:pPr>
    </w:p>
    <w:p>
      <w:pPr>
        <w:jc w:val="both"/>
        <w:ind w:left="1960"/>
        <w:spacing w:after="0" w:line="279" w:lineRule="auto"/>
        <w:rPr>
          <w:rFonts w:ascii="Arial" w:cs="Arial" w:eastAsia="Arial" w:hAnsi="Arial"/>
          <w:sz w:val="18"/>
          <w:szCs w:val="18"/>
          <w:color w:val="auto"/>
        </w:rPr>
      </w:pPr>
      <w:r>
        <w:rPr>
          <w:rFonts w:ascii="Arial" w:cs="Arial" w:eastAsia="Arial" w:hAnsi="Arial"/>
          <w:sz w:val="17"/>
          <w:szCs w:val="17"/>
          <w:color w:val="auto"/>
        </w:rPr>
        <w:t>The aforementioned percentages were calculated in accordance with Rule 13(d)-3(d)(1)(i), promulgated under the Securities Exchange Act of 1934, as amended, and based on an aggregate total of 124,723,525 shares of the Issuer’s Common Stock outstanding as of October 28, 2022, as reported by the Issuer in its Quarterly Report for the period ended September 30, 2022, filed on Form 10-Q with the Securities and Exchange Commission on November 1, 2022.</w:t>
      </w:r>
    </w:p>
    <w:p>
      <w:pPr>
        <w:spacing w:after="0" w:line="167" w:lineRule="exact"/>
        <w:rPr>
          <w:rFonts w:ascii="Arial" w:cs="Arial" w:eastAsia="Arial" w:hAnsi="Arial"/>
          <w:sz w:val="18"/>
          <w:szCs w:val="18"/>
          <w:color w:val="auto"/>
        </w:rPr>
      </w:pPr>
    </w:p>
    <w:p>
      <w:pPr>
        <w:ind w:left="1960" w:hanging="332"/>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Sole power to vote or to direct the vote:</w:t>
      </w:r>
    </w:p>
    <w:p>
      <w:pPr>
        <w:spacing w:after="0" w:line="23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Mr. Orndorff</w:t>
            </w:r>
          </w:p>
        </w:tc>
        <w:tc>
          <w:tcPr>
            <w:tcW w:w="24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2600" w:hanging="64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Mr. Orndorff</w:t>
            </w:r>
          </w:p>
        </w:tc>
        <w:tc>
          <w:tcPr>
            <w:tcW w:w="2740" w:type="dxa"/>
            <w:vAlign w:val="bottom"/>
          </w:tcPr>
          <w:p>
            <w:pPr>
              <w:jc w:val="right"/>
              <w:spacing w:after="0"/>
              <w:rPr>
                <w:sz w:val="20"/>
                <w:szCs w:val="20"/>
                <w:color w:val="auto"/>
              </w:rPr>
            </w:pPr>
            <w:r>
              <w:rPr>
                <w:rFonts w:ascii="Arial" w:cs="Arial" w:eastAsia="Arial" w:hAnsi="Arial"/>
                <w:sz w:val="18"/>
                <w:szCs w:val="18"/>
                <w:color w:val="auto"/>
              </w:rPr>
              <w:t>7,172,985</w:t>
            </w:r>
          </w:p>
        </w:tc>
      </w:tr>
    </w:tbl>
    <w:p>
      <w:pPr>
        <w:spacing w:after="0" w:line="187" w:lineRule="exact"/>
        <w:rPr>
          <w:sz w:val="20"/>
          <w:szCs w:val="20"/>
          <w:color w:val="auto"/>
        </w:rPr>
      </w:pPr>
    </w:p>
    <w:p>
      <w:pPr>
        <w:ind w:left="2600" w:hanging="64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Mr. Orndorff</w:t>
            </w:r>
          </w:p>
        </w:tc>
        <w:tc>
          <w:tcPr>
            <w:tcW w:w="2420" w:type="dxa"/>
            <w:vAlign w:val="bottom"/>
          </w:tcPr>
          <w:p>
            <w:pPr>
              <w:jc w:val="right"/>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20"/>
                <w:szCs w:val="20"/>
                <w:color w:val="auto"/>
              </w:rPr>
            </w:pPr>
          </w:p>
        </w:tc>
      </w:tr>
      <w:tr>
        <w:trPr>
          <w:trHeight w:val="661"/>
        </w:trPr>
        <w:tc>
          <w:tcPr>
            <w:tcW w:w="2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5" w:name="page6"/>
    <w:bookmarkEnd w:id="5"/>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6 of 7</w:t>
      </w:r>
    </w:p>
    <w:p>
      <w:pPr>
        <w:spacing w:after="0" w:line="229" w:lineRule="exact"/>
        <w:rPr>
          <w:sz w:val="20"/>
          <w:szCs w:val="20"/>
          <w:color w:val="auto"/>
        </w:rPr>
      </w:pPr>
    </w:p>
    <w:p>
      <w:pPr>
        <w:ind w:left="2600" w:hanging="648"/>
        <w:spacing w:after="0"/>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Mr. Orndorff</w:t>
            </w:r>
          </w:p>
        </w:tc>
        <w:tc>
          <w:tcPr>
            <w:tcW w:w="2740" w:type="dxa"/>
            <w:vAlign w:val="bottom"/>
          </w:tcPr>
          <w:p>
            <w:pPr>
              <w:jc w:val="right"/>
              <w:spacing w:after="0"/>
              <w:rPr>
                <w:sz w:val="20"/>
                <w:szCs w:val="20"/>
                <w:color w:val="auto"/>
              </w:rPr>
            </w:pPr>
            <w:r>
              <w:rPr>
                <w:rFonts w:ascii="Arial" w:cs="Arial" w:eastAsia="Arial" w:hAnsi="Arial"/>
                <w:sz w:val="18"/>
                <w:szCs w:val="18"/>
                <w:color w:val="auto"/>
              </w:rPr>
              <w:t>7,172,985</w:t>
            </w:r>
          </w:p>
        </w:tc>
      </w:tr>
    </w:tbl>
    <w:p>
      <w:pPr>
        <w:spacing w:after="0" w:line="18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Manager may be deemed to be the beneficial owner of the Issuer’s shares of Common Stock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reported herein. The Manager acts as an investment adviser to certain clients holding managed accounts with the Manager pursuant to investment management agreements whereby all voting and investment discretion has been contractually allocated to the Manager, and such discretion may not be revoked with less than 61 days’ notice.</w:t>
      </w:r>
    </w:p>
    <w:p>
      <w:pPr>
        <w:spacing w:after="0" w:line="187" w:lineRule="exact"/>
        <w:rPr>
          <w:sz w:val="20"/>
          <w:szCs w:val="20"/>
          <w:color w:val="auto"/>
        </w:rPr>
      </w:pPr>
    </w:p>
    <w:p>
      <w:pPr>
        <w:ind w:left="1300" w:right="700"/>
        <w:spacing w:after="0" w:line="277" w:lineRule="auto"/>
        <w:rPr>
          <w:sz w:val="20"/>
          <w:szCs w:val="20"/>
          <w:color w:val="auto"/>
        </w:rPr>
      </w:pPr>
      <w:r>
        <w:rPr>
          <w:rFonts w:ascii="Arial" w:cs="Arial" w:eastAsia="Arial" w:hAnsi="Arial"/>
          <w:sz w:val="18"/>
          <w:szCs w:val="18"/>
          <w:color w:val="auto"/>
        </w:rPr>
        <w:t>Mr. Orndorff may also be deemed to be the beneficial owner of the Securities because he controls the Manager in his position as managing member of the Manager.</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the Reporting Persons or any of their affiliates are the beneficial owner of any Securities reported herein for any purposes other than Section 13(d) of the Exchange Act.</w:t>
      </w:r>
    </w:p>
    <w:p>
      <w:pPr>
        <w:spacing w:after="0" w:line="16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ind w:right="200" w:firstLine="16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18"/>
          <w:szCs w:val="18"/>
          <w:color w:val="auto"/>
        </w:rPr>
        <w:t>All of the Securities reported in this Statement are beneficially owned on behalf of investment advisory clients of the Reporting Persons, which have the right to receive or the power to direct the receipt of dividends from, or the proceeds from a sale of, such Securities. None of such clients individually owns more than five percent.</w:t>
      </w:r>
    </w:p>
    <w:p>
      <w:pPr>
        <w:spacing w:after="0" w:line="180" w:lineRule="exact"/>
        <w:rPr>
          <w:sz w:val="20"/>
          <w:szCs w:val="20"/>
          <w:color w:val="auto"/>
        </w:rPr>
      </w:pPr>
    </w:p>
    <w:p>
      <w:pPr>
        <w:ind w:left="1620" w:right="260" w:hanging="1619"/>
        <w:spacing w:after="0" w:line="282" w:lineRule="auto"/>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7 is 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8 is 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9 is 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7 of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1420"/>
        <w:spacing w:after="0"/>
        <w:tabs>
          <w:tab w:leader="none" w:pos="562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b w:val="1"/>
          <w:bCs w:val="1"/>
          <w:color w:val="auto"/>
        </w:rPr>
        <w:t>CERCANO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60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N. Orndorff, President</w:t>
      </w:r>
    </w:p>
    <w:p>
      <w:pPr>
        <w:spacing w:after="0" w:line="22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Date: February 13,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60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CUSIP No. 63909J108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Each of the undersigned hereby acknowledges and agrees, in compliance with the provisions of Rule 13d-1(k)(1) promulgated under the Securities Exchange Act of 1934, as amended, that the statement on Schedule 13G with respect to the Common Stock, par value $0.0001 per share, of Nautilus Biotechnology, Inc., to which this Agreement is attached as an Exhibit, and any amendments thereto, will be filed with the Securities and Exchange Commission jointly on behalf of the undersigned. This Agreement may be executed, either manually or electronically, in one or more counterparts.</w:t>
      </w:r>
    </w:p>
    <w:p>
      <w:pPr>
        <w:spacing w:after="0" w:line="153" w:lineRule="exact"/>
        <w:rPr>
          <w:sz w:val="20"/>
          <w:szCs w:val="20"/>
          <w:color w:val="auto"/>
        </w:rPr>
      </w:pPr>
    </w:p>
    <w:p>
      <w:pPr>
        <w:ind w:left="1420"/>
        <w:spacing w:after="0"/>
        <w:tabs>
          <w:tab w:leader="none" w:pos="562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b w:val="1"/>
          <w:bCs w:val="1"/>
          <w:color w:val="auto"/>
        </w:rPr>
        <w:t>CERCANO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60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N. Orndorff, President</w:t>
      </w:r>
    </w:p>
    <w:p>
      <w:pPr>
        <w:spacing w:after="0" w:line="22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Date: February 13,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60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N.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lowerLetter"/>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216231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190CDE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8">
    <w:nsid w:val="140E0F76"/>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8"/>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2023-02-13T15:37:00Z</dcterms:created>
  <dcterms:modified xsi:type="dcterms:W3CDTF">2023-02-13T15:37:00Z</dcterms:modified>
</cp:coreProperties>
</file>