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803910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ind w:left="3340"/>
        <w:spacing w:after="0"/>
        <w:rPr>
          <w:sz w:val="20"/>
          <w:szCs w:val="20"/>
          <w:color w:val="auto"/>
        </w:rPr>
      </w:pPr>
      <w:r>
        <w:rPr>
          <w:rFonts w:ascii="Arial" w:cs="Arial" w:eastAsia="Arial" w:hAnsi="Arial"/>
          <w:sz w:val="12"/>
          <w:szCs w:val="12"/>
          <w:color w:val="auto"/>
        </w:rPr>
        <w:t>__________________________________________________________________________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10-K</w:t>
      </w:r>
    </w:p>
    <w:p>
      <w:pPr>
        <w:spacing w:after="0" w:line="366"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1"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001-39434</w:t>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NAUTILUS BIOTECHNOLOGY,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35"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Delaware</w:t>
      </w:r>
    </w:p>
    <w:p>
      <w:pPr>
        <w:spacing w:after="0" w:line="14" w:lineRule="exact"/>
        <w:rPr>
          <w:sz w:val="24"/>
          <w:szCs w:val="24"/>
          <w:color w:val="auto"/>
        </w:rPr>
      </w:pPr>
    </w:p>
    <w:tbl>
      <w:tblPr>
        <w:tblLayout w:type="fixed"/>
        <w:tblInd w:w="48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800" w:type="dxa"/>
            <w:vAlign w:val="bottom"/>
          </w:tcPr>
          <w:p>
            <w:pPr>
              <w:jc w:val="right"/>
              <w:ind w:right="629"/>
              <w:spacing w:after="0"/>
              <w:rPr>
                <w:sz w:val="20"/>
                <w:szCs w:val="20"/>
                <w:color w:val="auto"/>
              </w:rPr>
            </w:pPr>
            <w:r>
              <w:rPr>
                <w:rFonts w:ascii="Arial" w:cs="Arial" w:eastAsia="Arial" w:hAnsi="Arial"/>
                <w:sz w:val="14"/>
                <w:szCs w:val="14"/>
                <w:b w:val="1"/>
                <w:bCs w:val="1"/>
                <w:color w:val="auto"/>
              </w:rPr>
              <w:t>98-1541723</w:t>
            </w:r>
          </w:p>
        </w:tc>
      </w:tr>
      <w:tr>
        <w:trPr>
          <w:trHeight w:val="196"/>
        </w:trPr>
        <w:tc>
          <w:tcPr>
            <w:tcW w:w="5100" w:type="dxa"/>
            <w:vAlign w:val="bottom"/>
          </w:tcPr>
          <w:p>
            <w:pPr>
              <w:jc w:val="center"/>
              <w:ind w:right="166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800" w:type="dxa"/>
            <w:vAlign w:val="bottom"/>
          </w:tcPr>
          <w:p>
            <w:pPr>
              <w:jc w:val="center"/>
              <w:ind w:left="1669"/>
              <w:spacing w:after="0"/>
              <w:rPr>
                <w:sz w:val="20"/>
                <w:szCs w:val="20"/>
                <w:color w:val="auto"/>
              </w:rPr>
            </w:pPr>
            <w:r>
              <w:rPr>
                <w:rFonts w:ascii="Arial" w:cs="Arial" w:eastAsia="Arial" w:hAnsi="Arial"/>
                <w:sz w:val="14"/>
                <w:szCs w:val="14"/>
                <w:color w:val="auto"/>
                <w:w w:val="95"/>
              </w:rPr>
              <w:t>(I.R.S. Employer Identification No.)</w:t>
            </w:r>
          </w:p>
        </w:tc>
      </w:tr>
      <w:tr>
        <w:trPr>
          <w:trHeight w:val="450"/>
        </w:trPr>
        <w:tc>
          <w:tcPr>
            <w:tcW w:w="5100" w:type="dxa"/>
            <w:vAlign w:val="bottom"/>
          </w:tcPr>
          <w:p>
            <w:pPr>
              <w:jc w:val="center"/>
              <w:ind w:right="1669"/>
              <w:spacing w:after="0"/>
              <w:rPr>
                <w:sz w:val="20"/>
                <w:szCs w:val="20"/>
                <w:color w:val="auto"/>
              </w:rPr>
            </w:pPr>
            <w:r>
              <w:rPr>
                <w:rFonts w:ascii="Arial" w:cs="Arial" w:eastAsia="Arial" w:hAnsi="Arial"/>
                <w:sz w:val="14"/>
                <w:szCs w:val="14"/>
                <w:b w:val="1"/>
                <w:bCs w:val="1"/>
                <w:color w:val="auto"/>
                <w:w w:val="89"/>
              </w:rPr>
              <w:t>2701 Eastlake Avenue East Seattle, Washington</w:t>
            </w:r>
          </w:p>
        </w:tc>
        <w:tc>
          <w:tcPr>
            <w:tcW w:w="3800" w:type="dxa"/>
            <w:vAlign w:val="bottom"/>
          </w:tcPr>
          <w:p>
            <w:pPr>
              <w:jc w:val="right"/>
              <w:ind w:right="789"/>
              <w:spacing w:after="0"/>
              <w:rPr>
                <w:sz w:val="20"/>
                <w:szCs w:val="20"/>
                <w:color w:val="auto"/>
              </w:rPr>
            </w:pPr>
            <w:r>
              <w:rPr>
                <w:rFonts w:ascii="Arial" w:cs="Arial" w:eastAsia="Arial" w:hAnsi="Arial"/>
                <w:sz w:val="14"/>
                <w:szCs w:val="14"/>
                <w:b w:val="1"/>
                <w:bCs w:val="1"/>
                <w:color w:val="auto"/>
              </w:rPr>
              <w:t>98102</w:t>
            </w:r>
          </w:p>
        </w:tc>
      </w:tr>
      <w:tr>
        <w:trPr>
          <w:trHeight w:val="371"/>
        </w:trPr>
        <w:tc>
          <w:tcPr>
            <w:tcW w:w="5100" w:type="dxa"/>
            <w:vAlign w:val="bottom"/>
          </w:tcPr>
          <w:p>
            <w:pPr>
              <w:jc w:val="center"/>
              <w:ind w:right="1669"/>
              <w:spacing w:after="0"/>
              <w:rPr>
                <w:sz w:val="20"/>
                <w:szCs w:val="20"/>
                <w:color w:val="auto"/>
              </w:rPr>
            </w:pPr>
            <w:r>
              <w:rPr>
                <w:rFonts w:ascii="Arial" w:cs="Arial" w:eastAsia="Arial" w:hAnsi="Arial"/>
                <w:sz w:val="14"/>
                <w:szCs w:val="14"/>
                <w:color w:val="auto"/>
                <w:w w:val="94"/>
              </w:rPr>
              <w:t>(Address of Principal Executive Offices)</w:t>
            </w:r>
          </w:p>
        </w:tc>
        <w:tc>
          <w:tcPr>
            <w:tcW w:w="3800" w:type="dxa"/>
            <w:vAlign w:val="bottom"/>
          </w:tcPr>
          <w:p>
            <w:pPr>
              <w:jc w:val="center"/>
              <w:ind w:left="1669"/>
              <w:spacing w:after="0"/>
              <w:rPr>
                <w:sz w:val="20"/>
                <w:szCs w:val="20"/>
                <w:color w:val="auto"/>
              </w:rPr>
            </w:pPr>
            <w:r>
              <w:rPr>
                <w:rFonts w:ascii="Arial" w:cs="Arial" w:eastAsia="Arial" w:hAnsi="Arial"/>
                <w:sz w:val="14"/>
                <w:szCs w:val="14"/>
                <w:color w:val="auto"/>
                <w:w w:val="93"/>
              </w:rPr>
              <w:t>(Zip Code)</w:t>
            </w:r>
          </w:p>
        </w:tc>
      </w:tr>
    </w:tbl>
    <w:p>
      <w:pPr>
        <w:spacing w:after="0" w:line="35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Registrant's telephone number, including area code: (206) 333-2001</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180"/>
        </w:trPr>
        <w:tc>
          <w:tcPr>
            <w:tcW w:w="3300" w:type="dxa"/>
            <w:vAlign w:val="bottom"/>
          </w:tcPr>
          <w:p>
            <w:pPr>
              <w:jc w:val="center"/>
              <w:ind w:right="549"/>
              <w:spacing w:after="0"/>
              <w:rPr>
                <w:sz w:val="20"/>
                <w:szCs w:val="20"/>
                <w:color w:val="auto"/>
              </w:rPr>
            </w:pPr>
            <w:r>
              <w:rPr>
                <w:rFonts w:ascii="Arial" w:cs="Arial" w:eastAsia="Arial" w:hAnsi="Arial"/>
                <w:sz w:val="14"/>
                <w:szCs w:val="14"/>
                <w:color w:val="auto"/>
                <w:w w:val="89"/>
              </w:rPr>
              <w:t>Title of each class</w:t>
            </w:r>
          </w:p>
        </w:tc>
        <w:tc>
          <w:tcPr>
            <w:tcW w:w="2600" w:type="dxa"/>
            <w:vAlign w:val="bottom"/>
          </w:tcPr>
          <w:p>
            <w:pPr>
              <w:jc w:val="center"/>
              <w:ind w:right="189"/>
              <w:spacing w:after="0"/>
              <w:rPr>
                <w:sz w:val="20"/>
                <w:szCs w:val="20"/>
                <w:color w:val="auto"/>
              </w:rPr>
            </w:pPr>
            <w:r>
              <w:rPr>
                <w:rFonts w:ascii="Arial" w:cs="Arial" w:eastAsia="Arial" w:hAnsi="Arial"/>
                <w:sz w:val="14"/>
                <w:szCs w:val="14"/>
                <w:color w:val="auto"/>
                <w:w w:val="92"/>
              </w:rPr>
              <w:t>Trading Symbol(s)</w:t>
            </w:r>
          </w:p>
        </w:tc>
        <w:tc>
          <w:tcPr>
            <w:tcW w:w="3400" w:type="dxa"/>
            <w:vAlign w:val="bottom"/>
          </w:tcPr>
          <w:p>
            <w:pPr>
              <w:jc w:val="center"/>
              <w:ind w:left="829"/>
              <w:spacing w:after="0"/>
              <w:rPr>
                <w:sz w:val="20"/>
                <w:szCs w:val="20"/>
                <w:color w:val="auto"/>
              </w:rPr>
            </w:pPr>
            <w:r>
              <w:rPr>
                <w:rFonts w:ascii="Arial" w:cs="Arial" w:eastAsia="Arial" w:hAnsi="Arial"/>
                <w:sz w:val="14"/>
                <w:szCs w:val="14"/>
                <w:color w:val="auto"/>
                <w:w w:val="90"/>
              </w:rPr>
              <w:t>Name of each exchange on which registered</w:t>
            </w:r>
          </w:p>
        </w:tc>
        <w:tc>
          <w:tcPr>
            <w:tcW w:w="0" w:type="dxa"/>
            <w:vAlign w:val="bottom"/>
          </w:tcPr>
          <w:p>
            <w:pPr>
              <w:spacing w:after="0"/>
              <w:rPr>
                <w:sz w:val="1"/>
                <w:szCs w:val="1"/>
                <w:color w:val="auto"/>
              </w:rPr>
            </w:pPr>
          </w:p>
        </w:tc>
      </w:tr>
      <w:tr>
        <w:trPr>
          <w:trHeight w:val="212"/>
        </w:trPr>
        <w:tc>
          <w:tcPr>
            <w:tcW w:w="3300" w:type="dxa"/>
            <w:vAlign w:val="bottom"/>
            <w:vMerge w:val="restart"/>
          </w:tcPr>
          <w:p>
            <w:pPr>
              <w:jc w:val="center"/>
              <w:ind w:right="549"/>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60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rPr>
              <w:t>NAUT</w:t>
            </w:r>
          </w:p>
        </w:tc>
        <w:tc>
          <w:tcPr>
            <w:tcW w:w="3400" w:type="dxa"/>
            <w:vAlign w:val="bottom"/>
          </w:tcPr>
          <w:p>
            <w:pPr>
              <w:jc w:val="center"/>
              <w:ind w:left="849"/>
              <w:spacing w:after="0"/>
              <w:rPr>
                <w:sz w:val="20"/>
                <w:szCs w:val="20"/>
                <w:color w:val="auto"/>
              </w:rPr>
            </w:pPr>
            <w:r>
              <w:rPr>
                <w:rFonts w:ascii="Arial" w:cs="Arial" w:eastAsia="Arial" w:hAnsi="Arial"/>
                <w:sz w:val="14"/>
                <w:szCs w:val="14"/>
                <w:b w:val="1"/>
                <w:bCs w:val="1"/>
                <w:color w:val="auto"/>
                <w:w w:val="95"/>
              </w:rPr>
              <w:t>The Nasdaq Stock Market LLC</w:t>
            </w:r>
          </w:p>
        </w:tc>
        <w:tc>
          <w:tcPr>
            <w:tcW w:w="0" w:type="dxa"/>
            <w:vAlign w:val="bottom"/>
          </w:tcPr>
          <w:p>
            <w:pPr>
              <w:spacing w:after="0"/>
              <w:rPr>
                <w:sz w:val="1"/>
                <w:szCs w:val="1"/>
                <w:color w:val="auto"/>
              </w:rPr>
            </w:pPr>
          </w:p>
        </w:tc>
      </w:tr>
      <w:tr>
        <w:trPr>
          <w:trHeight w:val="80"/>
        </w:trPr>
        <w:tc>
          <w:tcPr>
            <w:tcW w:w="330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ind w:left="32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35"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1"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ind w:right="160" w:firstLine="31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7" w:lineRule="exact"/>
        <w:rPr>
          <w:sz w:val="24"/>
          <w:szCs w:val="24"/>
          <w:color w:val="auto"/>
        </w:rPr>
      </w:pPr>
    </w:p>
    <w:p>
      <w:pPr>
        <w:ind w:right="240" w:firstLine="318"/>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6" w:lineRule="exact"/>
        <w:rPr>
          <w:sz w:val="24"/>
          <w:szCs w:val="24"/>
          <w:color w:val="auto"/>
        </w:rPr>
      </w:pPr>
    </w:p>
    <w:p>
      <w:pPr>
        <w:ind w:firstLine="318"/>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160" w:type="dxa"/>
        <w:tblCellMar>
          <w:top w:w="0" w:type="dxa"/>
          <w:left w:w="0" w:type="dxa"/>
          <w:bottom w:w="0" w:type="dxa"/>
          <w:right w:w="0" w:type="dxa"/>
        </w:tblCellMar>
      </w:tblPr>
      <w:tr>
        <w:trPr>
          <w:trHeight w:val="221"/>
        </w:trPr>
        <w:tc>
          <w:tcPr>
            <w:tcW w:w="210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210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71"/>
        </w:trPr>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180"/>
          </w:cols>
          <w:pgMar w:left="320" w:top="1440" w:right="399" w:bottom="1440" w:gutter="0" w:footer="0" w:header="0"/>
        </w:sectPr>
      </w:pPr>
    </w:p>
    <w:p>
      <w:pPr>
        <w:spacing w:after="0" w:line="143" w:lineRule="exact"/>
        <w:rPr>
          <w:sz w:val="24"/>
          <w:szCs w:val="24"/>
          <w:color w:val="auto"/>
        </w:rPr>
      </w:pPr>
    </w:p>
    <w:p>
      <w:pPr>
        <w:ind w:right="400" w:firstLine="318"/>
        <w:spacing w:after="0" w:line="26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617220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ind w:right="40" w:firstLine="318"/>
        <w:spacing w:after="0" w:line="301"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7" w:lineRule="exact"/>
        <w:rPr>
          <w:sz w:val="20"/>
          <w:szCs w:val="20"/>
          <w:color w:val="auto"/>
        </w:rPr>
      </w:pPr>
    </w:p>
    <w:p>
      <w:pPr>
        <w:spacing w:after="0" w:line="184" w:lineRule="exact"/>
        <w:tabs>
          <w:tab w:leader="none" w:pos="6740" w:val="left"/>
          <w:tab w:leader="none" w:pos="72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90" w:lineRule="exact"/>
        <w:rPr>
          <w:sz w:val="20"/>
          <w:szCs w:val="20"/>
          <w:color w:val="auto"/>
        </w:rPr>
      </w:pPr>
    </w:p>
    <w:p>
      <w:pPr>
        <w:ind w:firstLine="318"/>
        <w:spacing w:after="0" w:line="250" w:lineRule="auto"/>
        <w:rPr>
          <w:sz w:val="20"/>
          <w:szCs w:val="20"/>
          <w:color w:val="auto"/>
        </w:rPr>
      </w:pPr>
      <w:r>
        <w:rPr>
          <w:rFonts w:ascii="Arial" w:cs="Arial" w:eastAsia="Arial" w:hAnsi="Arial"/>
          <w:sz w:val="16"/>
          <w:szCs w:val="16"/>
          <w:color w:val="auto"/>
        </w:rPr>
        <w:t>The aggregate market value of the registrant’s common stock held by non-affiliates, based upon the closing price of the common stock on June 30, 2021, as reported by The Nasdaq Stock Market LLC, was $571 million. Shares of common stock held by each executive officer and director and by each person who owns 10% or more of the outstanding common stock, based on filings with the Securities Exchange Commission, have been excluded since such persons may be deemed affiliates. This determination of affiliate status is not necessarily a conclusive determination for other purposes.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registrant had outstanding 124,425,923 shares of common stock as of January 31, 2022.</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DOCUMENTS INCORPORATED BY REFERENCE</w:t>
      </w:r>
    </w:p>
    <w:p>
      <w:pPr>
        <w:spacing w:after="0" w:line="94"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in connection with the registrant’s 2022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2021.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750570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044" w:right="399" w:bottom="1440" w:gutter="0" w:footer="0" w:header="0"/>
        </w:sectPr>
      </w:pPr>
    </w:p>
    <w:bookmarkStart w:id="2" w:name="page3"/>
    <w:bookmarkEnd w:id="2"/>
    <w:p>
      <w:pPr>
        <w:jc w:val="center"/>
        <w:ind w:left="260"/>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p>
      <w:pPr>
        <w:spacing w:after="0" w:line="223" w:lineRule="exact"/>
        <w:rPr>
          <w:sz w:val="20"/>
          <w:szCs w:val="20"/>
          <w:color w:val="auto"/>
        </w:rPr>
      </w:pPr>
    </w:p>
    <w:p>
      <w:pPr>
        <w:ind w:left="520"/>
        <w:spacing w:after="0"/>
        <w:rPr>
          <w:rFonts w:ascii="Arial" w:cs="Arial" w:eastAsia="Arial" w:hAnsi="Arial"/>
          <w:sz w:val="18"/>
          <w:szCs w:val="18"/>
          <w:color w:val="0000FF"/>
        </w:rPr>
      </w:pPr>
      <w:hyperlink w:anchor="page6">
        <w:r>
          <w:rPr>
            <w:rFonts w:ascii="Arial" w:cs="Arial" w:eastAsia="Arial" w:hAnsi="Arial"/>
            <w:sz w:val="18"/>
            <w:szCs w:val="18"/>
            <w:color w:val="0000FF"/>
          </w:rPr>
          <w:t>Item 1. Business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39">
        <w:r>
          <w:rPr>
            <w:rFonts w:ascii="Arial" w:cs="Arial" w:eastAsia="Arial" w:hAnsi="Arial"/>
            <w:sz w:val="18"/>
            <w:szCs w:val="18"/>
            <w:color w:val="0000FF"/>
          </w:rPr>
          <w:t>Item 1A. Risk Factors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73">
        <w:r>
          <w:rPr>
            <w:rFonts w:ascii="Arial" w:cs="Arial" w:eastAsia="Arial" w:hAnsi="Arial"/>
            <w:sz w:val="18"/>
            <w:szCs w:val="18"/>
            <w:color w:val="0000FF"/>
          </w:rPr>
          <w:t>Item 1B. Unresolved Staff Comments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73">
        <w:r>
          <w:rPr>
            <w:rFonts w:ascii="Arial" w:cs="Arial" w:eastAsia="Arial" w:hAnsi="Arial"/>
            <w:sz w:val="18"/>
            <w:szCs w:val="18"/>
            <w:color w:val="0000FF"/>
          </w:rPr>
          <w:t>Item 2. Properties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73">
        <w:r>
          <w:rPr>
            <w:rFonts w:ascii="Arial" w:cs="Arial" w:eastAsia="Arial" w:hAnsi="Arial"/>
            <w:sz w:val="18"/>
            <w:szCs w:val="18"/>
            <w:color w:val="0000FF"/>
          </w:rPr>
          <w:t>Item 3. Legal Proceedings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73">
        <w:r>
          <w:rPr>
            <w:rFonts w:ascii="Arial" w:cs="Arial" w:eastAsia="Arial" w:hAnsi="Arial"/>
            <w:sz w:val="18"/>
            <w:szCs w:val="18"/>
            <w:color w:val="0000FF"/>
          </w:rPr>
          <w:t>Item 4. Mine Safety Disclosures</w:t>
        </w:r>
      </w:hyperlink>
    </w:p>
    <w:p>
      <w:pPr>
        <w:spacing w:after="0" w:line="211" w:lineRule="exact"/>
        <w:rPr>
          <w:sz w:val="20"/>
          <w:szCs w:val="20"/>
          <w:color w:val="auto"/>
        </w:rPr>
      </w:pPr>
    </w:p>
    <w:p>
      <w:pPr>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Part II</w:t>
        </w:r>
      </w:hyperlink>
    </w:p>
    <w:p>
      <w:pPr>
        <w:spacing w:after="0" w:line="223" w:lineRule="exact"/>
        <w:rPr>
          <w:sz w:val="20"/>
          <w:szCs w:val="20"/>
          <w:color w:val="auto"/>
        </w:rPr>
      </w:pPr>
    </w:p>
    <w:p>
      <w:pPr>
        <w:ind w:left="520"/>
        <w:spacing w:after="0"/>
        <w:rPr>
          <w:rFonts w:ascii="Arial" w:cs="Arial" w:eastAsia="Arial" w:hAnsi="Arial"/>
          <w:sz w:val="15"/>
          <w:szCs w:val="15"/>
          <w:color w:val="0000FF"/>
        </w:rPr>
      </w:pPr>
      <w:hyperlink w:anchor="page74">
        <w:r>
          <w:rPr>
            <w:rFonts w:ascii="Arial" w:cs="Arial" w:eastAsia="Arial" w:hAnsi="Arial"/>
            <w:sz w:val="15"/>
            <w:szCs w:val="15"/>
            <w:color w:val="0000FF"/>
          </w:rPr>
          <w:t>Item 5. Market for Registrant's Common Equity, Related Stockholder Matters and Issuer Purchases of Equity Securities</w:t>
        </w:r>
      </w:hyperlink>
    </w:p>
    <w:p>
      <w:pPr>
        <w:spacing w:after="0" w:line="252" w:lineRule="exact"/>
        <w:rPr>
          <w:sz w:val="20"/>
          <w:szCs w:val="20"/>
          <w:color w:val="auto"/>
        </w:rPr>
      </w:pPr>
    </w:p>
    <w:p>
      <w:pPr>
        <w:ind w:left="520"/>
        <w:spacing w:after="0"/>
        <w:rPr>
          <w:rFonts w:ascii="Arial" w:cs="Arial" w:eastAsia="Arial" w:hAnsi="Arial"/>
          <w:sz w:val="18"/>
          <w:szCs w:val="18"/>
          <w:color w:val="0000FF"/>
        </w:rPr>
      </w:pPr>
      <w:hyperlink w:anchor="page74">
        <w:r>
          <w:rPr>
            <w:rFonts w:ascii="Arial" w:cs="Arial" w:eastAsia="Arial" w:hAnsi="Arial"/>
            <w:sz w:val="18"/>
            <w:szCs w:val="18"/>
            <w:color w:val="0000FF"/>
          </w:rPr>
          <w:t>Item 6. [ Reserved ]</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74">
        <w:r>
          <w:rPr>
            <w:rFonts w:ascii="Arial" w:cs="Arial" w:eastAsia="Arial" w:hAnsi="Arial"/>
            <w:sz w:val="18"/>
            <w:szCs w:val="18"/>
            <w:color w:val="0000FF"/>
          </w:rPr>
          <w:t>Item 7. Management's Discussion and Analysis of Financial Condition and Results of Operations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85">
        <w:r>
          <w:rPr>
            <w:rFonts w:ascii="Arial" w:cs="Arial" w:eastAsia="Arial" w:hAnsi="Arial"/>
            <w:sz w:val="18"/>
            <w:szCs w:val="18"/>
            <w:color w:val="0000FF"/>
          </w:rPr>
          <w:t>Item 7A. Quantitative and Qualitative Disclosures About Market Risk</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86">
        <w:r>
          <w:rPr>
            <w:rFonts w:ascii="Arial" w:cs="Arial" w:eastAsia="Arial" w:hAnsi="Arial"/>
            <w:sz w:val="18"/>
            <w:szCs w:val="18"/>
            <w:color w:val="0000FF"/>
          </w:rPr>
          <w:t>Item 8. Financial Statements and Supplementary Data</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14">
        <w:r>
          <w:rPr>
            <w:rFonts w:ascii="Arial" w:cs="Arial" w:eastAsia="Arial" w:hAnsi="Arial"/>
            <w:sz w:val="18"/>
            <w:szCs w:val="18"/>
            <w:color w:val="0000FF"/>
          </w:rPr>
          <w:t>Item 9. Changes in and Disagreements With Accountants on Accounting and Financial Disclosure</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15">
        <w:r>
          <w:rPr>
            <w:rFonts w:ascii="Arial" w:cs="Arial" w:eastAsia="Arial" w:hAnsi="Arial"/>
            <w:sz w:val="18"/>
            <w:szCs w:val="18"/>
            <w:color w:val="0000FF"/>
          </w:rPr>
          <w:t>Item 9A. Controls and Procedures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16">
        <w:r>
          <w:rPr>
            <w:rFonts w:ascii="Arial" w:cs="Arial" w:eastAsia="Arial" w:hAnsi="Arial"/>
            <w:sz w:val="18"/>
            <w:szCs w:val="18"/>
            <w:color w:val="0000FF"/>
          </w:rPr>
          <w:t>Item 9B. Other Information</w:t>
        </w:r>
      </w:hyperlink>
    </w:p>
    <w:p>
      <w:pPr>
        <w:spacing w:after="0" w:line="217" w:lineRule="exact"/>
        <w:rPr>
          <w:sz w:val="20"/>
          <w:szCs w:val="20"/>
          <w:color w:val="auto"/>
        </w:rPr>
      </w:pPr>
    </w:p>
    <w:p>
      <w:pPr>
        <w:ind w:left="5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Item 9C. Disclosure Regarding Foreign Jurisdictions that Prevent Inspections</w:t>
        </w:r>
      </w:hyperlink>
    </w:p>
    <w:p>
      <w:pPr>
        <w:spacing w:after="0" w:line="211" w:lineRule="exact"/>
        <w:rPr>
          <w:sz w:val="20"/>
          <w:szCs w:val="20"/>
          <w:color w:val="auto"/>
        </w:rPr>
      </w:pPr>
    </w:p>
    <w:p>
      <w:pPr>
        <w:spacing w:after="0"/>
        <w:rPr>
          <w:rFonts w:ascii="Arial" w:cs="Arial" w:eastAsia="Arial" w:hAnsi="Arial"/>
          <w:sz w:val="18"/>
          <w:szCs w:val="18"/>
          <w:b w:val="1"/>
          <w:bCs w:val="1"/>
          <w:color w:val="auto"/>
        </w:rPr>
      </w:pPr>
      <w:hyperlink w:anchor="page116">
        <w:r>
          <w:rPr>
            <w:rFonts w:ascii="Arial" w:cs="Arial" w:eastAsia="Arial" w:hAnsi="Arial"/>
            <w:sz w:val="18"/>
            <w:szCs w:val="18"/>
            <w:b w:val="1"/>
            <w:bCs w:val="1"/>
            <w:color w:val="auto"/>
          </w:rPr>
          <w:t>Part III</w:t>
        </w:r>
      </w:hyperlink>
    </w:p>
    <w:p>
      <w:pPr>
        <w:spacing w:after="0" w:line="223" w:lineRule="exact"/>
        <w:rPr>
          <w:sz w:val="20"/>
          <w:szCs w:val="20"/>
          <w:color w:val="auto"/>
        </w:rPr>
      </w:pPr>
    </w:p>
    <w:p>
      <w:pPr>
        <w:ind w:left="520"/>
        <w:spacing w:after="0"/>
        <w:rPr>
          <w:rFonts w:ascii="Arial" w:cs="Arial" w:eastAsia="Arial" w:hAnsi="Arial"/>
          <w:sz w:val="18"/>
          <w:szCs w:val="18"/>
          <w:color w:val="0000FF"/>
        </w:rPr>
      </w:pPr>
      <w:hyperlink w:anchor="page117">
        <w:r>
          <w:rPr>
            <w:rFonts w:ascii="Arial" w:cs="Arial" w:eastAsia="Arial" w:hAnsi="Arial"/>
            <w:sz w:val="18"/>
            <w:szCs w:val="18"/>
            <w:color w:val="0000FF"/>
          </w:rPr>
          <w:t>Item 10. Directors, Executive Officers and Corporate Governance</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17">
        <w:r>
          <w:rPr>
            <w:rFonts w:ascii="Arial" w:cs="Arial" w:eastAsia="Arial" w:hAnsi="Arial"/>
            <w:sz w:val="18"/>
            <w:szCs w:val="18"/>
            <w:color w:val="0000FF"/>
          </w:rPr>
          <w:t>Item 11. Executive Compensation</w:t>
        </w:r>
      </w:hyperlink>
    </w:p>
    <w:p>
      <w:pPr>
        <w:spacing w:after="0" w:line="217" w:lineRule="exact"/>
        <w:rPr>
          <w:sz w:val="20"/>
          <w:szCs w:val="20"/>
          <w:color w:val="auto"/>
        </w:rPr>
      </w:pPr>
    </w:p>
    <w:p>
      <w:pPr>
        <w:ind w:left="520"/>
        <w:spacing w:after="0"/>
        <w:rPr>
          <w:rFonts w:ascii="Arial" w:cs="Arial" w:eastAsia="Arial" w:hAnsi="Arial"/>
          <w:sz w:val="17"/>
          <w:szCs w:val="17"/>
          <w:color w:val="0000FF"/>
        </w:rPr>
      </w:pPr>
      <w:hyperlink w:anchor="page117">
        <w:r>
          <w:rPr>
            <w:rFonts w:ascii="Arial" w:cs="Arial" w:eastAsia="Arial" w:hAnsi="Arial"/>
            <w:sz w:val="17"/>
            <w:szCs w:val="17"/>
            <w:color w:val="0000FF"/>
          </w:rPr>
          <w:t>Item 12. Security Ownership of Certain Beneficial Owners and Management and Related Stockholder Matters</w:t>
        </w:r>
      </w:hyperlink>
    </w:p>
    <w:p>
      <w:pPr>
        <w:spacing w:after="0" w:line="229" w:lineRule="exact"/>
        <w:rPr>
          <w:sz w:val="20"/>
          <w:szCs w:val="20"/>
          <w:color w:val="auto"/>
        </w:rPr>
      </w:pPr>
    </w:p>
    <w:p>
      <w:pPr>
        <w:ind w:left="520"/>
        <w:spacing w:after="0"/>
        <w:rPr>
          <w:rFonts w:ascii="Arial" w:cs="Arial" w:eastAsia="Arial" w:hAnsi="Arial"/>
          <w:sz w:val="18"/>
          <w:szCs w:val="18"/>
          <w:color w:val="0000FF"/>
        </w:rPr>
      </w:pPr>
      <w:hyperlink w:anchor="page117">
        <w:r>
          <w:rPr>
            <w:rFonts w:ascii="Arial" w:cs="Arial" w:eastAsia="Arial" w:hAnsi="Arial"/>
            <w:sz w:val="18"/>
            <w:szCs w:val="18"/>
            <w:color w:val="0000FF"/>
          </w:rPr>
          <w:t>Item 13. Certain Relationships and Related Transactions, and Director Independence</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17">
        <w:r>
          <w:rPr>
            <w:rFonts w:ascii="Arial" w:cs="Arial" w:eastAsia="Arial" w:hAnsi="Arial"/>
            <w:sz w:val="18"/>
            <w:szCs w:val="18"/>
            <w:color w:val="0000FF"/>
          </w:rPr>
          <w:t>Item 14. Principal Accounting Fees and Services</w:t>
        </w:r>
      </w:hyperlink>
    </w:p>
    <w:p>
      <w:pPr>
        <w:spacing w:after="0" w:line="211" w:lineRule="exact"/>
        <w:rPr>
          <w:sz w:val="20"/>
          <w:szCs w:val="20"/>
          <w:color w:val="auto"/>
        </w:rPr>
      </w:pPr>
    </w:p>
    <w:p>
      <w:pPr>
        <w:spacing w:after="0"/>
        <w:rPr>
          <w:rFonts w:ascii="Arial" w:cs="Arial" w:eastAsia="Arial" w:hAnsi="Arial"/>
          <w:sz w:val="18"/>
          <w:szCs w:val="18"/>
          <w:b w:val="1"/>
          <w:bCs w:val="1"/>
          <w:color w:val="auto"/>
        </w:rPr>
      </w:pPr>
      <w:hyperlink w:anchor="page117">
        <w:r>
          <w:rPr>
            <w:rFonts w:ascii="Arial" w:cs="Arial" w:eastAsia="Arial" w:hAnsi="Arial"/>
            <w:sz w:val="18"/>
            <w:szCs w:val="18"/>
            <w:b w:val="1"/>
            <w:bCs w:val="1"/>
            <w:color w:val="auto"/>
          </w:rPr>
          <w:t>Part IV</w:t>
        </w:r>
      </w:hyperlink>
    </w:p>
    <w:p>
      <w:pPr>
        <w:spacing w:after="0" w:line="223" w:lineRule="exact"/>
        <w:rPr>
          <w:sz w:val="20"/>
          <w:szCs w:val="20"/>
          <w:color w:val="auto"/>
        </w:rPr>
      </w:pPr>
    </w:p>
    <w:p>
      <w:pPr>
        <w:ind w:left="520"/>
        <w:spacing w:after="0"/>
        <w:rPr>
          <w:rFonts w:ascii="Arial" w:cs="Arial" w:eastAsia="Arial" w:hAnsi="Arial"/>
          <w:sz w:val="18"/>
          <w:szCs w:val="18"/>
          <w:color w:val="0000FF"/>
        </w:rPr>
      </w:pPr>
      <w:hyperlink w:anchor="page118">
        <w:r>
          <w:rPr>
            <w:rFonts w:ascii="Arial" w:cs="Arial" w:eastAsia="Arial" w:hAnsi="Arial"/>
            <w:sz w:val="18"/>
            <w:szCs w:val="18"/>
            <w:color w:val="0000FF"/>
          </w:rPr>
          <w:t>Item 15. Exhibits, Financial Statement Schedules</w:t>
        </w:r>
      </w:hyperlink>
    </w:p>
    <w:p>
      <w:pPr>
        <w:spacing w:after="0" w:line="217" w:lineRule="exact"/>
        <w:rPr>
          <w:sz w:val="20"/>
          <w:szCs w:val="20"/>
          <w:color w:val="auto"/>
        </w:rPr>
      </w:pPr>
    </w:p>
    <w:p>
      <w:pPr>
        <w:ind w:left="520"/>
        <w:spacing w:after="0"/>
        <w:rPr>
          <w:rFonts w:ascii="Arial" w:cs="Arial" w:eastAsia="Arial" w:hAnsi="Arial"/>
          <w:sz w:val="18"/>
          <w:szCs w:val="18"/>
          <w:color w:val="0000FF"/>
        </w:rPr>
      </w:pPr>
      <w:hyperlink w:anchor="page120">
        <w:r>
          <w:rPr>
            <w:rFonts w:ascii="Arial" w:cs="Arial" w:eastAsia="Arial" w:hAnsi="Arial"/>
            <w:sz w:val="18"/>
            <w:szCs w:val="18"/>
            <w:color w:val="0000FF"/>
          </w:rPr>
          <w:t>Item 16. Form 10-K Summary</w:t>
        </w:r>
      </w:hyperlink>
    </w:p>
    <w:p>
      <w:pPr>
        <w:spacing w:after="0" w:line="211" w:lineRule="exact"/>
        <w:rPr>
          <w:sz w:val="20"/>
          <w:szCs w:val="20"/>
          <w:color w:val="auto"/>
        </w:rPr>
      </w:pPr>
    </w:p>
    <w:p>
      <w:pPr>
        <w:spacing w:after="0"/>
        <w:rPr>
          <w:rFonts w:ascii="Arial" w:cs="Arial" w:eastAsia="Arial" w:hAnsi="Arial"/>
          <w:sz w:val="18"/>
          <w:szCs w:val="18"/>
          <w:b w:val="1"/>
          <w:bCs w:val="1"/>
          <w:color w:val="auto"/>
        </w:rPr>
      </w:pPr>
      <w:hyperlink w:anchor="page121">
        <w:r>
          <w:rPr>
            <w:rFonts w:ascii="Arial" w:cs="Arial" w:eastAsia="Arial" w:hAnsi="Arial"/>
            <w:sz w:val="18"/>
            <w:szCs w:val="18"/>
            <w:b w:val="1"/>
            <w:bCs w:val="1"/>
            <w:color w:val="auto"/>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w:t>
      </w:r>
    </w:p>
    <w:p>
      <w:pPr>
        <w:spacing w:after="0" w:line="200" w:lineRule="exact"/>
        <w:rPr>
          <w:sz w:val="20"/>
          <w:szCs w:val="20"/>
          <w:color w:val="auto"/>
        </w:rPr>
      </w:pPr>
    </w:p>
    <w:p>
      <w:pPr>
        <w:spacing w:after="0" w:line="376" w:lineRule="exact"/>
        <w:rPr>
          <w:sz w:val="20"/>
          <w:szCs w:val="20"/>
          <w:color w:val="auto"/>
        </w:rPr>
      </w:pPr>
    </w:p>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74">
        <w:r>
          <w:rPr>
            <w:rFonts w:ascii="Arial" w:cs="Arial" w:eastAsia="Arial" w:hAnsi="Arial"/>
            <w:sz w:val="18"/>
            <w:szCs w:val="18"/>
            <w:color w:val="auto"/>
          </w:rPr>
          <w:t>75</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85">
        <w:r>
          <w:rPr>
            <w:rFonts w:ascii="Arial" w:cs="Arial" w:eastAsia="Arial" w:hAnsi="Arial"/>
            <w:sz w:val="18"/>
            <w:szCs w:val="18"/>
            <w:color w:val="auto"/>
          </w:rPr>
          <w:t>86</w:t>
        </w:r>
      </w:hyperlink>
    </w:p>
    <w:p>
      <w:pPr>
        <w:spacing w:after="0" w:line="217" w:lineRule="exact"/>
        <w:rPr>
          <w:sz w:val="20"/>
          <w:szCs w:val="20"/>
          <w:color w:val="auto"/>
        </w:rPr>
      </w:pPr>
    </w:p>
    <w:p>
      <w:pPr>
        <w:ind w:left="8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p>
      <w:pPr>
        <w:spacing w:after="0" w:line="217" w:lineRule="exact"/>
        <w:rPr>
          <w:sz w:val="20"/>
          <w:szCs w:val="20"/>
          <w:color w:val="auto"/>
        </w:rPr>
      </w:pPr>
    </w:p>
    <w:p>
      <w:pPr>
        <w:jc w:val="right"/>
        <w:spacing w:after="0"/>
        <w:rPr>
          <w:rFonts w:ascii="Arial" w:cs="Arial" w:eastAsia="Arial" w:hAnsi="Arial"/>
          <w:sz w:val="17"/>
          <w:szCs w:val="17"/>
          <w:color w:val="auto"/>
        </w:rPr>
      </w:pPr>
      <w:hyperlink w:anchor="page114">
        <w:r>
          <w:rPr>
            <w:rFonts w:ascii="Arial" w:cs="Arial" w:eastAsia="Arial" w:hAnsi="Arial"/>
            <w:sz w:val="17"/>
            <w:szCs w:val="17"/>
            <w:color w:val="auto"/>
          </w:rPr>
          <w:t>115</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5">
        <w:r>
          <w:rPr>
            <w:rFonts w:ascii="Arial" w:cs="Arial" w:eastAsia="Arial" w:hAnsi="Arial"/>
            <w:sz w:val="17"/>
            <w:szCs w:val="17"/>
            <w:color w:val="auto"/>
          </w:rPr>
          <w:t>115</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6">
        <w:r>
          <w:rPr>
            <w:rFonts w:ascii="Arial" w:cs="Arial" w:eastAsia="Arial" w:hAnsi="Arial"/>
            <w:sz w:val="17"/>
            <w:szCs w:val="17"/>
            <w:color w:val="auto"/>
          </w:rPr>
          <w:t>116</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rFonts w:ascii="Arial" w:cs="Arial" w:eastAsia="Arial" w:hAnsi="Arial"/>
          <w:sz w:val="17"/>
          <w:szCs w:val="17"/>
          <w:color w:val="auto"/>
        </w:rPr>
      </w:pPr>
      <w:hyperlink w:anchor="page117">
        <w:r>
          <w:rPr>
            <w:rFonts w:ascii="Arial" w:cs="Arial" w:eastAsia="Arial" w:hAnsi="Arial"/>
            <w:sz w:val="17"/>
            <w:szCs w:val="17"/>
            <w:color w:val="auto"/>
          </w:rPr>
          <w:t>117</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7">
        <w:r>
          <w:rPr>
            <w:rFonts w:ascii="Arial" w:cs="Arial" w:eastAsia="Arial" w:hAnsi="Arial"/>
            <w:sz w:val="17"/>
            <w:szCs w:val="17"/>
            <w:color w:val="auto"/>
          </w:rPr>
          <w:t>117</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7">
        <w:r>
          <w:rPr>
            <w:rFonts w:ascii="Arial" w:cs="Arial" w:eastAsia="Arial" w:hAnsi="Arial"/>
            <w:sz w:val="17"/>
            <w:szCs w:val="17"/>
            <w:color w:val="auto"/>
          </w:rPr>
          <w:t>117</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7">
        <w:r>
          <w:rPr>
            <w:rFonts w:ascii="Arial" w:cs="Arial" w:eastAsia="Arial" w:hAnsi="Arial"/>
            <w:sz w:val="17"/>
            <w:szCs w:val="17"/>
            <w:color w:val="auto"/>
          </w:rPr>
          <w:t>117</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17">
        <w:r>
          <w:rPr>
            <w:rFonts w:ascii="Arial" w:cs="Arial" w:eastAsia="Arial" w:hAnsi="Arial"/>
            <w:sz w:val="17"/>
            <w:szCs w:val="17"/>
            <w:color w:val="auto"/>
          </w:rPr>
          <w:t>117</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rFonts w:ascii="Arial" w:cs="Arial" w:eastAsia="Arial" w:hAnsi="Arial"/>
          <w:sz w:val="17"/>
          <w:szCs w:val="17"/>
          <w:color w:val="auto"/>
        </w:rPr>
      </w:pPr>
      <w:hyperlink w:anchor="page118">
        <w:r>
          <w:rPr>
            <w:rFonts w:ascii="Arial" w:cs="Arial" w:eastAsia="Arial" w:hAnsi="Arial"/>
            <w:sz w:val="17"/>
            <w:szCs w:val="17"/>
            <w:color w:val="auto"/>
          </w:rPr>
          <w:t>118</w:t>
        </w:r>
      </w:hyperlink>
    </w:p>
    <w:p>
      <w:pPr>
        <w:spacing w:after="0" w:line="229" w:lineRule="exact"/>
        <w:rPr>
          <w:sz w:val="20"/>
          <w:szCs w:val="20"/>
          <w:color w:val="auto"/>
        </w:rPr>
      </w:pPr>
    </w:p>
    <w:p>
      <w:pPr>
        <w:jc w:val="right"/>
        <w:spacing w:after="0"/>
        <w:rPr>
          <w:rFonts w:ascii="Arial" w:cs="Arial" w:eastAsia="Arial" w:hAnsi="Arial"/>
          <w:sz w:val="17"/>
          <w:szCs w:val="17"/>
          <w:color w:val="auto"/>
        </w:rPr>
      </w:pPr>
      <w:hyperlink w:anchor="page120">
        <w:r>
          <w:rPr>
            <w:rFonts w:ascii="Arial" w:cs="Arial" w:eastAsia="Arial" w:hAnsi="Arial"/>
            <w:sz w:val="17"/>
            <w:szCs w:val="17"/>
            <w:color w:val="auto"/>
          </w:rPr>
          <w:t>121</w:t>
        </w:r>
      </w:hyperlink>
    </w:p>
    <w:p>
      <w:pPr>
        <w:spacing w:after="0" w:line="550" w:lineRule="exact"/>
        <w:rPr>
          <w:sz w:val="20"/>
          <w:szCs w:val="20"/>
          <w:color w:val="auto"/>
        </w:rPr>
      </w:pPr>
    </w:p>
    <w:p>
      <w:pPr>
        <w:sectPr>
          <w:pgSz w:w="11900" w:h="16838" w:orient="portrait"/>
          <w:cols w:equalWidth="0" w:num="2">
            <w:col w:w="9660" w:space="720"/>
            <w:col w:w="300"/>
          </w:cols>
          <w:pgMar w:left="980" w:top="1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177165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80"/>
          </w:cols>
          <w:pgMar w:left="980" w:top="1119" w:right="239" w:bottom="1440" w:gutter="0" w:footer="0" w:header="0"/>
          <w:type w:val="continuous"/>
        </w:sectPr>
      </w:pPr>
    </w:p>
    <w:bookmarkStart w:id="3" w:name="page4"/>
    <w:bookmarkEnd w:id="3"/>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1" w:lineRule="exact"/>
        <w:rPr>
          <w:sz w:val="20"/>
          <w:szCs w:val="20"/>
          <w:color w:val="auto"/>
        </w:rPr>
      </w:pPr>
    </w:p>
    <w:p>
      <w:pPr>
        <w:ind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right="3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ind w:right="440" w:firstLine="324"/>
        <w:spacing w:after="0" w:line="255"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(as defined in Part I, Item 1, in this Annual Report on Form 10-K), which may be affected by, among other things, competition, our ability to grow and manage future growth effectively, and our ability to retain our key employees;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9"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01"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Part 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BUSINESS COMBINATION</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9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98"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4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12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p>
      <w:pPr>
        <w:ind w:right="120"/>
        <w:spacing w:after="0" w:line="252" w:lineRule="auto"/>
        <w:rPr>
          <w:sz w:val="20"/>
          <w:szCs w:val="20"/>
          <w:color w:val="auto"/>
        </w:rPr>
      </w:pPr>
      <w:r>
        <w:rPr>
          <w:rFonts w:ascii="Arial" w:cs="Arial" w:eastAsia="Arial" w:hAnsi="Arial"/>
          <w:sz w:val="18"/>
          <w:szCs w:val="18"/>
          <w:color w:val="auto"/>
        </w:rPr>
        <w:t>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8"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93"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12"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partnerships with Genentech, Amgen, and The University of Texas MD Anderson Cancer Research Center.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 w:name="page8"/>
    <w:bookmarkEnd w:id="7"/>
    <w:p>
      <w:pPr>
        <w:ind w:right="40"/>
        <w:spacing w:after="0" w:line="318" w:lineRule="auto"/>
        <w:rPr>
          <w:sz w:val="20"/>
          <w:szCs w:val="20"/>
          <w:color w:val="auto"/>
        </w:rPr>
      </w:pPr>
      <w:r>
        <w:rPr>
          <w:rFonts w:ascii="Arial" w:cs="Arial" w:eastAsia="Arial" w:hAnsi="Arial"/>
          <w:sz w:val="15"/>
          <w:szCs w:val="15"/>
          <w:color w:val="auto"/>
        </w:rPr>
        <w:t>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93"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2021 we were comprised of approximately 113 employees, with 36 of such employees holding a Ph.D. Our organization is driven by the pursuit of deep, hard science, and our Scientific Advisory Board is comprised of world-renowned scientific leaders that support our vision.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0" w:lineRule="exact"/>
        <w:rPr>
          <w:sz w:val="20"/>
          <w:szCs w:val="20"/>
          <w:color w:val="auto"/>
        </w:rPr>
      </w:pPr>
    </w:p>
    <w:p>
      <w:pPr>
        <w:ind w:left="640" w:right="60" w:hanging="316"/>
        <w:spacing w:after="0" w:line="30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disruptive proteomics technology. </w:t>
      </w:r>
      <w:r>
        <w:rPr>
          <w:rFonts w:ascii="Arial" w:cs="Arial" w:eastAsia="Arial" w:hAnsi="Arial"/>
          <w:sz w:val="15"/>
          <w:szCs w:val="15"/>
          <w:color w:val="auto"/>
        </w:rPr>
        <w:t>Our Nautilus proteome analysis platform is designed to be a disruptive, single protein molecule analysis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01" w:lineRule="exact"/>
        <w:rPr>
          <w:rFonts w:ascii="Arial" w:cs="Arial" w:eastAsia="Arial" w:hAnsi="Arial"/>
          <w:sz w:val="15"/>
          <w:szCs w:val="15"/>
          <w:color w:val="auto"/>
        </w:rPr>
      </w:pPr>
    </w:p>
    <w:p>
      <w:pPr>
        <w:ind w:left="640" w:hanging="316"/>
        <w:spacing w:after="0" w:line="26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32" w:lineRule="exact"/>
        <w:rPr>
          <w:rFonts w:ascii="Arial" w:cs="Arial" w:eastAsia="Arial" w:hAnsi="Arial"/>
          <w:sz w:val="17"/>
          <w:szCs w:val="17"/>
          <w:color w:val="auto"/>
        </w:rPr>
      </w:pPr>
    </w:p>
    <w:p>
      <w:pPr>
        <w:ind w:left="640" w:right="120" w:hanging="316"/>
        <w:spacing w:after="0" w:line="26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Open and customizable technology platform. </w:t>
      </w:r>
      <w:r>
        <w:rPr>
          <w:rFonts w:ascii="Arial" w:cs="Arial" w:eastAsia="Arial" w:hAnsi="Arial"/>
          <w:sz w:val="17"/>
          <w:szCs w:val="17"/>
          <w:color w:val="auto"/>
        </w:rPr>
        <w:t>Our Nautilus platform is designed to be compatible with a wide variety of affinity binding reagents.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this flexibility allows the system to be ‘tuned’ in response to the profile of binding reagents introduced. With a labeling kit, our system is designed to be able to use a wide range of reagents that have been created by biopharma, academia, or leading commercial affinity reagent manufacturers. It also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Nautilus with antibodies additive to the affinity reagents we are creating internally and serves to highlight the flexible nature of our technology.</w:t>
      </w:r>
    </w:p>
    <w:p>
      <w:pPr>
        <w:spacing w:after="0" w:line="132" w:lineRule="exact"/>
        <w:rPr>
          <w:rFonts w:ascii="Arial" w:cs="Arial" w:eastAsia="Arial" w:hAnsi="Arial"/>
          <w:sz w:val="17"/>
          <w:szCs w:val="17"/>
          <w:color w:val="auto"/>
        </w:rPr>
      </w:pPr>
    </w:p>
    <w:p>
      <w:pPr>
        <w:ind w:left="640" w:right="80" w:hanging="316"/>
        <w:spacing w:after="0" w:line="306"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Immense data production capacity coupled with machine learning can unlock new proteomic insights. </w:t>
      </w:r>
      <w:r>
        <w:rPr>
          <w:rFonts w:ascii="Arial" w:cs="Arial" w:eastAsia="Arial" w:hAnsi="Arial"/>
          <w:sz w:val="15"/>
          <w:szCs w:val="15"/>
          <w:color w:val="auto"/>
        </w:rPr>
        <w:t>We have designed the Nautilus platform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03" w:lineRule="exact"/>
        <w:rPr>
          <w:rFonts w:ascii="Arial" w:cs="Arial" w:eastAsia="Arial" w:hAnsi="Arial"/>
          <w:sz w:val="15"/>
          <w:szCs w:val="15"/>
          <w:color w:val="auto"/>
        </w:rPr>
      </w:pPr>
    </w:p>
    <w:p>
      <w:pPr>
        <w:ind w:left="640" w:right="12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 model with clear market entry point, designed to support a wide variety of customers and applications. </w:t>
      </w:r>
      <w:r>
        <w:rPr>
          <w:rFonts w:ascii="Arial" w:cs="Arial" w:eastAsia="Arial" w:hAnsi="Arial"/>
          <w:sz w:val="18"/>
          <w:szCs w:val="18"/>
          <w:color w:val="auto"/>
        </w:rPr>
        <w:t>Many successful life sciences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tools companies with disruptive technology have employed a business model similar to our planned commercial model. However, we believe a key advantage for us is the near-term commercial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8" w:name="page9"/>
    <w:bookmarkEnd w:id="8"/>
    <w:p>
      <w:pPr>
        <w:ind w:left="640" w:right="240"/>
        <w:spacing w:after="0" w:line="309" w:lineRule="auto"/>
        <w:rPr>
          <w:sz w:val="20"/>
          <w:szCs w:val="20"/>
          <w:color w:val="auto"/>
        </w:rPr>
      </w:pPr>
      <w:r>
        <w:rPr>
          <w:rFonts w:ascii="Arial" w:cs="Arial" w:eastAsia="Arial" w:hAnsi="Arial"/>
          <w:sz w:val="15"/>
          <w:szCs w:val="15"/>
          <w:color w:val="auto"/>
        </w:rPr>
        <w:t>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were estimated to spend approximately $195 billion in 2021 in R&amp;D activities across a variety of settings, from basic sciences to translational and clinical research.</w:t>
      </w:r>
    </w:p>
    <w:p>
      <w:pPr>
        <w:spacing w:after="0" w:line="99" w:lineRule="exact"/>
        <w:rPr>
          <w:sz w:val="20"/>
          <w:szCs w:val="20"/>
          <w:color w:val="auto"/>
        </w:rPr>
      </w:pPr>
    </w:p>
    <w:p>
      <w:pPr>
        <w:ind w:left="640" w:right="120" w:hanging="316"/>
        <w:spacing w:after="0" w:line="306"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5"/>
          <w:szCs w:val="15"/>
          <w:color w:val="auto"/>
        </w:rPr>
        <w:t>The global proteomics market is estimated to be approximately $25 billion annually as of 2021 and is expected to grow at an estimated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03" w:lineRule="exact"/>
        <w:rPr>
          <w:rFonts w:ascii="Arial" w:cs="Arial" w:eastAsia="Arial" w:hAnsi="Arial"/>
          <w:sz w:val="15"/>
          <w:szCs w:val="15"/>
          <w:color w:val="auto"/>
        </w:rPr>
      </w:pPr>
    </w:p>
    <w:p>
      <w:pPr>
        <w:ind w:left="640" w:right="20" w:hanging="316"/>
        <w:spacing w:after="0" w:line="30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5"/>
          <w:szCs w:val="15"/>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0" w:lineRule="exact"/>
        <w:rPr>
          <w:sz w:val="20"/>
          <w:szCs w:val="20"/>
          <w:color w:val="auto"/>
        </w:rPr>
      </w:pPr>
    </w:p>
    <w:p>
      <w:pPr>
        <w:ind w:left="640" w:right="60" w:hanging="316"/>
        <w:spacing w:after="0" w:line="30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adoption of our Nautilus platform by providing the life sciences industry with access to the proteome. </w:t>
      </w:r>
      <w:r>
        <w:rPr>
          <w:rFonts w:ascii="Arial" w:cs="Arial" w:eastAsia="Arial" w:hAnsi="Arial"/>
          <w:sz w:val="15"/>
          <w:szCs w:val="15"/>
          <w:color w:val="auto"/>
        </w:rPr>
        <w:t>We believe our Nautilus platform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and others) and research organizations where we aim to jointly publish data and validate our Nautilus platform, followed by a pre-sales or early access program to drive awareness and demand, and finally culminating in a full commercial launch.</w:t>
      </w:r>
    </w:p>
    <w:p>
      <w:pPr>
        <w:spacing w:after="0" w:line="101" w:lineRule="exact"/>
        <w:rPr>
          <w:rFonts w:ascii="Arial" w:cs="Arial" w:eastAsia="Arial" w:hAnsi="Arial"/>
          <w:sz w:val="15"/>
          <w:szCs w:val="15"/>
          <w:color w:val="auto"/>
        </w:rPr>
      </w:pPr>
    </w:p>
    <w:p>
      <w:pPr>
        <w:ind w:left="640" w:hanging="316"/>
        <w:spacing w:after="0" w:line="24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42" w:lineRule="exact"/>
        <w:rPr>
          <w:rFonts w:ascii="Arial" w:cs="Arial" w:eastAsia="Arial" w:hAnsi="Arial"/>
          <w:sz w:val="18"/>
          <w:szCs w:val="18"/>
          <w:color w:val="auto"/>
        </w:rPr>
      </w:pPr>
    </w:p>
    <w:p>
      <w:pPr>
        <w:ind w:left="640" w:right="40" w:hanging="316"/>
        <w:spacing w:after="0" w:line="268"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is comprised of many off the shelf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9" w:name="page10"/>
    <w:bookmarkEnd w:id="9"/>
    <w:p>
      <w:pPr>
        <w:ind w:left="640" w:right="200"/>
        <w:spacing w:after="0" w:line="264" w:lineRule="auto"/>
        <w:rPr>
          <w:sz w:val="20"/>
          <w:szCs w:val="20"/>
          <w:color w:val="auto"/>
        </w:rPr>
      </w:pPr>
      <w:r>
        <w:rPr>
          <w:rFonts w:ascii="Arial" w:cs="Arial" w:eastAsia="Arial" w:hAnsi="Arial"/>
          <w:sz w:val="18"/>
          <w:szCs w:val="18"/>
          <w:color w:val="auto"/>
        </w:rPr>
        <w:t>for our products, including expanding our outsourced manufacturing and supply to multiple suppliers to ensure our quality and production capacity will meet our commercial plan.</w:t>
      </w:r>
    </w:p>
    <w:p>
      <w:pPr>
        <w:spacing w:after="0" w:line="128" w:lineRule="exact"/>
        <w:rPr>
          <w:sz w:val="20"/>
          <w:szCs w:val="20"/>
          <w:color w:val="auto"/>
        </w:rPr>
      </w:pPr>
    </w:p>
    <w:p>
      <w:pPr>
        <w:ind w:left="640" w:right="60" w:hanging="316"/>
        <w:spacing w:after="0" w:line="309"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5"/>
          <w:szCs w:val="15"/>
          <w:color w:val="auto"/>
        </w:rPr>
        <w:t>Our Nautilus platform is compatible with a wide variety of protein affinity binding reagents, which we believe will allow us to create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98" w:lineRule="exact"/>
        <w:rPr>
          <w:rFonts w:ascii="Arial" w:cs="Arial" w:eastAsia="Arial" w:hAnsi="Arial"/>
          <w:sz w:val="15"/>
          <w:szCs w:val="15"/>
          <w:color w:val="auto"/>
        </w:rPr>
      </w:pPr>
    </w:p>
    <w:p>
      <w:pPr>
        <w:ind w:left="640" w:hanging="316"/>
        <w:spacing w:after="0" w:line="265"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8"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8" w:lineRule="exact"/>
        <w:rPr>
          <w:sz w:val="20"/>
          <w:szCs w:val="20"/>
          <w:color w:val="auto"/>
        </w:rPr>
      </w:pPr>
    </w:p>
    <w:p>
      <w:pPr>
        <w:ind w:left="640" w:right="38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rarest proteins involved in disease may increase the likelihood of identifying new drug targets.</w:t>
      </w:r>
    </w:p>
    <w:p>
      <w:pPr>
        <w:spacing w:after="0" w:line="127" w:lineRule="exact"/>
        <w:rPr>
          <w:rFonts w:ascii="Arial" w:cs="Arial" w:eastAsia="Arial" w:hAnsi="Arial"/>
          <w:sz w:val="18"/>
          <w:szCs w:val="18"/>
          <w:color w:val="auto"/>
        </w:rPr>
      </w:pPr>
    </w:p>
    <w:p>
      <w:pPr>
        <w:ind w:left="640" w:right="8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Patient stratification</w:t>
      </w:r>
      <w:r>
        <w:rPr>
          <w:rFonts w:ascii="Arial" w:cs="Arial" w:eastAsia="Arial" w:hAnsi="Arial"/>
          <w:sz w:val="18"/>
          <w:szCs w:val="18"/>
          <w:color w:val="auto"/>
        </w:rPr>
        <w:t>. 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 the efficacy and safety of ongoing treatments.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before they develop.</w:t>
      </w:r>
    </w:p>
    <w:p>
      <w:pPr>
        <w:spacing w:after="0" w:line="128" w:lineRule="exact"/>
        <w:rPr>
          <w:sz w:val="20"/>
          <w:szCs w:val="20"/>
          <w:color w:val="auto"/>
        </w:rPr>
      </w:pPr>
    </w:p>
    <w:p>
      <w:pPr>
        <w:ind w:right="360" w:firstLine="318"/>
        <w:spacing w:after="0" w:line="294"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MARKET OPPORTUNITY</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164"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Since 2002, global R&amp;D expenditure has increased close to three-fold and is expected to reach approximately $230 billion by 2026 according to EvaluatePharma’s 2020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9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29" w:lineRule="exact"/>
        <w:rPr>
          <w:sz w:val="20"/>
          <w:szCs w:val="20"/>
          <w:color w:val="auto"/>
        </w:rPr>
      </w:pPr>
    </w:p>
    <w:p>
      <w:pPr>
        <w:ind w:right="520" w:firstLine="318"/>
        <w:spacing w:after="0" w:line="252"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4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1" w:name="page12"/>
    <w:bookmarkEnd w:id="11"/>
    <w:p>
      <w:pPr>
        <w:ind w:right="660"/>
        <w:spacing w:after="0" w:line="264" w:lineRule="auto"/>
        <w:rPr>
          <w:sz w:val="20"/>
          <w:szCs w:val="20"/>
          <w:color w:val="auto"/>
        </w:rPr>
      </w:pPr>
      <w:r>
        <w:rPr>
          <w:rFonts w:ascii="Arial" w:cs="Arial" w:eastAsia="Arial" w:hAnsi="Arial"/>
          <w:sz w:val="18"/>
          <w:szCs w:val="18"/>
          <w:color w:val="auto"/>
        </w:rPr>
        <w:t>exhibits great diversity across cells and tissues. This complexity, which governs all biological processes, both healthy and sick, cannot be captured or characterized routinely by current methods.</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01"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793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5018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8"/>
          <w:szCs w:val="18"/>
          <w:color w:val="auto"/>
        </w:rPr>
        <w:t>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111760</wp:posOffset>
            </wp:positionV>
            <wp:extent cx="5250180" cy="2372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018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4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41" w:right="4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669290</wp:posOffset>
            </wp:positionV>
            <wp:extent cx="5241925" cy="270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4192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Mass Spectrometry-based Approaches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 today.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20"/>
        <w:spacing w:after="0" w:line="267" w:lineRule="auto"/>
        <w:rPr>
          <w:sz w:val="20"/>
          <w:szCs w:val="20"/>
          <w:color w:val="auto"/>
        </w:rPr>
      </w:pPr>
      <w:r>
        <w:rPr>
          <w:rFonts w:ascii="Arial" w:cs="Arial" w:eastAsia="Arial" w:hAnsi="Arial"/>
          <w:sz w:val="17"/>
          <w:szCs w:val="17"/>
          <w:color w:val="auto"/>
        </w:rPr>
        <w:t>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20" w:lineRule="exact"/>
        <w:rPr>
          <w:sz w:val="20"/>
          <w:szCs w:val="20"/>
          <w:color w:val="auto"/>
        </w:rPr>
      </w:pPr>
    </w:p>
    <w:p>
      <w:pPr>
        <w:jc w:val="center"/>
        <w:ind w:right="8820"/>
        <w:spacing w:after="0"/>
        <w:rPr>
          <w:sz w:val="20"/>
          <w:szCs w:val="20"/>
          <w:color w:val="auto"/>
        </w:rPr>
      </w:pPr>
      <w:r>
        <w:rPr>
          <w:rFonts w:ascii="Arial" w:cs="Arial" w:eastAsia="Arial" w:hAnsi="Arial"/>
          <w:sz w:val="17"/>
          <w:szCs w:val="17"/>
          <w:b w:val="1"/>
          <w:bCs w:val="1"/>
          <w:color w:val="auto"/>
        </w:rPr>
        <w:t>THE NAUTILUS APPROACH</w:t>
      </w:r>
    </w:p>
    <w:p>
      <w:pPr>
        <w:spacing w:after="0" w:line="182"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6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43"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objectives: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28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Nautilus Platform Benefit:</w:t>
            </w:r>
          </w:p>
        </w:tc>
      </w:tr>
      <w:tr>
        <w:trPr>
          <w:trHeight w:val="24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Easy-to-Use</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Any Lab Can Run It</w:t>
            </w:r>
          </w:p>
        </w:tc>
      </w:tr>
      <w:tr>
        <w:trPr>
          <w:trHeight w:val="26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Sensitivity and Dynamic Range</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Comprehensive Measurement</w:t>
            </w:r>
          </w:p>
        </w:tc>
      </w:tr>
      <w:tr>
        <w:trPr>
          <w:trHeight w:val="26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6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6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Scalable and Flexible</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Accommodates Low &amp; High Throughput</w:t>
            </w:r>
          </w:p>
        </w:tc>
      </w:tr>
      <w:tr>
        <w:trPr>
          <w:trHeight w:val="265"/>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Complete</w:t>
            </w:r>
          </w:p>
        </w:tc>
        <w:tc>
          <w:tcPr>
            <w:tcW w:w="2280" w:type="dxa"/>
            <w:vAlign w:val="bottom"/>
          </w:tcPr>
          <w:p>
            <w:pPr>
              <w:jc w:val="right"/>
              <w:ind w:right="1012"/>
              <w:spacing w:after="0"/>
              <w:rPr>
                <w:sz w:val="20"/>
                <w:szCs w:val="20"/>
                <w:color w:val="auto"/>
              </w:rPr>
            </w:pPr>
            <w:r>
              <w:rPr>
                <w:rFonts w:ascii="Arial" w:cs="Arial" w:eastAsia="Arial" w:hAnsi="Arial"/>
                <w:sz w:val="18"/>
                <w:szCs w:val="18"/>
                <w:b w:val="1"/>
                <w:bCs w:val="1"/>
                <w:i w:val="1"/>
                <w:iCs w:val="1"/>
                <w:color w:val="auto"/>
              </w:rPr>
              <w:t>è</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No Missing Data</w:t>
            </w:r>
          </w:p>
        </w:tc>
      </w:tr>
    </w:tbl>
    <w:p>
      <w:pPr>
        <w:spacing w:after="0" w:line="24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15" w:name="page16"/>
    <w:bookmarkEnd w:id="15"/>
    <w:p>
      <w:pPr>
        <w:ind w:right="380" w:firstLine="318"/>
        <w:spacing w:after="0" w:line="264"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28"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In order to fully support the wide-ranging needs of our future customers, the platform can also support multiple run configurations. Our design accommodates both low throughput and high throughput run configurations, and will also employ in-lane sample multiplexing to enable our customers to meet the high-volume data production needs of large-scale studies or core facilities.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64" w:lineRule="exact"/>
        <w:rPr>
          <w:sz w:val="20"/>
          <w:szCs w:val="20"/>
          <w:color w:val="auto"/>
        </w:rPr>
      </w:pPr>
    </w:p>
    <w:p>
      <w:pPr>
        <w:ind w:right="420" w:firstLine="318"/>
        <w:spacing w:after="0" w:line="271" w:lineRule="auto"/>
        <w:rPr>
          <w:sz w:val="20"/>
          <w:szCs w:val="20"/>
          <w:color w:val="auto"/>
        </w:rPr>
      </w:pPr>
      <w:r>
        <w:rPr>
          <w:rFonts w:ascii="Arial" w:cs="Arial" w:eastAsia="Arial" w:hAnsi="Arial"/>
          <w:sz w:val="17"/>
          <w:szCs w:val="17"/>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Single Protein Molecule Flow Cell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Proteome Analysis System: An Integrated Multi-cycle Optical and Fluidics Instrument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6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 Protein Molecule Flow Cell</w:t>
      </w:r>
    </w:p>
    <w:p>
      <w:pPr>
        <w:spacing w:after="0" w:line="16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0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32"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1165860</wp:posOffset>
            </wp:positionH>
            <wp:positionV relativeFrom="page">
              <wp:posOffset>669290</wp:posOffset>
            </wp:positionV>
            <wp:extent cx="5224780" cy="2002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22478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below illustration). The attachment between the scaffold and the nanoarray surface is extremely robust, enabling scaffolds to persist through extensive reagent washing across many cycles.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93055" cy="255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3055"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318"/>
        <w:spacing w:after="0" w:line="264" w:lineRule="auto"/>
        <w:rPr>
          <w:sz w:val="20"/>
          <w:szCs w:val="20"/>
          <w:color w:val="auto"/>
        </w:rPr>
      </w:pPr>
      <w:r>
        <w:rPr>
          <w:rFonts w:ascii="Arial" w:cs="Arial" w:eastAsia="Arial" w:hAnsi="Arial"/>
          <w:sz w:val="18"/>
          <w:szCs w:val="18"/>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88900</wp:posOffset>
            </wp:positionV>
            <wp:extent cx="3786505" cy="295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8650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Proteome Analysis System: An Integrated Multi-cycle Optical and Fluidics Instrument</w:t>
      </w:r>
    </w:p>
    <w:p>
      <w:pPr>
        <w:spacing w:after="0" w:line="16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5468620" cy="317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862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4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3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4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4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Identifying the tens-of-thousands of different proteins in a proteome would require a prohibitively large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9" w:name="page20"/>
    <w:bookmarkEnd w:id="19"/>
    <w:p>
      <w:pPr>
        <w:ind w:right="60"/>
        <w:spacing w:after="0" w:line="265" w:lineRule="auto"/>
        <w:rPr>
          <w:sz w:val="20"/>
          <w:szCs w:val="20"/>
          <w:color w:val="auto"/>
        </w:rPr>
      </w:pPr>
      <w:r>
        <w:rPr>
          <w:rFonts w:ascii="Arial" w:cs="Arial" w:eastAsia="Arial" w:hAnsi="Arial"/>
          <w:sz w:val="17"/>
          <w:szCs w:val="17"/>
          <w:color w:val="auto"/>
        </w:rPr>
        <w:t>number of traditional highly specific affinity reagents. We therefore explored the possibility of using affinity reagents that bind short, linear epitopes (e.g., target protein sequences of 3-4 amino acids each) with moderate specificity, such that each affinity reagent binds many proteins that contain the short linear epitope target, each a “multi-affinity reagent”. While the binding of a single multi-affinity reagent is not sufficient to identify a given protein, sequential binding events using a series of multi-affinity reagents can create enough information that it is sufficiently powerful to accurately identify an exceptionally broad number of proteins present in a sample. In this approach, each new affinity reagent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reagents.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Technology Protein Identification with Increasing Multi-Affinity Reagent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111760</wp:posOffset>
            </wp:positionV>
            <wp:extent cx="5755005" cy="2633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5005" cy="263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Source: A theoretical framework for proteome-scale single-molecule protein identification using multi-affinity protein binding reagents. Jarrett 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Egertson, Dan DiPasquo, Alana Killeen, Vadim Lobanov, Sujal Patel, Parag Mallick bioRxiv 2021.10.11.463967.</w:t>
      </w:r>
    </w:p>
    <w:p>
      <w:pPr>
        <w:spacing w:after="0" w:line="153"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6"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5"/>
          <w:szCs w:val="15"/>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133985</wp:posOffset>
            </wp:positionV>
            <wp:extent cx="5468620" cy="2902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862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Internal Data</w:t>
      </w:r>
    </w:p>
    <w:p>
      <w:pPr>
        <w:spacing w:after="0" w:line="16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64"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93"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88900</wp:posOffset>
            </wp:positionV>
            <wp:extent cx="5469255" cy="732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9255"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within two hours, creating the prepared protein library.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1" w:name="page22"/>
    <w:bookmarkEnd w:id="21"/>
    <w:p>
      <w:pPr>
        <w:ind w:left="640" w:hanging="316"/>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64"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8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164" w:lineRule="exact"/>
        <w:rPr>
          <w:sz w:val="20"/>
          <w:szCs w:val="20"/>
          <w:color w:val="auto"/>
        </w:rPr>
      </w:pPr>
    </w:p>
    <w:p>
      <w:pPr>
        <w:ind w:right="320" w:firstLine="318"/>
        <w:spacing w:after="0" w:line="330" w:lineRule="auto"/>
        <w:rPr>
          <w:sz w:val="20"/>
          <w:szCs w:val="20"/>
          <w:color w:val="auto"/>
        </w:rPr>
      </w:pPr>
      <w:r>
        <w:rPr>
          <w:rFonts w:ascii="Arial" w:cs="Arial" w:eastAsia="Arial" w:hAnsi="Arial"/>
          <w:sz w:val="15"/>
          <w:szCs w:val="15"/>
          <w:color w:val="auto"/>
        </w:rPr>
        <w:t>Once the proteins are deposited onto the flow cell, it is then loaded into the proteome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8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64"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Simple and Robust Sample Handling</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88900</wp:posOffset>
            </wp:positionV>
            <wp:extent cx="2524125" cy="2524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412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2" w:name="page23"/>
    <w:bookmarkEnd w:id="22"/>
    <w:p>
      <w:pPr>
        <w:ind w:left="32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111760</wp:posOffset>
            </wp:positionV>
            <wp:extent cx="4627880" cy="2919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788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84800" cy="228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84800" cy="2280285"/>
                    </a:xfrm>
                    <a:prstGeom prst="rect">
                      <a:avLst/>
                    </a:prstGeom>
                    <a:noFill/>
                  </pic:spPr>
                </pic:pic>
              </a:graphicData>
            </a:graphic>
          </wp:anchor>
        </w:drawing>
      </w:r>
    </w:p>
    <w:p>
      <w:pPr>
        <w:sectPr>
          <w:pgSz w:w="11900" w:h="16838" w:orient="portrait"/>
          <w:cols w:equalWidth="0" w:num="1">
            <w:col w:w="11040"/>
          </w:cols>
          <w:pgMar w:left="320" w:top="104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041" w:right="539" w:bottom="1440" w:gutter="0" w:footer="0" w:header="0"/>
          <w:type w:val="continuous"/>
        </w:sectPr>
      </w:pPr>
    </w:p>
    <w:bookmarkStart w:id="23" w:name="page24"/>
    <w:bookmarkEnd w:id="23"/>
    <w:p>
      <w:pPr>
        <w:ind w:left="32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64" w:lineRule="exact"/>
        <w:rPr>
          <w:sz w:val="20"/>
          <w:szCs w:val="20"/>
          <w:color w:val="auto"/>
        </w:rPr>
      </w:pPr>
    </w:p>
    <w:p>
      <w:pPr>
        <w:ind w:firstLine="318"/>
        <w:spacing w:after="0" w:line="273" w:lineRule="auto"/>
        <w:rPr>
          <w:sz w:val="20"/>
          <w:szCs w:val="20"/>
          <w:color w:val="auto"/>
        </w:rPr>
      </w:pPr>
      <w:r>
        <w:rPr>
          <w:rFonts w:ascii="Arial" w:cs="Arial" w:eastAsia="Arial" w:hAnsi="Arial"/>
          <w:sz w:val="16"/>
          <w:szCs w:val="16"/>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2"/>
          <w:szCs w:val="22"/>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87630</wp:posOffset>
            </wp:positionV>
            <wp:extent cx="2692400" cy="2440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2400"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24" w:name="page25"/>
    <w:bookmarkEnd w:id="24"/>
    <w:p>
      <w:pPr>
        <w:ind w:left="32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111760</wp:posOffset>
            </wp:positionV>
            <wp:extent cx="5755005" cy="2364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5005"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-168275</wp:posOffset>
            </wp:positionV>
            <wp:extent cx="27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92075</wp:posOffset>
            </wp:positionV>
            <wp:extent cx="5300345" cy="132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003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111760</wp:posOffset>
            </wp:positionV>
            <wp:extent cx="3365500" cy="2355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0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0"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24"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04"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2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88900</wp:posOffset>
            </wp:positionV>
            <wp:extent cx="5468620" cy="2355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862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2"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The open nature of the Nautilus platform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us with antibodies additive to the affinity reagents we are creating internally and serves to highlight the flexible nature of our technology.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9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44"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7"/>
          <w:szCs w:val="17"/>
          <w:color w:val="auto"/>
        </w:rPr>
        <w:t>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9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Biomarker Discovery</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812 separate human proteins and there are 4,514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6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8" w:name="page29"/>
    <w:bookmarkEnd w:id="28"/>
    <w:p>
      <w:pPr>
        <w:ind w:right="40"/>
        <w:spacing w:after="0" w:line="265" w:lineRule="auto"/>
        <w:rPr>
          <w:sz w:val="20"/>
          <w:szCs w:val="20"/>
          <w:color w:val="auto"/>
        </w:rPr>
      </w:pPr>
      <w:r>
        <w:rPr>
          <w:rFonts w:ascii="Arial" w:cs="Arial" w:eastAsia="Arial" w:hAnsi="Arial"/>
          <w:sz w:val="17"/>
          <w:szCs w:val="17"/>
          <w:color w:val="auto"/>
        </w:rPr>
        <w:t>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0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6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29"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9" w:name="page30"/>
    <w:bookmarkEnd w:id="29"/>
    <w:p>
      <w:pPr>
        <w:ind w:right="180"/>
        <w:spacing w:after="0" w:line="264" w:lineRule="auto"/>
        <w:rPr>
          <w:sz w:val="20"/>
          <w:szCs w:val="20"/>
          <w:color w:val="auto"/>
        </w:rPr>
      </w:pPr>
      <w:r>
        <w:rPr>
          <w:rFonts w:ascii="Arial" w:cs="Arial" w:eastAsia="Arial" w:hAnsi="Arial"/>
          <w:sz w:val="18"/>
          <w:szCs w:val="18"/>
          <w:color w:val="auto"/>
        </w:rPr>
        <w:t>stability, and speed required to fully realize the value of accessing deep proteomic profiling data to identify biomarkers that stratify patients for clinical trials and improve drug development.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Our primary business model is anticipated to be focused on the commercialization of our Nautilus platform through the sale of instrumentation,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of our data in the cloud.</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Proteome Analysis System &amp; Reagent Kits</w:t>
      </w:r>
    </w:p>
    <w:p>
      <w:pPr>
        <w:spacing w:after="0" w:line="16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Our proteome analysis system is a high-resolution optical imaging sub-system coupled with an integrated fluidics sub-system in order to process multi-cycle labeled affinity reagent binding and imaging runs. System run reagent kits are comprised of two main components: the flow cell(s), and the affinity binding reagents used to perform multi-cycle analysis runs.</w:t>
      </w:r>
    </w:p>
    <w:p>
      <w:pPr>
        <w:spacing w:after="0" w:line="135"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Our initial flow cell design includes 4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Our high-throughput multiplexed reagent kits are expected to support up to 24 samples per run, and may be further scaled in the future.</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Affinity binding reagents will also be included within each system run reagent kit. Reagent kits will be offered in configurations that cover a catalog of proteomic content desired by our customers by supplying different combinations of reagents together within a given kit. We intend to supply a standardized set of affinity binding reagents for the broad-scale detection of proteins, or “proteome kits”, as well as protein-specific or proteoform-specific reagent content sets, or “targeted proteoform kits”, focused on high interest areas of disease research. Additionally, custom affinity reagent labeling kits are expected to be supplied to enable customers to label their own in-house developed affinity reagents to be compatible with Nautilus chemistry for use on the system.</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proteome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0" w:name="page31"/>
    <w:bookmarkEnd w:id="30"/>
    <w:p>
      <w:pPr>
        <w:ind w:right="260"/>
        <w:spacing w:after="0" w:line="330" w:lineRule="auto"/>
        <w:rPr>
          <w:sz w:val="20"/>
          <w:szCs w:val="20"/>
          <w:color w:val="auto"/>
        </w:rPr>
      </w:pPr>
      <w:r>
        <w:rPr>
          <w:rFonts w:ascii="Arial" w:cs="Arial" w:eastAsia="Arial" w:hAnsi="Arial"/>
          <w:sz w:val="15"/>
          <w:szCs w:val="15"/>
          <w:color w:val="auto"/>
        </w:rPr>
        <w:t>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8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8"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46"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post-proteome analysis system launch.</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6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Early Access Program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Proteome Analysis System Launch &amp; Commercial Scale Up</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1" w:name="page32"/>
    <w:bookmarkEnd w:id="31"/>
    <w:p>
      <w:pPr>
        <w:ind w:left="32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111760</wp:posOffset>
            </wp:positionV>
            <wp:extent cx="5755005" cy="2945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5005" cy="294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Collaborations &amp; Partnerships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Early Access Program</w:t>
      </w:r>
    </w:p>
    <w:p>
      <w:pPr>
        <w:spacing w:after="0" w:line="164"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99" w:lineRule="exact"/>
        <w:rPr>
          <w:sz w:val="20"/>
          <w:szCs w:val="20"/>
          <w:color w:val="auto"/>
        </w:rPr>
      </w:pPr>
    </w:p>
    <w:p>
      <w:pPr>
        <w:jc w:val="both"/>
        <w:ind w:right="160" w:firstLine="318"/>
        <w:spacing w:after="0" w:line="318" w:lineRule="auto"/>
        <w:rPr>
          <w:sz w:val="20"/>
          <w:szCs w:val="20"/>
          <w:color w:val="auto"/>
        </w:rPr>
      </w:pPr>
      <w:r>
        <w:rPr>
          <w:rFonts w:ascii="Arial" w:cs="Arial" w:eastAsia="Arial" w:hAnsi="Arial"/>
          <w:sz w:val="15"/>
          <w:szCs w:val="15"/>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Proteome Analysis System Launch and Commercial Scale Up</w:t>
      </w:r>
    </w:p>
    <w:p>
      <w:pPr>
        <w:spacing w:after="0" w:line="16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At full commercial proteome analysis system launch, we expect to continue offering our Proteomic Data Early Access Program, and to maintain the laboratory services to continue supporting POC and pilot projects for an extended period of time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2" w:name="page33"/>
    <w:bookmarkEnd w:id="32"/>
    <w:p>
      <w:pPr>
        <w:ind w:right="160"/>
        <w:spacing w:after="0" w:line="248" w:lineRule="auto"/>
        <w:rPr>
          <w:sz w:val="20"/>
          <w:szCs w:val="20"/>
          <w:color w:val="auto"/>
        </w:rPr>
      </w:pPr>
      <w:r>
        <w:rPr>
          <w:rFonts w:ascii="Arial" w:cs="Arial" w:eastAsia="Arial" w:hAnsi="Arial"/>
          <w:sz w:val="18"/>
          <w:szCs w:val="18"/>
          <w:color w:val="auto"/>
        </w:rPr>
        <w:t>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46"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04"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Demonstrating the ability to unlock new sources of primary biological information with proteoform mapping and rare protein detection;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Providing immense data production capacity, driving discovery by enabling large scale studies and building our database to become a strategic asset;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Partnerships</w:t>
      </w:r>
    </w:p>
    <w:p>
      <w:pPr>
        <w:spacing w:after="0" w:line="164"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proteome analysis system to analyze and map the proteoform landscape of a Genentech protein target of interest. We aim to submit results for publication in early 2022.</w:t>
      </w:r>
    </w:p>
    <w:p>
      <w:pPr>
        <w:spacing w:after="0" w:line="141"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October 2021, we entered into a research collaboration agreement with Amgen in which the Nautilus platform will be used across a number of projects to investigate proteins and proteoforms of interest to the Company. Also in October 2021, we signed a research agreement with The University of Texas MD Anderson Cancer Center. The Nautilus platform will be applied in measuring the quantity and patterns of post-translational modifications on specific oncology protein targets of interest across different settings, such as pre- and post treatment.</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7"/>
          <w:szCs w:val="17"/>
          <w:i w:val="1"/>
          <w:iCs w:val="1"/>
          <w:color w:val="auto"/>
        </w:rPr>
        <w:t>Risk Factors— Risks Related to our Business.</w:t>
      </w:r>
      <w:r>
        <w:rPr>
          <w:rFonts w:ascii="Arial" w:cs="Arial" w:eastAsia="Arial" w:hAnsi="Arial"/>
          <w:sz w:val="17"/>
          <w:szCs w:val="17"/>
          <w:color w:val="auto"/>
        </w:rPr>
        <w: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3" w:name="page34"/>
    <w:bookmarkEnd w:id="33"/>
    <w:p>
      <w:pPr>
        <w:ind w:left="32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07"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99"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4" w:name="page35"/>
    <w:bookmarkEnd w:id="34"/>
    <w:p>
      <w:pPr>
        <w:ind w:right="160"/>
        <w:spacing w:after="0" w:line="264" w:lineRule="auto"/>
        <w:rPr>
          <w:sz w:val="20"/>
          <w:szCs w:val="20"/>
          <w:color w:val="auto"/>
        </w:rPr>
      </w:pPr>
      <w:r>
        <w:rPr>
          <w:rFonts w:ascii="Arial" w:cs="Arial" w:eastAsia="Arial" w:hAnsi="Arial"/>
          <w:sz w:val="18"/>
          <w:szCs w:val="18"/>
          <w:color w:val="auto"/>
        </w:rPr>
        <w:t>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28" w:lineRule="exact"/>
        <w:rPr>
          <w:sz w:val="20"/>
          <w:szCs w:val="20"/>
          <w:color w:val="auto"/>
        </w:rPr>
      </w:pPr>
    </w:p>
    <w:p>
      <w:pPr>
        <w:ind w:right="280" w:firstLine="318"/>
        <w:spacing w:after="0" w:line="265"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right="220" w:firstLine="318"/>
        <w:spacing w:after="0" w:line="264"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7"/>
          <w:szCs w:val="17"/>
          <w:color w:val="auto"/>
        </w:rPr>
        <w:t>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29"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6"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As part of the Trump Administration’s efforts to combat COVID-19 and consistent with President Trump’s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announcement issued by the previous administration, this 2020 HHS policy statement is no longer posted on the HHS website. Further, Congress has recently proposed legislation to create a new LDT and in vitro diagnostic regulatory framework for all in vitro clinical tests that would be separate and distinct from the existing medical device regulatory framework. In June 2021, members of the U.S. House of Representatives formally introduced the VALID Act (Verifying Accurate Leading-edge IVCT Development Act of 2021) and an identical version of the bill was introduced in the U.S. Senate. If passed, the VALID Act would create a new category of medical products separate from medical devices called “in vitro clinical tests,” or IVCTs, and bring all such products within the scope of FDA’s oversight. It is unclear whether the VALID Act or any other legislative proposals would be passed by Congress or signed into law by the President.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32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0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6" w:name="page37"/>
    <w:bookmarkEnd w:id="36"/>
    <w:p>
      <w:pPr>
        <w:ind w:right="100"/>
        <w:spacing w:after="0" w:line="264" w:lineRule="auto"/>
        <w:rPr>
          <w:sz w:val="20"/>
          <w:szCs w:val="20"/>
          <w:color w:val="auto"/>
        </w:rPr>
      </w:pPr>
      <w:r>
        <w:rPr>
          <w:rFonts w:ascii="Arial" w:cs="Arial" w:eastAsia="Arial" w:hAnsi="Arial"/>
          <w:sz w:val="18"/>
          <w:szCs w:val="18"/>
          <w:color w:val="auto"/>
        </w:rPr>
        <w:t>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0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324"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2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December 31, 2021, we owned four issued U.S. patents, approximately twenty pending U.S. non-provisional patent applications, approximately fourteen pending U.S. provisional patent applications, and approximately forty-two pending foreign patent applications, including four international patent applications filed under the Patent Cooperation Treaty (PCT application). Our owned patents and patent applications, if issued, are expected to expire between 2037 and 2042, in each case absent any patent term adjustments or extensions and assuming payment of all appropriate maintenance, renewal, annuity, or other governmental fees.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7" w:name="page38"/>
    <w:bookmarkEnd w:id="37"/>
    <w:p>
      <w:pPr>
        <w:ind w:right="80" w:firstLine="318"/>
        <w:spacing w:after="0" w:line="330" w:lineRule="auto"/>
        <w:rPr>
          <w:sz w:val="20"/>
          <w:szCs w:val="20"/>
          <w:color w:val="auto"/>
        </w:rPr>
      </w:pPr>
      <w:r>
        <w:rPr>
          <w:rFonts w:ascii="Arial" w:cs="Arial" w:eastAsia="Arial" w:hAnsi="Arial"/>
          <w:sz w:val="15"/>
          <w:szCs w:val="15"/>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As of December 31, 2021, we owned approximately six registered trademarks in China, the United Kingdom, and Europe. In addition, we have three pending trademark applications in the U.S., China and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entered into research collaboration agreements with Genentech in December 2020, with Amgen in October 2021, and with The University of Texas MD Anderson Cancer Center in October 2021.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Ruedi Aebersold, Ph.D.</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Lee Hartwell, Ph.D.</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Joshua LaBaer, MD, Ph.D.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Emma Lundberg, Ph.D.</w:t>
      </w:r>
    </w:p>
    <w:p>
      <w:pPr>
        <w:spacing w:after="0" w:line="164"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0" w:lineRule="exact"/>
        <w:rPr>
          <w:sz w:val="20"/>
          <w:szCs w:val="20"/>
          <w:color w:val="auto"/>
        </w:rPr>
      </w:pPr>
    </w:p>
    <w:p>
      <w:pPr>
        <w:jc w:val="both"/>
        <w:ind w:right="320" w:firstLine="318"/>
        <w:spacing w:after="0" w:line="255" w:lineRule="auto"/>
        <w:rPr>
          <w:sz w:val="20"/>
          <w:szCs w:val="20"/>
          <w:color w:val="auto"/>
        </w:rPr>
      </w:pPr>
      <w:r>
        <w:rPr>
          <w:rFonts w:ascii="Arial" w:cs="Arial" w:eastAsia="Arial" w:hAnsi="Arial"/>
          <w:sz w:val="18"/>
          <w:szCs w:val="18"/>
          <w:color w:val="auto"/>
        </w:rPr>
        <w:t>As of December 31, 2021, we had 113 employees, all based in the United States, many of whom hold doctorate degrees. Of these employees, 83 were engaged in research and development activities, and 30 were engaged in general and administrative activities. None of our employees are represented by a labor union or covered under a collective bargaining agreement.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8" w:name="page39"/>
    <w:bookmarkEnd w:id="38"/>
    <w:p>
      <w:pPr>
        <w:ind w:right="380" w:firstLine="318"/>
        <w:spacing w:after="0" w:line="27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principal executive offices are located at 2701 Eastlake Avenue East Seattle, Washington, 98102, and our telephone number is (206) 333-2001. Our investor relations website is located at http://www.nautilus.bio/investors/. Information contained on the website is not incorporated by reference into this Form 10-K or any other filings we make with the SEC.</w:t>
      </w:r>
    </w:p>
    <w:p>
      <w:pPr>
        <w:spacing w:after="0" w:line="13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 w:lineRule="exact"/>
        <w:rPr>
          <w:sz w:val="20"/>
          <w:szCs w:val="20"/>
          <w:color w:val="auto"/>
        </w:rPr>
      </w:pPr>
    </w:p>
    <w:p>
      <w:pPr>
        <w:ind w:left="320" w:right="580" w:hanging="314"/>
        <w:spacing w:after="0" w:line="245"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 w:lineRule="exact"/>
        <w:rPr>
          <w:rFonts w:ascii="Arial" w:cs="Arial" w:eastAsia="Arial" w:hAnsi="Arial"/>
          <w:sz w:val="18"/>
          <w:szCs w:val="18"/>
          <w:color w:val="auto"/>
        </w:rPr>
      </w:pPr>
    </w:p>
    <w:p>
      <w:pPr>
        <w:ind w:left="320" w:right="300" w:hanging="314"/>
        <w:spacing w:after="0" w:line="260" w:lineRule="auto"/>
        <w:tabs>
          <w:tab w:leader="none" w:pos="3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5" w:lineRule="exact"/>
        <w:rPr>
          <w:rFonts w:ascii="Arial" w:cs="Arial" w:eastAsia="Arial" w:hAnsi="Arial"/>
          <w:sz w:val="18"/>
          <w:szCs w:val="18"/>
          <w:color w:val="auto"/>
        </w:rPr>
      </w:pPr>
    </w:p>
    <w:p>
      <w:pPr>
        <w:ind w:left="320" w:right="2860" w:hanging="314"/>
        <w:spacing w:after="0" w:line="245"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 w:lineRule="exact"/>
        <w:rPr>
          <w:rFonts w:ascii="Arial" w:cs="Arial" w:eastAsia="Arial" w:hAnsi="Arial"/>
          <w:sz w:val="18"/>
          <w:szCs w:val="18"/>
          <w:color w:val="auto"/>
        </w:rPr>
      </w:pPr>
    </w:p>
    <w:p>
      <w:pPr>
        <w:ind w:left="320" w:right="300" w:hanging="314"/>
        <w:spacing w:after="0" w:line="245"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 w:lineRule="exact"/>
        <w:rPr>
          <w:rFonts w:ascii="Arial" w:cs="Arial" w:eastAsia="Arial" w:hAnsi="Arial"/>
          <w:sz w:val="18"/>
          <w:szCs w:val="18"/>
          <w:color w:val="auto"/>
        </w:rPr>
      </w:pPr>
    </w:p>
    <w:p>
      <w:pPr>
        <w:ind w:left="320" w:right="40" w:hanging="314"/>
        <w:spacing w:after="0" w:line="245"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 w:lineRule="exact"/>
        <w:rPr>
          <w:rFonts w:ascii="Arial" w:cs="Arial" w:eastAsia="Arial" w:hAnsi="Arial"/>
          <w:sz w:val="18"/>
          <w:szCs w:val="18"/>
          <w:color w:val="auto"/>
        </w:rPr>
      </w:pPr>
    </w:p>
    <w:p>
      <w:pPr>
        <w:ind w:left="320" w:right="100" w:hanging="314"/>
        <w:spacing w:after="0" w:line="245"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left="320" w:right="340" w:hanging="314"/>
        <w:spacing w:after="0" w:line="365" w:lineRule="auto"/>
        <w:tabs>
          <w:tab w:leader="none" w:pos="315"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58" w:lineRule="exact"/>
        <w:rPr>
          <w:rFonts w:ascii="Arial" w:cs="Arial" w:eastAsia="Arial" w:hAnsi="Arial"/>
          <w:sz w:val="15"/>
          <w:szCs w:val="15"/>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Litigation</w:t>
      </w:r>
    </w:p>
    <w:p>
      <w:pPr>
        <w:spacing w:after="0" w:line="22" w:lineRule="exact"/>
        <w:rPr>
          <w:sz w:val="20"/>
          <w:szCs w:val="20"/>
          <w:color w:val="auto"/>
        </w:rPr>
      </w:pPr>
    </w:p>
    <w:p>
      <w:pPr>
        <w:ind w:left="320" w:right="580" w:hanging="314"/>
        <w:spacing w:after="0" w:line="245"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6" w:lineRule="exact"/>
        <w:rPr>
          <w:rFonts w:ascii="Arial" w:cs="Arial" w:eastAsia="Arial" w:hAnsi="Arial"/>
          <w:sz w:val="18"/>
          <w:szCs w:val="18"/>
          <w:color w:val="auto"/>
        </w:rPr>
      </w:pPr>
    </w:p>
    <w:p>
      <w:pPr>
        <w:ind w:left="320" w:right="560" w:hanging="314"/>
        <w:spacing w:after="0" w:line="245"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processes personal information.</w:t>
      </w:r>
    </w:p>
    <w:p>
      <w:pPr>
        <w:spacing w:after="0" w:line="1" w:lineRule="exact"/>
        <w:rPr>
          <w:rFonts w:ascii="Arial" w:cs="Arial" w:eastAsia="Arial" w:hAnsi="Arial"/>
          <w:sz w:val="18"/>
          <w:szCs w:val="18"/>
          <w:color w:val="auto"/>
        </w:rPr>
      </w:pPr>
    </w:p>
    <w:p>
      <w:pPr>
        <w:ind w:left="320" w:right="220" w:hanging="314"/>
        <w:spacing w:after="0" w:line="245"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 w:lineRule="exact"/>
        <w:rPr>
          <w:rFonts w:ascii="Arial" w:cs="Arial" w:eastAsia="Arial" w:hAnsi="Arial"/>
          <w:sz w:val="18"/>
          <w:szCs w:val="18"/>
          <w:color w:val="auto"/>
        </w:rPr>
      </w:pPr>
    </w:p>
    <w:p>
      <w:pPr>
        <w:ind w:left="320" w:right="780" w:hanging="314"/>
        <w:spacing w:after="0" w:line="245"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 w:lineRule="exact"/>
        <w:rPr>
          <w:rFonts w:ascii="Arial" w:cs="Arial" w:eastAsia="Arial" w:hAnsi="Arial"/>
          <w:sz w:val="18"/>
          <w:szCs w:val="18"/>
          <w:color w:val="auto"/>
        </w:rPr>
      </w:pPr>
    </w:p>
    <w:p>
      <w:pPr>
        <w:ind w:left="320" w:right="640" w:hanging="314"/>
        <w:spacing w:after="0" w:line="251"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5" w:lineRule="exact"/>
        <w:rPr>
          <w:rFonts w:ascii="Arial" w:cs="Arial" w:eastAsia="Arial" w:hAnsi="Arial"/>
          <w:sz w:val="18"/>
          <w:szCs w:val="18"/>
          <w:color w:val="auto"/>
        </w:rPr>
      </w:pPr>
    </w:p>
    <w:p>
      <w:pPr>
        <w:ind w:left="320" w:right="100" w:hanging="314"/>
        <w:spacing w:after="0" w:line="245"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 w:lineRule="exact"/>
        <w:rPr>
          <w:sz w:val="20"/>
          <w:szCs w:val="20"/>
          <w:color w:val="auto"/>
        </w:rPr>
      </w:pPr>
    </w:p>
    <w:p>
      <w:pPr>
        <w:ind w:left="320" w:hanging="314"/>
        <w:spacing w:after="0" w:line="25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5" w:lineRule="exact"/>
        <w:rPr>
          <w:rFonts w:ascii="Arial" w:cs="Arial" w:eastAsia="Arial" w:hAnsi="Arial"/>
          <w:sz w:val="18"/>
          <w:szCs w:val="18"/>
          <w:color w:val="auto"/>
        </w:rPr>
      </w:pPr>
    </w:p>
    <w:p>
      <w:pPr>
        <w:ind w:left="320" w:right="560" w:hanging="314"/>
        <w:spacing w:after="0" w:line="245"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 w:lineRule="exact"/>
        <w:rPr>
          <w:rFonts w:ascii="Arial" w:cs="Arial" w:eastAsia="Arial" w:hAnsi="Arial"/>
          <w:sz w:val="18"/>
          <w:szCs w:val="18"/>
          <w:color w:val="auto"/>
        </w:rPr>
      </w:pPr>
    </w:p>
    <w:p>
      <w:pPr>
        <w:ind w:left="320" w:right="120" w:hanging="314"/>
        <w:spacing w:after="0" w:line="251"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3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$50.3 million, $15.6 million and $9.6 million during the years ended December 31, 2021, 2020 and 2019, respectively. As of December 31, 2021, we had an accumulated deficit of $80.6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0" w:name="page41"/>
    <w:bookmarkEnd w:id="40"/>
    <w:p>
      <w:pPr>
        <w:ind w:right="300" w:firstLine="318"/>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04"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07"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1" w:name="page42"/>
    <w:bookmarkEnd w:id="41"/>
    <w:p>
      <w:pPr>
        <w:ind w:right="100"/>
        <w:spacing w:after="0" w:line="318" w:lineRule="auto"/>
        <w:rPr>
          <w:sz w:val="20"/>
          <w:szCs w:val="20"/>
          <w:color w:val="auto"/>
        </w:rPr>
      </w:pPr>
      <w:r>
        <w:rPr>
          <w:rFonts w:ascii="Arial" w:cs="Arial" w:eastAsia="Arial" w:hAnsi="Arial"/>
          <w:sz w:val="15"/>
          <w:szCs w:val="15"/>
          <w:color w:val="auto"/>
        </w:rPr>
        <w:t>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93"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16" w:lineRule="exact"/>
        <w:rPr>
          <w:rFonts w:ascii="Arial" w:cs="Arial" w:eastAsia="Arial" w:hAnsi="Arial"/>
          <w:sz w:val="18"/>
          <w:szCs w:val="18"/>
          <w:color w:val="auto"/>
        </w:rPr>
      </w:pPr>
    </w:p>
    <w:p>
      <w:pPr>
        <w:ind w:right="580"/>
        <w:spacing w:after="0" w:line="280" w:lineRule="auto"/>
        <w:rPr>
          <w:rFonts w:ascii="Arial" w:cs="Arial" w:eastAsia="Arial" w:hAnsi="Arial"/>
          <w:sz w:val="18"/>
          <w:szCs w:val="18"/>
          <w:color w:val="auto"/>
        </w:rPr>
      </w:pPr>
      <w:r>
        <w:rPr>
          <w:rFonts w:ascii="Arial" w:cs="Arial" w:eastAsia="Arial" w:hAnsi="Arial"/>
          <w:sz w:val="17"/>
          <w:szCs w:val="17"/>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5"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right="60" w:firstLine="324"/>
        <w:spacing w:after="0" w:line="255"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right="58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widespread adoption of our Nautilus platform takes longer than anticipated or does not occur, our business will be materially and adversely affected.</w:t>
      </w:r>
    </w:p>
    <w:p>
      <w:pPr>
        <w:spacing w:after="0" w:line="17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right="240" w:firstLine="324"/>
        <w:spacing w:after="0" w:line="264" w:lineRule="auto"/>
        <w:tabs>
          <w:tab w:leader="none" w:pos="6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3" w:name="page44"/>
    <w:bookmarkEnd w:id="43"/>
    <w:p>
      <w:pPr>
        <w:spacing w:after="0" w:line="312" w:lineRule="auto"/>
        <w:rPr>
          <w:sz w:val="20"/>
          <w:szCs w:val="20"/>
          <w:color w:val="auto"/>
        </w:rPr>
      </w:pPr>
      <w:r>
        <w:rPr>
          <w:rFonts w:ascii="Arial" w:cs="Arial" w:eastAsia="Arial" w:hAnsi="Arial"/>
          <w:sz w:val="15"/>
          <w:szCs w:val="15"/>
          <w:color w:val="auto"/>
        </w:rPr>
        <w:t>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9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right="240" w:firstLine="324"/>
        <w:spacing w:after="0" w:line="255" w:lineRule="auto"/>
        <w:tabs>
          <w:tab w:leader="none" w:pos="6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6"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right="20" w:firstLine="318"/>
        <w:spacing w:after="0" w:line="299" w:lineRule="auto"/>
        <w:rPr>
          <w:sz w:val="20"/>
          <w:szCs w:val="20"/>
          <w:color w:val="auto"/>
        </w:rPr>
      </w:pPr>
      <w:r>
        <w:rPr>
          <w:rFonts w:ascii="Arial" w:cs="Arial" w:eastAsia="Arial" w:hAnsi="Arial"/>
          <w:sz w:val="15"/>
          <w:szCs w:val="15"/>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4" w:name="page45"/>
    <w:bookmarkEnd w:id="44"/>
    <w:p>
      <w:pPr>
        <w:ind w:right="160"/>
        <w:spacing w:after="0" w:line="264" w:lineRule="auto"/>
        <w:rPr>
          <w:sz w:val="20"/>
          <w:szCs w:val="20"/>
          <w:color w:val="auto"/>
        </w:rPr>
      </w:pPr>
      <w:r>
        <w:rPr>
          <w:rFonts w:ascii="Arial" w:cs="Arial" w:eastAsia="Arial" w:hAnsi="Arial"/>
          <w:sz w:val="18"/>
          <w:szCs w:val="18"/>
          <w:color w:val="auto"/>
        </w:rPr>
        <w:t>those underlying the third-party data we have used, may change at any time, thereby reducing the accuracy of our estimates. As a result, our estimates of the total addressable market for our products may be incorrect.</w:t>
      </w:r>
    </w:p>
    <w:p>
      <w:pPr>
        <w:spacing w:after="0" w:line="12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9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2"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45" w:name="page46"/>
    <w:bookmarkEnd w:id="45"/>
    <w:p>
      <w:pPr>
        <w:spacing w:after="0" w:line="252" w:lineRule="auto"/>
        <w:rPr>
          <w:sz w:val="20"/>
          <w:szCs w:val="20"/>
          <w:color w:val="auto"/>
        </w:rPr>
      </w:pPr>
      <w:r>
        <w:rPr>
          <w:rFonts w:ascii="Arial" w:cs="Arial" w:eastAsia="Arial" w:hAnsi="Arial"/>
          <w:sz w:val="18"/>
          <w:szCs w:val="18"/>
          <w:color w:val="auto"/>
        </w:rPr>
        <w:t>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44"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5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2"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in lower than expected sales of our Nautilus platform. These reductions and delays may result from factors that are not within our control, such as:</w:t>
      </w:r>
    </w:p>
    <w:p>
      <w:pPr>
        <w:spacing w:after="0" w:line="176"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level of demand for any products we are able to commercialize, particularly our Nautilus platform, which may vary significantly from period to</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right="48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41" w:right="419" w:bottom="1440" w:gutter="0" w:footer="0" w:header="0"/>
        </w:sectPr>
      </w:pPr>
    </w:p>
    <w:bookmarkStart w:id="47" w:name="page48"/>
    <w:bookmarkEnd w:id="47"/>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right="26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2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8" w:name="page49"/>
    <w:bookmarkEnd w:id="48"/>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9" w:name="page50"/>
    <w:bookmarkEnd w:id="49"/>
    <w:p>
      <w:pPr>
        <w:ind w:right="40"/>
        <w:spacing w:after="0" w:line="271" w:lineRule="auto"/>
        <w:rPr>
          <w:sz w:val="20"/>
          <w:szCs w:val="20"/>
          <w:color w:val="auto"/>
        </w:rPr>
      </w:pPr>
      <w:r>
        <w:rPr>
          <w:rFonts w:ascii="Arial" w:cs="Arial" w:eastAsia="Arial" w:hAnsi="Arial"/>
          <w:sz w:val="17"/>
          <w:szCs w:val="17"/>
          <w:color w:val="auto"/>
        </w:rPr>
        <w:t>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24"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4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3"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0" w:name="page51"/>
    <w:bookmarkEnd w:id="50"/>
    <w:p>
      <w:pPr>
        <w:ind w:left="3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4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2"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2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1" w:name="page52"/>
    <w:bookmarkEnd w:id="51"/>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ind w:firstLine="318"/>
        <w:spacing w:after="0" w:line="298" w:lineRule="auto"/>
        <w:rPr>
          <w:sz w:val="20"/>
          <w:szCs w:val="20"/>
          <w:color w:val="auto"/>
        </w:rPr>
      </w:pPr>
      <w:r>
        <w:rPr>
          <w:rFonts w:ascii="Arial" w:cs="Arial" w:eastAsia="Arial" w:hAnsi="Arial"/>
          <w:sz w:val="15"/>
          <w:szCs w:val="15"/>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partes </w:t>
      </w:r>
      <w:r>
        <w:rPr>
          <w:rFonts w:ascii="Arial" w:cs="Arial" w:eastAsia="Arial" w:hAnsi="Arial"/>
          <w:sz w:val="15"/>
          <w:szCs w:val="15"/>
          <w:color w:val="auto"/>
        </w:rPr>
        <w:t>review, post-grant review, derivation and equivalent proceedings in non-U.S. jurisdictions, such as opposition proceedings. Such proceedings could</w:t>
      </w:r>
      <w:r>
        <w:rPr>
          <w:rFonts w:ascii="Arial" w:cs="Arial" w:eastAsia="Arial" w:hAnsi="Arial"/>
          <w:sz w:val="15"/>
          <w:szCs w:val="15"/>
          <w:i w:val="1"/>
          <w:iCs w:val="1"/>
          <w:color w:val="auto"/>
        </w:rPr>
        <w:t xml:space="preserve"> </w:t>
      </w:r>
      <w:r>
        <w:rPr>
          <w:rFonts w:ascii="Arial" w:cs="Arial" w:eastAsia="Arial" w:hAnsi="Arial"/>
          <w:sz w:val="15"/>
          <w:szCs w:val="15"/>
          <w:color w:val="auto"/>
        </w:rPr>
        <w:t>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30"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2" w:name="page53"/>
    <w:bookmarkEnd w:id="52"/>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29"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3" w:name="page54"/>
    <w:bookmarkEnd w:id="53"/>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4" w:name="page55"/>
    <w:bookmarkEnd w:id="54"/>
    <w:p>
      <w:pPr>
        <w:ind w:right="340"/>
        <w:spacing w:after="0" w:line="267" w:lineRule="auto"/>
        <w:rPr>
          <w:sz w:val="20"/>
          <w:szCs w:val="20"/>
          <w:color w:val="auto"/>
        </w:rPr>
      </w:pPr>
      <w:r>
        <w:rPr>
          <w:rFonts w:ascii="Arial" w:cs="Arial" w:eastAsia="Arial" w:hAnsi="Arial"/>
          <w:sz w:val="17"/>
          <w:szCs w:val="17"/>
          <w:color w:val="auto"/>
        </w:rPr>
        <w:t>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6"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6"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5" w:name="page56"/>
    <w:bookmarkEnd w:id="55"/>
    <w:p>
      <w:pPr>
        <w:spacing w:after="0" w:line="264" w:lineRule="auto"/>
        <w:rPr>
          <w:sz w:val="20"/>
          <w:szCs w:val="20"/>
          <w:color w:val="auto"/>
        </w:rPr>
      </w:pPr>
      <w:r>
        <w:rPr>
          <w:rFonts w:ascii="Arial" w:cs="Arial" w:eastAsia="Arial" w:hAnsi="Arial"/>
          <w:sz w:val="17"/>
          <w:szCs w:val="17"/>
          <w:color w:val="auto"/>
        </w:rPr>
        <w:t>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right="10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right="36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Litigation</w:t>
      </w:r>
    </w:p>
    <w:p>
      <w:pPr>
        <w:spacing w:after="0" w:line="170"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8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32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6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52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340" w:firstLine="4"/>
        <w:spacing w:after="0" w:line="587" w:lineRule="auto"/>
        <w:tabs>
          <w:tab w:leader="none" w:pos="633"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ind w:left="32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321"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58" w:name="page59"/>
    <w:bookmarkEnd w:id="58"/>
    <w:p>
      <w:pPr>
        <w:ind w:right="20"/>
        <w:spacing w:after="0" w:line="255" w:lineRule="auto"/>
        <w:rPr>
          <w:sz w:val="20"/>
          <w:szCs w:val="20"/>
          <w:color w:val="auto"/>
        </w:rPr>
      </w:pPr>
      <w:r>
        <w:rPr>
          <w:rFonts w:ascii="Arial" w:cs="Arial" w:eastAsia="Arial" w:hAnsi="Arial"/>
          <w:sz w:val="18"/>
          <w:szCs w:val="18"/>
          <w:color w:val="auto"/>
        </w:rPr>
        <w:t>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2"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7"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07"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9" w:name="page60"/>
    <w:bookmarkEnd w:id="59"/>
    <w:p>
      <w:pPr>
        <w:spacing w:after="0" w:line="249" w:lineRule="auto"/>
        <w:rPr>
          <w:sz w:val="20"/>
          <w:szCs w:val="20"/>
          <w:color w:val="auto"/>
        </w:rPr>
      </w:pPr>
      <w:r>
        <w:rPr>
          <w:rFonts w:ascii="Arial" w:cs="Arial" w:eastAsia="Arial" w:hAnsi="Arial"/>
          <w:sz w:val="18"/>
          <w:szCs w:val="18"/>
          <w:color w:val="auto"/>
        </w:rPr>
        <w:t>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41"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8"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0" w:name="page61"/>
    <w:bookmarkEnd w:id="60"/>
    <w:p>
      <w:pPr>
        <w:ind w:right="1020"/>
        <w:spacing w:after="0" w:line="264" w:lineRule="auto"/>
        <w:rPr>
          <w:sz w:val="20"/>
          <w:szCs w:val="20"/>
          <w:color w:val="auto"/>
        </w:rPr>
      </w:pPr>
      <w:r>
        <w:rPr>
          <w:rFonts w:ascii="Arial" w:cs="Arial" w:eastAsia="Arial" w:hAnsi="Arial"/>
          <w:sz w:val="18"/>
          <w:szCs w:val="18"/>
          <w:color w:val="auto"/>
        </w:rPr>
        <w:t>information has been disclosed as a result of a data breach. State laws are changing rapidly and there is discussion in the U.S. Congress of a new comprehensive federal data privacy law to which we would become subject if it is enacted.</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04"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right="180" w:firstLine="324"/>
        <w:spacing w:after="0" w:line="264" w:lineRule="auto"/>
        <w:tabs>
          <w:tab w:leader="none" w:pos="6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systems;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right="220" w:firstLine="324"/>
        <w:spacing w:after="0" w:line="277" w:lineRule="auto"/>
        <w:tabs>
          <w:tab w:leader="none" w:pos="6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1" w:name="page62"/>
    <w:bookmarkEnd w:id="61"/>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6"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2" w:name="page63"/>
    <w:bookmarkEnd w:id="62"/>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8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2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3" w:name="page64"/>
    <w:bookmarkEnd w:id="63"/>
    <w:p>
      <w:pPr>
        <w:spacing w:after="0" w:line="306" w:lineRule="auto"/>
        <w:rPr>
          <w:sz w:val="20"/>
          <w:szCs w:val="20"/>
          <w:color w:val="auto"/>
        </w:rPr>
      </w:pPr>
      <w:r>
        <w:rPr>
          <w:rFonts w:ascii="Arial" w:cs="Arial" w:eastAsia="Arial" w:hAnsi="Arial"/>
          <w:sz w:val="15"/>
          <w:szCs w:val="15"/>
          <w:color w:val="auto"/>
        </w:rPr>
        <w:t>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0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323"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2021, we had 113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4" w:name="page65"/>
    <w:bookmarkEnd w:id="64"/>
    <w:p>
      <w:pPr>
        <w:ind w:right="8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43"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0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5" w:name="page66"/>
    <w:bookmarkEnd w:id="65"/>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right="120" w:firstLine="324"/>
        <w:spacing w:after="0" w:line="255"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w:t>
      </w:r>
    </w:p>
    <w:p>
      <w:pPr>
        <w:spacing w:after="0" w:line="135"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6" w:name="page67"/>
    <w:bookmarkEnd w:id="66"/>
    <w:p>
      <w:pPr>
        <w:ind w:right="340"/>
        <w:spacing w:after="0" w:line="264" w:lineRule="auto"/>
        <w:rPr>
          <w:sz w:val="20"/>
          <w:szCs w:val="20"/>
          <w:color w:val="auto"/>
        </w:rPr>
      </w:pPr>
      <w:r>
        <w:rPr>
          <w:rFonts w:ascii="Arial" w:cs="Arial" w:eastAsia="Arial" w:hAnsi="Arial"/>
          <w:sz w:val="18"/>
          <w:szCs w:val="18"/>
          <w:color w:val="auto"/>
        </w:rPr>
        <w:t>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8"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right="260" w:firstLine="324"/>
        <w:spacing w:after="0" w:line="264"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7" w:name="page68"/>
    <w:bookmarkEnd w:id="67"/>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64" w:lineRule="exact"/>
        <w:rPr>
          <w:rFonts w:ascii="Arial" w:cs="Arial" w:eastAsia="Arial" w:hAnsi="Arial"/>
          <w:sz w:val="18"/>
          <w:szCs w:val="18"/>
          <w:color w:val="auto"/>
        </w:rPr>
      </w:pPr>
    </w:p>
    <w:p>
      <w:pPr>
        <w:ind w:right="240" w:firstLine="324"/>
        <w:spacing w:after="0" w:line="255" w:lineRule="auto"/>
        <w:tabs>
          <w:tab w:leader="none" w:pos="6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240" w:firstLine="318"/>
        <w:spacing w:after="0" w:line="267" w:lineRule="auto"/>
        <w:rPr>
          <w:sz w:val="20"/>
          <w:szCs w:val="20"/>
          <w:color w:val="auto"/>
        </w:rPr>
      </w:pPr>
      <w:r>
        <w:rPr>
          <w:rFonts w:ascii="Arial" w:cs="Arial" w:eastAsia="Arial" w:hAnsi="Arial"/>
          <w:sz w:val="17"/>
          <w:szCs w:val="17"/>
          <w:color w:val="auto"/>
        </w:rPr>
        <w:t>As of December 31, 2021, our directors, executive officers, holders of more than 5% of our outstanding shares of Common Stock and their respective affiliates beneficially owned, collectively, approximately 68.2%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8" w:name="page69"/>
    <w:bookmarkEnd w:id="68"/>
    <w:p>
      <w:pPr>
        <w:jc w:val="both"/>
        <w:ind w:right="100" w:firstLine="318"/>
        <w:spacing w:after="0" w:line="255"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were initially restricted from immediate resale in connection with the closing of the Business Combination but the restrictions have expired and such shares may now be sold into the market. This could cause the market price of our Common Stock to drop significantly, even if our business is doing well.</w:t>
      </w:r>
    </w:p>
    <w:p>
      <w:pPr>
        <w:spacing w:after="0" w:line="135"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4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were restricted from selling or transferring any shares of our Common Stock for a period of 180 days from the closing of the Business Combination. However, such restrictions expired on December 6, 2021, and these shares of Common Stock may now be sold into the market. Pursuant to the Registration Rights and Lock-Up Agreement and the Subscription Agreements entered into in connection with the PIPE Financing, we filed resale registration statements to provide for the resale of the shares issued in the PIPE Financing and the shares of our Common Stock held by the parties to the Registration Rights and Lock-Up Agreement. The market price of our Common Stock could decline if the holders of previously restricted shares and/or holders whose shares are registered under such registration statements sell their shares or are perceived by the market as intending to sell their shares.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265"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9" w:name="page70"/>
    <w:bookmarkEnd w:id="69"/>
    <w:p>
      <w:pPr>
        <w:ind w:right="140"/>
        <w:spacing w:after="0" w:line="264" w:lineRule="auto"/>
        <w:rPr>
          <w:sz w:val="20"/>
          <w:szCs w:val="20"/>
          <w:color w:val="auto"/>
        </w:rPr>
      </w:pPr>
      <w:r>
        <w:rPr>
          <w:rFonts w:ascii="Arial" w:cs="Arial" w:eastAsia="Arial" w:hAnsi="Arial"/>
          <w:sz w:val="18"/>
          <w:szCs w:val="18"/>
          <w:color w:val="auto"/>
        </w:rPr>
        <w:t>district courts of the United States of America will be the exclusive forum for resolving any complaint asserting a cause of action arising under the Securities Act.</w:t>
      </w:r>
    </w:p>
    <w:p>
      <w:pPr>
        <w:spacing w:after="0" w:line="128"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firstLine="324"/>
        <w:spacing w:after="0" w:line="294" w:lineRule="auto"/>
        <w:tabs>
          <w:tab w:leader="none" w:pos="6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right="580" w:firstLine="324"/>
        <w:spacing w:after="0" w:line="264"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64"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As a public company, we will incur significant legal, accounting, compliance and other expenses that we did not incur as a private company and these expenses may increase even more after we are no longer an “emerging growth company.” Our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0" w:name="page71"/>
    <w:bookmarkEnd w:id="70"/>
    <w:p>
      <w:pPr>
        <w:ind w:right="80"/>
        <w:spacing w:after="0" w:line="255" w:lineRule="auto"/>
        <w:rPr>
          <w:sz w:val="20"/>
          <w:szCs w:val="20"/>
          <w:color w:val="auto"/>
        </w:rPr>
      </w:pPr>
      <w:r>
        <w:rPr>
          <w:rFonts w:ascii="Arial" w:cs="Arial" w:eastAsia="Arial" w:hAnsi="Arial"/>
          <w:sz w:val="18"/>
          <w:szCs w:val="18"/>
          <w:color w:val="auto"/>
        </w:rPr>
        <w:t>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32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1" w:name="page72"/>
    <w:bookmarkEnd w:id="71"/>
    <w:p>
      <w:pPr>
        <w:ind w:right="120" w:firstLine="318"/>
        <w:spacing w:after="0" w:line="309" w:lineRule="auto"/>
        <w:rPr>
          <w:sz w:val="20"/>
          <w:szCs w:val="20"/>
          <w:color w:val="auto"/>
        </w:rPr>
      </w:pPr>
      <w:r>
        <w:rPr>
          <w:rFonts w:ascii="Arial" w:cs="Arial" w:eastAsia="Arial" w:hAnsi="Arial"/>
          <w:sz w:val="15"/>
          <w:szCs w:val="15"/>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9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5"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2" w:name="page73"/>
    <w:bookmarkEnd w:id="72"/>
    <w:p>
      <w:pPr>
        <w:ind w:right="140"/>
        <w:spacing w:after="0" w:line="255" w:lineRule="auto"/>
        <w:rPr>
          <w:sz w:val="20"/>
          <w:szCs w:val="20"/>
          <w:color w:val="auto"/>
        </w:rPr>
      </w:pPr>
      <w:r>
        <w:rPr>
          <w:rFonts w:ascii="Arial" w:cs="Arial" w:eastAsia="Arial" w:hAnsi="Arial"/>
          <w:sz w:val="18"/>
          <w:szCs w:val="18"/>
          <w:color w:val="auto"/>
        </w:rPr>
        <w:t>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5"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Our current corporate headquarter is located at 2701 Eastlake Avenue East, Seattle, Washington and our current research and development facilities, and manufacturing centers are located at 835 Industrial Rd, San Carlos, California. The Seattle facility is approximately 14,800 square feet. Our lease on this facility runs through June 2028. The 835 Industrial Rd, San Carlos, California lease is for approximately 45,338 square feet of office and research space. In addition, we signed a lease in December 2021 for approximately 19,957 square feet of additional office and research space at 1561 Industrial Rd, San Carlos, California. This space is currently under construction and has a target commencement date in October 2022. We do not own real property and believe that our current facilities are sufficient to meet our ongoing needs and that, if we require additional space, we will be able to obtain additional facilities on commercially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on the Nasdaq Global Select Market under the symbol “NAUT”.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0"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As of January 31, 2022, there were 44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equity plan information required by this Item is incorporated by reference to the information in Part III, Item 12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 other than as previously reported in a Quarterly Report on Form 10-Q or Current Report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Reserved ]</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19" w:right="359" w:bottom="1440" w:gutter="0" w:footer="0" w:header="0"/>
        </w:sectPr>
      </w:pPr>
    </w:p>
    <w:bookmarkStart w:id="74" w:name="page75"/>
    <w:bookmarkEnd w:id="7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46"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18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19"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32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$50.3 million during the year ended December 31, 2021, and we expect to continue to incur significant losses for the foreseeable future as we continue our research and development activities and planned commercialization of our proteomics platform. As of December 31, 2021, we had an accumulated deficit of $80.6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19"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09"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9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from March 2020 until August 2021.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9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8" w:name="page79"/>
    <w:bookmarkEnd w:id="7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Fiscal Year Ended December 31, 2021 to Fiscal Year Ended December 31,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2021 to 2020</w:t>
            </w:r>
          </w:p>
        </w:tc>
        <w:tc>
          <w:tcPr>
            <w:tcW w:w="110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r>
      <w:tr>
        <w:trPr>
          <w:trHeight w:val="197"/>
        </w:trPr>
        <w:tc>
          <w:tcPr>
            <w:tcW w:w="5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06"/>
        </w:trPr>
        <w:tc>
          <w:tcPr>
            <w:tcW w:w="51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5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26"/>
        </w:trPr>
        <w:tc>
          <w:tcPr>
            <w:tcW w:w="5100" w:type="dxa"/>
            <w:vAlign w:val="bottom"/>
            <w:shd w:val="clear" w:color="auto" w:fill="CCEEFF"/>
          </w:tcPr>
          <w:p>
            <w:pPr>
              <w:jc w:val="right"/>
              <w:ind w:right="2912"/>
              <w:spacing w:after="0"/>
              <w:rPr>
                <w:sz w:val="20"/>
                <w:szCs w:val="20"/>
                <w:color w:val="auto"/>
              </w:rPr>
            </w:pPr>
            <w:r>
              <w:rPr>
                <w:rFonts w:ascii="Arial" w:cs="Arial" w:eastAsia="Arial" w:hAnsi="Arial"/>
                <w:sz w:val="18"/>
                <w:szCs w:val="18"/>
                <w:color w:val="auto"/>
                <w:w w:val="96"/>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18"/>
        </w:trPr>
        <w:tc>
          <w:tcPr>
            <w:tcW w:w="5100" w:type="dxa"/>
            <w:vAlign w:val="bottom"/>
            <w:tcBorders>
              <w:bottom w:val="single" w:sz="8" w:color="CCEEFF"/>
            </w:tcBorders>
          </w:tcPr>
          <w:p>
            <w:pPr>
              <w:jc w:val="right"/>
              <w:ind w:right="2912"/>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19"/>
        </w:trPr>
        <w:tc>
          <w:tcPr>
            <w:tcW w:w="51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Research and development expenses were $29.4 million for the year ended December 31, 2021, compared to $12.4 million for the year ended December 31, 2020, an increase of $16.9 million, or 136%. The increase was primarily due to a $8.4 million increase in salaries, related benefits, and stock-based compensation due to an increase in headcount to support on-going development of our products, a $4.2 million increase in laboratory supplies and equipment expense, a $2.2 million increase in costs for development services and a $1.4 million increase in facilities cost.</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General and administrative expenses were $21.1 million for the year ended December 31, 2021, compared to $3.3 million for the year ended December 31, 2020, an increase of $17.8 million, or 538%. The increase was primarily due to a $9.1 million increase in salaries, related benefits, and stock-based compensation, a $4.1 million increase in professional services, primarily related to audit, legal, and accounting service expenses, a $1.8 million increase in insurance costs and a $0.8 million increase in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Other income (expense), net for the year ended December 31, 2021 as compared to the year ended December 31, 2020 changed primarily due to net investment accretion offset by loss on disposal of assets incurred in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and negative cash flows from our operations. Our net loss was $50.3 million for the year ended December 31, 2021. As of December 31, 2021, we had an accumulated deficit of $80.6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w:t>
      </w:r>
    </w:p>
    <w:p>
      <w:pPr>
        <w:spacing w:after="0" w:line="104" w:lineRule="exact"/>
        <w:rPr>
          <w:sz w:val="20"/>
          <w:szCs w:val="20"/>
          <w:color w:val="auto"/>
        </w:rPr>
      </w:pPr>
    </w:p>
    <w:p>
      <w:pPr>
        <w:ind w:right="56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0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80" w:name="page81"/>
    <w:bookmarkEnd w:id="80"/>
    <w:p>
      <w:pPr>
        <w:spacing w:after="0" w:line="119"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Fiscal Years Ended December 31,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79"/>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(13,996)</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center"/>
              <w:ind w:left="315"/>
              <w:spacing w:after="0"/>
              <w:rPr>
                <w:sz w:val="20"/>
                <w:szCs w:val="20"/>
                <w:color w:val="auto"/>
              </w:rPr>
            </w:pPr>
            <w:r>
              <w:rPr>
                <w:rFonts w:ascii="Arial" w:cs="Arial" w:eastAsia="Arial" w:hAnsi="Arial"/>
                <w:sz w:val="18"/>
                <w:szCs w:val="18"/>
                <w:color w:val="auto"/>
                <w:w w:val="89"/>
              </w:rPr>
              <w:t>(25,279)</w:t>
            </w: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0"/>
              </w:rPr>
              <w:t>75,899</w:t>
            </w:r>
          </w:p>
        </w:tc>
      </w:tr>
      <w:tr>
        <w:trPr>
          <w:trHeight w:val="219"/>
        </w:trPr>
        <w:tc>
          <w:tcPr>
            <w:tcW w:w="804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0"/>
              </w:rPr>
              <w:t>36,624</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During the year ended December 31, 2021, net cash used in operating activities was $39.2 million, primarily resulting from our operating loss of $50.3 million and a $2.8 million increase in prepaid expenses and other assets, partially offset by a $7.9 million of stock-based compensation, a $2.3 million increase in accrued expenses and other liabilities, $1.8 million amortization of operating lease right-of-use assets, a $1.3 million increase in accounts payable and a $1.0 million in depreciation.</w:t>
      </w:r>
    </w:p>
    <w:p>
      <w:pPr>
        <w:spacing w:after="0" w:line="138"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on securities and $0.4 million of stock-based compensation.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jc w:val="both"/>
        <w:ind w:right="620" w:firstLine="318"/>
        <w:spacing w:after="0" w:line="365" w:lineRule="auto"/>
        <w:rPr>
          <w:sz w:val="20"/>
          <w:szCs w:val="20"/>
          <w:color w:val="auto"/>
        </w:rPr>
      </w:pPr>
      <w:r>
        <w:rPr>
          <w:rFonts w:ascii="Arial" w:cs="Arial" w:eastAsia="Arial" w:hAnsi="Arial"/>
          <w:sz w:val="15"/>
          <w:szCs w:val="15"/>
          <w:color w:val="auto"/>
        </w:rPr>
        <w:t>During the year ended December 31, 2021, net cash used in investing activities was $139.0 million, resulting from $221.8 million in purchases of securities and $2.3 million in purchases of property and equipment, partially offset by $85.1 million in proceeds from sale and maturities of securities.</w:t>
      </w:r>
    </w:p>
    <w:p>
      <w:pPr>
        <w:spacing w:after="0" w:line="58"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During the year ended December 31, 2021, net cash provided by financing activities was $327.4, primarily from $335.4 million in proceeds from reverse recapitalization and PIPE financing, partially offset by $8.1 million in payments of offering costs.</w:t>
      </w:r>
    </w:p>
    <w:p>
      <w:pPr>
        <w:spacing w:after="0" w:line="128"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For a discussion of our contractual obligations and commitments, refer to Part II, Item 8, Note 10, “Commitments and Contingencies” to the consolidated financial statements in this Annual Report on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28"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8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64"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18"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achievement of any such performance-based milestone is probable based on the relative satisfaction of the performance conditions as of the reporting date.</w:t>
      </w:r>
    </w:p>
    <w:p>
      <w:pPr>
        <w:spacing w:after="0" w:line="199"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28"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64" w:lineRule="exact"/>
        <w:rPr>
          <w:rFonts w:ascii="Arial" w:cs="Arial" w:eastAsia="Arial" w:hAnsi="Arial"/>
          <w:sz w:val="18"/>
          <w:szCs w:val="18"/>
          <w:color w:val="auto"/>
        </w:rPr>
      </w:pPr>
    </w:p>
    <w:p>
      <w:pPr>
        <w:ind w:left="640" w:right="7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27" w:lineRule="exact"/>
        <w:rPr>
          <w:rFonts w:ascii="Arial" w:cs="Arial" w:eastAsia="Arial" w:hAnsi="Arial"/>
          <w:sz w:val="18"/>
          <w:szCs w:val="18"/>
          <w:color w:val="auto"/>
        </w:rPr>
      </w:pPr>
    </w:p>
    <w:p>
      <w:pPr>
        <w:ind w:left="640" w:right="100" w:hanging="316"/>
        <w:spacing w:after="0" w:line="271"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Historically, we have been a private company and lacked company-specific historical and implied volatility information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Therefore, the expected volatility of our common stock was determined by using an average of historical volatilities of selected industry peers deemed to be comparable to our business corresponding to the expected term of the equity awards and we expect to continue to do so until such time we have adequate historical data regarding the volatility of our traded common stock price.</w:t>
      </w:r>
    </w:p>
    <w:p>
      <w:pPr>
        <w:spacing w:after="0" w:line="124" w:lineRule="exact"/>
        <w:rPr>
          <w:rFonts w:ascii="Arial" w:cs="Arial" w:eastAsia="Arial" w:hAnsi="Arial"/>
          <w:sz w:val="17"/>
          <w:szCs w:val="17"/>
          <w:color w:val="auto"/>
        </w:rPr>
      </w:pPr>
    </w:p>
    <w:p>
      <w:pPr>
        <w:ind w:left="640" w:right="120" w:hanging="316"/>
        <w:spacing w:after="0" w:line="252"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weighted-average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expected dividend rate is zero as we have no history or expectation of declaring dividends on our common stock.</w:t>
      </w:r>
    </w:p>
    <w:p>
      <w:pPr>
        <w:spacing w:after="0" w:line="199" w:lineRule="exact"/>
        <w:rPr>
          <w:sz w:val="20"/>
          <w:szCs w:val="20"/>
          <w:color w:val="auto"/>
        </w:rPr>
      </w:pPr>
    </w:p>
    <w:p>
      <w:pPr>
        <w:jc w:val="both"/>
        <w:ind w:right="480" w:firstLine="318"/>
        <w:spacing w:after="0" w:line="255"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32"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64"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19"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applicable, the implied equity value of Legacy Nautilus as contemplated by the Business Combination Agreement.</w:t>
      </w:r>
    </w:p>
    <w:p>
      <w:pPr>
        <w:spacing w:after="0" w:line="164"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35"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93"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9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Legacy Nautilus per the Business Combination agreement that was executed on February 7, 2021.</w:t>
      </w:r>
    </w:p>
    <w:p>
      <w:pPr>
        <w:spacing w:after="0" w:line="13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average expected time to liquidity. The estimated fair value of our common stock at each grant date reflected a non-marketability discount partially based on the anticipated likelihood and timing of a future liquidity event.</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Following the closing of the Business Combination, our board of directors determine the fair market value of our common stock based on its closing price as reported on the date of grant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firstLine="6"/>
        <w:spacing w:after="0" w:line="251" w:lineRule="auto"/>
        <w:tabs>
          <w:tab w:leader="none" w:pos="3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had cash, cash equivalents and short-term investments of $345.7 million as of December 31, 2021.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2021, the effect of a hypothetical 1.00% (100 basis point) change in interest rates would have changed the fair value of our marketable securities by $1.1 million. Such change would only be realized if we sold the marketable securities prior to maturity.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9"/>
        </w:trPr>
        <w:tc>
          <w:tcPr>
            <w:tcW w:w="98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00" w:type="dxa"/>
            <w:vAlign w:val="bottom"/>
            <w:gridSpan w:val="5"/>
          </w:tcPr>
          <w:p>
            <w:pPr>
              <w:jc w:val="center"/>
              <w:ind w:right="17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w w:val="92"/>
              </w:rPr>
              <w:t>Page</w:t>
            </w:r>
          </w:p>
        </w:tc>
      </w:tr>
      <w:tr>
        <w:trPr>
          <w:trHeight w:val="266"/>
        </w:trPr>
        <w:tc>
          <w:tcPr>
            <w:tcW w:w="20" w:type="dxa"/>
            <w:vAlign w:val="bottom"/>
          </w:tcPr>
          <w:p>
            <w:pPr>
              <w:spacing w:after="0"/>
              <w:rPr>
                <w:sz w:val="23"/>
                <w:szCs w:val="23"/>
                <w:color w:val="auto"/>
              </w:rPr>
            </w:pPr>
          </w:p>
        </w:tc>
        <w:tc>
          <w:tcPr>
            <w:tcW w:w="9800" w:type="dxa"/>
            <w:vAlign w:val="bottom"/>
            <w:gridSpan w:val="9"/>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 xml:space="preserve">Report of Independent Registered Public Accounting Firm (PCAOB ID </w:t>
              </w:r>
            </w:hyperlink>
            <w:r>
              <w:rPr>
                <w:rFonts w:ascii="Arial" w:cs="Arial" w:eastAsia="Arial" w:hAnsi="Arial"/>
                <w:sz w:val="18"/>
                <w:szCs w:val="18"/>
                <w:color w:val="3051F2"/>
              </w:rPr>
              <w:t>238)</w:t>
            </w: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88</w:t>
              </w:r>
            </w:hyperlink>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060" w:type="dxa"/>
            <w:vAlign w:val="bottom"/>
          </w:tcPr>
          <w:p>
            <w:pPr>
              <w:spacing w:after="0"/>
              <w:rPr>
                <w:rFonts w:ascii="Arial" w:cs="Arial" w:eastAsia="Arial" w:hAnsi="Arial"/>
                <w:sz w:val="18"/>
                <w:szCs w:val="18"/>
                <w:color w:val="0000FF"/>
                <w:w w:val="86"/>
              </w:rPr>
            </w:pPr>
            <w:hyperlink w:anchor="page88">
              <w:r>
                <w:rPr>
                  <w:rFonts w:ascii="Arial" w:cs="Arial" w:eastAsia="Arial" w:hAnsi="Arial"/>
                  <w:sz w:val="18"/>
                  <w:szCs w:val="18"/>
                  <w:color w:val="0000FF"/>
                  <w:w w:val="86"/>
                </w:rPr>
                <w:t>Consolidated Balance Sheets</w:t>
              </w:r>
            </w:hyperlink>
          </w:p>
        </w:tc>
        <w:tc>
          <w:tcPr>
            <w:tcW w:w="304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c>
          <w:tcPr>
            <w:tcW w:w="4360" w:type="dxa"/>
            <w:vAlign w:val="bottom"/>
            <w:gridSpan w:val="2"/>
          </w:tcPr>
          <w:p>
            <w:pPr>
              <w:spacing w:after="0"/>
              <w:rPr>
                <w:sz w:val="22"/>
                <w:szCs w:val="22"/>
                <w:color w:val="auto"/>
              </w:rPr>
            </w:pP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89</w:t>
              </w:r>
            </w:hyperlink>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0" w:type="dxa"/>
            <w:vAlign w:val="bottom"/>
            <w:gridSpan w:val="9"/>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Consolidated Statements of Operations</w:t>
              </w:r>
            </w:hyperlink>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90</w:t>
              </w:r>
            </w:hyperlink>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480" w:type="dxa"/>
            <w:vAlign w:val="bottom"/>
            <w:gridSpan w:val="5"/>
          </w:tcPr>
          <w:p>
            <w:pPr>
              <w:spacing w:after="0"/>
              <w:rPr>
                <w:rFonts w:ascii="Arial" w:cs="Arial" w:eastAsia="Arial" w:hAnsi="Arial"/>
                <w:sz w:val="18"/>
                <w:szCs w:val="18"/>
                <w:color w:val="0000FF"/>
                <w:w w:val="87"/>
              </w:rPr>
            </w:pPr>
            <w:hyperlink w:anchor="page90">
              <w:r>
                <w:rPr>
                  <w:rFonts w:ascii="Arial" w:cs="Arial" w:eastAsia="Arial" w:hAnsi="Arial"/>
                  <w:sz w:val="18"/>
                  <w:szCs w:val="18"/>
                  <w:color w:val="0000FF"/>
                  <w:w w:val="87"/>
                </w:rPr>
                <w:t>Consolidated Statements of Comprehensive Loss</w:t>
              </w:r>
            </w:hyperlink>
          </w:p>
        </w:tc>
        <w:tc>
          <w:tcPr>
            <w:tcW w:w="6320" w:type="dxa"/>
            <w:vAlign w:val="bottom"/>
            <w:gridSpan w:val="4"/>
          </w:tcPr>
          <w:p>
            <w:pPr>
              <w:spacing w:after="0"/>
              <w:rPr>
                <w:sz w:val="22"/>
                <w:szCs w:val="22"/>
                <w:color w:val="auto"/>
              </w:rPr>
            </w:pP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91</w:t>
              </w:r>
            </w:hyperlink>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380" w:type="dxa"/>
            <w:vAlign w:val="bottom"/>
            <w:gridSpan w:val="8"/>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Consolidated Statements of Redeemable Convertible Preferred Stock and Stockholders’ Equity (Deficit)</w:t>
              </w:r>
            </w:hyperlink>
          </w:p>
        </w:tc>
        <w:tc>
          <w:tcPr>
            <w:tcW w:w="2420" w:type="dxa"/>
            <w:vAlign w:val="bottom"/>
          </w:tcPr>
          <w:p>
            <w:pPr>
              <w:spacing w:after="0"/>
              <w:rPr>
                <w:sz w:val="22"/>
                <w:szCs w:val="22"/>
                <w:color w:val="auto"/>
              </w:rPr>
            </w:pP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92</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820" w:type="dxa"/>
            <w:vAlign w:val="bottom"/>
            <w:gridSpan w:val="3"/>
          </w:tcPr>
          <w:p>
            <w:pPr>
              <w:spacing w:after="0"/>
              <w:rPr>
                <w:rFonts w:ascii="Arial" w:cs="Arial" w:eastAsia="Arial" w:hAnsi="Arial"/>
                <w:sz w:val="18"/>
                <w:szCs w:val="18"/>
                <w:color w:val="0000FF"/>
                <w:w w:val="87"/>
              </w:rPr>
            </w:pPr>
            <w:hyperlink w:anchor="page92">
              <w:r>
                <w:rPr>
                  <w:rFonts w:ascii="Arial" w:cs="Arial" w:eastAsia="Arial" w:hAnsi="Arial"/>
                  <w:sz w:val="18"/>
                  <w:szCs w:val="18"/>
                  <w:color w:val="0000FF"/>
                  <w:w w:val="87"/>
                </w:rPr>
                <w:t>Consolidated Statements of Cash Flows</w:t>
              </w:r>
            </w:hyperlink>
          </w:p>
        </w:tc>
        <w:tc>
          <w:tcPr>
            <w:tcW w:w="4560" w:type="dxa"/>
            <w:vAlign w:val="bottom"/>
            <w:gridSpan w:val="5"/>
          </w:tcPr>
          <w:p>
            <w:pPr>
              <w:spacing w:after="0"/>
              <w:rPr>
                <w:sz w:val="22"/>
                <w:szCs w:val="22"/>
                <w:color w:val="auto"/>
              </w:rPr>
            </w:pPr>
          </w:p>
        </w:tc>
        <w:tc>
          <w:tcPr>
            <w:tcW w:w="2420" w:type="dxa"/>
            <w:vAlign w:val="bottom"/>
          </w:tcPr>
          <w:p>
            <w:pPr>
              <w:spacing w:after="0"/>
              <w:rPr>
                <w:sz w:val="22"/>
                <w:szCs w:val="22"/>
                <w:color w:val="auto"/>
              </w:rPr>
            </w:pP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93</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spacing w:after="0"/>
              <w:rPr>
                <w:rFonts w:ascii="Arial" w:cs="Arial" w:eastAsia="Arial" w:hAnsi="Arial"/>
                <w:sz w:val="18"/>
                <w:szCs w:val="18"/>
                <w:color w:val="0000FF"/>
                <w:w w:val="87"/>
              </w:rPr>
            </w:pPr>
            <w:hyperlink w:anchor="page93">
              <w:r>
                <w:rPr>
                  <w:rFonts w:ascii="Arial" w:cs="Arial" w:eastAsia="Arial" w:hAnsi="Arial"/>
                  <w:sz w:val="18"/>
                  <w:szCs w:val="18"/>
                  <w:color w:val="0000FF"/>
                  <w:w w:val="87"/>
                </w:rPr>
                <w:t>Notes to Consolidated Financial Statements</w:t>
              </w:r>
            </w:hyperlink>
          </w:p>
        </w:tc>
        <w:tc>
          <w:tcPr>
            <w:tcW w:w="6700" w:type="dxa"/>
            <w:vAlign w:val="bottom"/>
            <w:gridSpan w:val="5"/>
          </w:tcPr>
          <w:p>
            <w:pPr>
              <w:spacing w:after="0"/>
              <w:rPr>
                <w:sz w:val="22"/>
                <w:szCs w:val="22"/>
                <w:color w:val="auto"/>
              </w:rPr>
            </w:pPr>
          </w:p>
        </w:tc>
        <w:tc>
          <w:tcPr>
            <w:tcW w:w="1420" w:type="dxa"/>
            <w:vAlign w:val="bottom"/>
            <w:gridSpan w:val="2"/>
          </w:tcPr>
          <w:p>
            <w:pPr>
              <w:jc w:val="right"/>
              <w:ind w:right="1240"/>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94</w:t>
              </w:r>
            </w:hyperlink>
          </w:p>
        </w:tc>
      </w:tr>
      <w:tr>
        <w:trPr>
          <w:trHeight w:val="876"/>
        </w:trPr>
        <w:tc>
          <w:tcPr>
            <w:tcW w:w="2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4280" w:type="dxa"/>
            <w:vAlign w:val="bottom"/>
            <w:gridSpan w:val="4"/>
          </w:tcPr>
          <w:p>
            <w:pPr>
              <w:jc w:val="right"/>
              <w:ind w:right="1700"/>
              <w:spacing w:after="0"/>
              <w:rPr>
                <w:sz w:val="20"/>
                <w:szCs w:val="20"/>
                <w:color w:val="auto"/>
              </w:rPr>
            </w:pPr>
            <w:r>
              <w:rPr>
                <w:rFonts w:ascii="Arial" w:cs="Arial" w:eastAsia="Arial" w:hAnsi="Arial"/>
                <w:sz w:val="16"/>
                <w:szCs w:val="16"/>
                <w:color w:val="auto"/>
              </w:rPr>
              <w:t>87</w:t>
            </w:r>
          </w:p>
        </w:tc>
        <w:tc>
          <w:tcPr>
            <w:tcW w:w="24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r>
      <w:tr>
        <w:trPr>
          <w:trHeight w:val="263"/>
        </w:trPr>
        <w:tc>
          <w:tcPr>
            <w:tcW w:w="20" w:type="dxa"/>
            <w:vAlign w:val="bottom"/>
            <w:tcBorders>
              <w:bottom w:val="single" w:sz="8" w:color="9A9A9A"/>
            </w:tcBorders>
          </w:tcPr>
          <w:p>
            <w:pPr>
              <w:spacing w:after="0"/>
              <w:rPr>
                <w:sz w:val="22"/>
                <w:szCs w:val="22"/>
                <w:color w:val="auto"/>
              </w:rPr>
            </w:pPr>
          </w:p>
        </w:tc>
        <w:tc>
          <w:tcPr>
            <w:tcW w:w="206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62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940" w:type="dxa"/>
            <w:vAlign w:val="bottom"/>
            <w:tcBorders>
              <w:bottom w:val="single" w:sz="8" w:color="9A9A9A"/>
            </w:tcBorders>
          </w:tcPr>
          <w:p>
            <w:pPr>
              <w:spacing w:after="0"/>
              <w:rPr>
                <w:sz w:val="22"/>
                <w:szCs w:val="22"/>
                <w:color w:val="auto"/>
              </w:rPr>
            </w:pPr>
          </w:p>
        </w:tc>
        <w:tc>
          <w:tcPr>
            <w:tcW w:w="242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7" w:name="page88"/>
    <w:bookmarkEnd w:id="87"/>
    <w:p>
      <w:pPr>
        <w:spacing w:after="0" w:line="113"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have audited the accompanying consolidated balance sheets of Nautilus Biotechnology, Inc. and its subsidiary (the “Company”) as of December 31, 2021 and 2020,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80"/>
        <w:spacing w:after="0" w:line="312"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February 24,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At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Commitments and contingencies (Note 10)</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3"/>
              </w:rPr>
              <w:t>issued and outstanding as of December 31, 2021 and 2020, respectively (liquidation preference of $0 and</w:t>
            </w:r>
          </w:p>
        </w:tc>
        <w:tc>
          <w:tcPr>
            <w:tcW w:w="16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$7,263 as of December 31, 2021 and 2020, respectively)</w:t>
            </w:r>
          </w:p>
        </w:tc>
        <w:tc>
          <w:tcPr>
            <w:tcW w:w="1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Series A redeemable convertible preferred stock - par value $0.0001, 0 and 16,836,436 shares authorized, issued</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89"/>
              </w:rPr>
              <w:t>and outstanding as of December 31, 2021 and 2020, respectively (liquidation preference of $0 and $27,200 as</w:t>
            </w:r>
          </w:p>
        </w:tc>
        <w:tc>
          <w:tcPr>
            <w:tcW w:w="16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December 31, 2021 and 2020, respectively)</w:t>
            </w: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9"/>
              </w:rPr>
              <w:t>December 31, 2021 and 2020, respectively, 0 and 22,164,724 shares issued and outstanding as of</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3"/>
              </w:rPr>
              <w:t>December 31, 2021 and 2020, respectively (liquidation preference of $0 and $76,060 as of December 31,</w:t>
            </w:r>
          </w:p>
        </w:tc>
        <w:tc>
          <w:tcPr>
            <w:tcW w:w="16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2021 and 2020, respectively)</w:t>
            </w:r>
          </w:p>
        </w:tc>
        <w:tc>
          <w:tcPr>
            <w:tcW w:w="16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gridSpan w:val="2"/>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Preferred stock, $0.0001 par value, 200,000,000 and 0 shares authorized as of December 31, 2021 and 2020,</w:t>
            </w: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0 shares issued and outstanding as of December 31, 2021 and 2020</w:t>
            </w: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Common stock, $0.0001 par value, 1,000,000,000 and 98,672,620 shares authorized as of December 31,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9"/>
              </w:rPr>
              <w:t>and 2020, respectively; 124,303,083 and 33,069,513 shares issued and outstanding as of December 31, 2021</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and 2020, respectively</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8"/>
        </w:trPr>
        <w:tc>
          <w:tcPr>
            <w:tcW w:w="80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198"/>
        </w:trPr>
        <w:tc>
          <w:tcPr>
            <w:tcW w:w="804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1" w:name="page92"/>
    <w:bookmarkEnd w:id="9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right="1820"/>
        <w:spacing w:after="0" w:line="261" w:lineRule="auto"/>
        <w:rPr>
          <w:sz w:val="20"/>
          <w:szCs w:val="20"/>
          <w:color w:val="auto"/>
        </w:rPr>
      </w:pPr>
      <w:r>
        <w:rPr>
          <w:rFonts w:ascii="Arial" w:cs="Arial" w:eastAsia="Arial" w:hAnsi="Arial"/>
          <w:sz w:val="21"/>
          <w:szCs w:val="21"/>
          <w:b w:val="1"/>
          <w:bCs w:val="1"/>
          <w:color w:val="auto"/>
        </w:rPr>
        <w:t>Consolidated Statements of Redeemable Convertible Preferred Stock and Stockholders’ Equity (Deficit)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9"/>
          </w:tcPr>
          <w:p>
            <w:pPr>
              <w:ind w:left="220"/>
              <w:spacing w:after="0"/>
              <w:rPr>
                <w:sz w:val="20"/>
                <w:szCs w:val="20"/>
                <w:color w:val="auto"/>
              </w:rPr>
            </w:pPr>
            <w:r>
              <w:rPr>
                <w:rFonts w:ascii="Arial" w:cs="Arial" w:eastAsia="Arial" w:hAnsi="Arial"/>
                <w:sz w:val="12"/>
                <w:szCs w:val="12"/>
                <w:b w:val="1"/>
                <w:bCs w:val="1"/>
                <w:color w:val="auto"/>
              </w:rPr>
              <w:t>Redeemable Convertible Preferred Stock</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9"/>
        </w:trPr>
        <w:tc>
          <w:tcPr>
            <w:tcW w:w="1720" w:type="dxa"/>
            <w:vAlign w:val="bottom"/>
          </w:tcPr>
          <w:p>
            <w:pPr>
              <w:spacing w:after="0"/>
              <w:rPr>
                <w:sz w:val="5"/>
                <w:szCs w:val="5"/>
                <w:color w:val="auto"/>
              </w:rPr>
            </w:pPr>
          </w:p>
        </w:tc>
        <w:tc>
          <w:tcPr>
            <w:tcW w:w="1460" w:type="dxa"/>
            <w:vAlign w:val="bottom"/>
            <w:gridSpan w:val="5"/>
            <w:vMerge w:val="restart"/>
          </w:tcPr>
          <w:p>
            <w:pPr>
              <w:ind w:left="380"/>
              <w:spacing w:after="0" w:line="134" w:lineRule="exact"/>
              <w:rPr>
                <w:sz w:val="20"/>
                <w:szCs w:val="20"/>
                <w:color w:val="auto"/>
              </w:rPr>
            </w:pPr>
            <w:r>
              <w:rPr>
                <w:rFonts w:ascii="Arial" w:cs="Arial" w:eastAsia="Arial" w:hAnsi="Arial"/>
                <w:sz w:val="12"/>
                <w:szCs w:val="12"/>
                <w:b w:val="1"/>
                <w:bCs w:val="1"/>
                <w:color w:val="auto"/>
              </w:rPr>
              <w:t>Series Seed</w:t>
            </w:r>
          </w:p>
        </w:tc>
        <w:tc>
          <w:tcPr>
            <w:tcW w:w="1060" w:type="dxa"/>
            <w:vAlign w:val="bottom"/>
            <w:gridSpan w:val="3"/>
            <w:vMerge w:val="restart"/>
          </w:tcPr>
          <w:p>
            <w:pPr>
              <w:jc w:val="right"/>
              <w:ind w:right="71"/>
              <w:spacing w:after="0" w:line="134" w:lineRule="exact"/>
              <w:rPr>
                <w:sz w:val="20"/>
                <w:szCs w:val="20"/>
                <w:color w:val="auto"/>
              </w:rPr>
            </w:pPr>
            <w:r>
              <w:rPr>
                <w:rFonts w:ascii="Arial" w:cs="Arial" w:eastAsia="Arial" w:hAnsi="Arial"/>
                <w:sz w:val="12"/>
                <w:szCs w:val="12"/>
                <w:b w:val="1"/>
                <w:bCs w:val="1"/>
                <w:color w:val="auto"/>
              </w:rPr>
              <w:t>Series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ind w:left="560"/>
              <w:spacing w:after="0" w:line="134" w:lineRule="exact"/>
              <w:rPr>
                <w:sz w:val="20"/>
                <w:szCs w:val="20"/>
                <w:color w:val="auto"/>
              </w:rPr>
            </w:pPr>
            <w:r>
              <w:rPr>
                <w:rFonts w:ascii="Arial" w:cs="Arial" w:eastAsia="Arial" w:hAnsi="Arial"/>
                <w:sz w:val="12"/>
                <w:szCs w:val="12"/>
                <w:b w:val="1"/>
                <w:bCs w:val="1"/>
                <w:color w:val="auto"/>
                <w:w w:val="83"/>
              </w:rPr>
              <w:t>Series B</w:t>
            </w: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100"/>
              <w:spacing w:after="0" w:line="100"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0"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99"/>
        </w:trPr>
        <w:tc>
          <w:tcPr>
            <w:tcW w:w="1720" w:type="dxa"/>
            <w:vAlign w:val="bottom"/>
          </w:tcPr>
          <w:p>
            <w:pPr>
              <w:ind w:left="20"/>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76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22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rPr>
              <w:t>Paid-in</w:t>
            </w:r>
          </w:p>
        </w:tc>
        <w:tc>
          <w:tcPr>
            <w:tcW w:w="100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60" w:type="dxa"/>
            <w:vAlign w:val="bottom"/>
            <w:gridSpan w:val="3"/>
          </w:tcPr>
          <w:p>
            <w:pPr>
              <w:ind w:left="40"/>
              <w:spacing w:after="0" w:line="10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amounts)</w:t>
            </w: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113"/>
        </w:trPr>
        <w:tc>
          <w:tcPr>
            <w:tcW w:w="172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rPr>
              <w:t>Balances at December 31,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13,174,805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16,836,436</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$ 27,067</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32,932,218</w:t>
            </w:r>
          </w:p>
        </w:tc>
        <w:tc>
          <w:tcPr>
            <w:tcW w:w="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(14,706)</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4"/>
                <w:szCs w:val="14"/>
                <w:color w:val="auto"/>
              </w:rPr>
              <w:t>Issuance of 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180"/>
              <w:spacing w:after="0" w:line="133" w:lineRule="exact"/>
              <w:rPr>
                <w:sz w:val="20"/>
                <w:szCs w:val="20"/>
                <w:color w:val="auto"/>
              </w:rPr>
            </w:pPr>
            <w:r>
              <w:rPr>
                <w:rFonts w:ascii="Arial" w:cs="Arial" w:eastAsia="Arial" w:hAnsi="Arial"/>
                <w:sz w:val="14"/>
                <w:szCs w:val="14"/>
                <w:color w:val="auto"/>
              </w:rPr>
              <w:t>upon exercise of vested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137,295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3"/>
        </w:trPr>
        <w:tc>
          <w:tcPr>
            <w:tcW w:w="172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Series B</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redeemable convertible</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22,164,724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4"/>
                <w:szCs w:val="14"/>
                <w:color w:val="auto"/>
                <w:w w:val="99"/>
              </w:rPr>
              <w:t>Stock-based compensation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expense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1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(15,619)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113"/>
        </w:trPr>
        <w:tc>
          <w:tcPr>
            <w:tcW w:w="172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3"/>
                <w:szCs w:val="13"/>
                <w:color w:val="auto"/>
              </w:rPr>
              <w:t>Balances at December 31,</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13,174,805</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16,836,436</w:t>
            </w: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$ 27,067</w:t>
            </w: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22,164,724</w:t>
            </w:r>
          </w:p>
        </w:tc>
        <w:tc>
          <w:tcPr>
            <w:tcW w:w="2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$ 75,857</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(30,325)</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4"/>
                <w:szCs w:val="14"/>
                <w:color w:val="auto"/>
              </w:rPr>
              <w:t>Issuance of 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180"/>
              <w:spacing w:after="0" w:line="133" w:lineRule="exact"/>
              <w:rPr>
                <w:sz w:val="20"/>
                <w:szCs w:val="20"/>
                <w:color w:val="auto"/>
              </w:rPr>
            </w:pPr>
            <w:r>
              <w:rPr>
                <w:rFonts w:ascii="Arial" w:cs="Arial" w:eastAsia="Arial" w:hAnsi="Arial"/>
                <w:sz w:val="14"/>
                <w:szCs w:val="14"/>
                <w:color w:val="auto"/>
              </w:rPr>
              <w:t>upon exercise of vested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273,696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3"/>
        </w:trPr>
        <w:tc>
          <w:tcPr>
            <w:tcW w:w="172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upon exercise of warrants</w:t>
            </w: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4"/>
                <w:szCs w:val="14"/>
                <w:color w:val="auto"/>
              </w:rPr>
              <w:t>Conversion of redeemable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180"/>
              <w:spacing w:after="0" w:line="133" w:lineRule="exact"/>
              <w:rPr>
                <w:sz w:val="20"/>
                <w:szCs w:val="20"/>
                <w:color w:val="auto"/>
              </w:rPr>
            </w:pPr>
            <w:r>
              <w:rPr>
                <w:rFonts w:ascii="Arial" w:cs="Arial" w:eastAsia="Arial" w:hAnsi="Arial"/>
                <w:sz w:val="14"/>
                <w:szCs w:val="14"/>
                <w:color w:val="auto"/>
              </w:rPr>
              <w:t>convertible preferred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180"/>
              <w:spacing w:after="0" w:line="133" w:lineRule="exact"/>
              <w:rPr>
                <w:sz w:val="20"/>
                <w:szCs w:val="20"/>
                <w:color w:val="auto"/>
              </w:rPr>
            </w:pPr>
            <w:r>
              <w:rPr>
                <w:rFonts w:ascii="Arial" w:cs="Arial" w:eastAsia="Arial" w:hAnsi="Arial"/>
                <w:sz w:val="14"/>
                <w:szCs w:val="14"/>
                <w:color w:val="auto"/>
                <w:w w:val="99"/>
              </w:rPr>
              <w:t>stock into 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180"/>
              <w:spacing w:after="0" w:line="133" w:lineRule="exact"/>
              <w:rPr>
                <w:sz w:val="20"/>
                <w:szCs w:val="20"/>
                <w:color w:val="auto"/>
              </w:rPr>
            </w:pPr>
            <w:r>
              <w:rPr>
                <w:rFonts w:ascii="Arial" w:cs="Arial" w:eastAsia="Arial" w:hAnsi="Arial"/>
                <w:sz w:val="14"/>
                <w:szCs w:val="14"/>
                <w:color w:val="auto"/>
              </w:rPr>
              <w:t>in connection with the</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(13,174,805)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85"/>
              </w:rPr>
              <w:t>(5,494)</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(16,836,436)</w:t>
            </w: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(27,067)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(22,164,724)</w:t>
            </w:r>
          </w:p>
        </w:tc>
        <w:tc>
          <w:tcPr>
            <w:tcW w:w="22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w w:val="95"/>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52,175,965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108,411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3"/>
        </w:trPr>
        <w:tc>
          <w:tcPr>
            <w:tcW w:w="1720" w:type="dxa"/>
            <w:vAlign w:val="bottom"/>
          </w:tcPr>
          <w:p>
            <w:pPr>
              <w:ind w:left="180"/>
              <w:spacing w:after="0"/>
              <w:rPr>
                <w:sz w:val="20"/>
                <w:szCs w:val="20"/>
                <w:color w:val="auto"/>
              </w:rPr>
            </w:pPr>
            <w:r>
              <w:rPr>
                <w:rFonts w:ascii="Arial" w:cs="Arial" w:eastAsia="Arial" w:hAnsi="Arial"/>
                <w:sz w:val="14"/>
                <w:szCs w:val="14"/>
                <w:color w:val="auto"/>
              </w:rPr>
              <w:t>reverse recapitalization</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upon the reverse</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recapitalization, net of</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4"/>
                <w:szCs w:val="14"/>
                <w:color w:val="auto"/>
                <w:w w:val="99"/>
              </w:rPr>
              <w:t>Stock-based compensation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color w:val="auto"/>
              </w:rPr>
              <w:t>expense</w:t>
            </w: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5"/>
              </w:rPr>
              <w:t>(50,315)</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(50,315)</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19" w:lineRule="exact"/>
              <w:rPr>
                <w:sz w:val="20"/>
                <w:szCs w:val="20"/>
                <w:color w:val="auto"/>
              </w:rPr>
            </w:pPr>
            <w:r>
              <w:rPr>
                <w:rFonts w:ascii="Arial" w:cs="Arial" w:eastAsia="Arial" w:hAnsi="Arial"/>
                <w:sz w:val="13"/>
                <w:szCs w:val="13"/>
                <w:color w:val="auto"/>
              </w:rPr>
              <w:t>Balances at December 31,</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220" w:type="dxa"/>
            <w:vAlign w:val="bottom"/>
            <w:vMerge w:val="restart"/>
          </w:tcPr>
          <w:p>
            <w:pPr>
              <w:jc w:val="right"/>
              <w:ind w:right="71"/>
              <w:spacing w:after="0"/>
              <w:rPr>
                <w:sz w:val="20"/>
                <w:szCs w:val="20"/>
                <w:color w:val="auto"/>
              </w:rPr>
            </w:pPr>
            <w:r>
              <w:rPr>
                <w:rFonts w:ascii="Arial" w:cs="Arial" w:eastAsia="Arial" w:hAnsi="Arial"/>
                <w:sz w:val="14"/>
                <w:szCs w:val="14"/>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124,303,083</w:t>
            </w:r>
          </w:p>
        </w:tc>
        <w:tc>
          <w:tcPr>
            <w:tcW w:w="80" w:type="dxa"/>
            <w:vAlign w:val="bottom"/>
          </w:tcPr>
          <w:p>
            <w:pPr>
              <w:spacing w:after="0"/>
              <w:rPr>
                <w:sz w:val="10"/>
                <w:szCs w:val="10"/>
                <w:color w:val="auto"/>
              </w:rPr>
            </w:pPr>
          </w:p>
        </w:tc>
        <w:tc>
          <w:tcPr>
            <w:tcW w:w="280" w:type="dxa"/>
            <w:vAlign w:val="bottom"/>
            <w:vMerge w:val="restart"/>
          </w:tcPr>
          <w:p>
            <w:pPr>
              <w:jc w:val="right"/>
              <w:ind w:right="132"/>
              <w:spacing w:after="0"/>
              <w:rPr>
                <w:sz w:val="20"/>
                <w:szCs w:val="20"/>
                <w:color w:val="auto"/>
              </w:rPr>
            </w:pPr>
            <w:r>
              <w:rPr>
                <w:rFonts w:ascii="Arial" w:cs="Arial" w:eastAsia="Arial" w:hAnsi="Arial"/>
                <w:sz w:val="14"/>
                <w:szCs w:val="14"/>
                <w:color w:val="auto"/>
                <w:w w:val="76"/>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444,388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ind w:left="120"/>
              <w:spacing w:after="0"/>
              <w:rPr>
                <w:sz w:val="20"/>
                <w:szCs w:val="20"/>
                <w:color w:val="auto"/>
              </w:rPr>
            </w:pPr>
            <w:r>
              <w:rPr>
                <w:rFonts w:ascii="Arial" w:cs="Arial" w:eastAsia="Arial" w:hAnsi="Arial"/>
                <w:sz w:val="14"/>
                <w:szCs w:val="14"/>
                <w:color w:val="auto"/>
                <w:w w:val="95"/>
              </w:rPr>
              <w:t>(80,640)</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363,576</w:t>
            </w: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line="159" w:lineRule="exact"/>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right="520" w:hanging="314"/>
        <w:spacing w:after="0" w:line="265" w:lineRule="auto"/>
        <w:tabs>
          <w:tab w:leader="none" w:pos="202"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4"/>
        </w:trPr>
        <w:tc>
          <w:tcPr>
            <w:tcW w:w="804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Amortization of premiums on securities,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5"/>
        </w:trPr>
        <w:tc>
          <w:tcPr>
            <w:tcW w:w="80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05"/>
        </w:trPr>
        <w:tc>
          <w:tcPr>
            <w:tcW w:w="80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0" w:type="dxa"/>
            <w:vAlign w:val="bottom"/>
          </w:tcPr>
          <w:p>
            <w:pPr>
              <w:spacing w:after="0"/>
              <w:rPr>
                <w:sz w:val="1"/>
                <w:szCs w:val="1"/>
                <w:color w:val="auto"/>
              </w:rPr>
            </w:pPr>
          </w:p>
        </w:tc>
      </w:tr>
      <w:tr>
        <w:trPr>
          <w:trHeight w:val="252"/>
        </w:trPr>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recapitalization</w:t>
            </w: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29,893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804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634"/>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On June 9, 2021 (the “Closing Date”), Nautilus Biotechnology, Inc. a Delaware corporate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04"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 ended December 31,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year ended December 31, 2020 include only the accounts of Legacy Nautilus. All intercompany transactions and balances have been eliminated upon consolidation. The Company’s reporting currency is the U.S. dollar.</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2021, the Company had an accumulated deficit of $80.6 million.</w:t>
      </w:r>
    </w:p>
    <w:p>
      <w:pPr>
        <w:spacing w:after="0" w:line="128"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The Company had cash, cash equivalents, and short-term investments of $345.7 million as of December 31, 2021. In June 2021, the Company received gross proceeds of approximately $345.5 million from PIPE Investors and the Business Combination offset by approximately $18.2 million of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4" w:name="page95"/>
    <w:bookmarkEnd w:id="9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costs and underwriters’ fees relating to the closing of the Business Combination. As of the date on which these consolidated financial statements were available to be issued, the Company believes that its cash, cash equivalents, and short-term investments will be sufficient to fund its operations for the next twelve months following the issuance of the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43"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8" w:right="399" w:bottom="1440" w:gutter="0" w:footer="0" w:header="0"/>
        </w:sectPr>
      </w:pPr>
    </w:p>
    <w:bookmarkStart w:id="95" w:name="page96"/>
    <w:bookmarkEnd w:id="9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634"/>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us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0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6" w:name="page97"/>
    <w:bookmarkEnd w:id="9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5"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220" w:firstLine="318"/>
        <w:spacing w:after="0" w:line="265"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 statement of operations and consolidated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consolidated balance sheets. There were no deferred offering costs capitalized as of December 31,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Useful lives assigned to property and equipment are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Laboratory equipment</w:t>
            </w:r>
          </w:p>
        </w:tc>
        <w:tc>
          <w:tcPr>
            <w:tcW w:w="5060" w:type="dxa"/>
            <w:vAlign w:val="bottom"/>
          </w:tcPr>
          <w:p>
            <w:pPr>
              <w:ind w:left="116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Arial" w:cs="Arial" w:eastAsia="Arial" w:hAnsi="Arial"/>
                <w:sz w:val="18"/>
                <w:szCs w:val="18"/>
                <w:color w:val="auto"/>
              </w:rPr>
              <w:t>Computer hardware</w:t>
            </w:r>
          </w:p>
        </w:tc>
        <w:tc>
          <w:tcPr>
            <w:tcW w:w="5060" w:type="dxa"/>
            <w:vAlign w:val="bottom"/>
          </w:tcPr>
          <w:p>
            <w:pPr>
              <w:ind w:left="116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59"/>
        </w:trPr>
        <w:tc>
          <w:tcPr>
            <w:tcW w:w="2960" w:type="dxa"/>
            <w:vAlign w:val="bottom"/>
            <w:vMerge w:val="continue"/>
          </w:tcPr>
          <w:p>
            <w:pPr>
              <w:spacing w:after="0"/>
              <w:rPr>
                <w:sz w:val="13"/>
                <w:szCs w:val="13"/>
                <w:color w:val="auto"/>
              </w:rPr>
            </w:pPr>
          </w:p>
        </w:tc>
        <w:tc>
          <w:tcPr>
            <w:tcW w:w="5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96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5060" w:type="dxa"/>
            <w:vAlign w:val="bottom"/>
          </w:tcPr>
          <w:p>
            <w:pPr>
              <w:ind w:left="116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59"/>
        </w:trPr>
        <w:tc>
          <w:tcPr>
            <w:tcW w:w="2960" w:type="dxa"/>
            <w:vAlign w:val="bottom"/>
            <w:vMerge w:val="continue"/>
          </w:tcPr>
          <w:p>
            <w:pPr>
              <w:spacing w:after="0"/>
              <w:rPr>
                <w:sz w:val="13"/>
                <w:szCs w:val="13"/>
                <w:color w:val="auto"/>
              </w:rPr>
            </w:pPr>
          </w:p>
        </w:tc>
        <w:tc>
          <w:tcPr>
            <w:tcW w:w="5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Arial" w:cs="Arial" w:eastAsia="Arial" w:hAnsi="Arial"/>
                <w:sz w:val="18"/>
                <w:szCs w:val="18"/>
                <w:color w:val="212529"/>
              </w:rPr>
              <w:t>Office equipment</w:t>
            </w:r>
          </w:p>
        </w:tc>
        <w:tc>
          <w:tcPr>
            <w:tcW w:w="5060" w:type="dxa"/>
            <w:vAlign w:val="bottom"/>
          </w:tcPr>
          <w:p>
            <w:pPr>
              <w:ind w:left="116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8"/>
                <w:szCs w:val="18"/>
                <w:color w:val="212529"/>
              </w:rPr>
              <w:t>Leasehold improvements</w:t>
            </w:r>
          </w:p>
        </w:tc>
        <w:tc>
          <w:tcPr>
            <w:tcW w:w="5060" w:type="dxa"/>
            <w:vAlign w:val="bottom"/>
          </w:tcPr>
          <w:p>
            <w:pPr>
              <w:ind w:left="1160"/>
              <w:spacing w:after="0"/>
              <w:rPr>
                <w:sz w:val="20"/>
                <w:szCs w:val="20"/>
                <w:color w:val="auto"/>
              </w:rPr>
            </w:pPr>
            <w:r>
              <w:rPr>
                <w:rFonts w:ascii="Arial" w:cs="Arial" w:eastAsia="Arial" w:hAnsi="Arial"/>
                <w:sz w:val="18"/>
                <w:szCs w:val="18"/>
                <w:color w:val="212529"/>
                <w:w w:val="88"/>
              </w:rPr>
              <w:t>Shorter of estimated useful life or remaining lease term</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2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01"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8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6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 Subsequent to the completion of the Business Combination (as defined in Note 1 and further described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9" w:name="page100"/>
    <w:bookmarkEnd w:id="9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Company’s common stock is determined by using the closing price per share of common stock as reported on the Nasdaq.</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6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Comprehensive loss consists of net loss and other gains or losses affecting stockholders’ equity (deficit) that, under U.S. GAAP are excluded from net loss. For the years ended December 31, 2021 and 2020, unrealized losses on debt securities were included as components of comprehensive loss.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6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0" w:name="page101"/>
    <w:bookmarkEnd w:id="10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the prospective method, which did not have a material impact on the Company’s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2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32"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1" w:name="page102"/>
    <w:bookmarkEnd w:id="10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634"/>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1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07"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2" w:name="page103"/>
    <w:bookmarkEnd w:id="10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84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 of shares</w:t>
            </w:r>
          </w:p>
        </w:tc>
      </w:tr>
      <w:tr>
        <w:trPr>
          <w:trHeight w:val="237"/>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5"/>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5"/>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1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5"/>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4"/>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Reported as: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Short-term</w:t>
            </w:r>
          </w:p>
        </w:tc>
        <w:tc>
          <w:tcPr>
            <w:tcW w:w="200" w:type="dxa"/>
            <w:vAlign w:val="bottom"/>
          </w:tcPr>
          <w:p>
            <w:pPr>
              <w:spacing w:after="0"/>
              <w:rPr>
                <w:sz w:val="11"/>
                <w:szCs w:val="11"/>
                <w:color w:val="auto"/>
              </w:rPr>
            </w:pPr>
          </w:p>
        </w:tc>
        <w:tc>
          <w:tcPr>
            <w:tcW w:w="1040" w:type="dxa"/>
            <w:vAlign w:val="bottom"/>
          </w:tcPr>
          <w:p>
            <w:pPr>
              <w:jc w:val="center"/>
              <w:ind w:right="96"/>
              <w:spacing w:after="0" w:line="131"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5"/>
        </w:trPr>
        <w:tc>
          <w:tcPr>
            <w:tcW w:w="2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6"/>
                <w:szCs w:val="16"/>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0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8"/>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8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Level 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19"/>
        </w:trPr>
        <w:tc>
          <w:tcPr>
            <w:tcW w:w="2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153"/>
        </w:trPr>
        <w:tc>
          <w:tcPr>
            <w:tcW w:w="2080" w:type="dxa"/>
            <w:vAlign w:val="bottom"/>
          </w:tcPr>
          <w:p>
            <w:pPr>
              <w:ind w:left="240"/>
              <w:spacing w:after="0" w:line="154" w:lineRule="exact"/>
              <w:rPr>
                <w:sz w:val="20"/>
                <w:szCs w:val="20"/>
                <w:color w:val="auto"/>
              </w:rPr>
            </w:pPr>
            <w:r>
              <w:rPr>
                <w:rFonts w:ascii="Arial" w:cs="Arial" w:eastAsia="Arial" w:hAnsi="Arial"/>
                <w:sz w:val="17"/>
                <w:szCs w:val="17"/>
                <w:color w:val="auto"/>
              </w:rPr>
              <w:t>Total Level 1 and Level</w:t>
            </w:r>
          </w:p>
        </w:tc>
        <w:tc>
          <w:tcPr>
            <w:tcW w:w="4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362,284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3"/>
                <w:szCs w:val="13"/>
                <w:color w:val="auto"/>
              </w:rPr>
            </w:pPr>
          </w:p>
        </w:tc>
        <w:tc>
          <w:tcPr>
            <w:tcW w:w="820" w:type="dxa"/>
            <w:vAlign w:val="bottom"/>
            <w:vMerge w:val="restart"/>
          </w:tcPr>
          <w:p>
            <w:pPr>
              <w:jc w:val="right"/>
              <w:ind w:right="638"/>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5"/>
              </w:rPr>
              <w:t>(186)</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362,100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160,110</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198"/>
        </w:trPr>
        <w:tc>
          <w:tcPr>
            <w:tcW w:w="2080" w:type="dxa"/>
            <w:vAlign w:val="bottom"/>
          </w:tcPr>
          <w:p>
            <w:pPr>
              <w:ind w:left="240"/>
              <w:spacing w:after="0" w:line="198" w:lineRule="exact"/>
              <w:rPr>
                <w:sz w:val="20"/>
                <w:szCs w:val="20"/>
                <w:color w:val="auto"/>
              </w:rPr>
            </w:pPr>
            <w:r>
              <w:rPr>
                <w:rFonts w:ascii="Arial" w:cs="Arial" w:eastAsia="Arial" w:hAnsi="Arial"/>
                <w:sz w:val="18"/>
                <w:szCs w:val="18"/>
                <w:color w:val="auto"/>
              </w:rPr>
              <w:t>2</w:t>
            </w:r>
          </w:p>
        </w:tc>
        <w:tc>
          <w:tcPr>
            <w:tcW w:w="4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Reported as:</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Short-term</w:t>
            </w:r>
          </w:p>
        </w:tc>
        <w:tc>
          <w:tcPr>
            <w:tcW w:w="200" w:type="dxa"/>
            <w:vAlign w:val="bottom"/>
          </w:tcPr>
          <w:p>
            <w:pPr>
              <w:spacing w:after="0"/>
              <w:rPr>
                <w:sz w:val="11"/>
                <w:szCs w:val="11"/>
                <w:color w:val="auto"/>
              </w:rPr>
            </w:pPr>
          </w:p>
        </w:tc>
        <w:tc>
          <w:tcPr>
            <w:tcW w:w="1040" w:type="dxa"/>
            <w:vAlign w:val="bottom"/>
          </w:tcPr>
          <w:p>
            <w:pPr>
              <w:jc w:val="center"/>
              <w:ind w:right="96"/>
              <w:spacing w:after="0" w:line="131"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5"/>
        </w:trPr>
        <w:tc>
          <w:tcPr>
            <w:tcW w:w="2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6"/>
                <w:szCs w:val="16"/>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0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8"/>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8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Contractual maturities of short-term investments as of December 31, 2021 and 2020 are due in one year or less. Contractual maturities of long-term investments as of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380" w:firstLine="6"/>
        <w:spacing w:after="0" w:line="433" w:lineRule="auto"/>
        <w:tabs>
          <w:tab w:leader="none" w:pos="63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December 31, 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Company recorded $1.0 million and $0.7 million of depreciation expense for the years ended December 31, 2021 and 2020, respectively, which was primarily allocated to research and development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24"/>
                <w:szCs w:val="24"/>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4" w:name="page105"/>
    <w:bookmarkEnd w:id="10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December 31, 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0"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December 31, 2021 the Company had no issued and outstanding Preferred Stock shares.</w:t>
      </w:r>
    </w:p>
    <w:p>
      <w:pPr>
        <w:spacing w:after="0" w:line="132" w:lineRule="exact"/>
        <w:rPr>
          <w:sz w:val="20"/>
          <w:szCs w:val="20"/>
          <w:color w:val="auto"/>
        </w:rPr>
      </w:pPr>
    </w:p>
    <w:p>
      <w:pPr>
        <w:ind w:left="640" w:hanging="634"/>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8"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10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There were 124,303,083 shares issued and outstanding as of December 31,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in fiscal years 2021 and 2020. During the fiscal year 2021, all common stock warrants were net exercised and the Company issued 62,722 Common Stock shares to the lender.</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Expiration Date</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5" w:name="page106"/>
    <w:bookmarkEnd w:id="10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14,481,463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5,145,547</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2,349,673</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 outstanding</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24,276,439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9" w:lineRule="exact"/>
        <w:rPr>
          <w:sz w:val="20"/>
          <w:szCs w:val="20"/>
          <w:color w:val="auto"/>
        </w:rPr>
      </w:pPr>
    </w:p>
    <w:p>
      <w:pPr>
        <w:ind w:left="640" w:hanging="634"/>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Company is liable for income taxes in the United States. For the years ended December 31, 2021 and 2020,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8"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As of December 31, 2021, the Company had federal net operating loss carryforwards of $0.5 million that begin to expire in 2037 and federal net operating loss carryforwards of $31.6 million that arose after the 2017 tax year that will carryforward indefinitely. The Company has state net operating loss carryforwards of $9.1 million that will begin to expire in 2037.</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December 31, 2021, the Company had research and development tax credit carryover of $2.0 million and $1.9 million for federal and state tax purposes, respectively. If not utilized, the federal carryforward will expire in various amounts beginning in 2039. The California credits can be carried forward indefinitely.</w:t>
      </w:r>
    </w:p>
    <w:p>
      <w:pPr>
        <w:spacing w:after="0" w:line="135"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6" w:name="page107"/>
    <w:bookmarkEnd w:id="10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deferred tax assets. The valuation allowance increased by $15.1 million during the year ended December 31, 2021. Management reevaluates the positive and negative evidence at each reporting period.</w:t>
      </w:r>
    </w:p>
    <w:p>
      <w:pPr>
        <w:spacing w:after="0" w:line="128" w:lineRule="exact"/>
        <w:rPr>
          <w:sz w:val="20"/>
          <w:szCs w:val="20"/>
          <w:color w:val="auto"/>
        </w:rPr>
      </w:pPr>
    </w:p>
    <w:p>
      <w:pPr>
        <w:jc w:val="both"/>
        <w:ind w:right="240" w:firstLine="318"/>
        <w:spacing w:after="0" w:line="365" w:lineRule="auto"/>
        <w:rPr>
          <w:sz w:val="20"/>
          <w:szCs w:val="20"/>
          <w:color w:val="auto"/>
        </w:rPr>
      </w:pPr>
      <w:r>
        <w:rPr>
          <w:rFonts w:ascii="Arial" w:cs="Arial" w:eastAsia="Arial" w:hAnsi="Arial"/>
          <w:sz w:val="15"/>
          <w:szCs w:val="15"/>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2020</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accruals and reserves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52"/>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As of December 31, 2021, the Company had an unrecognized tax benefit balance of $0.8 million related to research and development credits and California net operating loss carryforward. No amount of unrecognized tax benefits as of December 31, 2021,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 of the liability for uncertain tax positions, excluding potential interest and penalties,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December 31, 2021</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44"/>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7" w:name="page108"/>
    <w:bookmarkEnd w:id="10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limitation in future years. The Company has not, as yet, conducted a study to determine if any such changes have occurred that could limit its ability to use the net operating loss and tax credit carryforwards.</w:t>
      </w:r>
    </w:p>
    <w:p>
      <w:pPr>
        <w:spacing w:after="0" w:line="122" w:lineRule="exact"/>
        <w:rPr>
          <w:sz w:val="20"/>
          <w:szCs w:val="20"/>
          <w:color w:val="auto"/>
        </w:rPr>
      </w:pPr>
    </w:p>
    <w:p>
      <w:pPr>
        <w:ind w:left="640" w:hanging="634"/>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On June 8, 2021, the stockholders of the Company approved the 2021 Equity Incentive Plan (“2021 Plan”) and the 2021 Employee Stock Purchase Plan (“2021 ESPP”). As of December 31, 2021, 14,481,463 and 1,244,900 shares were available for grant under the 2021 Plan and 2021 ESPP,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07"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first offering period is from October 1, 2021 through May 31, 2022. For subsequent offering periods, the Company will be offering a six month purchase period. As of December 31, 2021, no shares of common stock were purchased under the 2021 ESPP.</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8" w:name="page109"/>
    <w:bookmarkEnd w:id="10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c>
          <w:tcPr>
            <w:tcW w:w="1900" w:type="dxa"/>
            <w:vAlign w:val="bottom"/>
          </w:tcPr>
          <w:p>
            <w:pPr>
              <w:jc w:val="right"/>
              <w:ind w:right="517"/>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34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190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5.1 - 6.4</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90.7% - 94.2%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91.0% - 96.5%</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00" w:type="dxa"/>
            <w:vAlign w:val="bottom"/>
          </w:tcPr>
          <w:p>
            <w:pPr>
              <w:jc w:val="right"/>
              <w:spacing w:after="0"/>
              <w:rPr>
                <w:sz w:val="20"/>
                <w:szCs w:val="20"/>
                <w:color w:val="auto"/>
              </w:rPr>
            </w:pPr>
            <w:r>
              <w:rPr>
                <w:rFonts w:ascii="Arial" w:cs="Arial" w:eastAsia="Arial" w:hAnsi="Arial"/>
                <w:sz w:val="18"/>
                <w:szCs w:val="18"/>
                <w:color w:val="auto"/>
              </w:rPr>
              <w:t>0.5% - 1.4%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0.3% - 1.4%</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 $11.16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 $4.47</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jc w:val="both"/>
        <w:ind w:right="40" w:firstLine="318"/>
        <w:spacing w:after="0" w:line="215" w:lineRule="exact"/>
        <w:rPr>
          <w:sz w:val="20"/>
          <w:szCs w:val="20"/>
          <w:color w:val="auto"/>
        </w:rPr>
      </w:pPr>
      <w:r>
        <w:rPr>
          <w:rFonts w:ascii="Arial" w:cs="Arial" w:eastAsia="Arial" w:hAnsi="Arial"/>
          <w:sz w:val="15"/>
          <w:szCs w:val="15"/>
          <w:color w:val="auto"/>
        </w:rPr>
        <w:t>Expected volatility: Historically, the Company has been a private company and lacked company</w:t>
      </w:r>
      <w:r>
        <w:rPr>
          <w:rFonts w:ascii="MS PGothic" w:cs="MS PGothic" w:eastAsia="MS PGothic" w:hAnsi="MS PGothic"/>
          <w:sz w:val="15"/>
          <w:szCs w:val="15"/>
          <w:color w:val="auto"/>
        </w:rPr>
        <w:t>‑</w:t>
      </w:r>
      <w:r>
        <w:rPr>
          <w:rFonts w:ascii="Arial" w:cs="Arial" w:eastAsia="Arial" w:hAnsi="Arial"/>
          <w:sz w:val="15"/>
          <w:szCs w:val="15"/>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Expected dividend yield: The expected dividend rate is zero as the Company has no history or expectation of declaring dividends on its common stock.</w:t>
      </w:r>
    </w:p>
    <w:p>
      <w:pPr>
        <w:spacing w:after="0" w:line="199"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32"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 For the period following execution of the Business Combination Agreement through December 31, 2021, options for 2,190,232 common stock shares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9" w:name="page110"/>
    <w:bookmarkEnd w:id="10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years ended December 31, 2021 and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260" w:type="dxa"/>
            <w:vAlign w:val="bottom"/>
          </w:tcPr>
          <w:p>
            <w:pPr>
              <w:spacing w:after="0"/>
              <w:rPr>
                <w:sz w:val="14"/>
                <w:szCs w:val="14"/>
                <w:color w:val="auto"/>
              </w:rPr>
            </w:pPr>
          </w:p>
        </w:tc>
        <w:tc>
          <w:tcPr>
            <w:tcW w:w="14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Weighted 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4"/>
                <w:szCs w:val="14"/>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80" w:type="dxa"/>
            <w:vAlign w:val="bottom"/>
          </w:tcPr>
          <w:p>
            <w:pPr>
              <w:spacing w:after="0"/>
              <w:rPr>
                <w:sz w:val="11"/>
                <w:szCs w:val="11"/>
                <w:color w:val="auto"/>
              </w:rPr>
            </w:pPr>
          </w:p>
        </w:tc>
        <w:tc>
          <w:tcPr>
            <w:tcW w:w="142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Awards</w:t>
            </w: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jc w:val="right"/>
              <w:ind w:right="314"/>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jc w:val="center"/>
              <w:ind w:right="42"/>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1,658,564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3,696,804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0.31</w:t>
            </w: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0.44</w:t>
            </w:r>
          </w:p>
        </w:tc>
        <w:tc>
          <w:tcPr>
            <w:tcW w:w="16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5,145,547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0.85</w:t>
            </w: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4,289,317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9.07</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0.61</w:t>
            </w: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(611,092)</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5.40</w:t>
            </w:r>
          </w:p>
        </w:tc>
        <w:tc>
          <w:tcPr>
            <w:tcW w:w="16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8,550,076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1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Arial" w:cs="Arial" w:eastAsia="Arial" w:hAnsi="Arial"/>
                <w:sz w:val="18"/>
                <w:szCs w:val="18"/>
                <w:color w:val="auto"/>
                <w:w w:val="93"/>
              </w:rPr>
              <w:t>Options vested and expected to vest as of December 31, 2021</w:t>
            </w:r>
          </w:p>
        </w:tc>
        <w:tc>
          <w:tcPr>
            <w:tcW w:w="15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auto"/>
              </w:rPr>
              <w:t>8,550,076</w:t>
            </w:r>
          </w:p>
        </w:tc>
        <w:tc>
          <w:tcPr>
            <w:tcW w:w="26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line="198" w:lineRule="exact"/>
              <w:rPr>
                <w:sz w:val="20"/>
                <w:szCs w:val="20"/>
                <w:color w:val="auto"/>
              </w:rPr>
            </w:pPr>
            <w:r>
              <w:rPr>
                <w:rFonts w:ascii="Arial" w:cs="Arial" w:eastAsia="Arial" w:hAnsi="Arial"/>
                <w:sz w:val="18"/>
                <w:szCs w:val="18"/>
                <w:color w:val="auto"/>
              </w:rPr>
              <w:t>4.66</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2021</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1,615,483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0.88</w:t>
            </w:r>
          </w:p>
        </w:tc>
        <w:tc>
          <w:tcPr>
            <w:tcW w:w="1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total intrinsic value of options exercised during the years ended December 31, 2021 and 2020 was $1.7 million and $0.1 million, respectively.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5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2021 and 2020 was $6.83 and $2.29 per share, respectively.</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there was $27.3 million of total unrecognized compensation expense expected to be recognized over a weighted average-period of 3.16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4 years from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for the years ended December 31, 2021 and 2020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(6,836,646)</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0" w:name="page111"/>
    <w:bookmarkEnd w:id="11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and ESPP included in the Company’s consolidated statements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2021 as the Company had not yet received the related goods or services. As of December 31, 2021, the Company had open purchase commitments for goods and services of $3.0 million, all of which are expected to be received through the next 12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The Company is obligated under certain non-cancellable operating leases for office space and laboratory space. This space includes operating leases in Seattle, Washington, Menlo Park, California and San Carlos, California. The operating lease in Menlo Park, California expired in February 2020.</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Seattle Leases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San Carlos Leases</w:t>
      </w:r>
    </w:p>
    <w:p>
      <w:pPr>
        <w:spacing w:after="0" w:line="16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 In September 2021, the Company further amended the facility lease contract in San Carlos, California to shorten the remaining term of the lease to expire in October 2021 and was also accounted for as a modification</w:t>
      </w:r>
    </w:p>
    <w:p>
      <w:pPr>
        <w:spacing w:after="0" w:line="143"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1" w:name="page112"/>
    <w:bookmarkEnd w:id="11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$1.2 million. The temporary office space lease agreement was recognized as a short-term lease due to the election of the short-term lease measurement and recognition exemption.</w:t>
      </w:r>
    </w:p>
    <w:p>
      <w:pPr>
        <w:spacing w:after="0" w:line="12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In December 2021, the Company entered into another lease in San Carlos, California for nine years commencing in October 2022 and expiring in October 2031. The Company can terminate this lease after five years from October 1, 2022 without bearing any significant termination penalties and therefore the Company concluded that the lease term is five years with total minimum lease payments of $7.2 million.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which were included in operating expenses in the consolidated statements of operations were as follows:</w:t>
      </w:r>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46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7460" w:type="dxa"/>
            <w:vAlign w:val="bottom"/>
            <w:vMerge w:val="continue"/>
          </w:tcPr>
          <w:p>
            <w:pPr>
              <w:spacing w:after="0"/>
              <w:rPr>
                <w:sz w:val="16"/>
                <w:szCs w:val="16"/>
                <w:color w:val="auto"/>
              </w:rPr>
            </w:pPr>
          </w:p>
        </w:tc>
        <w:tc>
          <w:tcPr>
            <w:tcW w:w="19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 2021</w:t>
            </w: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19"/>
        </w:trPr>
        <w:tc>
          <w:tcPr>
            <w:tcW w:w="7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operating lease costs</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Short-term lease costs</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operating lease costs</w:t>
            </w: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Sublease income</w:t>
            </w:r>
          </w:p>
        </w:tc>
        <w:tc>
          <w:tcPr>
            <w:tcW w:w="5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lease costs</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For the years ended December 31, 2021 and 2020, cash paid for amounts included in the measurement of lease liabilities included in cash flows used in operating activities was $1.8 million and $2.0 million, respectively.</w:t>
      </w:r>
    </w:p>
    <w:p>
      <w:pPr>
        <w:spacing w:after="0" w:line="128"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As of December 31, 2021, the weighted-average remaining lease term and weighted-average discount rate for operating leases is 9.44 years and 8.8%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78" w:right="239" w:bottom="1440" w:gutter="0" w:footer="0" w:header="0"/>
        </w:sectPr>
      </w:pPr>
    </w:p>
    <w:bookmarkStart w:id="112" w:name="page113"/>
    <w:bookmarkEnd w:id="11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consolidated balance sheets.</w:t>
      </w:r>
    </w:p>
    <w:p>
      <w:pPr>
        <w:spacing w:after="0" w:line="132" w:lineRule="exact"/>
        <w:rPr>
          <w:sz w:val="20"/>
          <w:szCs w:val="20"/>
          <w:color w:val="auto"/>
        </w:rPr>
      </w:pPr>
    </w:p>
    <w:p>
      <w:pPr>
        <w:ind w:left="620" w:hanging="614"/>
        <w:spacing w:after="0"/>
        <w:tabs>
          <w:tab w:leader="none" w:pos="6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84,481,251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32,990,651</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Weighted-average unvested restricted shares and shares subject to repurchase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(3,900,873)</w:t>
            </w:r>
          </w:p>
        </w:tc>
        <w:tc>
          <w:tcPr>
            <w:tcW w:w="0" w:type="dxa"/>
            <w:vAlign w:val="bottom"/>
          </w:tcPr>
          <w:p>
            <w:pPr>
              <w:spacing w:after="0"/>
              <w:rPr>
                <w:sz w:val="1"/>
                <w:szCs w:val="1"/>
                <w:color w:val="auto"/>
              </w:rPr>
            </w:pPr>
          </w:p>
        </w:tc>
      </w:tr>
      <w:tr>
        <w:trPr>
          <w:trHeight w:val="153"/>
        </w:trPr>
        <w:tc>
          <w:tcPr>
            <w:tcW w:w="8040" w:type="dxa"/>
            <w:vAlign w:val="bottom"/>
          </w:tcPr>
          <w:p>
            <w:pPr>
              <w:ind w:left="20"/>
              <w:spacing w:after="0" w:line="154" w:lineRule="exact"/>
              <w:rPr>
                <w:sz w:val="20"/>
                <w:szCs w:val="20"/>
                <w:color w:val="auto"/>
              </w:rPr>
            </w:pPr>
            <w:r>
              <w:rPr>
                <w:rFonts w:ascii="Arial" w:cs="Arial" w:eastAsia="Arial" w:hAnsi="Arial"/>
                <w:sz w:val="17"/>
                <w:szCs w:val="17"/>
                <w:color w:val="auto"/>
                <w:w w:val="95"/>
              </w:rPr>
              <w:t>Weighted average shares used in computing net loss per share attributable to common stockholders, basic and</w:t>
            </w:r>
          </w:p>
        </w:tc>
        <w:tc>
          <w:tcPr>
            <w:tcW w:w="3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24"/>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Year Ended December</w:t>
            </w:r>
          </w:p>
        </w:tc>
      </w:tr>
      <w:tr>
        <w:trPr>
          <w:trHeight w:val="185"/>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569,721</w:t>
            </w: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r>
      <w:tr>
        <w:trPr>
          <w:trHeight w:val="219"/>
        </w:trPr>
        <w:tc>
          <w:tcPr>
            <w:tcW w:w="8040" w:type="dxa"/>
            <w:vAlign w:val="bottom"/>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8,609,161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57,954,724</w:t>
            </w: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3" w:name="page114"/>
    <w:bookmarkEnd w:id="113"/>
    <w:p>
      <w:pPr>
        <w:ind w:left="14"/>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14"/>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4" w:hanging="634"/>
        <w:spacing w:after="0"/>
        <w:tabs>
          <w:tab w:leader="none" w:pos="63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left="314"/>
        <w:spacing w:after="0"/>
        <w:rPr>
          <w:sz w:val="20"/>
          <w:szCs w:val="20"/>
          <w:color w:val="auto"/>
        </w:rPr>
      </w:pPr>
      <w:r>
        <w:rPr>
          <w:rFonts w:ascii="Arial" w:cs="Arial" w:eastAsia="Arial" w:hAnsi="Arial"/>
          <w:sz w:val="15"/>
          <w:szCs w:val="15"/>
          <w:color w:val="auto"/>
        </w:rPr>
        <w:t>The Company has evaluated subsequent events through February 24, 2022, the date on which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94"/>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34"/>
          </w:cols>
          <w:pgMar w:left="326" w:top="178" w:right="9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previously reported on our Current Report on Form 8-K, dated June 9, 2021, on June 9, 2021, the audit committee of our board of directors approved a resolution appointing PricewaterhouseCoopers LLP (“PwC”) as our independent registered public accounting firm for the fiscal year ending December 31, 2021. PwC served as the independent registered public accounting firm of Legacy Nautilus prior to the Business Combination. Accordingly, WithumSmith+Brown, PC (“Withum”), ARYA’s independent registered public accounting firm prior to the Business Combination, was informed on June 9, 2021 that it was dismissed as our independent registered public accounting firm.</w:t>
      </w:r>
    </w:p>
    <w:p>
      <w:pPr>
        <w:spacing w:after="0" w:line="141"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10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38"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“reportable events” (as defined in Item 304(a)(1)(v) of Regulation S-K under the Securities Exchange Act of 1934, as amended.</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During the fiscal year ending December 31, 2020 and the subsequent interim period through June 9, 2021, neither the Company, nor any party on the Company’s behalf, consulted with PwC with respect to either (i) the application of accounting principles to a specified transaction, either completed or proposed, or the type of the audit opinion that might be rendered with respect to the Company’s consolidated financial statements, and no written report or oral advice was provided to the Company by PwC that was an important factor considered by the Company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3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2021.</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5" w:name="page116"/>
    <w:bookmarkEnd w:id="115"/>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period covered by this Annual Report on Form 10-K that has materially affected, or is reasonably likely to materially affect, our internal control over financial reporting.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2022 Annual Stockholder Meeting</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Company currently plans to hold its 2022 Annual Meeting of Stockholders (the “Annual Meeting”) on June 14, 2022. Pursuant to the provisions of the Company’s Bylaws, for any stockholder to propose business (other than pursuant to and in compliance with Exchange Act Rule 14a-8) or make a nomination before the annual meeting, the stockholder must have given timely notice in writing to the secretary and any such nomination or proposed business must constitute a proper matter for stockholder action. Under the Company’s Bylaws,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provided, however, that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Because the Company did not hold an annual meeting last year, the Company has determined that the date by which stockholders must deliver such notice for the purposes of the Annual Meeting is March 6, 2022, which is 10 days after the filing of this Annual Report on Form 10-K. Pursuant to Rule 14a-8, for a stockholder to submit a proposal for inclusion in the Company’s proxy materials for the Annual Meeting, the stockholder must comply with the requirements set forth in Rule 14a-8 including with respect to the subject matter of such proposal and must deliver the proposal and all required documentation to the Company a reasonable time before the Company begins to print and send its proxy materials for the meeting. For the purposes of the 2022 Annual Meeting of Stockholders, the Company has determined that March 6, 2022 is a reasonable time before the Company plans to begin printing and mailing its proxy materials. The public announcement of an adjournment or postponement of the Annual Meeting date will not commence a new time period (or extend any time period) for giving such notice under the Company’s Bylaws or submitting a proposal pursuant to Rule 14a-8.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16" w:name="page117"/>
    <w:bookmarkEnd w:id="116"/>
    <w:p>
      <w:pPr>
        <w:jc w:val="center"/>
        <w:ind w:right="-239"/>
        <w:spacing w:after="0"/>
        <w:rPr>
          <w:sz w:val="20"/>
          <w:szCs w:val="20"/>
          <w:color w:val="auto"/>
        </w:rPr>
      </w:pPr>
      <w:r>
        <w:rPr>
          <w:rFonts w:ascii="Arial" w:cs="Arial" w:eastAsia="Arial" w:hAnsi="Arial"/>
          <w:sz w:val="21"/>
          <w:szCs w:val="21"/>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information called for by this item will be set forth in our Proxy Statement for the Annual Meeting of Stockholders to be filed with the SEC within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120 days of the fiscal year ended December 31, 2021 (the “Proxy Statement”) and is incorporated herein by reference.</w:t>
      </w:r>
    </w:p>
    <w:p>
      <w:pPr>
        <w:spacing w:after="0" w:line="153"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Our board of directors has adopted a Code of Business Conduct and Ethics applicable to all employees, officers and directors of the Company. The full text of our Code of Business Conduct and Ethics is posted on our investors relations website at http://www.nautilus.bio/investors/. We will post any amendments to our code of business conduct and ethics, or waivers of its requirements, on our website.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119" w:right="559" w:bottom="1440" w:gutter="0" w:footer="0" w:header="0"/>
        </w:sectPr>
      </w:pPr>
    </w:p>
    <w:bookmarkStart w:id="117" w:name="page118"/>
    <w:bookmarkEnd w:id="117"/>
    <w:p>
      <w:pPr>
        <w:ind w:left="5280"/>
        <w:spacing w:after="0"/>
        <w:rPr>
          <w:sz w:val="20"/>
          <w:szCs w:val="20"/>
          <w:color w:val="auto"/>
        </w:rPr>
      </w:pPr>
      <w:r>
        <w:rPr>
          <w:rFonts w:ascii="Arial" w:cs="Arial" w:eastAsia="Arial" w:hAnsi="Arial"/>
          <w:sz w:val="21"/>
          <w:szCs w:val="21"/>
          <w:b w:val="1"/>
          <w:bCs w:val="1"/>
          <w:color w:val="auto"/>
        </w:rPr>
        <w:t>Part IV</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164"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See Index to consolidated financial statements in Part II, Item 8 of this Annual Report on Form 10-K, which is incorporated herein by reference. </w:t>
      </w:r>
      <w:r>
        <w:rPr>
          <w:rFonts w:ascii="Arial" w:cs="Arial" w:eastAsia="Arial" w:hAnsi="Arial"/>
          <w:sz w:val="18"/>
          <w:szCs w:val="18"/>
          <w:i w:val="1"/>
          <w:iCs w:val="1"/>
          <w:color w:val="auto"/>
        </w:rPr>
        <w:t>2. Financial Statement Schedules</w:t>
      </w:r>
    </w:p>
    <w:p>
      <w:pPr>
        <w:ind w:firstLine="318"/>
        <w:spacing w:after="0" w:line="264" w:lineRule="auto"/>
        <w:rPr>
          <w:sz w:val="20"/>
          <w:szCs w:val="20"/>
          <w:color w:val="auto"/>
        </w:rPr>
      </w:pPr>
      <w:r>
        <w:rPr>
          <w:rFonts w:ascii="Arial" w:cs="Arial" w:eastAsia="Arial" w:hAnsi="Arial"/>
          <w:sz w:val="18"/>
          <w:szCs w:val="18"/>
          <w:color w:val="auto"/>
        </w:rPr>
        <w:t>All financial statement schedules have been omitted because they are either not applicable or the required information is shown in the consolidated financial statements or notes thereto.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Exhibit Index which precedes the signature page of this Annual Report,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15(a)(3) above.</w:t>
      </w:r>
    </w:p>
    <w:p>
      <w:pPr>
        <w:spacing w:after="0" w:line="164" w:lineRule="exact"/>
        <w:rPr>
          <w:sz w:val="20"/>
          <w:szCs w:val="20"/>
          <w:color w:val="auto"/>
        </w:rPr>
      </w:pPr>
    </w:p>
    <w:p>
      <w:pPr>
        <w:ind w:left="320" w:right="8280" w:hanging="314"/>
        <w:spacing w:after="0" w:line="587" w:lineRule="auto"/>
        <w:tabs>
          <w:tab w:leader="none" w:pos="242" w:val="left"/>
        </w:tabs>
        <w:numPr>
          <w:ilvl w:val="0"/>
          <w:numId w:val="6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Financial Statement Schedules </w:t>
      </w:r>
      <w:r>
        <w:rPr>
          <w:rFonts w:ascii="Arial" w:cs="Arial" w:eastAsia="Arial" w:hAnsi="Arial"/>
          <w:sz w:val="15"/>
          <w:szCs w:val="15"/>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00"/>
          </w:cols>
          <w:pgMar w:left="320" w:top="1119" w:right="879" w:bottom="1440" w:gutter="0" w:footer="0" w:header="0"/>
        </w:sectPr>
      </w:pPr>
    </w:p>
    <w:bookmarkStart w:id="118" w:name="page119"/>
    <w:bookmarkEnd w:id="11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80" w:type="dxa"/>
            <w:vAlign w:val="bottom"/>
            <w:gridSpan w:val="28"/>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6"/>
                <w:szCs w:val="16"/>
                <w:color w:val="auto"/>
              </w:rPr>
              <w:t>2.1</w:t>
            </w:r>
          </w:p>
        </w:tc>
        <w:tc>
          <w:tcPr>
            <w:tcW w:w="260" w:type="dxa"/>
            <w:vAlign w:val="bottom"/>
          </w:tcPr>
          <w:p>
            <w:pPr>
              <w:spacing w:after="0"/>
              <w:rPr>
                <w:sz w:val="15"/>
                <w:szCs w:val="15"/>
                <w:color w:val="auto"/>
              </w:rPr>
            </w:pPr>
          </w:p>
        </w:tc>
        <w:tc>
          <w:tcPr>
            <w:tcW w:w="9860" w:type="dxa"/>
            <w:vAlign w:val="bottom"/>
            <w:tcBorders>
              <w:top w:val="single" w:sz="8" w:color="auto"/>
            </w:tcBorders>
            <w:gridSpan w:val="35"/>
          </w:tcPr>
          <w:p>
            <w:pPr>
              <w:spacing w:after="0" w:line="180"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2" w:lineRule="exact"/>
              <w:rPr>
                <w:rFonts w:ascii="Arial" w:cs="Arial" w:eastAsia="Arial" w:hAnsi="Arial"/>
                <w:sz w:val="17"/>
                <w:szCs w:val="17"/>
                <w:color w:val="0000FF"/>
                <w:w w:val="96"/>
              </w:rPr>
            </w:pPr>
            <w:hyperlink r:id="rId175">
              <w:r>
                <w:rPr>
                  <w:rFonts w:ascii="Arial" w:cs="Arial" w:eastAsia="Arial" w:hAnsi="Arial"/>
                  <w:sz w:val="17"/>
                  <w:szCs w:val="17"/>
                  <w:color w:val="0000FF"/>
                  <w:w w:val="96"/>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r:id="rId175">
              <w:r>
                <w:rPr>
                  <w:rFonts w:ascii="Arial" w:cs="Arial" w:eastAsia="Arial" w:hAnsi="Arial"/>
                  <w:sz w:val="17"/>
                  <w:szCs w:val="17"/>
                  <w:color w:val="0000FF"/>
                  <w:w w:val="93"/>
                </w:rPr>
                <w:t>the SEC on February 8, 2021).</w:t>
              </w:r>
            </w:hyperlink>
          </w:p>
        </w:tc>
        <w:tc>
          <w:tcPr>
            <w:tcW w:w="76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Certificate of Incorporation of Nautilus Biotechnology, Inc. (incorporated by reference to Exhibit 3.1 to the Company’s Current Report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176">
              <w:r>
                <w:rPr>
                  <w:rFonts w:ascii="Arial" w:cs="Arial" w:eastAsia="Arial" w:hAnsi="Arial"/>
                  <w:sz w:val="17"/>
                  <w:szCs w:val="17"/>
                  <w:color w:val="0000FF"/>
                  <w:w w:val="95"/>
                </w:rPr>
                <w:t>on Form 8-K filed with the SEC on June 10, 2021).</w:t>
              </w:r>
            </w:hyperlink>
          </w:p>
        </w:tc>
        <w:tc>
          <w:tcPr>
            <w:tcW w:w="590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4"/>
              </w:rPr>
            </w:pPr>
            <w:hyperlink r:id="rId177">
              <w:r>
                <w:rPr>
                  <w:rFonts w:ascii="Arial" w:cs="Arial" w:eastAsia="Arial" w:hAnsi="Arial"/>
                  <w:sz w:val="18"/>
                  <w:szCs w:val="18"/>
                  <w:color w:val="0000FF"/>
                  <w:w w:val="94"/>
                </w:rPr>
                <w:t>Bylaws of Nautilus Biotechnology, Inc. (incorporated by reference to Exhibit 3.2 to the Company’s Current Report on Form 8-K filed</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177">
              <w:r>
                <w:rPr>
                  <w:rFonts w:ascii="Arial" w:cs="Arial" w:eastAsia="Arial" w:hAnsi="Arial"/>
                  <w:sz w:val="17"/>
                  <w:szCs w:val="17"/>
                  <w:color w:val="0000FF"/>
                </w:rPr>
                <w:t>with the SEC on June 10, 2021).</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Specimen Common Stock Certificate (incorporated by reference to Exhibit 4.1 to the Company’s Current Report on Form 8-K filed with</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78">
              <w:r>
                <w:rPr>
                  <w:rFonts w:ascii="Arial" w:cs="Arial" w:eastAsia="Arial" w:hAnsi="Arial"/>
                  <w:sz w:val="17"/>
                  <w:szCs w:val="17"/>
                  <w:color w:val="0000FF"/>
                </w:rPr>
                <w:t>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r:id="rId179">
              <w:r>
                <w:rPr>
                  <w:rFonts w:ascii="Arial" w:cs="Arial" w:eastAsia="Arial" w:hAnsi="Arial"/>
                  <w:sz w:val="17"/>
                  <w:szCs w:val="17"/>
                  <w:color w:val="0000FF"/>
                  <w:w w:val="93"/>
                </w:rPr>
                <w:t>SEC on February 8, 2021).</w:t>
              </w:r>
            </w:hyperlink>
          </w:p>
        </w:tc>
        <w:tc>
          <w:tcPr>
            <w:tcW w:w="786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8"/>
              </w:rPr>
            </w:pPr>
            <w:hyperlink r:id="rId180">
              <w:r>
                <w:rPr>
                  <w:rFonts w:ascii="Arial" w:cs="Arial" w:eastAsia="Arial" w:hAnsi="Arial"/>
                  <w:sz w:val="18"/>
                  <w:szCs w:val="18"/>
                  <w:color w:val="0000FF"/>
                  <w:w w:val="98"/>
                </w:rPr>
                <w:t>Form of Amended and Restated Registration Rights and Lock-Up Agreement (incorporated by reference to Exhibit 10.2 to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Company’s Current Report on Form 8-K filed with the SEC on February 8, 2021).</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4"/>
              </w:rPr>
            </w:pPr>
            <w:hyperlink r:id="rId175">
              <w:r>
                <w:rPr>
                  <w:rFonts w:ascii="Arial" w:cs="Arial" w:eastAsia="Arial" w:hAnsi="Arial"/>
                  <w:sz w:val="18"/>
                  <w:szCs w:val="18"/>
                  <w:color w:val="0000FF"/>
                  <w:w w:val="94"/>
                </w:rPr>
                <w:t>Form of Nautilus Shareholder Transaction Support Agreement (incorporated by reference to Exhibit 10.4 to the Company’s Current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75">
              <w:r>
                <w:rPr>
                  <w:rFonts w:ascii="Arial" w:cs="Arial" w:eastAsia="Arial" w:hAnsi="Arial"/>
                  <w:sz w:val="17"/>
                  <w:szCs w:val="17"/>
                  <w:color w:val="0000FF"/>
                </w:rPr>
                <w:t>Report on Form 8-K filed with the SEC on February 8, 2021).</w:t>
              </w:r>
            </w:hyperlink>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5"/>
              </w:rPr>
            </w:pPr>
            <w:hyperlink r:id="rId181">
              <w:r>
                <w:rPr>
                  <w:rFonts w:ascii="Arial" w:cs="Arial" w:eastAsia="Arial" w:hAnsi="Arial"/>
                  <w:sz w:val="17"/>
                  <w:szCs w:val="17"/>
                  <w:color w:val="0000FF"/>
                  <w:w w:val="95"/>
                </w:rPr>
                <w:t>Form 8-K filed with the SEC on June 10, 2021).</w:t>
              </w:r>
            </w:hyperlink>
          </w:p>
        </w:tc>
        <w:tc>
          <w:tcPr>
            <w:tcW w:w="624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82">
              <w:r>
                <w:rPr>
                  <w:rFonts w:ascii="Arial" w:cs="Arial" w:eastAsia="Arial" w:hAnsi="Arial"/>
                  <w:sz w:val="17"/>
                  <w:szCs w:val="17"/>
                  <w:color w:val="0000FF"/>
                </w:rPr>
                <w:t>Report on Form 8-K filed with the SEC on June 10,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Form of Stock Option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5"/>
              </w:rPr>
            </w:pPr>
            <w:hyperlink r:id="rId183">
              <w:r>
                <w:rPr>
                  <w:rFonts w:ascii="Arial" w:cs="Arial" w:eastAsia="Arial" w:hAnsi="Arial"/>
                  <w:sz w:val="17"/>
                  <w:szCs w:val="17"/>
                  <w:color w:val="0000FF"/>
                  <w:w w:val="95"/>
                </w:rPr>
                <w:t>Exhibit 10.7 to the Company’s Form S-4 filed with the SEC on March 26, 2021).</w:t>
              </w:r>
            </w:hyperlink>
          </w:p>
        </w:tc>
        <w:tc>
          <w:tcPr>
            <w:tcW w:w="3500" w:type="dxa"/>
            <w:vAlign w:val="bottom"/>
            <w:tcBorders>
              <w:top w:val="single" w:sz="8" w:color="0000FF"/>
            </w:tcBorders>
            <w:gridSpan w:val="6"/>
          </w:tcPr>
          <w:p>
            <w:pPr>
              <w:spacing w:after="0"/>
              <w:rPr>
                <w:sz w:val="13"/>
                <w:szCs w:val="13"/>
                <w:color w:val="auto"/>
              </w:rPr>
            </w:pPr>
          </w:p>
        </w:tc>
        <w:tc>
          <w:tcPr>
            <w:tcW w:w="24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Form of Restricted Stock Unit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20" w:type="dxa"/>
            <w:vAlign w:val="bottom"/>
            <w:tcBorders>
              <w:top w:val="single" w:sz="8" w:color="0000FF"/>
              <w:bottom w:val="single" w:sz="8" w:color="0000FF"/>
            </w:tcBorders>
            <w:gridSpan w:val="13"/>
          </w:tcPr>
          <w:p>
            <w:pPr>
              <w:spacing w:after="0" w:line="165"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to Exhibit 10.8 to the Company’s Form S-4 filed with the SEC on March 26, 2021).</w:t>
              </w:r>
            </w:hyperlink>
          </w:p>
        </w:tc>
        <w:tc>
          <w:tcPr>
            <w:tcW w:w="3720" w:type="dxa"/>
            <w:vAlign w:val="bottom"/>
            <w:tcBorders>
              <w:top w:val="single" w:sz="8" w:color="0000FF"/>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9"/>
                <w:szCs w:val="19"/>
                <w:color w:val="auto"/>
              </w:rPr>
            </w:pPr>
          </w:p>
        </w:tc>
        <w:tc>
          <w:tcPr>
            <w:tcW w:w="9860" w:type="dxa"/>
            <w:vAlign w:val="bottom"/>
            <w:gridSpan w:val="35"/>
          </w:tcPr>
          <w:p>
            <w:pPr>
              <w:spacing w:after="0"/>
              <w:rPr>
                <w:rFonts w:ascii="Arial" w:cs="Arial" w:eastAsia="Arial" w:hAnsi="Arial"/>
                <w:sz w:val="18"/>
                <w:szCs w:val="18"/>
                <w:color w:val="0000FF"/>
                <w:w w:val="97"/>
              </w:rPr>
            </w:pPr>
            <w:hyperlink r:id="rId185">
              <w:r>
                <w:rPr>
                  <w:rFonts w:ascii="Arial" w:cs="Arial" w:eastAsia="Arial" w:hAnsi="Arial"/>
                  <w:sz w:val="18"/>
                  <w:szCs w:val="18"/>
                  <w:color w:val="0000FF"/>
                  <w:w w:val="97"/>
                </w:rPr>
                <w:t>Form of Restricted Stock Award Agreement under the Nautilus Biotechnology, Inc. 2021 Equity Incentive Plan (incorporated by</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14"/>
          </w:tcPr>
          <w:p>
            <w:pPr>
              <w:spacing w:after="0" w:line="152" w:lineRule="exact"/>
              <w:rPr>
                <w:rFonts w:ascii="Arial" w:cs="Arial" w:eastAsia="Arial" w:hAnsi="Arial"/>
                <w:sz w:val="17"/>
                <w:szCs w:val="17"/>
                <w:color w:val="0000FF"/>
                <w:w w:val="95"/>
              </w:rPr>
            </w:pPr>
            <w:hyperlink r:id="rId185">
              <w:r>
                <w:rPr>
                  <w:rFonts w:ascii="Arial" w:cs="Arial" w:eastAsia="Arial" w:hAnsi="Arial"/>
                  <w:sz w:val="17"/>
                  <w:szCs w:val="17"/>
                  <w:color w:val="0000FF"/>
                  <w:w w:val="95"/>
                </w:rPr>
                <w:t>reference to Exhibit 10.9 to the Company’s Form S-4 filed with the SEC on March 26, 2021).</w:t>
              </w:r>
            </w:hyperlink>
          </w:p>
        </w:tc>
        <w:tc>
          <w:tcPr>
            <w:tcW w:w="2480" w:type="dxa"/>
            <w:vAlign w:val="bottom"/>
            <w:tcBorders>
              <w:top w:val="single" w:sz="8" w:color="0000FF"/>
            </w:tcBorders>
            <w:gridSpan w:val="2"/>
          </w:tcPr>
          <w:p>
            <w:pPr>
              <w:spacing w:after="0"/>
              <w:rPr>
                <w:sz w:val="13"/>
                <w:szCs w:val="13"/>
                <w:color w:val="auto"/>
              </w:rPr>
            </w:pPr>
          </w:p>
        </w:tc>
        <w:tc>
          <w:tcPr>
            <w:tcW w:w="38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Nautilus Biotechnology, Inc. 2017 Equity Incentive Plan and forms of agreements thereunder (incorporated by reference to Exhibit 10.11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5"/>
              </w:rPr>
            </w:pPr>
            <w:hyperlink r:id="rId186">
              <w:r>
                <w:rPr>
                  <w:rFonts w:ascii="Arial" w:cs="Arial" w:eastAsia="Arial" w:hAnsi="Arial"/>
                  <w:sz w:val="17"/>
                  <w:szCs w:val="17"/>
                  <w:color w:val="0000FF"/>
                  <w:w w:val="95"/>
                </w:rPr>
                <w:t>to the Company’s Form S-4 filed with the SEC on March 26, 2021).</w:t>
              </w:r>
            </w:hyperlink>
          </w:p>
        </w:tc>
        <w:tc>
          <w:tcPr>
            <w:tcW w:w="4940" w:type="dxa"/>
            <w:vAlign w:val="bottom"/>
            <w:tcBorders>
              <w:top w:val="single" w:sz="8" w:color="0000FF"/>
            </w:tcBorders>
            <w:gridSpan w:val="21"/>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10.10+</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Confirmatory Employment Letter between Nautilus Biotechnology, Inc. and Sujal Patel (incorporated by reference to Exhibit 10.12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87">
              <w:r>
                <w:rPr>
                  <w:rFonts w:ascii="Arial" w:cs="Arial" w:eastAsia="Arial" w:hAnsi="Arial"/>
                  <w:sz w:val="17"/>
                  <w:szCs w:val="17"/>
                  <w:color w:val="0000FF"/>
                </w:rPr>
                <w:t>the Company’s Form S-4/A filed with the SEC on April 26, 2021).</w:t>
              </w:r>
            </w:hyperlink>
          </w:p>
        </w:tc>
        <w:tc>
          <w:tcPr>
            <w:tcW w:w="14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Confirmatory Employment Letter between Nautilus Biotechnology, Inc. and Anna Mowry (incorporated by reference to Exhibit 10.13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188">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Confirmatory Employment Letter between Nautilus Biotechnology, Inc. and Subra Sankar (incorporated by reference to Exhibit 10.15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189">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10.13+</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Confirmatory Employment Letter between Nautilus Biotechnology, Inc. and Nick Nelson (incorporated by reference to Exhibit 10.14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90">
              <w:r>
                <w:rPr>
                  <w:rFonts w:ascii="Arial" w:cs="Arial" w:eastAsia="Arial" w:hAnsi="Arial"/>
                  <w:sz w:val="17"/>
                  <w:szCs w:val="17"/>
                  <w:color w:val="0000FF"/>
                </w:rPr>
                <w:t>the Company’s Form S-4/A filed with the SEC on April 26, 2021).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10.14+</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Confirmatory Employment Letter between Nautilus Biotechnology, Inc. and Parag Mallick (incorporated by reference to Exhibit 10.16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191">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Confirmatory Employment Letter between Nautilus Biotechnology, Inc. and Matt Murphy (incorporated by reference to Exhibit 10.17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192">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10.16+</w:t>
            </w:r>
          </w:p>
        </w:tc>
        <w:tc>
          <w:tcPr>
            <w:tcW w:w="260" w:type="dxa"/>
            <w:vAlign w:val="bottom"/>
          </w:tcPr>
          <w:p>
            <w:pPr>
              <w:spacing w:after="0"/>
              <w:rPr>
                <w:sz w:val="17"/>
                <w:szCs w:val="17"/>
                <w:color w:val="auto"/>
              </w:rPr>
            </w:pPr>
          </w:p>
        </w:tc>
        <w:tc>
          <w:tcPr>
            <w:tcW w:w="9860" w:type="dxa"/>
            <w:vAlign w:val="bottom"/>
            <w:gridSpan w:val="35"/>
          </w:tcPr>
          <w:p>
            <w:pPr>
              <w:spacing w:after="0" w:line="205"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Change in Control and Severance Agreement between Nautilus Biotechnology, Inc. and Sujal Patel (incorporated by reference to Exhibit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2" w:lineRule="exact"/>
              <w:rPr>
                <w:rFonts w:ascii="Arial" w:cs="Arial" w:eastAsia="Arial" w:hAnsi="Arial"/>
                <w:sz w:val="17"/>
                <w:szCs w:val="17"/>
                <w:color w:val="0000FF"/>
              </w:rPr>
            </w:pPr>
            <w:hyperlink r:id="rId193">
              <w:r>
                <w:rPr>
                  <w:rFonts w:ascii="Arial" w:cs="Arial" w:eastAsia="Arial" w:hAnsi="Arial"/>
                  <w:sz w:val="17"/>
                  <w:szCs w:val="17"/>
                  <w:color w:val="0000FF"/>
                </w:rPr>
                <w:t>10.</w:t>
              </w:r>
              <w:r>
                <w:rPr>
                  <w:rFonts w:ascii="Arial" w:cs="Arial" w:eastAsia="Arial" w:hAnsi="Arial"/>
                  <w:sz w:val="17"/>
                  <w:szCs w:val="17"/>
                  <w:u w:val="single" w:color="auto"/>
                  <w:color w:val="0000FF"/>
                </w:rPr>
                <w:t>18</w:t>
              </w:r>
              <w:r>
                <w:rPr>
                  <w:rFonts w:ascii="Arial" w:cs="Arial" w:eastAsia="Arial" w:hAnsi="Arial"/>
                  <w:sz w:val="17"/>
                  <w:szCs w:val="17"/>
                  <w:color w:val="0000FF"/>
                </w:rPr>
                <w:t xml:space="preserve"> to the Company’s Form S-4/A filed with the SEC on April 26, 2021).</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19" w:name="page120"/>
    <w:bookmarkEnd w:id="119"/>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6"/>
                <w:szCs w:val="16"/>
                <w:color w:val="auto"/>
              </w:rPr>
              <w:t>10.17+</w:t>
            </w:r>
          </w:p>
        </w:tc>
        <w:tc>
          <w:tcPr>
            <w:tcW w:w="9700" w:type="dxa"/>
            <w:vAlign w:val="bottom"/>
            <w:gridSpan w:val="22"/>
          </w:tcPr>
          <w:p>
            <w:pPr>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Change in Control and Severance Agreement between Nautilus Biotechnology, Inc. and Anna Mowry (incorporated by reference to</w:t>
              </w:r>
            </w:hyperlink>
          </w:p>
        </w:tc>
      </w:tr>
      <w:tr>
        <w:trPr>
          <w:trHeight w:val="152"/>
        </w:trPr>
        <w:tc>
          <w:tcPr>
            <w:tcW w:w="11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7"/>
              </w:rPr>
            </w:pPr>
            <w:hyperlink r:id="rId195">
              <w:r>
                <w:rPr>
                  <w:rFonts w:ascii="Arial" w:cs="Arial" w:eastAsia="Arial" w:hAnsi="Arial"/>
                  <w:sz w:val="17"/>
                  <w:szCs w:val="17"/>
                  <w:color w:val="0000FF"/>
                  <w:w w:val="97"/>
                </w:rPr>
                <w:t>Exhibit 10.19 to the Company’s Form S-4/A filed with the SEC on April 26, 2021).</w:t>
              </w:r>
            </w:hyperlink>
          </w:p>
        </w:tc>
        <w:tc>
          <w:tcPr>
            <w:tcW w:w="33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10.18+</w:t>
            </w:r>
          </w:p>
        </w:tc>
        <w:tc>
          <w:tcPr>
            <w:tcW w:w="9700" w:type="dxa"/>
            <w:vAlign w:val="bottom"/>
            <w:gridSpan w:val="22"/>
          </w:tcPr>
          <w:p>
            <w:pPr>
              <w:spacing w:after="0" w:line="205"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Change in Control and Severance Agreement between Nautilus Biotechnology, Inc. and Subra Sankar (incorporated by reference to</w:t>
              </w:r>
            </w:hyperlink>
          </w:p>
        </w:tc>
      </w:tr>
      <w:tr>
        <w:trPr>
          <w:trHeight w:val="152"/>
        </w:trPr>
        <w:tc>
          <w:tcPr>
            <w:tcW w:w="11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7"/>
              </w:rPr>
            </w:pPr>
            <w:hyperlink r:id="rId196">
              <w:r>
                <w:rPr>
                  <w:rFonts w:ascii="Arial" w:cs="Arial" w:eastAsia="Arial" w:hAnsi="Arial"/>
                  <w:sz w:val="17"/>
                  <w:szCs w:val="17"/>
                  <w:color w:val="0000FF"/>
                  <w:w w:val="97"/>
                </w:rPr>
                <w:t>Exhibit 10.21 to the Company’s Form S-4/A filed with the SEC on April 26, 2021).</w:t>
              </w:r>
            </w:hyperlink>
          </w:p>
        </w:tc>
        <w:tc>
          <w:tcPr>
            <w:tcW w:w="33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10.19+</w:t>
            </w:r>
          </w:p>
        </w:tc>
        <w:tc>
          <w:tcPr>
            <w:tcW w:w="9700" w:type="dxa"/>
            <w:vAlign w:val="bottom"/>
            <w:gridSpan w:val="22"/>
          </w:tcPr>
          <w:p>
            <w:pPr>
              <w:spacing w:after="0" w:line="205" w:lineRule="exact"/>
              <w:rPr>
                <w:rFonts w:ascii="Arial" w:cs="Arial" w:eastAsia="Arial" w:hAnsi="Arial"/>
                <w:sz w:val="18"/>
                <w:szCs w:val="18"/>
                <w:color w:val="0000FF"/>
                <w:w w:val="93"/>
              </w:rPr>
            </w:pPr>
            <w:hyperlink r:id="rId197">
              <w:r>
                <w:rPr>
                  <w:rFonts w:ascii="Arial" w:cs="Arial" w:eastAsia="Arial" w:hAnsi="Arial"/>
                  <w:sz w:val="18"/>
                  <w:szCs w:val="18"/>
                  <w:color w:val="0000FF"/>
                  <w:w w:val="93"/>
                </w:rPr>
                <w:t>Change in Control and Severance Agreement between Nautilus Biotechnology, Inc. and Nick Nelson (incorporated by reference to</w:t>
              </w:r>
            </w:hyperlink>
          </w:p>
        </w:tc>
      </w:tr>
      <w:tr>
        <w:trPr>
          <w:trHeight w:val="152"/>
        </w:trPr>
        <w:tc>
          <w:tcPr>
            <w:tcW w:w="1160" w:type="dxa"/>
            <w:vAlign w:val="bottom"/>
          </w:tcPr>
          <w:p>
            <w:pPr>
              <w:spacing w:after="0"/>
              <w:rPr>
                <w:sz w:val="13"/>
                <w:szCs w:val="13"/>
                <w:color w:val="auto"/>
              </w:rPr>
            </w:pPr>
          </w:p>
        </w:tc>
        <w:tc>
          <w:tcPr>
            <w:tcW w:w="924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Exhibit 10.20 to the Company’s Form S-4/A filed with the SEC on April 26,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10.20+</w:t>
            </w:r>
          </w:p>
        </w:tc>
        <w:tc>
          <w:tcPr>
            <w:tcW w:w="9700" w:type="dxa"/>
            <w:vAlign w:val="bottom"/>
            <w:gridSpan w:val="22"/>
          </w:tcPr>
          <w:p>
            <w:pPr>
              <w:spacing w:after="0" w:line="205" w:lineRule="exact"/>
              <w:rPr>
                <w:rFonts w:ascii="Arial" w:cs="Arial" w:eastAsia="Arial" w:hAnsi="Arial"/>
                <w:sz w:val="18"/>
                <w:szCs w:val="18"/>
                <w:color w:val="0000FF"/>
                <w:w w:val="92"/>
              </w:rPr>
            </w:pPr>
            <w:hyperlink r:id="rId198">
              <w:r>
                <w:rPr>
                  <w:rFonts w:ascii="Arial" w:cs="Arial" w:eastAsia="Arial" w:hAnsi="Arial"/>
                  <w:sz w:val="18"/>
                  <w:szCs w:val="18"/>
                  <w:color w:val="0000FF"/>
                  <w:w w:val="92"/>
                </w:rPr>
                <w:t>Change in Control and Severance Agreement between Nautilus Biotechnology, Inc. and Parag Mallick (incorporated by reference to</w:t>
              </w:r>
            </w:hyperlink>
          </w:p>
        </w:tc>
      </w:tr>
      <w:tr>
        <w:trPr>
          <w:trHeight w:val="152"/>
        </w:trPr>
        <w:tc>
          <w:tcPr>
            <w:tcW w:w="11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7"/>
              </w:rPr>
            </w:pPr>
            <w:hyperlink r:id="rId198">
              <w:r>
                <w:rPr>
                  <w:rFonts w:ascii="Arial" w:cs="Arial" w:eastAsia="Arial" w:hAnsi="Arial"/>
                  <w:sz w:val="17"/>
                  <w:szCs w:val="17"/>
                  <w:color w:val="0000FF"/>
                  <w:w w:val="97"/>
                </w:rPr>
                <w:t>Exhibit 10.22 to the Company’s Form S-4/A filed with the SEC on April 26, 2021).</w:t>
              </w:r>
            </w:hyperlink>
          </w:p>
        </w:tc>
        <w:tc>
          <w:tcPr>
            <w:tcW w:w="34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10.21+</w:t>
            </w:r>
          </w:p>
        </w:tc>
        <w:tc>
          <w:tcPr>
            <w:tcW w:w="9700" w:type="dxa"/>
            <w:vAlign w:val="bottom"/>
            <w:gridSpan w:val="22"/>
          </w:tcPr>
          <w:p>
            <w:pPr>
              <w:spacing w:after="0" w:line="205"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Change in Control and Severance Agreement between Nautilus Biotechnology, Inc. and Matt Murphy (incorporated by reference to</w:t>
              </w:r>
            </w:hyperlink>
          </w:p>
        </w:tc>
      </w:tr>
      <w:tr>
        <w:trPr>
          <w:trHeight w:val="152"/>
        </w:trPr>
        <w:tc>
          <w:tcPr>
            <w:tcW w:w="11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6"/>
              </w:rPr>
            </w:pPr>
            <w:hyperlink r:id="rId199">
              <w:r>
                <w:rPr>
                  <w:rFonts w:ascii="Arial" w:cs="Arial" w:eastAsia="Arial" w:hAnsi="Arial"/>
                  <w:sz w:val="17"/>
                  <w:szCs w:val="17"/>
                  <w:color w:val="0000FF"/>
                  <w:w w:val="96"/>
                </w:rPr>
                <w:t>Exhibit 10.23 to the Company’s Form S-4/A filed with the SEC on April 26, 2021).</w:t>
              </w:r>
            </w:hyperlink>
          </w:p>
        </w:tc>
        <w:tc>
          <w:tcPr>
            <w:tcW w:w="3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10.22</w:t>
            </w:r>
          </w:p>
        </w:tc>
        <w:tc>
          <w:tcPr>
            <w:tcW w:w="9700" w:type="dxa"/>
            <w:vAlign w:val="bottom"/>
            <w:gridSpan w:val="22"/>
          </w:tcPr>
          <w:p>
            <w:pPr>
              <w:spacing w:after="0" w:line="205"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Form of Nautilus Biotechnology, Inc. Indemnification Agreement (incorporated by reference to Exhibit 10.24 to the Company’s Form S-</w:t>
              </w:r>
            </w:hyperlink>
          </w:p>
        </w:tc>
      </w:tr>
      <w:tr>
        <w:trPr>
          <w:trHeight w:val="152"/>
        </w:trPr>
        <w:tc>
          <w:tcPr>
            <w:tcW w:w="11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8"/>
              </w:rPr>
            </w:pPr>
            <w:hyperlink r:id="rId200">
              <w:r>
                <w:rPr>
                  <w:rFonts w:ascii="Arial" w:cs="Arial" w:eastAsia="Arial" w:hAnsi="Arial"/>
                  <w:sz w:val="17"/>
                  <w:szCs w:val="17"/>
                  <w:color w:val="0000FF"/>
                  <w:w w:val="98"/>
                </w:rPr>
                <w:t>4/A filed with the SEC on April 26, 2021).</w:t>
              </w:r>
            </w:hyperlink>
          </w:p>
        </w:tc>
        <w:tc>
          <w:tcPr>
            <w:tcW w:w="66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10.23+</w:t>
            </w:r>
          </w:p>
        </w:tc>
        <w:tc>
          <w:tcPr>
            <w:tcW w:w="9700" w:type="dxa"/>
            <w:vAlign w:val="bottom"/>
            <w:gridSpan w:val="22"/>
          </w:tcPr>
          <w:p>
            <w:pPr>
              <w:spacing w:after="0" w:line="205" w:lineRule="exact"/>
              <w:rPr>
                <w:rFonts w:ascii="Arial" w:cs="Arial" w:eastAsia="Arial" w:hAnsi="Arial"/>
                <w:sz w:val="18"/>
                <w:szCs w:val="18"/>
                <w:color w:val="0000FF"/>
                <w:w w:val="93"/>
              </w:rPr>
            </w:pPr>
            <w:hyperlink r:id="rId201">
              <w:r>
                <w:rPr>
                  <w:rFonts w:ascii="Arial" w:cs="Arial" w:eastAsia="Arial" w:hAnsi="Arial"/>
                  <w:sz w:val="18"/>
                  <w:szCs w:val="18"/>
                  <w:color w:val="0000FF"/>
                  <w:w w:val="93"/>
                </w:rPr>
                <w:t>Nautilus Biotechnology, Inc. Executive Incentive Compensation Plan (incorporated by reference to Exhibit 10.25 to the Company’s</w:t>
              </w:r>
            </w:hyperlink>
          </w:p>
        </w:tc>
      </w:tr>
      <w:tr>
        <w:trPr>
          <w:trHeight w:val="152"/>
        </w:trPr>
        <w:tc>
          <w:tcPr>
            <w:tcW w:w="11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7"/>
              </w:rPr>
            </w:pPr>
            <w:hyperlink r:id="rId201">
              <w:r>
                <w:rPr>
                  <w:rFonts w:ascii="Arial" w:cs="Arial" w:eastAsia="Arial" w:hAnsi="Arial"/>
                  <w:sz w:val="17"/>
                  <w:szCs w:val="17"/>
                  <w:color w:val="0000FF"/>
                  <w:w w:val="97"/>
                </w:rPr>
                <w:t>Form S-4/A filed with the SEC on April 26, 2021).</w:t>
              </w:r>
            </w:hyperlink>
          </w:p>
        </w:tc>
        <w:tc>
          <w:tcPr>
            <w:tcW w:w="57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16.1</w:t>
            </w:r>
          </w:p>
        </w:tc>
        <w:tc>
          <w:tcPr>
            <w:tcW w:w="9700" w:type="dxa"/>
            <w:vAlign w:val="bottom"/>
            <w:gridSpan w:val="22"/>
          </w:tcPr>
          <w:p>
            <w:pPr>
              <w:spacing w:after="0" w:line="205" w:lineRule="exact"/>
              <w:rPr>
                <w:rFonts w:ascii="Arial" w:cs="Arial" w:eastAsia="Arial" w:hAnsi="Arial"/>
                <w:sz w:val="18"/>
                <w:szCs w:val="18"/>
                <w:color w:val="0000FF"/>
                <w:w w:val="93"/>
              </w:rPr>
            </w:pPr>
            <w:hyperlink r:id="rId202">
              <w:r>
                <w:rPr>
                  <w:rFonts w:ascii="Arial" w:cs="Arial" w:eastAsia="Arial" w:hAnsi="Arial"/>
                  <w:sz w:val="18"/>
                  <w:szCs w:val="18"/>
                  <w:color w:val="0000FF"/>
                  <w:w w:val="93"/>
                </w:rPr>
                <w:t>Letter from WithumSmith+Brown, PC to the SEC, dated June 9, 2021 (incorporated by reference to Exhibit 16.1 to the Company’s</w:t>
              </w:r>
            </w:hyperlink>
          </w:p>
        </w:tc>
      </w:tr>
      <w:tr>
        <w:trPr>
          <w:trHeight w:val="165"/>
        </w:trPr>
        <w:tc>
          <w:tcPr>
            <w:tcW w:w="1160" w:type="dxa"/>
            <w:vAlign w:val="bottom"/>
          </w:tcPr>
          <w:p>
            <w:pPr>
              <w:spacing w:after="0"/>
              <w:rPr>
                <w:sz w:val="14"/>
                <w:szCs w:val="14"/>
                <w:color w:val="auto"/>
              </w:rPr>
            </w:pPr>
          </w:p>
        </w:tc>
        <w:tc>
          <w:tcPr>
            <w:tcW w:w="926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202">
              <w:r>
                <w:rPr>
                  <w:rFonts w:ascii="Arial" w:cs="Arial" w:eastAsia="Arial" w:hAnsi="Arial"/>
                  <w:sz w:val="18"/>
                  <w:szCs w:val="18"/>
                  <w:color w:val="0000FF"/>
                </w:rPr>
                <w:t>Current Report on Form 8-K filed with the SEC on June 10, 2021).</w:t>
              </w:r>
            </w:hyperlink>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6"/>
                <w:szCs w:val="16"/>
                <w:color w:val="auto"/>
              </w:rPr>
              <w:t>21.1*</w:t>
            </w:r>
          </w:p>
        </w:tc>
        <w:tc>
          <w:tcPr>
            <w:tcW w:w="4740" w:type="dxa"/>
            <w:vAlign w:val="bottom"/>
            <w:tcBorders>
              <w:top w:val="single" w:sz="8" w:color="0000FF"/>
            </w:tcBorders>
            <w:gridSpan w:val="6"/>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List of Subsidiaries of the Registrant.</w:t>
              </w:r>
            </w:hyperlink>
          </w:p>
        </w:tc>
        <w:tc>
          <w:tcPr>
            <w:tcW w:w="4960" w:type="dxa"/>
            <w:vAlign w:val="bottom"/>
            <w:gridSpan w:val="16"/>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23.1*</w:t>
            </w:r>
          </w:p>
        </w:tc>
        <w:tc>
          <w:tcPr>
            <w:tcW w:w="9700" w:type="dxa"/>
            <w:vAlign w:val="bottom"/>
            <w:gridSpan w:val="22"/>
          </w:tcPr>
          <w:p>
            <w:pPr>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Consent of Independent Registered Public Accounting Firm</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9700" w:type="dxa"/>
            <w:vAlign w:val="bottom"/>
            <w:gridSpan w:val="22"/>
          </w:tcPr>
          <w:p>
            <w:pPr>
              <w:spacing w:after="0" w:line="205" w:lineRule="exact"/>
              <w:rPr>
                <w:rFonts w:ascii="Arial" w:cs="Arial" w:eastAsia="Arial" w:hAnsi="Arial"/>
                <w:sz w:val="18"/>
                <w:szCs w:val="18"/>
                <w:color w:val="0000FF"/>
                <w:w w:val="91"/>
              </w:rPr>
            </w:pPr>
            <w:hyperlink w:anchor="page125">
              <w:r>
                <w:rPr>
                  <w:rFonts w:ascii="Arial" w:cs="Arial" w:eastAsia="Arial" w:hAnsi="Arial"/>
                  <w:sz w:val="18"/>
                  <w:szCs w:val="18"/>
                  <w:color w:val="0000FF"/>
                  <w:w w:val="91"/>
                </w:rPr>
                <w:t>Certification of Principal Executive Officer Pursuant to Rules 13a-14(a) and 15d-14(a) under the Securities Exchange Act of 1934, as</w:t>
              </w:r>
            </w:hyperlink>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4"/>
              </w:rPr>
            </w:pPr>
            <w:hyperlink w:anchor="page125">
              <w:r>
                <w:rPr>
                  <w:rFonts w:ascii="Arial" w:cs="Arial" w:eastAsia="Arial" w:hAnsi="Arial"/>
                  <w:sz w:val="17"/>
                  <w:szCs w:val="17"/>
                  <w:color w:val="0000FF"/>
                  <w:w w:val="94"/>
                </w:rPr>
                <w:t>Adopted Pursuant to Section 302 of the Sarbanes-Oxley Act of 2002.</w:t>
              </w:r>
            </w:hyperlink>
          </w:p>
        </w:tc>
        <w:tc>
          <w:tcPr>
            <w:tcW w:w="4560" w:type="dxa"/>
            <w:vAlign w:val="bottom"/>
            <w:tcBorders>
              <w:top w:val="single" w:sz="8" w:color="0000FF"/>
            </w:tcBorders>
            <w:gridSpan w:val="13"/>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9700" w:type="dxa"/>
            <w:vAlign w:val="bottom"/>
            <w:gridSpan w:val="22"/>
          </w:tcPr>
          <w:p>
            <w:pPr>
              <w:spacing w:after="0" w:line="205" w:lineRule="exact"/>
              <w:rPr>
                <w:rFonts w:ascii="Arial" w:cs="Arial" w:eastAsia="Arial" w:hAnsi="Arial"/>
                <w:sz w:val="18"/>
                <w:szCs w:val="18"/>
                <w:color w:val="0000FF"/>
                <w:w w:val="92"/>
              </w:rPr>
            </w:pPr>
            <w:hyperlink w:anchor="page126">
              <w:r>
                <w:rPr>
                  <w:rFonts w:ascii="Arial" w:cs="Arial" w:eastAsia="Arial" w:hAnsi="Arial"/>
                  <w:sz w:val="18"/>
                  <w:szCs w:val="18"/>
                  <w:color w:val="0000FF"/>
                  <w:w w:val="92"/>
                </w:rPr>
                <w:t>Certification of Principal Financial Officer Pursuant to Rules 13a-14(a) and 15d-14(a) under the Securities Exchange Act of 1934, as</w:t>
              </w:r>
            </w:hyperlink>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4"/>
              </w:rPr>
            </w:pPr>
            <w:hyperlink w:anchor="page126">
              <w:r>
                <w:rPr>
                  <w:rFonts w:ascii="Arial" w:cs="Arial" w:eastAsia="Arial" w:hAnsi="Arial"/>
                  <w:sz w:val="17"/>
                  <w:szCs w:val="17"/>
                  <w:color w:val="0000FF"/>
                  <w:w w:val="94"/>
                </w:rPr>
                <w:t>Adopted Pursuant to Section 302 of the Sarbanes-Oxley Act of 2002.</w:t>
              </w:r>
            </w:hyperlink>
          </w:p>
        </w:tc>
        <w:tc>
          <w:tcPr>
            <w:tcW w:w="450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9700" w:type="dxa"/>
            <w:vAlign w:val="bottom"/>
            <w:gridSpan w:val="22"/>
          </w:tcPr>
          <w:p>
            <w:pPr>
              <w:spacing w:after="0" w:line="205" w:lineRule="exact"/>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of Principal Executive Officer Pursuant to 18 U.S.C. Section 1350, as Adopted Pursuant to Section 906 of the Sarbanes-</w:t>
              </w:r>
            </w:hyperlink>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7"/>
              </w:rPr>
            </w:pPr>
            <w:hyperlink w:anchor="page127">
              <w:r>
                <w:rPr>
                  <w:rFonts w:ascii="Arial" w:cs="Arial" w:eastAsia="Arial" w:hAnsi="Arial"/>
                  <w:sz w:val="17"/>
                  <w:szCs w:val="17"/>
                  <w:color w:val="0000FF"/>
                  <w:w w:val="97"/>
                </w:rPr>
                <w:t>Oxley Act of 2002.</w:t>
              </w:r>
            </w:hyperlink>
          </w:p>
        </w:tc>
        <w:tc>
          <w:tcPr>
            <w:tcW w:w="8060" w:type="dxa"/>
            <w:vAlign w:val="bottom"/>
            <w:tcBorders>
              <w:top w:val="single" w:sz="8" w:color="0000FF"/>
            </w:tcBorders>
            <w:gridSpan w:val="18"/>
          </w:tcPr>
          <w:p>
            <w:pPr>
              <w:spacing w:after="0"/>
              <w:rPr>
                <w:sz w:val="13"/>
                <w:szCs w:val="13"/>
                <w:color w:val="auto"/>
              </w:rPr>
            </w:pPr>
          </w:p>
        </w:tc>
        <w:tc>
          <w:tcPr>
            <w:tcW w:w="260" w:type="dxa"/>
            <w:vAlign w:val="bottom"/>
            <w:gridSpan w:val="3"/>
          </w:tcPr>
          <w:p>
            <w:pPr>
              <w:spacing w:after="0"/>
              <w:rPr>
                <w:sz w:val="13"/>
                <w:szCs w:val="13"/>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9700" w:type="dxa"/>
            <w:vAlign w:val="bottom"/>
            <w:gridSpan w:val="22"/>
          </w:tcPr>
          <w:p>
            <w:pPr>
              <w:spacing w:after="0" w:line="205" w:lineRule="exact"/>
              <w:rPr>
                <w:rFonts w:ascii="Arial" w:cs="Arial" w:eastAsia="Arial" w:hAnsi="Arial"/>
                <w:sz w:val="18"/>
                <w:szCs w:val="18"/>
                <w:color w:val="0000FF"/>
                <w:w w:val="92"/>
              </w:rPr>
            </w:pPr>
            <w:hyperlink w:anchor="page128">
              <w:r>
                <w:rPr>
                  <w:rFonts w:ascii="Arial" w:cs="Arial" w:eastAsia="Arial" w:hAnsi="Arial"/>
                  <w:sz w:val="18"/>
                  <w:szCs w:val="18"/>
                  <w:color w:val="0000FF"/>
                  <w:w w:val="92"/>
                </w:rPr>
                <w:t>Certification of Principal Financial Officer Pursuant to 18 U.S.C. Section 1350, as Adopted Pursuant to Section 906 of the Sarbanes-</w:t>
              </w:r>
            </w:hyperlink>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7"/>
              </w:rPr>
            </w:pPr>
            <w:hyperlink w:anchor="page128">
              <w:r>
                <w:rPr>
                  <w:rFonts w:ascii="Arial" w:cs="Arial" w:eastAsia="Arial" w:hAnsi="Arial"/>
                  <w:sz w:val="17"/>
                  <w:szCs w:val="17"/>
                  <w:color w:val="0000FF"/>
                  <w:w w:val="97"/>
                </w:rPr>
                <w:t>Oxley Act of 2002.</w:t>
              </w:r>
            </w:hyperlink>
          </w:p>
        </w:tc>
        <w:tc>
          <w:tcPr>
            <w:tcW w:w="8000" w:type="dxa"/>
            <w:vAlign w:val="bottom"/>
            <w:tcBorders>
              <w:top w:val="single" w:sz="8" w:color="0000FF"/>
            </w:tcBorders>
            <w:gridSpan w:val="16"/>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193"/>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9700" w:type="dxa"/>
            <w:vAlign w:val="bottom"/>
            <w:gridSpan w:val="22"/>
          </w:tcPr>
          <w:p>
            <w:pPr>
              <w:spacing w:after="0" w:line="193" w:lineRule="exact"/>
              <w:rPr>
                <w:sz w:val="20"/>
                <w:szCs w:val="20"/>
                <w:color w:val="auto"/>
              </w:rPr>
            </w:pPr>
            <w:r>
              <w:rPr>
                <w:rFonts w:ascii="Arial" w:cs="Arial" w:eastAsia="Arial" w:hAnsi="Arial"/>
                <w:sz w:val="18"/>
                <w:szCs w:val="18"/>
                <w:color w:val="auto"/>
                <w:w w:val="88"/>
              </w:rPr>
              <w:t>Inline XBRL Instance Document – the instance document does not appear in the Interactive Data File because XBRL tags are embedded</w:t>
            </w:r>
          </w:p>
        </w:tc>
      </w:tr>
      <w:tr>
        <w:trPr>
          <w:trHeight w:val="223"/>
        </w:trPr>
        <w:tc>
          <w:tcPr>
            <w:tcW w:w="1160" w:type="dxa"/>
            <w:vAlign w:val="bottom"/>
          </w:tcPr>
          <w:p>
            <w:pPr>
              <w:spacing w:after="0"/>
              <w:rPr>
                <w:sz w:val="19"/>
                <w:szCs w:val="19"/>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970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970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970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970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970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 w:lineRule="exact"/>
        <w:rPr>
          <w:sz w:val="20"/>
          <w:szCs w:val="20"/>
          <w:color w:val="auto"/>
        </w:rPr>
      </w:pPr>
    </w:p>
    <w:p>
      <w:pPr>
        <w:ind w:left="1180" w:hanging="1156"/>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37" w:lineRule="auto"/>
        <w:rPr>
          <w:sz w:val="20"/>
          <w:szCs w:val="20"/>
          <w:color w:val="auto"/>
        </w:rPr>
      </w:pPr>
      <w:r>
        <w:rPr>
          <w:rFonts w:ascii="Arial" w:cs="Arial" w:eastAsia="Arial" w:hAnsi="Arial"/>
          <w:sz w:val="14"/>
          <w:szCs w:val="14"/>
          <w:color w:val="auto"/>
        </w:rPr>
        <w:t>+ Indicates management contract or compensatory plan.</w:t>
      </w:r>
    </w:p>
    <w:p>
      <w:pPr>
        <w:ind w:left="320" w:hanging="314"/>
        <w:spacing w:after="0" w:line="269" w:lineRule="auto"/>
        <w:tabs>
          <w:tab w:leader="none" w:pos="108"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7"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sectPr>
      </w:pPr>
    </w:p>
    <w:bookmarkStart w:id="121" w:name="page122"/>
    <w:bookmarkEnd w:id="12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Annual Report to be signed on its behalf by the undersigned, thereunto duly authorized.</w:t>
      </w:r>
    </w:p>
    <w:p>
      <w:pPr>
        <w:spacing w:after="0" w:line="1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NAUTILUS BIOTECHNOLOGY, INC.</w:t>
      </w:r>
    </w:p>
    <w:p>
      <w:pPr>
        <w:spacing w:after="0" w:line="3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27940</wp:posOffset>
            </wp:positionV>
            <wp:extent cx="26416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5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Sujal Patel</w:t>
      </w:r>
    </w:p>
    <w:p>
      <w:pPr>
        <w:spacing w:after="0" w:line="5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99"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1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6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Mowry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Altman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Epperly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Melissa Epperly</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Parag Mallick</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McIlwain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Farzad Nazem</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Vijay Pande</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L. Posard</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24, 2022</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300" w:type="dxa"/>
            <w:vAlign w:val="bottom"/>
            <w:gridSpan w:val="5"/>
          </w:tcPr>
          <w:p>
            <w:pPr>
              <w:ind w:left="820"/>
              <w:spacing w:after="0"/>
              <w:rPr>
                <w:sz w:val="20"/>
                <w:szCs w:val="20"/>
                <w:color w:val="auto"/>
              </w:rPr>
            </w:pPr>
            <w:r>
              <w:rPr>
                <w:rFonts w:ascii="Arial" w:cs="Arial" w:eastAsia="Arial" w:hAnsi="Arial"/>
                <w:sz w:val="18"/>
                <w:szCs w:val="18"/>
                <w:b w:val="1"/>
                <w:bCs w:val="1"/>
                <w:color w:val="auto"/>
              </w:rPr>
              <w:t>Subsidiaries of Nautilus Biotechnology, Inc.*</w:t>
            </w:r>
          </w:p>
        </w:tc>
      </w:tr>
      <w:tr>
        <w:trPr>
          <w:trHeight w:val="20"/>
        </w:trPr>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0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18"/>
        </w:trPr>
        <w:tc>
          <w:tcPr>
            <w:tcW w:w="2940" w:type="dxa"/>
            <w:vAlign w:val="bottom"/>
          </w:tcPr>
          <w:p>
            <w:pPr>
              <w:ind w:left="20"/>
              <w:spacing w:after="0"/>
              <w:rPr>
                <w:sz w:val="20"/>
                <w:szCs w:val="20"/>
                <w:color w:val="auto"/>
              </w:rPr>
            </w:pPr>
            <w:r>
              <w:rPr>
                <w:rFonts w:ascii="Arial" w:cs="Arial" w:eastAsia="Arial" w:hAnsi="Arial"/>
                <w:sz w:val="18"/>
                <w:szCs w:val="18"/>
                <w:color w:val="auto"/>
              </w:rPr>
              <w:t>Nautilus Subsidiary, Inc.</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529"/>
        </w:trPr>
        <w:tc>
          <w:tcPr>
            <w:tcW w:w="2940" w:type="dxa"/>
            <w:vAlign w:val="bottom"/>
          </w:tcPr>
          <w:p>
            <w:pPr>
              <w:spacing w:after="0"/>
              <w:rPr>
                <w:sz w:val="20"/>
                <w:szCs w:val="20"/>
                <w:color w:val="auto"/>
              </w:rPr>
            </w:pPr>
            <w:r>
              <w:rPr>
                <w:rFonts w:ascii="Arial" w:cs="Arial" w:eastAsia="Arial" w:hAnsi="Arial"/>
                <w:sz w:val="21"/>
                <w:szCs w:val="21"/>
                <w:color w:val="auto"/>
              </w:rPr>
              <w:t>__________________</w:t>
            </w: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33" w:lineRule="exact"/>
        <w:rPr>
          <w:sz w:val="20"/>
          <w:szCs w:val="20"/>
          <w:color w:val="auto"/>
        </w:rPr>
      </w:pPr>
    </w:p>
    <w:p>
      <w:pPr>
        <w:ind w:left="640" w:right="300" w:hanging="316"/>
        <w:spacing w:after="0" w:line="289" w:lineRule="auto"/>
        <w:tabs>
          <w:tab w:leader="none" w:pos="636"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13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1020"/>
        <w:spacing w:after="0" w:line="294"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333-258684 and 333-258686) of Nautilus Biotechnology, Inc. of our report dated February 24, 2022 relating to the financial statements,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0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15"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23"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Nautilus Biotechnology, Inc.;</w:t>
      </w:r>
    </w:p>
    <w:p>
      <w:pPr>
        <w:spacing w:after="0" w:line="84" w:lineRule="exact"/>
        <w:rPr>
          <w:rFonts w:ascii="Arial" w:cs="Arial" w:eastAsia="Arial" w:hAnsi="Arial"/>
          <w:sz w:val="18"/>
          <w:szCs w:val="18"/>
          <w:color w:val="auto"/>
        </w:rPr>
      </w:pPr>
    </w:p>
    <w:p>
      <w:pPr>
        <w:jc w:val="both"/>
        <w:ind w:left="640" w:right="320" w:hanging="316"/>
        <w:spacing w:after="0" w:line="229"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640" w:right="280" w:hanging="316"/>
        <w:spacing w:after="0" w:line="262"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40" w:right="540" w:hanging="316"/>
        <w:spacing w:after="0" w:line="237"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8"/>
          <w:szCs w:val="18"/>
          <w:color w:val="auto"/>
        </w:rPr>
      </w:pPr>
    </w:p>
    <w:p>
      <w:pPr>
        <w:ind w:left="1120" w:right="120" w:hanging="319"/>
        <w:spacing w:after="0" w:line="229" w:lineRule="auto"/>
        <w:tabs>
          <w:tab w:leader="none" w:pos="111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120" w:right="420" w:hanging="319"/>
        <w:spacing w:after="0" w:line="229"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120" w:right="580" w:hanging="319"/>
        <w:spacing w:after="0" w:line="328" w:lineRule="auto"/>
        <w:tabs>
          <w:tab w:leader="none" w:pos="1110" w:val="left"/>
        </w:tabs>
        <w:numPr>
          <w:ilvl w:val="1"/>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120" w:right="140" w:hanging="319"/>
        <w:spacing w:after="0" w:line="229"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right="240" w:hanging="316"/>
        <w:spacing w:after="0" w:line="328" w:lineRule="auto"/>
        <w:tabs>
          <w:tab w:leader="none" w:pos="6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120" w:right="20" w:hanging="319"/>
        <w:spacing w:after="0" w:line="262" w:lineRule="auto"/>
        <w:tabs>
          <w:tab w:leader="none" w:pos="111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120" w:right="520" w:hanging="319"/>
        <w:spacing w:after="0" w:line="237"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24, 2022</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15"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23" w:lineRule="exact"/>
        <w:rPr>
          <w:sz w:val="20"/>
          <w:szCs w:val="20"/>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Nautilus Biotechnology, Inc.;</w:t>
      </w:r>
    </w:p>
    <w:p>
      <w:pPr>
        <w:spacing w:after="0" w:line="84" w:lineRule="exact"/>
        <w:rPr>
          <w:rFonts w:ascii="Arial" w:cs="Arial" w:eastAsia="Arial" w:hAnsi="Arial"/>
          <w:sz w:val="18"/>
          <w:szCs w:val="18"/>
          <w:color w:val="auto"/>
        </w:rPr>
      </w:pPr>
    </w:p>
    <w:p>
      <w:pPr>
        <w:jc w:val="both"/>
        <w:ind w:left="640" w:right="320" w:hanging="316"/>
        <w:spacing w:after="0" w:line="229"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640" w:right="280" w:hanging="316"/>
        <w:spacing w:after="0" w:line="262" w:lineRule="auto"/>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40" w:right="540" w:hanging="316"/>
        <w:spacing w:after="0" w:line="23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8"/>
          <w:szCs w:val="18"/>
          <w:color w:val="auto"/>
        </w:rPr>
      </w:pPr>
    </w:p>
    <w:p>
      <w:pPr>
        <w:ind w:left="1120" w:right="120" w:hanging="319"/>
        <w:spacing w:after="0" w:line="229" w:lineRule="auto"/>
        <w:tabs>
          <w:tab w:leader="none" w:pos="11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120" w:right="420" w:hanging="319"/>
        <w:spacing w:after="0" w:line="229"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120" w:right="580" w:hanging="319"/>
        <w:spacing w:after="0" w:line="328" w:lineRule="auto"/>
        <w:tabs>
          <w:tab w:leader="none" w:pos="1110" w:val="left"/>
        </w:tabs>
        <w:numPr>
          <w:ilvl w:val="1"/>
          <w:numId w:val="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120" w:right="140" w:hanging="319"/>
        <w:spacing w:after="0" w:line="229"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right="240" w:hanging="316"/>
        <w:spacing w:after="0" w:line="328" w:lineRule="auto"/>
        <w:tabs>
          <w:tab w:leader="none" w:pos="6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120" w:right="20" w:hanging="319"/>
        <w:spacing w:after="0" w:line="262" w:lineRule="auto"/>
        <w:tabs>
          <w:tab w:leader="none" w:pos="111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120" w:right="520" w:hanging="319"/>
        <w:spacing w:after="0" w:line="237"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24, 2022</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 Anna Mowry</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3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connection with the Annual Report of Nautilus Biotechnology, Inc. (the “Company”) on Form 10-K for the fiscal year ended December 31, 2021 as filed with the Securities and Exchange Commission on the date hereof (the “Report”), I, Sujal Patel, hereby certify, pursuant to 18 U.S.C. § 1350, as adopted pursuant to § 906 of the Sarbanes-Oxley Act of 2002, that:</w:t>
      </w:r>
    </w:p>
    <w:p>
      <w:pPr>
        <w:spacing w:after="0" w:line="309"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24, 2022</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3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connection with the Annual Report of Nautilus Biotechnology, Inc. (the “Company”) on Form 10-K for the fiscal year ended December 31, 2021 as filed with the Securities and Exchange Commission on the date hereof (the “Report”), I, Anna Mowry, hereby certify, pursuant to 18 U.S.C. § 1350, as adopted pursuant to § 906 of the Sarbanes-Oxley Act of 2002, that:</w:t>
      </w:r>
    </w:p>
    <w:p>
      <w:pPr>
        <w:spacing w:after="0" w:line="309"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24, 2022</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 Anna Mowry</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2"/>
    </w:lvl>
  </w:abstractNum>
  <w:abstractNum w:abstractNumId="11">
    <w:nsid w:val="725A06FB"/>
    <w:multiLevelType w:val="hybridMultilevel"/>
    <w:lvl w:ilvl="0">
      <w:lvlJc w:val="left"/>
      <w:lvlText w:val="%1."/>
      <w:numFmt w:val="decimal"/>
      <w:start w:val="3"/>
    </w:lvl>
  </w:abstractNum>
  <w:abstractNum w:abstractNumId="12">
    <w:nsid w:val="2CD89A32"/>
    <w:multiLevelType w:val="hybridMultilevel"/>
    <w:lvl w:ilvl="0">
      <w:lvlJc w:val="left"/>
      <w:lvlText w:val="%1."/>
      <w:numFmt w:val="decimal"/>
      <w:start w:val="4"/>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lowerRoman"/>
      <w:start w:val="3"/>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lowerRoman"/>
      <w:start w:val="3"/>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2"/>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1."/>
      <w:numFmt w:val="decimal"/>
      <w:start w:val="4"/>
    </w:lvl>
  </w:abstractNum>
  <w:abstractNum w:abstractNumId="60">
    <w:nsid w:val="100F8FCA"/>
    <w:multiLevelType w:val="hybridMultilevel"/>
    <w:lvl w:ilvl="0">
      <w:lvlJc w:val="left"/>
      <w:lvlText w:val="%1."/>
      <w:numFmt w:val="decimal"/>
      <w:start w:val="5"/>
    </w:lvl>
  </w:abstractNum>
  <w:abstractNum w:abstractNumId="61">
    <w:nsid w:val="6590700B"/>
    <w:multiLevelType w:val="hybridMultilevel"/>
    <w:lvl w:ilvl="0">
      <w:lvlJc w:val="left"/>
      <w:lvlText w:val="%1."/>
      <w:numFmt w:val="decimal"/>
      <w:start w:val="6"/>
    </w:lvl>
  </w:abstractNum>
  <w:abstractNum w:abstractNumId="62">
    <w:nsid w:val="15014ACB"/>
    <w:multiLevelType w:val="hybridMultilevel"/>
    <w:lvl w:ilvl="0">
      <w:lvlJc w:val="left"/>
      <w:lvlText w:val="%1."/>
      <w:numFmt w:val="decimal"/>
      <w:start w:val="7"/>
    </w:lvl>
  </w:abstractNum>
  <w:abstractNum w:abstractNumId="63">
    <w:nsid w:val="5F5E7FD0"/>
    <w:multiLevelType w:val="hybridMultilevel"/>
    <w:lvl w:ilvl="0">
      <w:lvlJc w:val="left"/>
      <w:lvlText w:val="%1."/>
      <w:numFmt w:val="decimal"/>
      <w:start w:val="8"/>
    </w:lvl>
  </w:abstractNum>
  <w:abstractNum w:abstractNumId="64">
    <w:nsid w:val="98A3148"/>
    <w:multiLevelType w:val="hybridMultilevel"/>
    <w:lvl w:ilvl="0">
      <w:lvlJc w:val="left"/>
      <w:lvlText w:val="%1."/>
      <w:numFmt w:val="decimal"/>
      <w:start w:val="9"/>
    </w:lvl>
  </w:abstractNum>
  <w:abstractNum w:abstractNumId="65">
    <w:nsid w:val="799D0247"/>
    <w:multiLevelType w:val="hybridMultilevel"/>
    <w:lvl w:ilvl="0">
      <w:lvlJc w:val="left"/>
      <w:lvlText w:val="%1."/>
      <w:numFmt w:val="decimal"/>
      <w:start w:val="10"/>
    </w:lvl>
  </w:abstractNum>
  <w:abstractNum w:abstractNumId="66">
    <w:nsid w:val="6B94764"/>
    <w:multiLevelType w:val="hybridMultilevel"/>
    <w:lvl w:ilvl="0">
      <w:lvlJc w:val="left"/>
      <w:lvlText w:val="%1."/>
      <w:numFmt w:val="decimal"/>
      <w:start w:val="11"/>
    </w:lvl>
  </w:abstractNum>
  <w:abstractNum w:abstractNumId="67">
    <w:nsid w:val="42C296BD"/>
    <w:multiLevelType w:val="hybridMultilevel"/>
    <w:lvl w:ilvl="0">
      <w:lvlJc w:val="left"/>
      <w:lvlText w:val="%1."/>
      <w:numFmt w:val="decimal"/>
      <w:start w:val="12"/>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decimal"/>
      <w:start w:val="104"/>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94"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175" Type="http://schemas.openxmlformats.org/officeDocument/2006/relationships/hyperlink" Target="https://www.sec.gov/Archives/edgar/data/1808805/000114036121003650/brhc10019858_ex2-1.htm" TargetMode="External"/><Relationship Id="rId176" Type="http://schemas.openxmlformats.org/officeDocument/2006/relationships/hyperlink" Target="https://www.sec.gov/Archives/edgar/data/1808805/000162828021011892/exhibit31-form8xkclosing.htm" TargetMode="External"/><Relationship Id="rId177" Type="http://schemas.openxmlformats.org/officeDocument/2006/relationships/hyperlink" Target="https://www.sec.gov/Archives/edgar/data/1808805/000162828021011892/exhibit32-form8xkclosing.htm" TargetMode="External"/><Relationship Id="rId178" Type="http://schemas.openxmlformats.org/officeDocument/2006/relationships/hyperlink" Target="https://www.sec.gov/Archives/edgar/data/1808805/000162828021011892/exhibit41-super8xkclosing.htm" TargetMode="External"/><Relationship Id="rId179" Type="http://schemas.openxmlformats.org/officeDocument/2006/relationships/hyperlink" Target="https://www.sec.gov/Archives/edgar/data/1808805/000114036121003650/brhc10019858_ex10-3.htm" TargetMode="External"/><Relationship Id="rId180" Type="http://schemas.openxmlformats.org/officeDocument/2006/relationships/hyperlink" Target="https://www.sec.gov/Archives/edgar/data/1808805/000114036121003650/brhc10019858_ex10-2.htm" TargetMode="External"/><Relationship Id="rId181" Type="http://schemas.openxmlformats.org/officeDocument/2006/relationships/hyperlink" Target="https://www.sec.gov/Archives/edgar/data/1808805/000162828021011892/exhibit104-form8xkclosing.htm" TargetMode="External"/><Relationship Id="rId182" Type="http://schemas.openxmlformats.org/officeDocument/2006/relationships/hyperlink" Target="https://www.sec.gov/Archives/edgar/data/1808805/000162828021011892/exhibit105-form8xkclosing.htm" TargetMode="External"/><Relationship Id="rId183" Type="http://schemas.openxmlformats.org/officeDocument/2006/relationships/hyperlink" Target="https://www.sec.gov/Archives/edgar/data/1808805/000162828021005786/exhibit107-sx4.htm" TargetMode="External"/><Relationship Id="rId184" Type="http://schemas.openxmlformats.org/officeDocument/2006/relationships/hyperlink" Target="https://www.sec.gov/Archives/edgar/data/1808805/000162828021005786/exhibit108-sx4.htm" TargetMode="External"/><Relationship Id="rId185" Type="http://schemas.openxmlformats.org/officeDocument/2006/relationships/hyperlink" Target="https://www.sec.gov/Archives/edgar/data/1808805/000162828021005786/exhibit109-sx4.htm" TargetMode="External"/><Relationship Id="rId186" Type="http://schemas.openxmlformats.org/officeDocument/2006/relationships/hyperlink" Target="https://www.sec.gov/Archives/edgar/data/1808805/000162828021005786/exhibit1011-sx4.htm" TargetMode="External"/><Relationship Id="rId187" Type="http://schemas.openxmlformats.org/officeDocument/2006/relationships/hyperlink" Target="https://www.sec.gov/Archives/edgar/data/1808805/000162828021007512/exhibit1012-sx4a2.htm" TargetMode="External"/><Relationship Id="rId188" Type="http://schemas.openxmlformats.org/officeDocument/2006/relationships/hyperlink" Target="https://www.sec.gov/Archives/edgar/data/1808805/000162828021007512/exhibit1013-sx4a2.htm" TargetMode="External"/><Relationship Id="rId189" Type="http://schemas.openxmlformats.org/officeDocument/2006/relationships/hyperlink" Target="https://www.sec.gov/Archives/edgar/data/1808805/000162828021007512/exhibit1015-sx4a2.htm" TargetMode="External"/><Relationship Id="rId190" Type="http://schemas.openxmlformats.org/officeDocument/2006/relationships/hyperlink" Target="https://www.sec.gov/Archives/edgar/data/1808805/000162828021007512/exhibit1014-sx4a2.htm" TargetMode="External"/><Relationship Id="rId191" Type="http://schemas.openxmlformats.org/officeDocument/2006/relationships/hyperlink" Target="https://www.sec.gov/Archives/edgar/data/1808805/000162828021007512/exhibit1016-sx4a2.htm" TargetMode="External"/><Relationship Id="rId192" Type="http://schemas.openxmlformats.org/officeDocument/2006/relationships/hyperlink" Target="https://www.sec.gov/Archives/edgar/data/1808805/000162828021007512/exhibit1017-sx4a2.htm" TargetMode="External"/><Relationship Id="rId193" Type="http://schemas.openxmlformats.org/officeDocument/2006/relationships/hyperlink" Target="https://www.sec.gov/Archives/edgar/data/1808805/000162828021007512/exhibit1018-sx4a2.htm" TargetMode="External"/><Relationship Id="rId195" Type="http://schemas.openxmlformats.org/officeDocument/2006/relationships/hyperlink" Target="https://www.sec.gov/Archives/edgar/data/1808805/000162828021007512/exhibit1019-sx4a2.htm" TargetMode="External"/><Relationship Id="rId196" Type="http://schemas.openxmlformats.org/officeDocument/2006/relationships/hyperlink" Target="https://www.sec.gov/Archives/edgar/data/1808805/000162828021007512/exhibit1021-sx4a2.htm" TargetMode="External"/><Relationship Id="rId197" Type="http://schemas.openxmlformats.org/officeDocument/2006/relationships/hyperlink" Target="https://www.sec.gov/Archives/edgar/data/1808805/000162828021007512/exhibit1020-sx4a2.htm" TargetMode="External"/><Relationship Id="rId198" Type="http://schemas.openxmlformats.org/officeDocument/2006/relationships/hyperlink" Target="https://www.sec.gov/Archives/edgar/data/1808805/000162828021007512/exhibit1022-sx4a2.htm" TargetMode="External"/><Relationship Id="rId199" Type="http://schemas.openxmlformats.org/officeDocument/2006/relationships/hyperlink" Target="https://www.sec.gov/Archives/edgar/data/1808805/000162828021007512/exhibit1023-sx4a2.htm" TargetMode="External"/><Relationship Id="rId200" Type="http://schemas.openxmlformats.org/officeDocument/2006/relationships/hyperlink" Target="https://www.sec.gov/Archives/edgar/data/1808805/000162828021007512/exhibit1024-sx4a2.htm" TargetMode="External"/><Relationship Id="rId201" Type="http://schemas.openxmlformats.org/officeDocument/2006/relationships/hyperlink" Target="https://www.sec.gov/Archives/edgar/data/1808805/000162828021007512/exhibit1025-sx4a2.htm" TargetMode="External"/><Relationship Id="rId202" Type="http://schemas.openxmlformats.org/officeDocument/2006/relationships/hyperlink" Target="https://www.sec.gov/Archives/edgar/data/1808805/000162828021011892/exhibit161-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2022-02-24T16:29:28Z</dcterms:created>
  <dcterms:modified xsi:type="dcterms:W3CDTF">2022-02-24T16:29:28Z</dcterms:modified>
</cp:coreProperties>
</file>