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10,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11" w:lineRule="exact"/>
        <w:rPr>
          <w:sz w:val="24"/>
          <w:szCs w:val="24"/>
          <w:color w:val="auto"/>
        </w:rPr>
      </w:pPr>
    </w:p>
    <w:p>
      <w:pPr>
        <w:ind w:left="3780"/>
        <w:spacing w:after="0"/>
        <w:rPr>
          <w:sz w:val="20"/>
          <w:szCs w:val="20"/>
          <w:color w:val="auto"/>
        </w:rPr>
      </w:pPr>
      <w:r>
        <w:rPr>
          <w:rFonts w:ascii="Arial" w:cs="Arial" w:eastAsia="Arial" w:hAnsi="Arial"/>
          <w:sz w:val="22"/>
          <w:szCs w:val="22"/>
          <w:b w:val="1"/>
          <w:bCs w:val="1"/>
          <w:color w:val="auto"/>
        </w:rPr>
        <w:t>NAUTILUS BIOTECHNOLOGY, INC.</w:t>
      </w:r>
    </w:p>
    <w:p>
      <w:pPr>
        <w:spacing w:after="0" w:line="1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5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Delaware</w:t>
            </w:r>
          </w:p>
        </w:tc>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91"/>
              </w:rPr>
              <w:t>98-1541723</w:t>
            </w:r>
          </w:p>
        </w:tc>
      </w:tr>
      <w:tr>
        <w:trPr>
          <w:trHeight w:val="27"/>
        </w:trPr>
        <w:tc>
          <w:tcPr>
            <w:tcW w:w="5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22"/>
        </w:trPr>
        <w:tc>
          <w:tcPr>
            <w:tcW w:w="57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(State or other jurisdiction of</w:t>
            </w: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57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incorporation or organization)</w:t>
            </w: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Identification Number)</w:t>
            </w:r>
          </w:p>
        </w:tc>
      </w:tr>
    </w:tbl>
    <w:p>
      <w:pPr>
        <w:spacing w:after="0" w:line="265"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425 Pontius Ave N, Ste 202</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Seattle, Washington 98109</w:t>
      </w:r>
    </w:p>
    <w:p>
      <w:pPr>
        <w:spacing w:after="0" w:line="103"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2021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Sujal Patel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425 Pontius Ave N, Ste 202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2" w:lineRule="exact"/>
        <w:rPr>
          <w:sz w:val="24"/>
          <w:szCs w:val="24"/>
          <w:color w:val="auto"/>
        </w:rPr>
      </w:pPr>
    </w:p>
    <w:tbl>
      <w:tblPr>
        <w:tblLayout w:type="fixed"/>
        <w:tblInd w:w="130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4660" w:type="dxa"/>
            <w:vAlign w:val="bottom"/>
          </w:tcPr>
          <w:p>
            <w:pPr>
              <w:ind w:left="460"/>
              <w:spacing w:after="0"/>
              <w:rPr>
                <w:sz w:val="20"/>
                <w:szCs w:val="20"/>
                <w:color w:val="auto"/>
              </w:rPr>
            </w:pPr>
            <w:r>
              <w:rPr>
                <w:rFonts w:ascii="Arial" w:cs="Arial" w:eastAsia="Arial" w:hAnsi="Arial"/>
                <w:sz w:val="18"/>
                <w:szCs w:val="18"/>
                <w:i w:val="1"/>
                <w:iCs w:val="1"/>
                <w:color w:val="auto"/>
              </w:rPr>
              <w:t>Copies to:</w:t>
            </w:r>
          </w:p>
        </w:tc>
      </w:tr>
      <w:tr>
        <w:trPr>
          <w:trHeight w:val="468"/>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Robert F. Kornegay</w:t>
            </w:r>
          </w:p>
        </w:tc>
        <w:tc>
          <w:tcPr>
            <w:tcW w:w="4660" w:type="dxa"/>
            <w:vAlign w:val="bottom"/>
          </w:tcPr>
          <w:p>
            <w:pPr>
              <w:jc w:val="center"/>
              <w:ind w:left="2510"/>
              <w:spacing w:after="0"/>
              <w:rPr>
                <w:sz w:val="20"/>
                <w:szCs w:val="20"/>
                <w:color w:val="auto"/>
              </w:rPr>
            </w:pPr>
            <w:r>
              <w:rPr>
                <w:rFonts w:ascii="Arial" w:cs="Arial" w:eastAsia="Arial" w:hAnsi="Arial"/>
                <w:sz w:val="18"/>
                <w:szCs w:val="18"/>
                <w:b w:val="1"/>
                <w:bCs w:val="1"/>
                <w:color w:val="auto"/>
                <w:w w:val="97"/>
              </w:rPr>
              <w:t>Matthew Murphy</w:t>
            </w:r>
          </w:p>
        </w:tc>
      </w:tr>
      <w:tr>
        <w:trPr>
          <w:trHeight w:val="216"/>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Zachary B. Myers</w:t>
            </w:r>
          </w:p>
        </w:tc>
        <w:tc>
          <w:tcPr>
            <w:tcW w:w="4660" w:type="dxa"/>
            <w:vAlign w:val="bottom"/>
          </w:tcPr>
          <w:p>
            <w:pPr>
              <w:jc w:val="center"/>
              <w:ind w:left="249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4660" w:type="dxa"/>
            <w:vAlign w:val="bottom"/>
          </w:tcPr>
          <w:p>
            <w:pPr>
              <w:jc w:val="center"/>
              <w:ind w:left="2510"/>
              <w:spacing w:after="0"/>
              <w:rPr>
                <w:sz w:val="20"/>
                <w:szCs w:val="20"/>
                <w:color w:val="auto"/>
              </w:rPr>
            </w:pPr>
            <w:r>
              <w:rPr>
                <w:rFonts w:ascii="Arial" w:cs="Arial" w:eastAsia="Arial" w:hAnsi="Arial"/>
                <w:sz w:val="18"/>
                <w:szCs w:val="18"/>
                <w:b w:val="1"/>
                <w:bCs w:val="1"/>
                <w:color w:val="auto"/>
                <w:w w:val="89"/>
              </w:rPr>
              <w:t>425 Pontius Ave N, Ste 202</w:t>
            </w:r>
          </w:p>
        </w:tc>
      </w:tr>
      <w:tr>
        <w:trPr>
          <w:trHeight w:val="216"/>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650 Page Mill Road</w:t>
            </w:r>
          </w:p>
        </w:tc>
        <w:tc>
          <w:tcPr>
            <w:tcW w:w="466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Seattle, Washington 98109</w:t>
            </w:r>
          </w:p>
        </w:tc>
      </w:tr>
      <w:tr>
        <w:trPr>
          <w:trHeight w:val="216"/>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Palo Alto, California 94304</w:t>
            </w:r>
          </w:p>
        </w:tc>
        <w:tc>
          <w:tcPr>
            <w:tcW w:w="4660" w:type="dxa"/>
            <w:vAlign w:val="bottom"/>
          </w:tcPr>
          <w:p>
            <w:pPr>
              <w:jc w:val="center"/>
              <w:ind w:left="2490"/>
              <w:spacing w:after="0"/>
              <w:rPr>
                <w:sz w:val="20"/>
                <w:szCs w:val="20"/>
                <w:color w:val="auto"/>
              </w:rPr>
            </w:pPr>
            <w:r>
              <w:rPr>
                <w:rFonts w:ascii="Arial" w:cs="Arial" w:eastAsia="Arial" w:hAnsi="Arial"/>
                <w:sz w:val="18"/>
                <w:szCs w:val="18"/>
                <w:b w:val="1"/>
                <w:bCs w:val="1"/>
                <w:color w:val="auto"/>
                <w:w w:val="90"/>
              </w:rPr>
              <w:t>(206) 333-2001</w:t>
            </w:r>
          </w:p>
        </w:tc>
      </w:tr>
      <w:tr>
        <w:trPr>
          <w:trHeight w:val="234"/>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(650) 493-9300</w:t>
            </w:r>
          </w:p>
        </w:tc>
        <w:tc>
          <w:tcPr>
            <w:tcW w:w="4660" w:type="dxa"/>
            <w:vAlign w:val="bottom"/>
          </w:tcPr>
          <w:p>
            <w:pPr>
              <w:spacing w:after="0"/>
              <w:rPr>
                <w:sz w:val="20"/>
                <w:szCs w:val="20"/>
                <w:color w:val="auto"/>
              </w:rPr>
            </w:pPr>
          </w:p>
        </w:tc>
      </w:tr>
    </w:tbl>
    <w:p>
      <w:pPr>
        <w:spacing w:after="0" w:line="107" w:lineRule="exact"/>
        <w:rPr>
          <w:sz w:val="24"/>
          <w:szCs w:val="24"/>
          <w:color w:val="auto"/>
        </w:rPr>
      </w:pPr>
    </w:p>
    <w:p>
      <w:pPr>
        <w:ind w:right="34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2"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7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5"/>
          </w:tcPr>
          <w:p>
            <w:pPr>
              <w:ind w:left="3900"/>
              <w:spacing w:after="0"/>
              <w:rPr>
                <w:sz w:val="20"/>
                <w:szCs w:val="20"/>
                <w:color w:val="auto"/>
              </w:rPr>
            </w:pPr>
            <w:r>
              <w:rPr>
                <w:rFonts w:ascii="Arial" w:cs="Arial" w:eastAsia="Arial" w:hAnsi="Arial"/>
                <w:sz w:val="18"/>
                <w:szCs w:val="18"/>
                <w:b w:val="1"/>
                <w:bCs w:val="1"/>
                <w:color w:val="auto"/>
              </w:rPr>
              <w:t>CALCULATION OF REGISTRATION FEE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Proposed</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Proposed</w:t>
            </w: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480"/>
              <w:spacing w:after="0" w:line="181" w:lineRule="exact"/>
              <w:rPr>
                <w:sz w:val="20"/>
                <w:szCs w:val="20"/>
                <w:color w:val="auto"/>
              </w:rPr>
            </w:pPr>
            <w:r>
              <w:rPr>
                <w:rFonts w:ascii="Arial" w:cs="Arial" w:eastAsia="Arial" w:hAnsi="Arial"/>
                <w:sz w:val="18"/>
                <w:szCs w:val="18"/>
                <w:b w:val="1"/>
                <w:bCs w:val="1"/>
                <w:color w:val="auto"/>
              </w:rPr>
              <w:t>Amount</w:t>
            </w:r>
          </w:p>
        </w:tc>
        <w:tc>
          <w:tcPr>
            <w:tcW w:w="1660" w:type="dxa"/>
            <w:vAlign w:val="bottom"/>
            <w:gridSpan w:val="3"/>
          </w:tcPr>
          <w:p>
            <w:pPr>
              <w:jc w:val="center"/>
              <w:ind w:right="80"/>
              <w:spacing w:after="0" w:line="181" w:lineRule="exact"/>
              <w:rPr>
                <w:sz w:val="20"/>
                <w:szCs w:val="20"/>
                <w:color w:val="auto"/>
              </w:rPr>
            </w:pPr>
            <w:r>
              <w:rPr>
                <w:rFonts w:ascii="Arial" w:cs="Arial" w:eastAsia="Arial" w:hAnsi="Arial"/>
                <w:sz w:val="18"/>
                <w:szCs w:val="18"/>
                <w:b w:val="1"/>
                <w:bCs w:val="1"/>
                <w:color w:val="auto"/>
                <w:w w:val="94"/>
              </w:rPr>
              <w:t>Maximum Offering</w:t>
            </w:r>
          </w:p>
        </w:tc>
        <w:tc>
          <w:tcPr>
            <w:tcW w:w="1660" w:type="dxa"/>
            <w:vAlign w:val="bottom"/>
            <w:gridSpan w:val="3"/>
          </w:tcPr>
          <w:p>
            <w:pPr>
              <w:jc w:val="center"/>
              <w:ind w:right="80"/>
              <w:spacing w:after="0" w:line="181" w:lineRule="exact"/>
              <w:rPr>
                <w:sz w:val="20"/>
                <w:szCs w:val="20"/>
                <w:color w:val="auto"/>
              </w:rPr>
            </w:pPr>
            <w:r>
              <w:rPr>
                <w:rFonts w:ascii="Arial" w:cs="Arial" w:eastAsia="Arial" w:hAnsi="Arial"/>
                <w:sz w:val="18"/>
                <w:szCs w:val="18"/>
                <w:b w:val="1"/>
                <w:bCs w:val="1"/>
                <w:color w:val="auto"/>
                <w:w w:val="91"/>
              </w:rPr>
              <w:t>Aggregate Offering</w:t>
            </w:r>
          </w:p>
        </w:tc>
        <w:tc>
          <w:tcPr>
            <w:tcW w:w="156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Title of Securities to be Registered</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spacing w:after="0" w:line="297" w:lineRule="exact"/>
              <w:rPr>
                <w:sz w:val="20"/>
                <w:szCs w:val="20"/>
                <w:color w:val="auto"/>
              </w:rPr>
            </w:pPr>
            <w:r>
              <w:rPr>
                <w:rFonts w:ascii="Arial" w:cs="Arial" w:eastAsia="Arial" w:hAnsi="Arial"/>
                <w:sz w:val="18"/>
                <w:szCs w:val="18"/>
                <w:b w:val="1"/>
                <w:bCs w:val="1"/>
                <w:color w:val="auto"/>
                <w:w w:val="89"/>
              </w:rPr>
              <w:t>to be Registered</w:t>
            </w:r>
            <w:r>
              <w:rPr>
                <w:rFonts w:ascii="Arial" w:cs="Arial" w:eastAsia="Arial" w:hAnsi="Arial"/>
                <w:sz w:val="28"/>
                <w:szCs w:val="28"/>
                <w:b w:val="1"/>
                <w:bCs w:val="1"/>
                <w:color w:val="auto"/>
                <w:w w:val="89"/>
                <w:vertAlign w:val="superscript"/>
              </w:rPr>
              <w:t>(1)</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Price Per Share</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222"/>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Common Stock, par value $0.0001 per share, reserved for</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15,027,511</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7.53</w:t>
            </w:r>
            <w:r>
              <w:rPr>
                <w:rFonts w:ascii="Arial" w:cs="Arial" w:eastAsia="Arial" w:hAnsi="Arial"/>
                <w:sz w:val="23"/>
                <w:szCs w:val="23"/>
                <w:color w:val="auto"/>
                <w:w w:val="89"/>
                <w:vertAlign w:val="superscript"/>
              </w:rPr>
              <w:t>(6)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issuance under the Registrant's 2021 Equity Incentive Plan</w:t>
            </w:r>
          </w:p>
        </w:tc>
        <w:tc>
          <w:tcPr>
            <w:tcW w:w="15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113,157,158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29"/>
        </w:trPr>
        <w:tc>
          <w:tcPr>
            <w:tcW w:w="4680" w:type="dxa"/>
            <w:vAlign w:val="bottom"/>
            <w:gridSpan w:val="2"/>
          </w:tcPr>
          <w:p>
            <w:pPr>
              <w:ind w:left="40"/>
              <w:spacing w:after="0"/>
              <w:rPr>
                <w:sz w:val="20"/>
                <w:szCs w:val="20"/>
                <w:color w:val="auto"/>
              </w:rPr>
            </w:pPr>
            <w:r>
              <w:rPr>
                <w:rFonts w:ascii="Arial" w:cs="Arial" w:eastAsia="Arial" w:hAnsi="Arial"/>
                <w:sz w:val="18"/>
                <w:szCs w:val="18"/>
                <w:color w:val="auto"/>
                <w:w w:val="99"/>
              </w:rPr>
              <w:t>Common Stock, par value $0.0001 per share, that may be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40"/>
              <w:spacing w:after="0"/>
              <w:rPr>
                <w:sz w:val="20"/>
                <w:szCs w:val="20"/>
                <w:color w:val="auto"/>
              </w:rPr>
            </w:pPr>
            <w:r>
              <w:rPr>
                <w:rFonts w:ascii="Arial" w:cs="Arial" w:eastAsia="Arial" w:hAnsi="Arial"/>
                <w:sz w:val="18"/>
                <w:szCs w:val="18"/>
                <w:color w:val="auto"/>
                <w:w w:val="96"/>
              </w:rPr>
              <w:t>issued pursuant to the exercise of outstanding stock options</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1,195,308</w:t>
            </w:r>
            <w:r>
              <w:rPr>
                <w:rFonts w:ascii="Arial" w:cs="Arial" w:eastAsia="Arial" w:hAnsi="Arial"/>
                <w:sz w:val="23"/>
                <w:szCs w:val="23"/>
                <w:color w:val="auto"/>
                <w:vertAlign w:val="superscript"/>
              </w:rPr>
              <w:t>(3)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9"/>
              </w:rPr>
              <w:t>9.97</w:t>
            </w:r>
            <w:r>
              <w:rPr>
                <w:rFonts w:ascii="Arial" w:cs="Arial" w:eastAsia="Arial" w:hAnsi="Arial"/>
                <w:sz w:val="23"/>
                <w:szCs w:val="23"/>
                <w:color w:val="auto"/>
                <w:w w:val="89"/>
                <w:vertAlign w:val="superscript"/>
              </w:rPr>
              <w:t>(7)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under the Registrant's 2021 Equity Incentive Plan</w:t>
            </w:r>
          </w:p>
        </w:tc>
        <w:tc>
          <w:tcPr>
            <w:tcW w:w="15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11,917,221</w:t>
            </w:r>
          </w:p>
        </w:tc>
        <w:tc>
          <w:tcPr>
            <w:tcW w:w="100" w:type="dxa"/>
            <w:vAlign w:val="bottom"/>
          </w:tcPr>
          <w:p>
            <w:pPr>
              <w:spacing w:after="0"/>
              <w:rPr>
                <w:sz w:val="22"/>
                <w:szCs w:val="22"/>
                <w:color w:val="auto"/>
              </w:rPr>
            </w:pPr>
          </w:p>
        </w:tc>
        <w:tc>
          <w:tcPr>
            <w:tcW w:w="940" w:type="dxa"/>
            <w:vAlign w:val="bottom"/>
          </w:tcPr>
          <w:p>
            <w:pPr>
              <w:jc w:val="center"/>
              <w:ind w:left="5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Common Stock, par value $0.0001 per share, reserved for</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under  the  Registrant's  2021  Employee  Stock</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1,244,900</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6.41</w:t>
            </w:r>
            <w:r>
              <w:rPr>
                <w:rFonts w:ascii="Arial" w:cs="Arial" w:eastAsia="Arial" w:hAnsi="Arial"/>
                <w:sz w:val="23"/>
                <w:szCs w:val="23"/>
                <w:color w:val="auto"/>
                <w:w w:val="89"/>
                <w:vertAlign w:val="superscript"/>
              </w:rPr>
              <w:t>(8)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Plan</w:t>
            </w:r>
          </w:p>
        </w:tc>
        <w:tc>
          <w:tcPr>
            <w:tcW w:w="156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7,979,809</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9"/>
        </w:trPr>
        <w:tc>
          <w:tcPr>
            <w:tcW w:w="4680" w:type="dxa"/>
            <w:vAlign w:val="bottom"/>
            <w:gridSpan w:val="2"/>
          </w:tcPr>
          <w:p>
            <w:pPr>
              <w:ind w:left="40"/>
              <w:spacing w:after="0"/>
              <w:rPr>
                <w:sz w:val="20"/>
                <w:szCs w:val="20"/>
                <w:color w:val="auto"/>
              </w:rPr>
            </w:pPr>
            <w:r>
              <w:rPr>
                <w:rFonts w:ascii="Arial" w:cs="Arial" w:eastAsia="Arial" w:hAnsi="Arial"/>
                <w:sz w:val="18"/>
                <w:szCs w:val="18"/>
                <w:color w:val="auto"/>
                <w:w w:val="99"/>
              </w:rPr>
              <w:t>Common Stock, par value $0.0001 per share, that may be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40"/>
              <w:spacing w:after="0"/>
              <w:rPr>
                <w:sz w:val="20"/>
                <w:szCs w:val="20"/>
                <w:color w:val="auto"/>
              </w:rPr>
            </w:pPr>
            <w:r>
              <w:rPr>
                <w:rFonts w:ascii="Arial" w:cs="Arial" w:eastAsia="Arial" w:hAnsi="Arial"/>
                <w:sz w:val="18"/>
                <w:szCs w:val="18"/>
                <w:color w:val="auto"/>
                <w:w w:val="96"/>
              </w:rPr>
              <w:t>issued pursuant to the exercise of outstanding stock options</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7,010,011</w:t>
            </w:r>
            <w:r>
              <w:rPr>
                <w:rFonts w:ascii="Arial" w:cs="Arial" w:eastAsia="Arial" w:hAnsi="Arial"/>
                <w:sz w:val="23"/>
                <w:szCs w:val="23"/>
                <w:color w:val="auto"/>
                <w:vertAlign w:val="superscript"/>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9"/>
              </w:rPr>
              <w:t>3.46</w:t>
            </w:r>
            <w:r>
              <w:rPr>
                <w:rFonts w:ascii="Arial" w:cs="Arial" w:eastAsia="Arial" w:hAnsi="Arial"/>
                <w:sz w:val="23"/>
                <w:szCs w:val="23"/>
                <w:color w:val="auto"/>
                <w:w w:val="89"/>
                <w:vertAlign w:val="superscript"/>
              </w:rPr>
              <w:t>(9)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under the Registrant's 2017 Equity Incentive Plan</w:t>
            </w:r>
          </w:p>
        </w:tc>
        <w:tc>
          <w:tcPr>
            <w:tcW w:w="15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24,254,639</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83"/>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24,477,730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157,308,827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0" w:hanging="332"/>
        <w:spacing w:after="0" w:line="222" w:lineRule="auto"/>
        <w:tabs>
          <w:tab w:leader="none" w:pos="328" w:val="left"/>
        </w:tabs>
        <w:numPr>
          <w:ilvl w:val="0"/>
          <w:numId w:val="1"/>
        </w:numPr>
        <w:rPr>
          <w:rFonts w:ascii="Arial" w:cs="Arial" w:eastAsia="Arial" w:hAnsi="Arial"/>
          <w:sz w:val="22"/>
          <w:szCs w:val="22"/>
          <w:color w:val="auto"/>
          <w:vertAlign w:val="superscript"/>
        </w:rPr>
      </w:pPr>
      <w:r>
        <w:rPr>
          <w:rFonts w:ascii="Arial" w:cs="Arial" w:eastAsia="Arial" w:hAnsi="Arial"/>
          <w:sz w:val="17"/>
          <w:szCs w:val="17"/>
          <w:color w:val="auto"/>
        </w:rPr>
        <w:t>Pursuant to Rule 416(a) of the Securities Act of 1933, as amended (the “Securities Act”), this registration statement (the “Registration Statement”) shall also cover any additional shares of the Registrant’s Common Stock that become issuable under the Registrant's 2017 Equity Incentive Plan (the “2017 Plan”), the Registrant's 2021 Equity Incentive Plan (the “2021 Plan”) and the Registrant's 2021 Employee Stock Purchase Plan (the “2021 ESPP”) by reason of any stock dividend, stock split, recapitalization or other similar transaction effected without receipt of consideration or conversion of the Registrant’s Common Stock that increases the number of outstanding shares of Common Stock.</w:t>
      </w:r>
    </w:p>
    <w:p>
      <w:pPr>
        <w:spacing w:after="0" w:line="3" w:lineRule="exact"/>
        <w:rPr>
          <w:rFonts w:ascii="Arial" w:cs="Arial" w:eastAsia="Arial" w:hAnsi="Arial"/>
          <w:sz w:val="22"/>
          <w:szCs w:val="22"/>
          <w:color w:val="auto"/>
          <w:vertAlign w:val="superscript"/>
        </w:rPr>
      </w:pPr>
    </w:p>
    <w:p>
      <w:pPr>
        <w:ind w:left="340" w:right="120" w:hanging="332"/>
        <w:spacing w:after="0" w:line="219" w:lineRule="auto"/>
        <w:tabs>
          <w:tab w:leader="none" w:pos="348" w:val="left"/>
        </w:tabs>
        <w:numPr>
          <w:ilvl w:val="0"/>
          <w:numId w:val="1"/>
        </w:numPr>
        <w:rPr>
          <w:rFonts w:ascii="Arial" w:cs="Arial" w:eastAsia="Arial" w:hAnsi="Arial"/>
          <w:sz w:val="25"/>
          <w:szCs w:val="25"/>
          <w:color w:val="auto"/>
          <w:vertAlign w:val="superscript"/>
        </w:rPr>
      </w:pPr>
      <w:r>
        <w:rPr>
          <w:rFonts w:ascii="Arial" w:cs="Arial" w:eastAsia="Arial" w:hAnsi="Arial"/>
          <w:sz w:val="17"/>
          <w:szCs w:val="17"/>
          <w:color w:val="auto"/>
        </w:rPr>
        <w:t>Represents 15,027,511 shares of Common Stock reserved for issuance under the 2021 Plan as of the date of this Registration Statement, which includes 16,182,600 shares initially reserved for issuance under the 2021 Plan plus 40,219 shares of Common Stock subject to outstanding awards under the 2017 Plan which were assumed in the merger between the Registrant and Nautilus Subsidiary, Inc. (f/k/a Nautilus Biotechnology, Inc.) (the "Merger") and have been cancelled, have expired or have otherwise terminated without having been exercised in full, or have been tendered to or withheld by the Registrant for payment of an exercise price or for tax withholding obligations, or have been forfeited to or repurchased by the Registrant due to failure to vest. As of the date hereof, 1,195,308 shares of common stock are subject to options outstanding under the 2021 Plan. The maximum aggregate total number of shares that can be added to the 2021 Plan pursuant to such assumed awards granted under the 2017 Plan is 7,500,000. See footnote 5 below.</w:t>
      </w:r>
    </w:p>
    <w:p>
      <w:pPr>
        <w:spacing w:after="0" w:line="1" w:lineRule="exact"/>
        <w:rPr>
          <w:rFonts w:ascii="Arial" w:cs="Arial" w:eastAsia="Arial" w:hAnsi="Arial"/>
          <w:sz w:val="25"/>
          <w:szCs w:val="25"/>
          <w:color w:val="auto"/>
          <w:vertAlign w:val="superscript"/>
        </w:rPr>
      </w:pPr>
    </w:p>
    <w:p>
      <w:pPr>
        <w:ind w:left="340" w:right="40" w:hanging="332"/>
        <w:spacing w:after="0" w:line="192" w:lineRule="auto"/>
        <w:tabs>
          <w:tab w:leader="none" w:pos="328"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Represents shares of Common Stock as of the date of this Registration Statement issuable upon the exercise of outstanding stock options granted under the 2021 Plan.</w:t>
      </w:r>
    </w:p>
    <w:p>
      <w:pPr>
        <w:ind w:left="320" w:hanging="312"/>
        <w:spacing w:after="0" w:line="187" w:lineRule="auto"/>
        <w:tabs>
          <w:tab w:leader="none" w:pos="32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Represents 1,244,900 shares of Common Stock reserved for issuance under the 2021 ESPP.</w:t>
      </w:r>
    </w:p>
    <w:p>
      <w:pPr>
        <w:ind w:left="340" w:hanging="332"/>
        <w:spacing w:after="0" w:line="232" w:lineRule="auto"/>
        <w:tabs>
          <w:tab w:leader="none" w:pos="348" w:val="left"/>
        </w:tabs>
        <w:numPr>
          <w:ilvl w:val="0"/>
          <w:numId w:val="1"/>
        </w:numPr>
        <w:rPr>
          <w:rFonts w:ascii="Arial" w:cs="Arial" w:eastAsia="Arial" w:hAnsi="Arial"/>
          <w:sz w:val="22"/>
          <w:szCs w:val="22"/>
          <w:color w:val="auto"/>
          <w:vertAlign w:val="superscript"/>
        </w:rPr>
      </w:pPr>
      <w:r>
        <w:rPr>
          <w:rFonts w:ascii="Arial" w:cs="Arial" w:eastAsia="Arial" w:hAnsi="Arial"/>
          <w:sz w:val="16"/>
          <w:szCs w:val="16"/>
          <w:color w:val="auto"/>
        </w:rPr>
        <w:t>Represents 7,010,011 shares of Common Stock as of the date of this Registration Statement issuable upon the exercise of outstanding stock options granted under the 2017 Plan that were assumed by the Registrant. No additional awards will be made under the 2017 Plan. To the extent that outstanding awards under the 2017 Plan which were assumed in the Merger are cancelled, expire or otherwise terminate without having been exercised in full, are tendered to or withheld by the Registrant for payment of an exercise price or for tax withholding obligations, or are forfeited to or repurchased by the Registrant due to failure to vest, those shares will become available for issuance under the 2021 Plan. The maximum aggregate total number of shares that can be added to the 2021 Plan pursuant to such assumed awards granted under the 2017 Plan is 7,500,000.</w:t>
      </w:r>
    </w:p>
    <w:p>
      <w:pPr>
        <w:ind w:left="340" w:right="420" w:hanging="332"/>
        <w:spacing w:after="0" w:line="205" w:lineRule="auto"/>
        <w:tabs>
          <w:tab w:leader="none" w:pos="328"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Pursuant to Rule 457(c) and 457(h) under the Securities Act, and solely for the purpose of calculating the registration fee, the proposed maximum offering price per share is $7.53, which is the average of the high and</w:t>
      </w:r>
    </w:p>
    <w:p>
      <w:pPr>
        <w:sectPr>
          <w:pgSz w:w="11900" w:h="16838" w:orient="portrait"/>
          <w:cols w:equalWidth="0" w:num="1">
            <w:col w:w="11240"/>
          </w:cols>
          <w:pgMar w:left="320" w:top="1440" w:right="339" w:bottom="1440" w:gutter="0" w:footer="0" w:header="0"/>
        </w:sectPr>
      </w:pPr>
    </w:p>
    <w:bookmarkStart w:id="2" w:name="page3"/>
    <w:bookmarkEnd w:id="2"/>
    <w:p>
      <w:pPr>
        <w:ind w:left="332"/>
        <w:spacing w:after="0" w:line="221" w:lineRule="auto"/>
        <w:rPr>
          <w:sz w:val="20"/>
          <w:szCs w:val="20"/>
          <w:color w:val="auto"/>
        </w:rPr>
      </w:pPr>
      <w:r>
        <w:rPr>
          <w:rFonts w:ascii="Arial" w:cs="Arial" w:eastAsia="Arial" w:hAnsi="Arial"/>
          <w:sz w:val="18"/>
          <w:szCs w:val="18"/>
          <w:color w:val="auto"/>
        </w:rPr>
        <w:t>low prices of shares of Common Stock on The Nasdaq Global Select Market (“Nasdaq”) on August 4, 2021 (such date being within five business days of the date that this Registration Statement was filed with the U.S. Securities and Exchange Commission (the “SEC”)).</w:t>
      </w:r>
    </w:p>
    <w:p>
      <w:pPr>
        <w:spacing w:after="0" w:line="1" w:lineRule="exact"/>
        <w:rPr>
          <w:sz w:val="20"/>
          <w:szCs w:val="20"/>
          <w:color w:val="auto"/>
        </w:rPr>
      </w:pPr>
    </w:p>
    <w:p>
      <w:pPr>
        <w:ind w:left="332" w:right="480" w:hanging="332"/>
        <w:spacing w:after="0" w:line="208" w:lineRule="auto"/>
        <w:tabs>
          <w:tab w:leader="none" w:pos="320" w:val="left"/>
        </w:tabs>
        <w:numPr>
          <w:ilvl w:val="0"/>
          <w:numId w:val="2"/>
        </w:numPr>
        <w:rPr>
          <w:rFonts w:ascii="Arial" w:cs="Arial" w:eastAsia="Arial" w:hAnsi="Arial"/>
          <w:sz w:val="22"/>
          <w:szCs w:val="22"/>
          <w:color w:val="auto"/>
          <w:vertAlign w:val="superscript"/>
        </w:rPr>
      </w:pPr>
      <w:r>
        <w:rPr>
          <w:rFonts w:ascii="Arial" w:cs="Arial" w:eastAsia="Arial" w:hAnsi="Arial"/>
          <w:sz w:val="17"/>
          <w:szCs w:val="17"/>
          <w:color w:val="auto"/>
        </w:rPr>
        <w:t>Estimated in accordance with Rule 457(h) solely for the purpose of calculating the registration fee on the basis of $9.97 per share, the weighted-average exercise price of stock option awards outstanding under the 2021 Plan as of the date of this Registration Statement.</w:t>
      </w:r>
    </w:p>
    <w:p>
      <w:pPr>
        <w:ind w:left="332" w:right="60" w:hanging="332"/>
        <w:spacing w:after="0" w:line="207" w:lineRule="auto"/>
        <w:tabs>
          <w:tab w:leader="none" w:pos="3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Pursuant to Rule 457(c) and 457(h) under the Securities Act, and solely for the purpose of calculating the registration fee, the proposed maximum offering price per share is $6.41, which is 85% of the average of the high and low prices of shares of Common Stock on Nasdaq on August 4, 2021 (such date being within five business days of the date that this Registration Statement was filed with the SEC). Pursuant to the 2021 ESPP, the purchase price of the shares of common stock reserved for issuance thereunder will be 85% of the lower of the fair market value of the common stock on (i) the first trading day of the offering period or (ii) the exercise date.</w:t>
      </w:r>
    </w:p>
    <w:p>
      <w:pPr>
        <w:spacing w:after="0" w:line="2" w:lineRule="exact"/>
        <w:rPr>
          <w:rFonts w:ascii="Arial" w:cs="Arial" w:eastAsia="Arial" w:hAnsi="Arial"/>
          <w:sz w:val="23"/>
          <w:szCs w:val="23"/>
          <w:color w:val="auto"/>
          <w:vertAlign w:val="superscript"/>
        </w:rPr>
      </w:pPr>
    </w:p>
    <w:p>
      <w:pPr>
        <w:ind w:left="332" w:right="480" w:hanging="332"/>
        <w:spacing w:after="0" w:line="215" w:lineRule="auto"/>
        <w:tabs>
          <w:tab w:leader="none" w:pos="320" w:val="left"/>
        </w:tabs>
        <w:numPr>
          <w:ilvl w:val="0"/>
          <w:numId w:val="2"/>
        </w:numPr>
        <w:rPr>
          <w:rFonts w:ascii="Arial" w:cs="Arial" w:eastAsia="Arial" w:hAnsi="Arial"/>
          <w:sz w:val="22"/>
          <w:szCs w:val="22"/>
          <w:color w:val="auto"/>
          <w:vertAlign w:val="superscript"/>
        </w:rPr>
      </w:pPr>
      <w:r>
        <w:rPr>
          <w:rFonts w:ascii="Arial" w:cs="Arial" w:eastAsia="Arial" w:hAnsi="Arial"/>
          <w:sz w:val="17"/>
          <w:szCs w:val="17"/>
          <w:color w:val="auto"/>
        </w:rPr>
        <w:t>Estimated in accordance with Rule 457(h) solely for the purpose of calculating the registration fee on the basis of $3.46 per share, the weighted-average exercise price of stock option awards outstanding under the 2017 Plan as of the date of this Registration Statement.</w:t>
      </w:r>
    </w:p>
    <w:p>
      <w:pPr>
        <w:sectPr>
          <w:pgSz w:w="11900" w:h="16838" w:orient="portrait"/>
          <w:cols w:equalWidth="0" w:num="1">
            <w:col w:w="11172"/>
          </w:cols>
          <w:pgMar w:left="328" w:top="1408" w:right="399" w:bottom="1440" w:gutter="0" w:footer="0" w:header="0"/>
        </w:sectPr>
      </w:pPr>
    </w:p>
    <w:bookmarkStart w:id="3" w:name="page4"/>
    <w:bookmarkEnd w:id="3"/>
    <w:p>
      <w:pPr>
        <w:spacing w:after="0" w:line="8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020"/>
          </w:cols>
          <w:pgMar w:left="320" w:top="1440" w:right="5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Nautilus Biotechnology, Inc. (the “Registrant”) hereby incorporates by reference into this registration statement (the “Registration Statement”) the following documents previously filed with the Securities and Exchange Commission (the “SEC”):</w:t>
      </w:r>
    </w:p>
    <w:p>
      <w:pPr>
        <w:spacing w:after="0" w:line="170" w:lineRule="exact"/>
        <w:rPr>
          <w:sz w:val="20"/>
          <w:szCs w:val="20"/>
          <w:color w:val="auto"/>
        </w:rPr>
      </w:pPr>
    </w:p>
    <w:p>
      <w:pPr>
        <w:ind w:left="1300" w:right="120" w:hanging="644"/>
        <w:spacing w:after="0" w:line="277" w:lineRule="auto"/>
        <w:tabs>
          <w:tab w:leader="none" w:pos="129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w:t>
      </w:r>
      <w:hyperlink r:id="rId8">
        <w:r>
          <w:rPr>
            <w:rFonts w:ascii="Arial" w:cs="Arial" w:eastAsia="Arial" w:hAnsi="Arial"/>
            <w:sz w:val="18"/>
            <w:szCs w:val="18"/>
            <w:u w:val="single" w:color="auto"/>
            <w:color w:val="0000FF"/>
          </w:rPr>
          <w:t>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fiscal year ended December 31, 2020 filed with the SEC on March 30, 2021.</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29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Form </w:t>
      </w:r>
      <w:hyperlink r:id="rId9">
        <w:r>
          <w:rPr>
            <w:rFonts w:ascii="Arial" w:cs="Arial" w:eastAsia="Arial" w:hAnsi="Arial"/>
            <w:sz w:val="18"/>
            <w:szCs w:val="18"/>
            <w:u w:val="single" w:color="auto"/>
            <w:color w:val="0000FF"/>
          </w:rPr>
          <w:t>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quarterly period ended March 31, 2021 filed with the SEC on May 13, 2021.</w:t>
      </w:r>
    </w:p>
    <w:p>
      <w:pPr>
        <w:spacing w:after="0" w:line="197" w:lineRule="exact"/>
        <w:rPr>
          <w:rFonts w:ascii="Arial" w:cs="Arial" w:eastAsia="Arial" w:hAnsi="Arial"/>
          <w:sz w:val="18"/>
          <w:szCs w:val="18"/>
          <w:color w:val="auto"/>
        </w:rPr>
      </w:pPr>
    </w:p>
    <w:p>
      <w:pPr>
        <w:ind w:left="1300" w:right="200" w:hanging="644"/>
        <w:spacing w:after="0" w:line="277" w:lineRule="auto"/>
        <w:tabs>
          <w:tab w:leader="none" w:pos="129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Form </w:t>
      </w:r>
      <w:hyperlink r:id="rId10">
        <w:r>
          <w:rPr>
            <w:rFonts w:ascii="Arial" w:cs="Arial" w:eastAsia="Arial" w:hAnsi="Arial"/>
            <w:sz w:val="18"/>
            <w:szCs w:val="18"/>
            <w:u w:val="single" w:color="auto"/>
            <w:color w:val="0000FF"/>
          </w:rPr>
          <w:t>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quarterly period ended June 30, 2021 filed with the SEC on August 10, 2021.</w:t>
      </w:r>
    </w:p>
    <w:p>
      <w:pPr>
        <w:spacing w:after="0" w:line="170" w:lineRule="exact"/>
        <w:rPr>
          <w:rFonts w:ascii="Arial" w:cs="Arial" w:eastAsia="Arial" w:hAnsi="Arial"/>
          <w:sz w:val="18"/>
          <w:szCs w:val="18"/>
          <w:color w:val="auto"/>
        </w:rPr>
      </w:pPr>
    </w:p>
    <w:p>
      <w:pPr>
        <w:ind w:left="1300" w:right="140" w:hanging="644"/>
        <w:spacing w:after="0" w:line="263" w:lineRule="auto"/>
        <w:tabs>
          <w:tab w:leader="none" w:pos="129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Final Prospectus filed with the SEC on August 6, 2021 pursuant to Rule </w:t>
      </w:r>
      <w:hyperlink r:id="rId11">
        <w:r>
          <w:rPr>
            <w:rFonts w:ascii="Arial" w:cs="Arial" w:eastAsia="Arial" w:hAnsi="Arial"/>
            <w:sz w:val="18"/>
            <w:szCs w:val="18"/>
            <w:u w:val="single" w:color="auto"/>
            <w:color w:val="0000FF"/>
          </w:rPr>
          <w:t>424(b)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the Securities Act relating to the Registration Statement on Form S-1 (File No. 333-258100), which contains the Registrant’s audited financial statements for the latest fiscal year for which such statements have been filed.</w:t>
      </w:r>
    </w:p>
    <w:p>
      <w:pPr>
        <w:spacing w:after="0" w:line="183" w:lineRule="exact"/>
        <w:rPr>
          <w:rFonts w:ascii="Arial" w:cs="Arial" w:eastAsia="Arial" w:hAnsi="Arial"/>
          <w:sz w:val="18"/>
          <w:szCs w:val="18"/>
          <w:color w:val="auto"/>
        </w:rPr>
      </w:pPr>
    </w:p>
    <w:p>
      <w:pPr>
        <w:ind w:left="1300" w:right="460" w:hanging="644"/>
        <w:spacing w:after="0" w:line="277" w:lineRule="auto"/>
        <w:tabs>
          <w:tab w:leader="none" w:pos="129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on </w:t>
      </w:r>
      <w:hyperlink r:id="rId12">
        <w:r>
          <w:rPr>
            <w:rFonts w:ascii="Arial" w:cs="Arial" w:eastAsia="Arial" w:hAnsi="Arial"/>
            <w:sz w:val="18"/>
            <w:szCs w:val="18"/>
            <w:u w:val="single" w:color="auto"/>
            <w:color w:val="0000FF"/>
          </w:rPr>
          <w:t>February 8, 2021</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FF"/>
          </w:rPr>
          <w:t>June 1, 2021</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FF"/>
          </w:rPr>
          <w:t>June 8,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5">
        <w:r>
          <w:rPr>
            <w:rFonts w:ascii="Arial" w:cs="Arial" w:eastAsia="Arial" w:hAnsi="Arial"/>
            <w:sz w:val="18"/>
            <w:szCs w:val="18"/>
            <w:u w:val="single" w:color="auto"/>
            <w:color w:val="0000FF"/>
          </w:rPr>
          <w:t>June 10,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w:t>
      </w:r>
    </w:p>
    <w:p>
      <w:pPr>
        <w:spacing w:after="0" w:line="170" w:lineRule="exact"/>
        <w:rPr>
          <w:rFonts w:ascii="Arial" w:cs="Arial" w:eastAsia="Arial" w:hAnsi="Arial"/>
          <w:sz w:val="18"/>
          <w:szCs w:val="18"/>
          <w:color w:val="auto"/>
        </w:rPr>
      </w:pPr>
    </w:p>
    <w:p>
      <w:pPr>
        <w:ind w:left="1300" w:right="100" w:hanging="644"/>
        <w:spacing w:after="0" w:line="263" w:lineRule="auto"/>
        <w:tabs>
          <w:tab w:leader="none" w:pos="129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Registrant’s Registration Statement on Form </w:t>
      </w:r>
      <w:hyperlink r:id="rId16">
        <w:r>
          <w:rPr>
            <w:rFonts w:ascii="Arial" w:cs="Arial" w:eastAsia="Arial" w:hAnsi="Arial"/>
            <w:sz w:val="18"/>
            <w:szCs w:val="18"/>
            <w:u w:val="single" w:color="auto"/>
            <w:color w:val="0000FF"/>
          </w:rPr>
          <w:t>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August 6, 2020 pursuant to Section 12(b) of the Securities and Exchange Act of 1934, as amended (the “Exchange Act”), including any amendment or report filed for the purpose of updating such description.</w:t>
      </w:r>
    </w:p>
    <w:p>
      <w:pPr>
        <w:spacing w:after="0" w:line="184" w:lineRule="exact"/>
        <w:rPr>
          <w:rFonts w:ascii="Arial" w:cs="Arial" w:eastAsia="Arial" w:hAnsi="Arial"/>
          <w:sz w:val="18"/>
          <w:szCs w:val="18"/>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rFonts w:ascii="Arial" w:cs="Arial" w:eastAsia="Arial" w:hAnsi="Arial"/>
          <w:sz w:val="18"/>
          <w:szCs w:val="18"/>
          <w:color w:val="auto"/>
        </w:rPr>
      </w:pPr>
    </w:p>
    <w:p>
      <w:pPr>
        <w:ind w:right="380" w:firstLine="648"/>
        <w:spacing w:after="0" w:line="308" w:lineRule="auto"/>
        <w:rPr>
          <w:sz w:val="20"/>
          <w:szCs w:val="20"/>
          <w:color w:val="auto"/>
        </w:rPr>
      </w:pPr>
      <w:r>
        <w:rPr>
          <w:rFonts w:ascii="Arial" w:cs="Arial" w:eastAsia="Arial" w:hAnsi="Arial"/>
          <w:sz w:val="17"/>
          <w:szCs w:val="17"/>
          <w:color w:val="auto"/>
        </w:rPr>
        <w:t>Certain members of, and investment partnerships comprised of members of, and persons associated with, Wilson Sonsini Goodrich &amp; Rosati, Professional Corporation, directly or indirectly, own less than 0.2% of the outstanding shares of the Registrant's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1417" w:right="379" w:bottom="1440" w:gutter="0" w:footer="0" w:header="0"/>
        </w:sectPr>
      </w:pPr>
    </w:p>
    <w:bookmarkStart w:id="5" w:name="page6"/>
    <w:bookmarkEnd w:id="5"/>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As permitted by Section 102 of the Delaware General Corporation Law, the Registrant’s certificate of incorporation provides that its officers and directors will be indemnified by the Registrant to the fullest extent authorized by Delaware law, as it now exists or may in the future be amended. In addition, the Registrant’s certificate of incorporation provides that its directors will not be personally liable for monetary damages to the Registrant or its stockholders for breaches of their fiduciary duty as directors, to the fullest extent permitted by Delaware law as it now exists or may in the future be amended. The Registrant’s certificate of incorporation also authorizes it to indemnify its officers, directors and other agents to the fullest extent permitted under Delaware law.</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permitted by Section 145 of the Delaware General Corporation Law, the Registrant’s bylaws provide that:</w:t>
      </w:r>
    </w:p>
    <w:p>
      <w:pPr>
        <w:spacing w:after="0" w:line="225" w:lineRule="exact"/>
        <w:rPr>
          <w:sz w:val="20"/>
          <w:szCs w:val="20"/>
          <w:color w:val="auto"/>
        </w:rPr>
      </w:pPr>
    </w:p>
    <w:p>
      <w:pPr>
        <w:ind w:left="980" w:right="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may indemnify its directors, officers and employees to the fullest extent permitted by the Delaware General Corporation Law, subject to limited exceptions;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may advance expenses to its directors, officers and employees in connection with a legal proceeding to the fullest extent permitted by the Delaware General Corporation Law, subject to limited exceptions;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provided in the Registrant’s bylaws are not exclusive.</w:t>
      </w:r>
    </w:p>
    <w:p>
      <w:pPr>
        <w:spacing w:after="0" w:line="225"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The Registrant’s certificate of incorporation and its bylaws provide for the indemnification provisions described above and elsewhere herein. The Registrant has entered into separate indemnification agreements with its directors and officers that may be broader than the specific indemnification provisions contained in the Delaware General Corporation Law. The Registrant has entered into agreements with its officers and directors to provide contractual indemnification in addition to the indemnification provided for in its certificate of incorporation. The Registrant’s bylaws also permit it to maintain insurance on behalf of any officer, director or employee for any liability arising out of his or her actions, regardless of whether Delaware law would permit such indemnification. The Registrant has obtained a policy of director’s and officer’s liability insurance that insures its officers and directors against the cost of defense, settlement or payment of a judgment in some circumstances and insures the Registrant against its obligations to indemnify its officers and directors. These indemnification provisions and the indemnification agreements may be sufficiently broad to permit indemnification of directors and officers for liabilities, including reimbursement of expenses incurred, arising under the Securities Act of 1933, as amended, or the Securities Act.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Registrant has filed the exhibits listed on the accompanying Exhibit Index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1440"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13"/>
          </w:tcPr>
          <w:p>
            <w:pPr>
              <w:ind w:left="20"/>
              <w:spacing w:after="0"/>
              <w:rPr>
                <w:sz w:val="20"/>
                <w:szCs w:val="20"/>
                <w:color w:val="auto"/>
              </w:rPr>
            </w:pPr>
            <w:r>
              <w:rPr>
                <w:rFonts w:ascii="Arial" w:cs="Arial" w:eastAsia="Arial" w:hAnsi="Arial"/>
                <w:sz w:val="18"/>
                <w:szCs w:val="18"/>
                <w:b w:val="1"/>
                <w:bCs w:val="1"/>
                <w:color w:val="auto"/>
              </w:rPr>
              <w:t>EXHIBIT INDEX</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5"/>
          </w:tcPr>
          <w:p>
            <w:pPr>
              <w:ind w:left="720"/>
              <w:spacing w:after="0"/>
              <w:rPr>
                <w:sz w:val="20"/>
                <w:szCs w:val="20"/>
                <w:color w:val="auto"/>
              </w:rPr>
            </w:pPr>
            <w:r>
              <w:rPr>
                <w:rFonts w:ascii="Arial" w:cs="Arial" w:eastAsia="Arial" w:hAnsi="Arial"/>
                <w:sz w:val="18"/>
                <w:szCs w:val="18"/>
                <w:b w:val="1"/>
                <w:bCs w:val="1"/>
                <w:color w:val="auto"/>
                <w:w w:val="92"/>
              </w:rPr>
              <w:t>Incorporated by Reference</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580" w:type="dxa"/>
            <w:vAlign w:val="bottom"/>
            <w:gridSpan w:val="19"/>
            <w:vMerge w:val="restart"/>
          </w:tcPr>
          <w:p>
            <w:pPr>
              <w:ind w:left="280"/>
              <w:spacing w:after="0"/>
              <w:rPr>
                <w:sz w:val="20"/>
                <w:szCs w:val="20"/>
                <w:color w:val="auto"/>
              </w:rPr>
            </w:pPr>
            <w:r>
              <w:rPr>
                <w:rFonts w:ascii="Arial" w:cs="Arial" w:eastAsia="Arial" w:hAnsi="Arial"/>
                <w:sz w:val="18"/>
                <w:szCs w:val="18"/>
                <w:b w:val="1"/>
                <w:bCs w:val="1"/>
                <w:color w:val="auto"/>
              </w:rPr>
              <w:t>Exhibit Description</w:t>
            </w:r>
          </w:p>
        </w:tc>
        <w:tc>
          <w:tcPr>
            <w:tcW w:w="820" w:type="dxa"/>
            <w:vAlign w:val="bottom"/>
            <w:tcBorders>
              <w:bottom w:val="single" w:sz="8" w:color="auto"/>
            </w:tcBorders>
            <w:gridSpan w:val="2"/>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580" w:type="dxa"/>
            <w:vAlign w:val="bottom"/>
            <w:gridSpan w:val="19"/>
            <w:vMerge w:val="continue"/>
          </w:tcPr>
          <w:p>
            <w:pPr>
              <w:spacing w:after="0"/>
              <w:rPr>
                <w:sz w:val="20"/>
                <w:szCs w:val="20"/>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Form</w:t>
            </w:r>
          </w:p>
        </w:tc>
        <w:tc>
          <w:tcPr>
            <w:tcW w:w="1520" w:type="dxa"/>
            <w:vAlign w:val="bottom"/>
            <w:gridSpan w:val="2"/>
          </w:tcPr>
          <w:p>
            <w:pPr>
              <w:ind w:left="420"/>
              <w:spacing w:after="0"/>
              <w:rPr>
                <w:sz w:val="20"/>
                <w:szCs w:val="20"/>
                <w:color w:val="auto"/>
              </w:rPr>
            </w:pPr>
            <w:r>
              <w:rPr>
                <w:rFonts w:ascii="Arial" w:cs="Arial" w:eastAsia="Arial" w:hAnsi="Arial"/>
                <w:sz w:val="18"/>
                <w:szCs w:val="18"/>
                <w:b w:val="1"/>
                <w:bCs w:val="1"/>
                <w:color w:val="auto"/>
              </w:rPr>
              <w:t>File No.</w:t>
            </w:r>
          </w:p>
        </w:tc>
        <w:tc>
          <w:tcPr>
            <w:tcW w:w="132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0"/>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Certificate of Incorporation of Nautilus Biotechnology, Inc.</w:t>
              </w:r>
            </w:hyperlink>
          </w:p>
        </w:tc>
        <w:tc>
          <w:tcPr>
            <w:tcW w:w="82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001-39434</w:t>
            </w:r>
          </w:p>
        </w:tc>
        <w:tc>
          <w:tcPr>
            <w:tcW w:w="10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87"/>
              </w:rPr>
              <w:t>June 10, 2021</w:t>
            </w:r>
          </w:p>
        </w:tc>
        <w:tc>
          <w:tcPr>
            <w:tcW w:w="0" w:type="dxa"/>
            <w:vAlign w:val="bottom"/>
          </w:tcPr>
          <w:p>
            <w:pPr>
              <w:spacing w:after="0"/>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top w:val="single" w:sz="8" w:color="0000FF"/>
            </w:tcBorders>
            <w:gridSpan w:val="12"/>
          </w:tcPr>
          <w:p>
            <w:pPr>
              <w:spacing w:after="0"/>
              <w:rPr>
                <w:rFonts w:ascii="Arial" w:cs="Arial" w:eastAsia="Arial" w:hAnsi="Arial"/>
                <w:sz w:val="18"/>
                <w:szCs w:val="18"/>
                <w:color w:val="0000FF"/>
              </w:rPr>
            </w:pPr>
            <w:hyperlink r:id="rId18">
              <w:r>
                <w:rPr>
                  <w:rFonts w:ascii="Arial" w:cs="Arial" w:eastAsia="Arial" w:hAnsi="Arial"/>
                  <w:sz w:val="18"/>
                  <w:szCs w:val="18"/>
                  <w:color w:val="0000FF"/>
                </w:rPr>
                <w:t>Bylaws of Nautilus Biotechnology, Inc.</w:t>
              </w:r>
            </w:hyperlink>
          </w:p>
        </w:tc>
        <w:tc>
          <w:tcPr>
            <w:tcW w:w="700" w:type="dxa"/>
            <w:vAlign w:val="bottom"/>
            <w:gridSpan w:val="8"/>
          </w:tcPr>
          <w:p>
            <w:pPr>
              <w:spacing w:after="0"/>
              <w:rPr>
                <w:sz w:val="24"/>
                <w:szCs w:val="2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7"/>
              </w:rPr>
              <w:t>June 10, 2021</w:t>
            </w:r>
          </w:p>
        </w:tc>
        <w:tc>
          <w:tcPr>
            <w:tcW w:w="0" w:type="dxa"/>
            <w:vAlign w:val="bottom"/>
          </w:tcPr>
          <w:p>
            <w:pPr>
              <w:spacing w:after="0"/>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top w:val="single" w:sz="8" w:color="0000FF"/>
            </w:tcBorders>
            <w:gridSpan w:val="6"/>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Specimen Common Stock Certificate.</w:t>
              </w:r>
            </w:hyperlink>
          </w:p>
        </w:tc>
        <w:tc>
          <w:tcPr>
            <w:tcW w:w="2140" w:type="dxa"/>
            <w:vAlign w:val="bottom"/>
            <w:gridSpan w:val="14"/>
          </w:tcPr>
          <w:p>
            <w:pPr>
              <w:spacing w:after="0"/>
              <w:rPr>
                <w:sz w:val="24"/>
                <w:szCs w:val="2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7"/>
              </w:rPr>
              <w:t>June 10, 2021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10"/>
          </w:tcPr>
          <w:p>
            <w:pPr>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Nautilus Biotechnology, Inc. 2021 Equity Incentive Plan.</w:t>
              </w:r>
            </w:hyperlink>
          </w:p>
        </w:tc>
        <w:tc>
          <w:tcPr>
            <w:tcW w:w="860" w:type="dxa"/>
            <w:vAlign w:val="bottom"/>
            <w:gridSpan w:val="10"/>
          </w:tcPr>
          <w:p>
            <w:pPr>
              <w:spacing w:after="0"/>
              <w:rPr>
                <w:sz w:val="24"/>
                <w:szCs w:val="2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7"/>
              </w:rPr>
              <w:t>June 10, 2021</w:t>
            </w:r>
          </w:p>
        </w:tc>
        <w:tc>
          <w:tcPr>
            <w:tcW w:w="0" w:type="dxa"/>
            <w:vAlign w:val="bottom"/>
          </w:tcPr>
          <w:p>
            <w:pPr>
              <w:spacing w:after="0"/>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bottom w:val="single" w:sz="8" w:color="0000FF"/>
            </w:tcBorders>
            <w:gridSpan w:val="9"/>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Form of Stock Option Agreement under the Nautilus</w:t>
              </w:r>
            </w:hyperlink>
          </w:p>
        </w:tc>
        <w:tc>
          <w:tcPr>
            <w:tcW w:w="1180" w:type="dxa"/>
            <w:vAlign w:val="bottom"/>
            <w:gridSpan w:val="11"/>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S-4</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333-254796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0"/>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Biotechnology, Inc. 2021 Equity Incentive Plan.</w:t>
              </w:r>
            </w:hyperlink>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bottom w:val="single" w:sz="8" w:color="0000FF"/>
            </w:tcBorders>
            <w:gridSpan w:val="14"/>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Form of Restricted Stock Unit Agreement under the Nautilus</w:t>
              </w:r>
            </w:hyperlink>
          </w:p>
        </w:tc>
        <w:tc>
          <w:tcPr>
            <w:tcW w:w="580" w:type="dxa"/>
            <w:vAlign w:val="bottom"/>
            <w:gridSpan w:val="6"/>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S-4</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333-254796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0"/>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Biotechnology, Inc. 2021 Equity Incentive Plan.</w:t>
              </w:r>
            </w:hyperlink>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20"/>
          </w:tcPr>
          <w:p>
            <w:pPr>
              <w:spacing w:after="0"/>
              <w:rPr>
                <w:rFonts w:ascii="Arial" w:cs="Arial" w:eastAsia="Arial" w:hAnsi="Arial"/>
                <w:sz w:val="18"/>
                <w:szCs w:val="18"/>
                <w:color w:val="0000FF"/>
                <w:w w:val="99"/>
              </w:rPr>
            </w:pPr>
            <w:hyperlink r:id="rId23">
              <w:r>
                <w:rPr>
                  <w:rFonts w:ascii="Arial" w:cs="Arial" w:eastAsia="Arial" w:hAnsi="Arial"/>
                  <w:sz w:val="18"/>
                  <w:szCs w:val="18"/>
                  <w:color w:val="0000FF"/>
                  <w:w w:val="99"/>
                </w:rPr>
                <w:t>Form of Restricted Stock Award Agreement under the Nautilus</w:t>
              </w:r>
            </w:hyperlink>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S-4</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333-254796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Biotechnology, Inc. 2021 Equity Incentive Plan.</w:t>
              </w:r>
            </w:hyperlink>
          </w:p>
        </w:tc>
        <w:tc>
          <w:tcPr>
            <w:tcW w:w="44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20"/>
          </w:tcPr>
          <w:p>
            <w:pPr>
              <w:spacing w:after="0"/>
              <w:rPr>
                <w:rFonts w:ascii="Arial" w:cs="Arial" w:eastAsia="Arial" w:hAnsi="Arial"/>
                <w:sz w:val="18"/>
                <w:szCs w:val="18"/>
                <w:color w:val="0000FF"/>
                <w:w w:val="93"/>
              </w:rPr>
            </w:pPr>
            <w:hyperlink r:id="rId24">
              <w:r>
                <w:rPr>
                  <w:rFonts w:ascii="Arial" w:cs="Arial" w:eastAsia="Arial" w:hAnsi="Arial"/>
                  <w:sz w:val="18"/>
                  <w:szCs w:val="18"/>
                  <w:color w:val="0000FF"/>
                  <w:w w:val="93"/>
                </w:rPr>
                <w:t>Nautilus Biotechnology, Inc. 2021 Employee Stock Purchase Plan.</w:t>
              </w:r>
            </w:hyperlink>
          </w:p>
        </w:tc>
        <w:tc>
          <w:tcPr>
            <w:tcW w:w="8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001-39434</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7"/>
              </w:rPr>
              <w:t>June 10, 2021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5"/>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20"/>
          </w:tcPr>
          <w:p>
            <w:pPr>
              <w:spacing w:after="0"/>
              <w:rPr>
                <w:rFonts w:ascii="Arial" w:cs="Arial" w:eastAsia="Arial" w:hAnsi="Arial"/>
                <w:sz w:val="18"/>
                <w:szCs w:val="18"/>
                <w:color w:val="0000FF"/>
                <w:w w:val="94"/>
              </w:rPr>
            </w:pPr>
            <w:hyperlink r:id="rId25">
              <w:r>
                <w:rPr>
                  <w:rFonts w:ascii="Arial" w:cs="Arial" w:eastAsia="Arial" w:hAnsi="Arial"/>
                  <w:sz w:val="18"/>
                  <w:szCs w:val="18"/>
                  <w:color w:val="0000FF"/>
                  <w:w w:val="94"/>
                </w:rPr>
                <w:t>Nautilus Biotechnology, Inc. 2017 Equity Incentive Plan and forms</w:t>
              </w:r>
            </w:hyperlink>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S-4</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333-254796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of agreements thereunder</w:t>
              </w:r>
            </w:hyperlink>
          </w:p>
        </w:tc>
        <w:tc>
          <w:tcPr>
            <w:tcW w:w="1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10">
              <w:r>
                <w:rPr>
                  <w:rFonts w:ascii="Arial" w:cs="Arial" w:eastAsia="Arial" w:hAnsi="Arial"/>
                  <w:sz w:val="18"/>
                  <w:szCs w:val="18"/>
                  <w:color w:val="0000FF"/>
                  <w:w w:val="92"/>
                </w:rPr>
                <w:t>Opinion of Wilson Sonsini Goodrich &amp; Rosati, P.C.</w:t>
              </w:r>
            </w:hyperlink>
          </w:p>
        </w:tc>
        <w:tc>
          <w:tcPr>
            <w:tcW w:w="1260" w:type="dxa"/>
            <w:vAlign w:val="bottom"/>
            <w:gridSpan w:val="12"/>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11">
              <w:r>
                <w:rPr>
                  <w:rFonts w:ascii="Arial" w:cs="Arial" w:eastAsia="Arial" w:hAnsi="Arial"/>
                  <w:sz w:val="18"/>
                  <w:szCs w:val="18"/>
                  <w:color w:val="0000FF"/>
                  <w:w w:val="90"/>
                </w:rPr>
                <w:t>Consent of Independent Registered Public Accounting Firm,</w:t>
              </w:r>
            </w:hyperlink>
          </w:p>
        </w:tc>
        <w:tc>
          <w:tcPr>
            <w:tcW w:w="62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w:anchor="page11">
              <w:r>
                <w:rPr>
                  <w:rFonts w:ascii="Arial" w:cs="Arial" w:eastAsia="Arial" w:hAnsi="Arial"/>
                  <w:sz w:val="18"/>
                  <w:szCs w:val="18"/>
                  <w:color w:val="0000FF"/>
                  <w:w w:val="88"/>
                </w:rPr>
                <w:t>PricewaterhouseCoopers LLP.</w:t>
              </w:r>
            </w:hyperlink>
          </w:p>
        </w:tc>
        <w:tc>
          <w:tcPr>
            <w:tcW w:w="280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20"/>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Consent of WithumSmith+Brown, PC.</w:t>
              </w:r>
            </w:hyperlink>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20"/>
          </w:tcPr>
          <w:p>
            <w:pPr>
              <w:spacing w:after="0"/>
              <w:rPr>
                <w:rFonts w:ascii="Arial" w:cs="Arial" w:eastAsia="Arial" w:hAnsi="Arial"/>
                <w:sz w:val="18"/>
                <w:szCs w:val="18"/>
                <w:color w:val="0000FF"/>
                <w:w w:val="98"/>
              </w:rPr>
            </w:pPr>
            <w:hyperlink w:anchor="page10">
              <w:r>
                <w:rPr>
                  <w:rFonts w:ascii="Arial" w:cs="Arial" w:eastAsia="Arial" w:hAnsi="Arial"/>
                  <w:sz w:val="18"/>
                  <w:szCs w:val="18"/>
                  <w:color w:val="0000FF"/>
                  <w:w w:val="98"/>
                </w:rPr>
                <w:t>Consent of Wilson Sonsini Goodrich &amp; Rosati, P.C. (included in</w:t>
              </w:r>
            </w:hyperlink>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10">
              <w:r>
                <w:rPr>
                  <w:rFonts w:ascii="Arial" w:cs="Arial" w:eastAsia="Arial" w:hAnsi="Arial"/>
                  <w:sz w:val="18"/>
                  <w:szCs w:val="18"/>
                  <w:color w:val="0000FF"/>
                  <w:w w:val="91"/>
                </w:rPr>
                <w:t>Exhibit 5.1 hereto).</w:t>
              </w:r>
            </w:hyperlink>
          </w:p>
        </w:tc>
        <w:tc>
          <w:tcPr>
            <w:tcW w:w="3220" w:type="dxa"/>
            <w:vAlign w:val="bottom"/>
            <w:tcBorders>
              <w:top w:val="single" w:sz="8" w:color="0000FF"/>
            </w:tcBorders>
            <w:gridSpan w:val="15"/>
          </w:tcPr>
          <w:p>
            <w:pPr>
              <w:spacing w:after="0"/>
              <w:rPr>
                <w:sz w:val="17"/>
                <w:szCs w:val="17"/>
                <w:color w:val="auto"/>
              </w:rPr>
            </w:pPr>
          </w:p>
        </w:tc>
        <w:tc>
          <w:tcPr>
            <w:tcW w:w="36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Power of Attorney (included on the signature page hereto).</w:t>
              </w:r>
            </w:hyperlink>
          </w:p>
        </w:tc>
        <w:tc>
          <w:tcPr>
            <w:tcW w:w="74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60" w:firstLine="656"/>
        <w:spacing w:after="0" w:line="257" w:lineRule="auto"/>
        <w:tabs>
          <w:tab w:leader="none" w:pos="9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17" w:right="359" w:bottom="1440" w:gutter="0" w:footer="0" w:header="0"/>
        </w:sectPr>
      </w:pPr>
    </w:p>
    <w:bookmarkStart w:id="7" w:name="page8"/>
    <w:bookmarkEnd w:id="7"/>
    <w:p>
      <w:pPr>
        <w:ind w:right="480"/>
        <w:spacing w:after="0" w:line="277" w:lineRule="auto"/>
        <w:rPr>
          <w:sz w:val="20"/>
          <w:szCs w:val="20"/>
          <w:color w:val="auto"/>
        </w:rPr>
      </w:pPr>
      <w:r>
        <w:rPr>
          <w:rFonts w:ascii="Arial" w:cs="Arial" w:eastAsia="Arial" w:hAnsi="Arial"/>
          <w:sz w:val="18"/>
          <w:szCs w:val="18"/>
          <w:color w:val="auto"/>
        </w:rPr>
        <w:t>the changes in volume and price represent no more than a 20 percent change in the maximum aggregate offering price set forth in the “Calculation of Registration Fee” table in the effective Registration Statement; and</w:t>
      </w:r>
    </w:p>
    <w:p>
      <w:pPr>
        <w:spacing w:after="0" w:line="170" w:lineRule="exact"/>
        <w:rPr>
          <w:sz w:val="20"/>
          <w:szCs w:val="20"/>
          <w:color w:val="auto"/>
        </w:rPr>
      </w:pPr>
    </w:p>
    <w:p>
      <w:pPr>
        <w:ind w:right="420" w:firstLine="656"/>
        <w:spacing w:after="0" w:line="277" w:lineRule="auto"/>
        <w:tabs>
          <w:tab w:leader="none" w:pos="9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84" w:lineRule="exact"/>
        <w:rPr>
          <w:sz w:val="20"/>
          <w:szCs w:val="20"/>
          <w:color w:val="auto"/>
        </w:rPr>
      </w:pPr>
    </w:p>
    <w:p>
      <w:pPr>
        <w:ind w:right="220" w:firstLine="656"/>
        <w:spacing w:after="0" w:line="263" w:lineRule="auto"/>
        <w:tabs>
          <w:tab w:leader="none" w:pos="9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640" w:firstLine="656"/>
        <w:spacing w:after="0" w:line="277" w:lineRule="auto"/>
        <w:tabs>
          <w:tab w:leader="none" w:pos="9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1421" w:right="359" w:bottom="1440" w:gutter="0" w:footer="0" w:header="0"/>
        </w:sectPr>
      </w:pPr>
    </w:p>
    <w:bookmarkStart w:id="8" w:name="page9"/>
    <w:bookmarkEnd w:id="8"/>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tenth day of August, 2021.</w:t>
      </w:r>
    </w:p>
    <w:p>
      <w:pPr>
        <w:spacing w:after="0" w:line="234"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NAUTILUS BIOTECHNOLOGY, INC.</w:t>
      </w:r>
    </w:p>
    <w:p>
      <w:pPr>
        <w:spacing w:after="0" w:line="67" w:lineRule="exact"/>
        <w:rPr>
          <w:sz w:val="20"/>
          <w:szCs w:val="20"/>
          <w:color w:val="auto"/>
        </w:rPr>
      </w:pPr>
    </w:p>
    <w:p>
      <w:pPr>
        <w:ind w:left="6720"/>
        <w:spacing w:after="0"/>
        <w:tabs>
          <w:tab w:leader="none" w:pos="7180" w:val="left"/>
        </w:tabs>
        <w:rPr>
          <w:sz w:val="20"/>
          <w:szCs w:val="20"/>
          <w:color w:val="auto"/>
        </w:rPr>
      </w:pPr>
      <w:r>
        <w:rPr>
          <w:rFonts w:ascii="Arial" w:cs="Arial" w:eastAsia="Arial" w:hAnsi="Arial"/>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31750</wp:posOffset>
            </wp:positionV>
            <wp:extent cx="2571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Sujal Patel</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Sujal Patel and Anna Mowry, and each of them, as his or her true and lawful attorney-in-fact and agent with full power of substitution and resubstitution, for such person in any and all capacities, to sign any and all amendments to this Registration Statement (including post-effective amendments) on Form S-8,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such person might or could do in person, hereby ratifying and confirming all that any said attorney-in-fact, proxy and agent, or any substitute of any of them, may lawfully do or cause to be done by virtue hereof.</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5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Title</w:t>
            </w:r>
          </w:p>
        </w:tc>
        <w:tc>
          <w:tcPr>
            <w:tcW w:w="2040" w:type="dxa"/>
            <w:vAlign w:val="bottom"/>
          </w:tcPr>
          <w:p>
            <w:pPr>
              <w:ind w:left="86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Sujal Patel</w:t>
            </w:r>
          </w:p>
        </w:tc>
        <w:tc>
          <w:tcPr>
            <w:tcW w:w="100" w:type="dxa"/>
            <w:vAlign w:val="bottom"/>
          </w:tcPr>
          <w:p>
            <w:pPr>
              <w:spacing w:after="0"/>
              <w:rPr>
                <w:sz w:val="24"/>
                <w:szCs w:val="24"/>
                <w:color w:val="auto"/>
              </w:rPr>
            </w:pPr>
          </w:p>
        </w:tc>
        <w:tc>
          <w:tcPr>
            <w:tcW w:w="53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Chief Executive Officer, President and Director</w:t>
            </w: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August 10, 2021</w:t>
            </w:r>
          </w:p>
        </w:tc>
        <w:tc>
          <w:tcPr>
            <w:tcW w:w="0" w:type="dxa"/>
            <w:vAlign w:val="bottom"/>
          </w:tcPr>
          <w:p>
            <w:pPr>
              <w:spacing w:after="0"/>
              <w:rPr>
                <w:sz w:val="1"/>
                <w:szCs w:val="1"/>
                <w:color w:val="auto"/>
              </w:rPr>
            </w:pPr>
          </w:p>
        </w:tc>
      </w:tr>
      <w:tr>
        <w:trPr>
          <w:trHeight w:val="88"/>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Sujal Patel</w:t>
            </w:r>
          </w:p>
        </w:tc>
        <w:tc>
          <w:tcPr>
            <w:tcW w:w="100" w:type="dxa"/>
            <w:vAlign w:val="bottom"/>
          </w:tcPr>
          <w:p>
            <w:pPr>
              <w:spacing w:after="0"/>
              <w:rPr>
                <w:sz w:val="7"/>
                <w:szCs w:val="7"/>
                <w:color w:val="auto"/>
              </w:rPr>
            </w:pPr>
          </w:p>
        </w:tc>
        <w:tc>
          <w:tcPr>
            <w:tcW w:w="53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(Principal Executive Officer)</w:t>
            </w: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Anna Mowry</w:t>
            </w:r>
          </w:p>
        </w:tc>
        <w:tc>
          <w:tcPr>
            <w:tcW w:w="100" w:type="dxa"/>
            <w:vAlign w:val="bottom"/>
          </w:tcPr>
          <w:p>
            <w:pPr>
              <w:spacing w:after="0"/>
              <w:rPr>
                <w:sz w:val="24"/>
                <w:szCs w:val="24"/>
                <w:color w:val="auto"/>
              </w:rPr>
            </w:pPr>
          </w:p>
        </w:tc>
        <w:tc>
          <w:tcPr>
            <w:tcW w:w="53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Chief Financial Officer</w:t>
            </w: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August 10, 2021</w:t>
            </w:r>
          </w:p>
        </w:tc>
        <w:tc>
          <w:tcPr>
            <w:tcW w:w="0" w:type="dxa"/>
            <w:vAlign w:val="bottom"/>
          </w:tcPr>
          <w:p>
            <w:pPr>
              <w:spacing w:after="0"/>
              <w:rPr>
                <w:sz w:val="1"/>
                <w:szCs w:val="1"/>
                <w:color w:val="auto"/>
              </w:rPr>
            </w:pPr>
          </w:p>
        </w:tc>
      </w:tr>
      <w:tr>
        <w:trPr>
          <w:trHeight w:val="88"/>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Anna Mowry</w:t>
            </w:r>
          </w:p>
        </w:tc>
        <w:tc>
          <w:tcPr>
            <w:tcW w:w="100" w:type="dxa"/>
            <w:vAlign w:val="bottom"/>
          </w:tcPr>
          <w:p>
            <w:pPr>
              <w:spacing w:after="0"/>
              <w:rPr>
                <w:sz w:val="7"/>
                <w:szCs w:val="7"/>
                <w:color w:val="auto"/>
              </w:rPr>
            </w:pPr>
          </w:p>
        </w:tc>
        <w:tc>
          <w:tcPr>
            <w:tcW w:w="53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(Principal Financial and Accounting Officer)</w:t>
            </w: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7"/>
                <w:szCs w:val="17"/>
                <w:color w:val="auto"/>
              </w:rPr>
              <w:t>Matthew L. Posard</w:t>
            </w:r>
          </w:p>
        </w:tc>
        <w:tc>
          <w:tcPr>
            <w:tcW w:w="100" w:type="dxa"/>
            <w:vAlign w:val="bottom"/>
          </w:tcPr>
          <w:p>
            <w:pPr>
              <w:spacing w:after="0"/>
              <w:rPr>
                <w:sz w:val="24"/>
                <w:szCs w:val="24"/>
                <w:color w:val="auto"/>
              </w:rPr>
            </w:pPr>
          </w:p>
        </w:tc>
        <w:tc>
          <w:tcPr>
            <w:tcW w:w="53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2"/>
              </w:rPr>
              <w:t>Chair of the Board of Directors</w:t>
            </w: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August 10, 2021</w:t>
            </w:r>
          </w:p>
        </w:tc>
        <w:tc>
          <w:tcPr>
            <w:tcW w:w="0" w:type="dxa"/>
            <w:vAlign w:val="bottom"/>
          </w:tcPr>
          <w:p>
            <w:pPr>
              <w:spacing w:after="0"/>
              <w:rPr>
                <w:sz w:val="1"/>
                <w:szCs w:val="1"/>
                <w:color w:val="auto"/>
              </w:rPr>
            </w:pPr>
          </w:p>
        </w:tc>
      </w:tr>
      <w:tr>
        <w:trPr>
          <w:trHeight w:val="81"/>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Matthew L. Posard</w:t>
            </w:r>
          </w:p>
        </w:tc>
        <w:tc>
          <w:tcPr>
            <w:tcW w:w="10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3780" w:type="dxa"/>
            <w:vAlign w:val="bottom"/>
          </w:tcPr>
          <w:p>
            <w:pPr>
              <w:ind w:left="40"/>
              <w:spacing w:after="0"/>
              <w:rPr>
                <w:sz w:val="20"/>
                <w:szCs w:val="20"/>
                <w:color w:val="auto"/>
              </w:rPr>
            </w:pPr>
            <w:r>
              <w:rPr>
                <w:rFonts w:ascii="Arial" w:cs="Arial" w:eastAsia="Arial" w:hAnsi="Arial"/>
                <w:sz w:val="18"/>
                <w:szCs w:val="18"/>
                <w:color w:val="auto"/>
              </w:rPr>
              <w:t>/s/ Michael Altman</w:t>
            </w:r>
          </w:p>
        </w:tc>
        <w:tc>
          <w:tcPr>
            <w:tcW w:w="100" w:type="dxa"/>
            <w:vAlign w:val="bottom"/>
          </w:tcPr>
          <w:p>
            <w:pPr>
              <w:spacing w:after="0"/>
              <w:rPr>
                <w:sz w:val="24"/>
                <w:szCs w:val="24"/>
                <w:color w:val="auto"/>
              </w:rPr>
            </w:pPr>
          </w:p>
        </w:tc>
        <w:tc>
          <w:tcPr>
            <w:tcW w:w="5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5"/>
              </w:rPr>
              <w:t>Director</w:t>
            </w: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August 10, 2021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300" w:type="dxa"/>
            <w:vAlign w:val="bottom"/>
            <w:gridSpan w:val="2"/>
            <w:vMerge w:val="continue"/>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Michael Altman</w:t>
            </w:r>
          </w:p>
        </w:tc>
        <w:tc>
          <w:tcPr>
            <w:tcW w:w="100" w:type="dxa"/>
            <w:vAlign w:val="bottom"/>
            <w:vMerge w:val="continue"/>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40"/>
              <w:spacing w:after="0"/>
              <w:rPr>
                <w:sz w:val="20"/>
                <w:szCs w:val="20"/>
                <w:color w:val="auto"/>
              </w:rPr>
            </w:pPr>
            <w:r>
              <w:rPr>
                <w:rFonts w:ascii="Arial" w:cs="Arial" w:eastAsia="Arial" w:hAnsi="Arial"/>
                <w:sz w:val="18"/>
                <w:szCs w:val="18"/>
                <w:color w:val="auto"/>
              </w:rPr>
              <w:t>/s/ Melissa Epperly</w:t>
            </w:r>
          </w:p>
        </w:tc>
        <w:tc>
          <w:tcPr>
            <w:tcW w:w="100" w:type="dxa"/>
            <w:vAlign w:val="bottom"/>
          </w:tcPr>
          <w:p>
            <w:pPr>
              <w:spacing w:after="0"/>
              <w:rPr>
                <w:sz w:val="24"/>
                <w:szCs w:val="24"/>
                <w:color w:val="auto"/>
              </w:rPr>
            </w:pPr>
          </w:p>
        </w:tc>
        <w:tc>
          <w:tcPr>
            <w:tcW w:w="5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5"/>
              </w:rPr>
              <w:t>Director</w:t>
            </w: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August 10, 2021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300" w:type="dxa"/>
            <w:vAlign w:val="bottom"/>
            <w:gridSpan w:val="2"/>
            <w:vMerge w:val="continue"/>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Melissa Epperly</w:t>
            </w:r>
          </w:p>
        </w:tc>
        <w:tc>
          <w:tcPr>
            <w:tcW w:w="100" w:type="dxa"/>
            <w:vAlign w:val="bottom"/>
            <w:vMerge w:val="continue"/>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40"/>
              <w:spacing w:after="0"/>
              <w:rPr>
                <w:sz w:val="20"/>
                <w:szCs w:val="20"/>
                <w:color w:val="auto"/>
              </w:rPr>
            </w:pPr>
            <w:r>
              <w:rPr>
                <w:rFonts w:ascii="Arial" w:cs="Arial" w:eastAsia="Arial" w:hAnsi="Arial"/>
                <w:sz w:val="18"/>
                <w:szCs w:val="18"/>
                <w:color w:val="auto"/>
              </w:rPr>
              <w:t>/s/ Parag Mallick</w:t>
            </w:r>
          </w:p>
        </w:tc>
        <w:tc>
          <w:tcPr>
            <w:tcW w:w="100" w:type="dxa"/>
            <w:vAlign w:val="bottom"/>
          </w:tcPr>
          <w:p>
            <w:pPr>
              <w:spacing w:after="0"/>
              <w:rPr>
                <w:sz w:val="24"/>
                <w:szCs w:val="24"/>
                <w:color w:val="auto"/>
              </w:rPr>
            </w:pPr>
          </w:p>
        </w:tc>
        <w:tc>
          <w:tcPr>
            <w:tcW w:w="5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5"/>
              </w:rPr>
              <w:t>Director</w:t>
            </w: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August 10, 2021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300" w:type="dxa"/>
            <w:vAlign w:val="bottom"/>
            <w:gridSpan w:val="2"/>
            <w:vMerge w:val="continue"/>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Parag Mallick</w:t>
            </w:r>
          </w:p>
        </w:tc>
        <w:tc>
          <w:tcPr>
            <w:tcW w:w="100" w:type="dxa"/>
            <w:vAlign w:val="bottom"/>
            <w:vMerge w:val="continue"/>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40"/>
              <w:spacing w:after="0"/>
              <w:rPr>
                <w:sz w:val="20"/>
                <w:szCs w:val="20"/>
                <w:color w:val="auto"/>
              </w:rPr>
            </w:pPr>
            <w:r>
              <w:rPr>
                <w:rFonts w:ascii="Arial" w:cs="Arial" w:eastAsia="Arial" w:hAnsi="Arial"/>
                <w:sz w:val="18"/>
                <w:szCs w:val="18"/>
                <w:color w:val="auto"/>
              </w:rPr>
              <w:t>/s/ Matthew McIlwain</w:t>
            </w:r>
          </w:p>
        </w:tc>
        <w:tc>
          <w:tcPr>
            <w:tcW w:w="100" w:type="dxa"/>
            <w:vAlign w:val="bottom"/>
          </w:tcPr>
          <w:p>
            <w:pPr>
              <w:spacing w:after="0"/>
              <w:rPr>
                <w:sz w:val="24"/>
                <w:szCs w:val="24"/>
                <w:color w:val="auto"/>
              </w:rPr>
            </w:pPr>
          </w:p>
        </w:tc>
        <w:tc>
          <w:tcPr>
            <w:tcW w:w="5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5"/>
              </w:rPr>
              <w:t>Director</w:t>
            </w: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August 10, 2021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300" w:type="dxa"/>
            <w:vAlign w:val="bottom"/>
            <w:gridSpan w:val="2"/>
            <w:vMerge w:val="continue"/>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Matthew McIlwain</w:t>
            </w:r>
          </w:p>
        </w:tc>
        <w:tc>
          <w:tcPr>
            <w:tcW w:w="100" w:type="dxa"/>
            <w:vAlign w:val="bottom"/>
            <w:vMerge w:val="continue"/>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40"/>
              <w:spacing w:after="0"/>
              <w:rPr>
                <w:sz w:val="20"/>
                <w:szCs w:val="20"/>
                <w:color w:val="auto"/>
              </w:rPr>
            </w:pPr>
            <w:r>
              <w:rPr>
                <w:rFonts w:ascii="Arial" w:cs="Arial" w:eastAsia="Arial" w:hAnsi="Arial"/>
                <w:sz w:val="18"/>
                <w:szCs w:val="18"/>
                <w:color w:val="auto"/>
              </w:rPr>
              <w:t>/s/ Farzad Nazem</w:t>
            </w:r>
          </w:p>
        </w:tc>
        <w:tc>
          <w:tcPr>
            <w:tcW w:w="100" w:type="dxa"/>
            <w:vAlign w:val="bottom"/>
          </w:tcPr>
          <w:p>
            <w:pPr>
              <w:spacing w:after="0"/>
              <w:rPr>
                <w:sz w:val="24"/>
                <w:szCs w:val="24"/>
                <w:color w:val="auto"/>
              </w:rPr>
            </w:pPr>
          </w:p>
        </w:tc>
        <w:tc>
          <w:tcPr>
            <w:tcW w:w="5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5"/>
              </w:rPr>
              <w:t>Director</w:t>
            </w: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August 10, 2021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300" w:type="dxa"/>
            <w:vAlign w:val="bottom"/>
            <w:gridSpan w:val="2"/>
            <w:vMerge w:val="continue"/>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780" w:type="dxa"/>
            <w:vAlign w:val="bottom"/>
            <w:vMerge w:val="restart"/>
          </w:tcPr>
          <w:p>
            <w:pPr>
              <w:ind w:left="80"/>
              <w:spacing w:after="0"/>
              <w:rPr>
                <w:sz w:val="20"/>
                <w:szCs w:val="20"/>
                <w:color w:val="auto"/>
              </w:rPr>
            </w:pPr>
            <w:r>
              <w:rPr>
                <w:rFonts w:ascii="Arial" w:cs="Arial" w:eastAsia="Arial" w:hAnsi="Arial"/>
                <w:sz w:val="18"/>
                <w:szCs w:val="18"/>
                <w:color w:val="auto"/>
              </w:rPr>
              <w:t>Farzad Nazem</w:t>
            </w:r>
          </w:p>
        </w:tc>
        <w:tc>
          <w:tcPr>
            <w:tcW w:w="100" w:type="dxa"/>
            <w:vAlign w:val="bottom"/>
            <w:vMerge w:val="continue"/>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780" w:type="dxa"/>
            <w:vAlign w:val="bottom"/>
          </w:tcPr>
          <w:p>
            <w:pPr>
              <w:ind w:left="40"/>
              <w:spacing w:after="0"/>
              <w:rPr>
                <w:sz w:val="20"/>
                <w:szCs w:val="20"/>
                <w:color w:val="auto"/>
              </w:rPr>
            </w:pPr>
            <w:r>
              <w:rPr>
                <w:rFonts w:ascii="Arial" w:cs="Arial" w:eastAsia="Arial" w:hAnsi="Arial"/>
                <w:sz w:val="18"/>
                <w:szCs w:val="18"/>
                <w:color w:val="auto"/>
              </w:rPr>
              <w:t>/s/ Vijay Pande</w:t>
            </w:r>
          </w:p>
        </w:tc>
        <w:tc>
          <w:tcPr>
            <w:tcW w:w="100" w:type="dxa"/>
            <w:vAlign w:val="bottom"/>
          </w:tcPr>
          <w:p>
            <w:pPr>
              <w:spacing w:after="0"/>
              <w:rPr>
                <w:sz w:val="24"/>
                <w:szCs w:val="24"/>
                <w:color w:val="auto"/>
              </w:rPr>
            </w:pPr>
          </w:p>
        </w:tc>
        <w:tc>
          <w:tcPr>
            <w:tcW w:w="5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5"/>
              </w:rPr>
              <w:t>Director</w:t>
            </w:r>
          </w:p>
        </w:tc>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August 10, 2021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300" w:type="dxa"/>
            <w:vAlign w:val="bottom"/>
            <w:gridSpan w:val="2"/>
            <w:vMerge w:val="continue"/>
          </w:tcPr>
          <w:p>
            <w:pPr>
              <w:spacing w:after="0"/>
              <w:rPr>
                <w:sz w:val="2"/>
                <w:szCs w:val="2"/>
                <w:color w:val="auto"/>
              </w:rPr>
            </w:pPr>
          </w:p>
        </w:tc>
        <w:tc>
          <w:tcPr>
            <w:tcW w:w="2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Vijay Pande</w:t>
            </w:r>
          </w:p>
        </w:tc>
        <w:tc>
          <w:tcPr>
            <w:tcW w:w="100" w:type="dxa"/>
            <w:vAlign w:val="bottom"/>
            <w:vMerge w:val="continue"/>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-55245</wp:posOffset>
            </wp:positionV>
            <wp:extent cx="109728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extLst>
                    </a:blip>
                    <a:srcRect/>
                    <a:stretch>
                      <a:fillRect/>
                    </a:stretch>
                  </pic:blipFill>
                  <pic:spPr bwMode="auto">
                    <a:xfrm>
                      <a:off x="0" y="0"/>
                      <a:ext cx="1097280" cy="420370"/>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4"/>
          <w:szCs w:val="14"/>
          <w:color w:val="003D4C"/>
        </w:rPr>
        <w:t>Professional Corporation</w:t>
      </w:r>
    </w:p>
    <w:p>
      <w:pPr>
        <w:spacing w:after="0" w:line="97"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650 Page Mill Road</w:t>
      </w:r>
    </w:p>
    <w:p>
      <w:pPr>
        <w:spacing w:after="0" w:line="13"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Palo Alto, CA 94304-1050</w:t>
      </w:r>
    </w:p>
    <w:p>
      <w:pPr>
        <w:spacing w:after="0" w:line="97"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o: 650.493.9300</w:t>
      </w:r>
    </w:p>
    <w:p>
      <w:pPr>
        <w:spacing w:after="0" w:line="13"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August 10, 2021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Nautilus Biotechnology,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425 Pontius Ave N, Ste 202</w:t>
      </w:r>
    </w:p>
    <w:p>
      <w:pPr>
        <w:spacing w:after="0"/>
        <w:rPr>
          <w:sz w:val="20"/>
          <w:szCs w:val="20"/>
          <w:color w:val="auto"/>
        </w:rPr>
      </w:pPr>
      <w:r>
        <w:rPr>
          <w:rFonts w:ascii="Arial" w:cs="Arial" w:eastAsia="Arial" w:hAnsi="Arial"/>
          <w:sz w:val="20"/>
          <w:szCs w:val="20"/>
          <w:color w:val="auto"/>
        </w:rPr>
        <w:t>Seattle, Washington 98109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 </w:t>
      </w:r>
      <w:r>
        <w:rPr>
          <w:rFonts w:ascii="Arial" w:cs="Arial" w:eastAsia="Arial" w:hAnsi="Arial"/>
          <w:sz w:val="20"/>
          <w:szCs w:val="20"/>
          <w:b w:val="1"/>
          <w:bCs w:val="1"/>
          <w:u w:val="single" w:color="auto"/>
          <w:color w:val="auto"/>
        </w:rPr>
        <w:t>Registration Statement on Form S-8</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4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color w:val="auto"/>
        </w:rPr>
        <w:t>We have examined the Registration Statement on Form S-8 (the “</w:t>
      </w:r>
      <w:r>
        <w:rPr>
          <w:rFonts w:ascii="Arial" w:cs="Arial" w:eastAsia="Arial" w:hAnsi="Arial"/>
          <w:sz w:val="20"/>
          <w:szCs w:val="20"/>
          <w:u w:val="single" w:color="auto"/>
          <w:color w:val="auto"/>
        </w:rPr>
        <w:t>Registration Statement</w:t>
      </w:r>
      <w:r>
        <w:rPr>
          <w:rFonts w:ascii="Arial" w:cs="Arial" w:eastAsia="Arial" w:hAnsi="Arial"/>
          <w:sz w:val="19"/>
          <w:szCs w:val="19"/>
          <w:color w:val="auto"/>
        </w:rPr>
        <w:t>”) to be filed by Nautilus Biotechnology, Inc., a Delaware corporation (the “</w:t>
      </w:r>
      <w:r>
        <w:rPr>
          <w:rFonts w:ascii="Arial" w:cs="Arial" w:eastAsia="Arial" w:hAnsi="Arial"/>
          <w:sz w:val="20"/>
          <w:szCs w:val="20"/>
          <w:u w:val="single" w:color="auto"/>
          <w:color w:val="auto"/>
        </w:rPr>
        <w:t>Company</w:t>
      </w:r>
      <w:r>
        <w:rPr>
          <w:rFonts w:ascii="Arial" w:cs="Arial" w:eastAsia="Arial" w:hAnsi="Arial"/>
          <w:sz w:val="19"/>
          <w:szCs w:val="19"/>
          <w:color w:val="auto"/>
        </w:rPr>
        <w:t>”), with the Securities and Exchange Commission on or about the date hereof, in connection with the registration under the Securities Act of 1933, as amended, of an aggregate of 24,447,730 shares (the “</w:t>
      </w:r>
      <w:r>
        <w:rPr>
          <w:rFonts w:ascii="Arial" w:cs="Arial" w:eastAsia="Arial" w:hAnsi="Arial"/>
          <w:sz w:val="20"/>
          <w:szCs w:val="20"/>
          <w:u w:val="single" w:color="auto"/>
          <w:color w:val="auto"/>
        </w:rPr>
        <w:t>Shares</w:t>
      </w:r>
      <w:r>
        <w:rPr>
          <w:rFonts w:ascii="Arial" w:cs="Arial" w:eastAsia="Arial" w:hAnsi="Arial"/>
          <w:sz w:val="19"/>
          <w:szCs w:val="19"/>
          <w:color w:val="auto"/>
        </w:rPr>
        <w:t>”) of the Company’s common stock, par value $0.0001 per share (“</w:t>
      </w:r>
      <w:r>
        <w:rPr>
          <w:rFonts w:ascii="Arial" w:cs="Arial" w:eastAsia="Arial" w:hAnsi="Arial"/>
          <w:sz w:val="20"/>
          <w:szCs w:val="20"/>
          <w:u w:val="single" w:color="auto"/>
          <w:color w:val="auto"/>
        </w:rPr>
        <w:t>Common Stock</w:t>
      </w:r>
      <w:r>
        <w:rPr>
          <w:rFonts w:ascii="Arial" w:cs="Arial" w:eastAsia="Arial" w:hAnsi="Arial"/>
          <w:sz w:val="19"/>
          <w:szCs w:val="19"/>
          <w:color w:val="auto"/>
        </w:rPr>
        <w:t>”), consisting of (i) 15,027,511 shares of Common Stock reserved for future issuance under the Company’s 2021 Equity Incentive Plan (the “</w:t>
      </w:r>
      <w:r>
        <w:rPr>
          <w:rFonts w:ascii="Arial" w:cs="Arial" w:eastAsia="Arial" w:hAnsi="Arial"/>
          <w:sz w:val="20"/>
          <w:szCs w:val="20"/>
          <w:u w:val="single" w:color="auto"/>
          <w:color w:val="auto"/>
        </w:rPr>
        <w:t>2021 Plan</w:t>
      </w:r>
      <w:r>
        <w:rPr>
          <w:rFonts w:ascii="Arial" w:cs="Arial" w:eastAsia="Arial" w:hAnsi="Arial"/>
          <w:sz w:val="19"/>
          <w:szCs w:val="19"/>
          <w:color w:val="auto"/>
        </w:rPr>
        <w:t>”), (ii) 1,195,308 shares of Common Stock which are subject to currently outstanding stock options under the 2021 Plan, (iii) 1,244,900 shares of Common Stock reserved for issuance under the Company’s 2021 Employee Stock Purchase Plan, and (iv) 7,010,011 shares of Common Stock which are subject to currently outstanding stock options under the Company’s 2017 Equity Incentive Plan, as amended. As the Company’s legal counsel, we have reviewed the actions proposed to be taken by the Company in connection with the issuance and sale of the Shares to be issued under such plans (which plans are referred to herein as the “</w:t>
      </w:r>
      <w:r>
        <w:rPr>
          <w:rFonts w:ascii="Arial" w:cs="Arial" w:eastAsia="Arial" w:hAnsi="Arial"/>
          <w:sz w:val="20"/>
          <w:szCs w:val="20"/>
          <w:u w:val="single" w:color="auto"/>
          <w:color w:val="auto"/>
        </w:rPr>
        <w:t>Plans</w:t>
      </w:r>
      <w:r>
        <w:rPr>
          <w:rFonts w:ascii="Arial" w:cs="Arial" w:eastAsia="Arial" w:hAnsi="Arial"/>
          <w:sz w:val="19"/>
          <w:szCs w:val="19"/>
          <w:color w:val="auto"/>
        </w:rPr>
        <w:t>”).</w:t>
      </w:r>
    </w:p>
    <w:p>
      <w:pPr>
        <w:spacing w:after="0" w:line="11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It is our opinion that the Shares, when issued and sold in the manner referred to in the Plans and pursuant to the agreements that accompany the Plans, will be legally and validly issued, fully paid and nonassessable.</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consent to the use of this opinion as an exhibit to the Registration Statement, and further consent to the use of our name wherever appearing in the Registration Statement and any amendments thereto.</w:t>
      </w:r>
    </w:p>
    <w:p>
      <w:pPr>
        <w:spacing w:after="0" w:line="271"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Very truly yours,</w:t>
      </w:r>
    </w:p>
    <w:p>
      <w:pPr>
        <w:spacing w:after="0" w:line="391"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WILSON SONSINI GOODRICH &amp; ROSATI,</w:t>
      </w:r>
    </w:p>
    <w:p>
      <w:pPr>
        <w:spacing w:after="0" w:line="54"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Professional Corporation</w:t>
      </w:r>
    </w:p>
    <w:p>
      <w:pPr>
        <w:spacing w:after="0" w:line="310"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/s/ Wilson Sonsini Goodrich &amp; Rosati, P.C.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700"/>
        <w:spacing w:after="0"/>
        <w:tabs>
          <w:tab w:leader="none" w:pos="2420" w:val="left"/>
          <w:tab w:leader="none" w:pos="3160" w:val="left"/>
          <w:tab w:leader="none" w:pos="3920" w:val="left"/>
          <w:tab w:leader="none" w:pos="4840" w:val="left"/>
        </w:tabs>
        <w:rPr>
          <w:sz w:val="20"/>
          <w:szCs w:val="20"/>
          <w:color w:val="auto"/>
        </w:rPr>
      </w:pPr>
      <w:r>
        <w:rPr>
          <w:rFonts w:ascii="Arial" w:cs="Arial" w:eastAsia="Arial" w:hAnsi="Arial"/>
          <w:sz w:val="13"/>
          <w:szCs w:val="13"/>
          <w:color w:val="003D4C"/>
        </w:rPr>
        <w:t>AUSTIN</w:t>
      </w:r>
      <w:r>
        <w:rPr>
          <w:sz w:val="20"/>
          <w:szCs w:val="20"/>
          <w:color w:val="auto"/>
        </w:rPr>
        <w:tab/>
      </w:r>
      <w:r>
        <w:rPr>
          <w:rFonts w:ascii="Arial" w:cs="Arial" w:eastAsia="Arial" w:hAnsi="Arial"/>
          <w:sz w:val="13"/>
          <w:szCs w:val="13"/>
          <w:color w:val="003D4C"/>
        </w:rPr>
        <w:t>BEIJING</w:t>
      </w:r>
      <w:r>
        <w:rPr>
          <w:sz w:val="20"/>
          <w:szCs w:val="20"/>
          <w:color w:val="auto"/>
        </w:rPr>
        <w:tab/>
      </w:r>
      <w:r>
        <w:rPr>
          <w:rFonts w:ascii="Arial" w:cs="Arial" w:eastAsia="Arial" w:hAnsi="Arial"/>
          <w:sz w:val="13"/>
          <w:szCs w:val="13"/>
          <w:color w:val="003D4C"/>
        </w:rPr>
        <w:t>BOSTON</w:t>
      </w:r>
      <w:r>
        <w:rPr>
          <w:sz w:val="20"/>
          <w:szCs w:val="20"/>
          <w:color w:val="auto"/>
        </w:rPr>
        <w:tab/>
      </w:r>
      <w:r>
        <w:rPr>
          <w:rFonts w:ascii="Arial" w:cs="Arial" w:eastAsia="Arial" w:hAnsi="Arial"/>
          <w:sz w:val="13"/>
          <w:szCs w:val="13"/>
          <w:color w:val="003D4C"/>
        </w:rPr>
        <w:t>BRUSSELS</w:t>
      </w:r>
      <w:r>
        <w:rPr>
          <w:sz w:val="20"/>
          <w:szCs w:val="20"/>
          <w:color w:val="auto"/>
        </w:rPr>
        <w:tab/>
      </w:r>
      <w:r>
        <w:rPr>
          <w:rFonts w:ascii="Arial" w:cs="Arial" w:eastAsia="Arial" w:hAnsi="Arial"/>
          <w:sz w:val="12"/>
          <w:szCs w:val="12"/>
          <w:color w:val="003D4C"/>
        </w:rPr>
        <w:t>HONG KONG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800" w:val="left"/>
          <w:tab w:leader="none" w:pos="1960" w:val="left"/>
          <w:tab w:leader="none" w:pos="2940" w:val="left"/>
        </w:tabs>
        <w:rPr>
          <w:sz w:val="20"/>
          <w:szCs w:val="20"/>
          <w:color w:val="auto"/>
        </w:rPr>
      </w:pPr>
      <w:r>
        <w:rPr>
          <w:rFonts w:ascii="Arial" w:cs="Arial" w:eastAsia="Arial" w:hAnsi="Arial"/>
          <w:sz w:val="13"/>
          <w:szCs w:val="13"/>
          <w:color w:val="003D4C"/>
        </w:rPr>
        <w:t>LONDON</w:t>
      </w:r>
      <w:r>
        <w:rPr>
          <w:sz w:val="20"/>
          <w:szCs w:val="20"/>
          <w:color w:val="auto"/>
        </w:rPr>
        <w:tab/>
      </w:r>
      <w:r>
        <w:rPr>
          <w:rFonts w:ascii="Arial" w:cs="Arial" w:eastAsia="Arial" w:hAnsi="Arial"/>
          <w:sz w:val="13"/>
          <w:szCs w:val="13"/>
          <w:color w:val="003D4C"/>
        </w:rPr>
        <w:t>LOS ANGELES</w:t>
      </w:r>
      <w:r>
        <w:rPr>
          <w:sz w:val="20"/>
          <w:szCs w:val="20"/>
          <w:color w:val="auto"/>
        </w:rPr>
        <w:tab/>
      </w:r>
      <w:r>
        <w:rPr>
          <w:rFonts w:ascii="Arial" w:cs="Arial" w:eastAsia="Arial" w:hAnsi="Arial"/>
          <w:sz w:val="13"/>
          <w:szCs w:val="13"/>
          <w:color w:val="003D4C"/>
        </w:rPr>
        <w:t>NEW YORK</w:t>
      </w:r>
      <w:r>
        <w:rPr>
          <w:sz w:val="20"/>
          <w:szCs w:val="20"/>
          <w:color w:val="auto"/>
        </w:rPr>
        <w:tab/>
      </w:r>
      <w:r>
        <w:rPr>
          <w:rFonts w:ascii="Arial" w:cs="Arial" w:eastAsia="Arial" w:hAnsi="Arial"/>
          <w:sz w:val="12"/>
          <w:szCs w:val="12"/>
          <w:color w:val="003D4C"/>
        </w:rPr>
        <w:t>PALO ALTO</w:t>
      </w:r>
    </w:p>
    <w:p>
      <w:pPr>
        <w:spacing w:after="0" w:line="40" w:lineRule="exact"/>
        <w:rPr>
          <w:sz w:val="20"/>
          <w:szCs w:val="20"/>
          <w:color w:val="auto"/>
        </w:rPr>
      </w:pPr>
    </w:p>
    <w:p>
      <w:pPr>
        <w:sectPr>
          <w:pgSz w:w="11900" w:h="16838" w:orient="portrait"/>
          <w:cols w:equalWidth="0" w:num="2">
            <w:col w:w="5640" w:space="280"/>
            <w:col w:w="5320"/>
          </w:cols>
          <w:pgMar w:left="320" w:top="121" w:right="339" w:bottom="1440" w:gutter="0" w:footer="0" w:header="0"/>
          <w:type w:val="continuous"/>
        </w:sectPr>
      </w:pPr>
    </w:p>
    <w:p>
      <w:pPr>
        <w:jc w:val="center"/>
        <w:ind w:right="-19"/>
        <w:spacing w:after="0"/>
        <w:tabs>
          <w:tab w:leader="none" w:pos="220" w:val="left"/>
          <w:tab w:leader="none" w:pos="220" w:val="left"/>
          <w:tab w:leader="none" w:pos="240" w:val="left"/>
          <w:tab w:leader="none" w:pos="220" w:val="left"/>
          <w:tab w:leader="none" w:pos="240" w:val="left"/>
        </w:tabs>
        <w:rPr>
          <w:sz w:val="20"/>
          <w:szCs w:val="20"/>
          <w:color w:val="auto"/>
        </w:rPr>
      </w:pPr>
      <w:r>
        <w:rPr>
          <w:rFonts w:ascii="Arial" w:cs="Arial" w:eastAsia="Arial" w:hAnsi="Arial"/>
          <w:sz w:val="13"/>
          <w:szCs w:val="13"/>
          <w:color w:val="003D4C"/>
        </w:rPr>
        <w:t>SAN DIEGO</w:t>
      </w:r>
      <w:r>
        <w:rPr>
          <w:sz w:val="20"/>
          <w:szCs w:val="20"/>
          <w:color w:val="auto"/>
        </w:rPr>
        <w:tab/>
      </w:r>
      <w:r>
        <w:rPr>
          <w:rFonts w:ascii="Arial" w:cs="Arial" w:eastAsia="Arial" w:hAnsi="Arial"/>
          <w:sz w:val="13"/>
          <w:szCs w:val="13"/>
          <w:color w:val="003D4C"/>
        </w:rPr>
        <w:t>SAN FRANCISCO</w:t>
      </w:r>
      <w:r>
        <w:rPr>
          <w:sz w:val="20"/>
          <w:szCs w:val="20"/>
          <w:color w:val="auto"/>
        </w:rPr>
        <w:tab/>
      </w:r>
      <w:r>
        <w:rPr>
          <w:rFonts w:ascii="Arial" w:cs="Arial" w:eastAsia="Arial" w:hAnsi="Arial"/>
          <w:sz w:val="13"/>
          <w:szCs w:val="13"/>
          <w:color w:val="003D4C"/>
        </w:rPr>
        <w:t>SEATTLE</w:t>
      </w:r>
      <w:r>
        <w:rPr>
          <w:sz w:val="20"/>
          <w:szCs w:val="20"/>
          <w:color w:val="auto"/>
        </w:rPr>
        <w:tab/>
      </w:r>
      <w:r>
        <w:rPr>
          <w:rFonts w:ascii="Arial" w:cs="Arial" w:eastAsia="Arial" w:hAnsi="Arial"/>
          <w:sz w:val="13"/>
          <w:szCs w:val="13"/>
          <w:color w:val="003D4C"/>
        </w:rPr>
        <w:t>SHANGHAI</w:t>
      </w:r>
      <w:r>
        <w:rPr>
          <w:sz w:val="20"/>
          <w:szCs w:val="20"/>
          <w:color w:val="auto"/>
        </w:rPr>
        <w:tab/>
      </w:r>
      <w:r>
        <w:rPr>
          <w:rFonts w:ascii="Arial" w:cs="Arial" w:eastAsia="Arial" w:hAnsi="Arial"/>
          <w:sz w:val="13"/>
          <w:szCs w:val="13"/>
          <w:color w:val="003D4C"/>
        </w:rPr>
        <w:t>WASHINGTON, DC</w:t>
      </w:r>
      <w:r>
        <w:rPr>
          <w:sz w:val="20"/>
          <w:szCs w:val="20"/>
          <w:color w:val="auto"/>
        </w:rPr>
        <w:tab/>
      </w:r>
      <w:r>
        <w:rPr>
          <w:rFonts w:ascii="Arial" w:cs="Arial" w:eastAsia="Arial" w:hAnsi="Arial"/>
          <w:sz w:val="12"/>
          <w:szCs w:val="12"/>
          <w:color w:val="003D4C"/>
        </w:rPr>
        <w:t>WILMINGTON, DE</w:t>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We hereby consent to the incorporation by reference in this Registration Statement on Form S-8 of Nautilus Biotechnology, Inc. of our report dated March 26, 2021 relating to the financial statements of Nautilus Biotechnology, Inc., which appears in Nautilus Biotechnology, Inc.’s final prospectus filed pursuant to Rule 424(b) on August 6, 2021, in connection with the Registration Statement on Form S-1 (File No. 333-258100), as amended.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rPr>
          <w:sz w:val="20"/>
          <w:szCs w:val="20"/>
          <w:color w:val="auto"/>
        </w:rPr>
      </w:pPr>
      <w:r>
        <w:rPr>
          <w:rFonts w:ascii="Arial" w:cs="Arial" w:eastAsia="Arial" w:hAnsi="Arial"/>
          <w:sz w:val="20"/>
          <w:szCs w:val="20"/>
          <w:color w:val="auto"/>
        </w:rPr>
        <w:t>August 10, 2021</w:t>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March 26, 2021, relating to the financial statements of Nautilus Biotechnology Inc. (f/k/a ARYA Sciences Acquisition Corp III.) which is incorporated by reference in this Registration Statement, and to the reference to our Firm under the caption “Experts” in the Registration Statement.</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WithumSmith+Brown, PC</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10,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7"/>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26" Type="http://schemas.openxmlformats.org/officeDocument/2006/relationships/image" Target="media/image1.png"/><Relationship Id="rId27" Type="http://schemas.openxmlformats.org/officeDocument/2006/relationships/image" Target="media/image2.jpeg"/><Relationship Id="rId8" Type="http://schemas.openxmlformats.org/officeDocument/2006/relationships/hyperlink" Target="https://www.sec.gov/Archives/edgar/data/1808805/000114036121010864/brhc10021542_10k.htm" TargetMode="External"/><Relationship Id="rId9" Type="http://schemas.openxmlformats.org/officeDocument/2006/relationships/hyperlink" Target="https://www.sec.gov/Archives/edgar/data/1808805/000114036121017275/brhc10024206_10q.htm" TargetMode="External"/><Relationship Id="rId10" Type="http://schemas.openxmlformats.org/officeDocument/2006/relationships/hyperlink" Target="https://www.sec.gov/Archives/edgar/data/1808805/000180880521000007/naut-20210630.htm" TargetMode="External"/><Relationship Id="rId11" Type="http://schemas.openxmlformats.org/officeDocument/2006/relationships/hyperlink" Target="https://www.sec.gov/Archives/edgar/data/1808805/000162828021016099/nautilus424b3.htm" TargetMode="External"/><Relationship Id="rId12" Type="http://schemas.openxmlformats.org/officeDocument/2006/relationships/hyperlink" Target="https://www.sec.gov/Archives/edgar/data/1808805/000114036121003650/brhc10019858_8k.htm" TargetMode="External"/><Relationship Id="rId13" Type="http://schemas.openxmlformats.org/officeDocument/2006/relationships/hyperlink" Target="https://www.sec.gov/Archives/edgar/data/1808805/000114036121019460/brhc10025344_8k.htm" TargetMode="External"/><Relationship Id="rId14" Type="http://schemas.openxmlformats.org/officeDocument/2006/relationships/hyperlink" Target="https://www.sec.gov/Archives/edgar/data/1808805/000162828021011835/aryaiii-8xk6821.htm" TargetMode="External"/><Relationship Id="rId15" Type="http://schemas.openxmlformats.org/officeDocument/2006/relationships/hyperlink" Target="https://www.sec.gov/Archives/edgar/data/1808805/000162828021011892/nautilus-form8xkclosing.htm" TargetMode="External"/><Relationship Id="rId16" Type="http://schemas.openxmlformats.org/officeDocument/2006/relationships/hyperlink" Target="https://www.sec.gov/Archives/edgar/data/1808805/000114036120017640/nt10013610x6_8a12b.htm" TargetMode="External"/><Relationship Id="rId17" Type="http://schemas.openxmlformats.org/officeDocument/2006/relationships/hyperlink" Target="https://www.sec.gov/Archives/edgar/data/1808805/000162828021011892/exhibit31-form8xkclosing.htm" TargetMode="External"/><Relationship Id="rId18" Type="http://schemas.openxmlformats.org/officeDocument/2006/relationships/hyperlink" Target="https://www.sec.gov/Archives/edgar/data/1808805/000162828021011892/exhibit32-form8xkclosing.htm" TargetMode="External"/><Relationship Id="rId19" Type="http://schemas.openxmlformats.org/officeDocument/2006/relationships/hyperlink" Target="https://www.sec.gov/Archives/edgar/data/1808805/000162828021011892/exhibit41-super8xkclosing.htm" TargetMode="External"/><Relationship Id="rId20" Type="http://schemas.openxmlformats.org/officeDocument/2006/relationships/hyperlink" Target="https://www.sec.gov/Archives/edgar/data/1808805/000162828021011892/exhibit104-form8xkclosing.htm" TargetMode="External"/><Relationship Id="rId21" Type="http://schemas.openxmlformats.org/officeDocument/2006/relationships/hyperlink" Target="https://www.sec.gov/Archives/edgar/data/1808805/000162828021005786/exhibit107-sx4.htm" TargetMode="External"/><Relationship Id="rId22" Type="http://schemas.openxmlformats.org/officeDocument/2006/relationships/hyperlink" Target="https://www.sec.gov/Archives/edgar/data/1808805/000162828021005786/exhibit108-sx4.htm" TargetMode="External"/><Relationship Id="rId23" Type="http://schemas.openxmlformats.org/officeDocument/2006/relationships/hyperlink" Target="https://www.sec.gov/Archives/edgar/data/1808805/000162828021005786/exhibit109-sx4.htm" TargetMode="External"/><Relationship Id="rId24" Type="http://schemas.openxmlformats.org/officeDocument/2006/relationships/hyperlink" Target="https://www.sec.gov/Archives/edgar/data/1808805/000162828021011892/exhibit105-form8xkclosing.htm" TargetMode="External"/><Relationship Id="rId25" Type="http://schemas.openxmlformats.org/officeDocument/2006/relationships/hyperlink" Target="https://www.sec.gov/Archives/edgar/data/1808805/000162828021005786/exhibit1011-sx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2021-08-10T16:14:46Z</dcterms:created>
  <dcterms:modified xsi:type="dcterms:W3CDTF">2021-08-10T16:14:46Z</dcterms:modified>
</cp:coreProperties>
</file>