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p>
      <w:pPr>
        <w:pStyle w:val="TextBody"/>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spacing w:lineRule="auto" w:line="333" w:before="12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tbl>
      <w:tblPr>
        <w:tblW w:w="4077" w:type="dxa"/>
        <w:jc w:val="left"/>
        <w:tblInd w:w="0" w:type="dxa"/>
        <w:tblCellMar>
          <w:top w:w="28" w:type="dxa"/>
          <w:left w:w="28" w:type="dxa"/>
          <w:bottom w:w="28" w:type="dxa"/>
          <w:right w:w="28" w:type="dxa"/>
        </w:tblCellMar>
      </w:tblPr>
      <w:tblGrid>
        <w:gridCol w:w="1342"/>
        <w:gridCol w:w="1180"/>
        <w:gridCol w:w="1183"/>
        <w:gridCol w:w="109"/>
        <w:gridCol w:w="109"/>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Filed by a Party other than the Registrant </w:t>
            </w: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964" w:type="dxa"/>
        <w:jc w:val="left"/>
        <w:tblInd w:w="0" w:type="dxa"/>
        <w:tblCellMar>
          <w:top w:w="28" w:type="dxa"/>
          <w:left w:w="28" w:type="dxa"/>
          <w:bottom w:w="28" w:type="dxa"/>
          <w:right w:w="28" w:type="dxa"/>
        </w:tblCellMar>
      </w:tblPr>
      <w:tblGrid>
        <w:gridCol w:w="413"/>
        <w:gridCol w:w="363"/>
        <w:gridCol w:w="363"/>
        <w:gridCol w:w="1991"/>
        <w:gridCol w:w="1991"/>
        <w:gridCol w:w="2843"/>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2843" w:type="dxa"/>
            <w:tcBorders/>
            <w:shd w:fill="auto" w:val="clear"/>
            <w:vAlign w:val="center"/>
          </w:tcPr>
          <w:p>
            <w:pPr>
              <w:pStyle w:val="TableContents"/>
              <w:spacing w:before="0" w:after="283"/>
              <w:rPr>
                <w:sz w:val="4"/>
                <w:szCs w:val="4"/>
              </w:rPr>
            </w:pPr>
            <w:r>
              <w:rPr>
                <w:sz w:val="4"/>
                <w:szCs w:val="4"/>
              </w:rPr>
            </w:r>
          </w:p>
        </w:tc>
      </w:tr>
      <w:tr>
        <w:trPr/>
        <w:tc>
          <w:tcPr>
            <w:tcW w:w="796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NAUTILUS BIOTECHNOLOGY, INC.</w:t>
      </w:r>
    </w:p>
    <w:p>
      <w:pPr>
        <w:pStyle w:val="TextBody"/>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(Name of Registrant as Specified In Its Charter)</w:t>
      </w:r>
    </w:p>
    <w:p>
      <w:pPr>
        <w:pStyle w:val="TextBody"/>
        <w:spacing w:lineRule="auto" w:line="333" w:before="24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tbl>
      <w:tblPr>
        <w:tblW w:w="9839" w:type="dxa"/>
        <w:jc w:val="left"/>
        <w:tblInd w:w="0" w:type="dxa"/>
        <w:tblCellMar>
          <w:top w:w="28" w:type="dxa"/>
          <w:left w:w="28" w:type="dxa"/>
          <w:bottom w:w="28" w:type="dxa"/>
          <w:right w:w="28" w:type="dxa"/>
        </w:tblCellMar>
      </w:tblPr>
      <w:tblGrid>
        <w:gridCol w:w="518"/>
        <w:gridCol w:w="455"/>
        <w:gridCol w:w="455"/>
        <w:gridCol w:w="1311"/>
        <w:gridCol w:w="1311"/>
        <w:gridCol w:w="1311"/>
        <w:gridCol w:w="1311"/>
        <w:gridCol w:w="1311"/>
        <w:gridCol w:w="1856"/>
      </w:tblGrid>
      <w:tr>
        <w:trPr/>
        <w:tc>
          <w:tcPr>
            <w:tcW w:w="51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r>
      <w:tr>
        <w:trPr/>
        <w:tc>
          <w:tcPr>
            <w:tcW w:w="983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841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1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1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Your Vote Counts! NAUTILUS BIOTECHNOLOGY, INC. 2023 Annual Meeting Vote by June 13, 2023 11:59 PM ET You invested in NAUTILUS BIOTECHNOLOGY, INC. and it’s time to vote! You have the right to vote on proposals being presented at the Annual Meeting. This is an important notice regarding the availability of proxy materials for the stockholder meeting to be held on June 14, 2023. Vote Virtually at the Meeting* June 14, 2023 10:00 AM PDT Virtually at: www.virtualshareholdermeeting.com/NAUT2023 *Please check the meeting materials for any special requirements for meeting attendance. Smartphone users Point your camera here and vote without entering a control number V1.1 For complete information and to vote, visit www.ProxyVote.com Control # V11040-P89901 Get informed before you vote View the Notice and Proxy Statement and Annual Report on Form 10-K online OR you can receive a free paper or email copy of the material(s) by requesting prior to May 31,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NAUTILUS BIOTECHNOLOGY, INC. 2701 EASTLAKE AVE EAST SEATTLE, WA 98102-4188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THIS IS NOT A VOTABLE BALLOT This is an overview of the proposals being presented at the upcoming stockholder meeting. Please follow the instructions on the reverse side to vote these important matters. Vote at www.ProxyVote.com Prefer to receive an email instead? While voting on www.ProxyVote.com, be sure to click “Delivery Settings”. Voting Items Board Recommends V11041-P89901 01) Parag Mallick 02) Matthew McIlwain 03) Farzad Nazem 1. Election of Class II Directors Nominees: 2. Ratification of the appointment of PricewaterhouseCoopers, LLP as our independent registered public accounting firm for the year ended December 31, 2023. NOTE: In their discretion, the proxyholders will vote on such other business as may properly come before the meeting or any adjournment or postponement thereof. For For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283"/>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478</Words>
  <CharactersWithSpaces>3194</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