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April 28, 2026</w:t>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NAUTILUS BIOTECHNOLOGY,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6141" w:type="dxa"/>
        <w:jc w:val="left"/>
        <w:tblInd w:w="0" w:type="dxa"/>
        <w:tblLayout w:type="fixed"/>
        <w:tblCellMar>
          <w:top w:w="28" w:type="dxa"/>
          <w:left w:w="28" w:type="dxa"/>
          <w:bottom w:w="28" w:type="dxa"/>
          <w:right w:w="28" w:type="dxa"/>
        </w:tblCellMar>
      </w:tblPr>
      <w:tblGrid>
        <w:gridCol w:w="711"/>
        <w:gridCol w:w="625"/>
        <w:gridCol w:w="628"/>
        <w:gridCol w:w="109"/>
        <w:gridCol w:w="109"/>
        <w:gridCol w:w="109"/>
        <w:gridCol w:w="689"/>
        <w:gridCol w:w="689"/>
        <w:gridCol w:w="691"/>
        <w:gridCol w:w="109"/>
        <w:gridCol w:w="109"/>
        <w:gridCol w:w="109"/>
        <w:gridCol w:w="425"/>
        <w:gridCol w:w="425"/>
        <w:gridCol w:w="60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001-39434 </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98-1541723</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tbl>
      <w:tblPr>
        <w:tblW w:w="4616" w:type="dxa"/>
        <w:jc w:val="left"/>
        <w:tblInd w:w="0" w:type="dxa"/>
        <w:tblLayout w:type="fixed"/>
        <w:tblCellMar>
          <w:top w:w="28" w:type="dxa"/>
          <w:left w:w="28" w:type="dxa"/>
          <w:bottom w:w="28" w:type="dxa"/>
          <w:right w:w="28" w:type="dxa"/>
        </w:tblCellMar>
      </w:tblPr>
      <w:tblGrid>
        <w:gridCol w:w="1196"/>
        <w:gridCol w:w="1048"/>
        <w:gridCol w:w="1055"/>
        <w:gridCol w:w="109"/>
        <w:gridCol w:w="109"/>
        <w:gridCol w:w="109"/>
        <w:gridCol w:w="290"/>
        <w:gridCol w:w="290"/>
        <w:gridCol w:w="410"/>
      </w:tblGrid>
      <w:tr>
        <w:trPr/>
        <w:tc>
          <w:tcPr>
            <w:tcW w:w="119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2701 Eastlake Avenue East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Seattle, Washington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98102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(206) 333-2001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(Former name or former address, if changed since last report)</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47" w:type="dxa"/>
        <w:jc w:val="left"/>
        <w:tblInd w:w="0" w:type="dxa"/>
        <w:tblLayout w:type="fixed"/>
        <w:tblCellMar>
          <w:top w:w="28" w:type="dxa"/>
          <w:left w:w="28" w:type="dxa"/>
          <w:bottom w:w="28" w:type="dxa"/>
          <w:right w:w="28" w:type="dxa"/>
        </w:tblCellMar>
      </w:tblPr>
      <w:tblGrid>
        <w:gridCol w:w="1401"/>
        <w:gridCol w:w="1227"/>
        <w:gridCol w:w="1241"/>
        <w:gridCol w:w="109"/>
        <w:gridCol w:w="109"/>
        <w:gridCol w:w="109"/>
        <w:gridCol w:w="539"/>
        <w:gridCol w:w="539"/>
        <w:gridCol w:w="541"/>
        <w:gridCol w:w="109"/>
        <w:gridCol w:w="109"/>
        <w:gridCol w:w="109"/>
        <w:gridCol w:w="1085"/>
        <w:gridCol w:w="1085"/>
        <w:gridCol w:w="1535"/>
      </w:tblGrid>
      <w:tr>
        <w:trPr/>
        <w:tc>
          <w:tcPr>
            <w:tcW w:w="140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both"/>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16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28, 2026, Nautilus Biotechnology, Inc. (the “Company”) issued a press release reporting its financial results for the quarter ended March 31, 2026. A copy of the press release is furnished herewith as Exhibit 99.1 to this Current Report on Form 8-K.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(d)    Exhibits </w:t>
      </w:r>
    </w:p>
    <w:tbl>
      <w:tblPr>
        <w:tblW w:w="7468"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879"/>
        <w:gridCol w:w="1879"/>
        <w:gridCol w:w="267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q1268xkearnings.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q1268xkearnings.htm">
              <w:r>
                <w:rPr>
                  <w:rStyle w:val="InternetLink"/>
                  <w:rFonts w:ascii="Times New Roman;serif" w:hAnsi="Times New Roman;serif"/>
                  <w:b w:val="false"/>
                  <w:color w:val="000080"/>
                  <w:sz w:val="20"/>
                  <w:u w:val="single"/>
                </w:rPr>
                <w:t xml:space="preserve">Press Release dated </w:t>
              </w:r>
            </w:hyperlink>
            <w:hyperlink w:anchor="exhibit991-q1268xkearnings.htm">
              <w:r>
                <w:rPr>
                  <w:rStyle w:val="InternetLink"/>
                  <w:rFonts w:ascii="Times New Roman;serif" w:hAnsi="Times New Roman;serif"/>
                  <w:b w:val="false"/>
                  <w:color w:val="000080"/>
                  <w:sz w:val="20"/>
                  <w:u w:val="single"/>
                </w:rPr>
                <w:t>April 28</w:t>
              </w:r>
            </w:hyperlink>
            <w:hyperlink w:anchor="exhibit991-q1268xkearnings.htm">
              <w:r>
                <w:rPr>
                  <w:rStyle w:val="InternetLink"/>
                  <w:rFonts w:ascii="Times New Roman;serif" w:hAnsi="Times New Roman;serif"/>
                  <w:b w:val="false"/>
                  <w:color w:val="000080"/>
                  <w:sz w:val="20"/>
                  <w:u w:val="single"/>
                </w:rPr>
                <w:t>,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Dated: April 28, 2026</w:t>
      </w:r>
    </w:p>
    <w:tbl>
      <w:tblPr>
        <w:tblW w:w="4014" w:type="dxa"/>
        <w:jc w:val="left"/>
        <w:tblInd w:w="0" w:type="dxa"/>
        <w:tblLayout w:type="fixed"/>
        <w:tblCellMar>
          <w:top w:w="28" w:type="dxa"/>
          <w:left w:w="28" w:type="dxa"/>
          <w:bottom w:w="28" w:type="dxa"/>
          <w:right w:w="28" w:type="dxa"/>
        </w:tblCellMar>
      </w:tblPr>
      <w:tblGrid>
        <w:gridCol w:w="124"/>
        <w:gridCol w:w="109"/>
        <w:gridCol w:w="109"/>
        <w:gridCol w:w="534"/>
        <w:gridCol w:w="534"/>
        <w:gridCol w:w="534"/>
        <w:gridCol w:w="604"/>
        <w:gridCol w:w="604"/>
        <w:gridCol w:w="8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NAUTILUS BIOTECHNOLOGY,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Sujal Patel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Sujal Patel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Nautilus Biotechnology Reports First Quarter 2026 Financial Results</w:t>
      </w:r>
    </w:p>
    <w:p>
      <w:pPr>
        <w:pStyle w:val="TextBody"/>
        <w:bidi w:val="0"/>
        <w:spacing w:lineRule="auto" w:line="288" w:before="240" w:after="283"/>
        <w:jc w:val="both"/>
        <w:rPr/>
      </w:pPr>
      <w:r>
        <w:rPr>
          <w:rFonts w:ascii="Times New Roman;serif" w:hAnsi="Times New Roman;serif"/>
          <w:b/>
          <w:color w:val="000000"/>
          <w:sz w:val="20"/>
        </w:rPr>
        <w:t xml:space="preserve">SEATTLE, WA, </w:t>
      </w:r>
      <w:r>
        <w:rPr>
          <w:rFonts w:ascii="Times New Roman;serif" w:hAnsi="Times New Roman;serif"/>
          <w:b w:val="false"/>
          <w:color w:val="000000"/>
          <w:sz w:val="20"/>
        </w:rPr>
        <w:t>April 28, 2026 – Nautilus Biotechnology, Inc. (NASDAQ: NAUT), a company pioneering a single-molecule proteome analysis platform, today reported financial results for the first quarter ended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First Quarter 2026 Business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Initiated our Iterative Mapping Early Access Program, enabling broader access to our validated Tau proteoform assay, with Baylor College of Medicine as our first customer in a National Institutes of Health-funded cancer study.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Advanced processing and analysis of Tau proteoform samples from collaborators, supporting platform validation and future scientific publications.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Appointed Amber Faust as Vice President of Global Sales, a proven proteomics commercial leader from Olink Proteomics and SomaLogic, to lead Early Access customer expansion and drive Voyager™ Platform adoption ahead of our commercial launch.</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In Q1, we made measurable progress toward commercialization, with early customer engagement reinforcing the value of our platform in real-world research settings,” said Sujal Patel, CEO of Nautilus Biotechnology. “We also advanced our broadscale capabilities, including development of a next-generation assay format designed to improve probe compatibility, performance, and scalability. Together with the addition of experienced sales leadership, these efforts position us to scale Early Access and progress toward full commercial availability.”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First Quarter 2026 Financial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Operating expenses were $16.1 million for the first quarter of 2026, a $2.7 million or 14% decrease compared to $18.8 million for the corresponding prior year period. The decrease in operating expenses is attributable to decreased salaries, related benefits and stock-based compensation, and decreased facilities costs.</w:t>
      </w:r>
    </w:p>
    <w:p>
      <w:pPr>
        <w:pStyle w:val="TextBody"/>
        <w:bidi w:val="0"/>
        <w:spacing w:lineRule="auto" w:line="288" w:before="240" w:after="283"/>
        <w:jc w:val="both"/>
        <w:rPr/>
      </w:pPr>
      <w:r>
        <w:rPr>
          <w:rFonts w:ascii="Times New Roman;serif" w:hAnsi="Times New Roman;serif"/>
          <w:b w:val="false"/>
          <w:color w:val="000000"/>
          <w:sz w:val="20"/>
        </w:rPr>
        <w:t>Net loss was $14.7 million for the first quarter of</w:t>
      </w:r>
      <w:r>
        <w:rPr>
          <w:color w:val="000000"/>
        </w:rPr>
        <w:t xml:space="preserve"> </w:t>
      </w:r>
      <w:r>
        <w:rPr>
          <w:rFonts w:ascii="Times New Roman;serif" w:hAnsi="Times New Roman;serif"/>
          <w:b w:val="false"/>
          <w:color w:val="000000"/>
          <w:sz w:val="20"/>
        </w:rPr>
        <w:t>2026, as compared to the net loss of $16.6 million for the corresponding prior 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cash equivalents, and investments were $143.4 million as of March 31,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Webcast and Conference Call Information</w:t>
      </w:r>
    </w:p>
    <w:p>
      <w:pPr>
        <w:pStyle w:val="TextBody"/>
        <w:bidi w:val="0"/>
        <w:spacing w:lineRule="auto" w:line="288" w:before="240" w:after="283"/>
        <w:jc w:val="both"/>
        <w:rPr/>
      </w:pPr>
      <w:r>
        <w:rPr>
          <w:rFonts w:ascii="Times New Roman;serif" w:hAnsi="Times New Roman;serif"/>
          <w:b w:val="false"/>
          <w:color w:val="000000"/>
          <w:sz w:val="20"/>
        </w:rPr>
        <w:t xml:space="preserve">Nautilus will host a conference call to discuss the first quarter 2026 financial results, business developments and outlook before market open on Tuesday, April 28, 2026, at 5:30 AM Pacific Time / 8:30 AM Eastern Time. Live audio of the webcast will be available on the “Investors” section of the company website at: </w:t>
      </w:r>
      <w:r>
        <w:rPr>
          <w:rFonts w:ascii="Times New Roman;serif" w:hAnsi="Times New Roman;serif"/>
          <w:b w:val="false"/>
          <w:color w:val="0563C1"/>
          <w:sz w:val="20"/>
          <w:u w:val="single"/>
        </w:rPr>
        <w:t>www.nautilus.bio</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About Nautilus Biotechnology, Inc.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With its corporate headquarters in Seattle, Washington and its research and development headquarters in San Carlos, California, Nautilus is a development stage life sciences company working to create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jc w:val="both"/>
        <w:rPr/>
      </w:pPr>
      <w:r>
        <w:rPr>
          <w:rFonts w:ascii="Times New Roman;serif" w:hAnsi="Times New Roman;serif"/>
          <w:b w:val="false"/>
          <w:color w:val="000000"/>
          <w:sz w:val="20"/>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regarding operating expenses and cash runway; expectations with respect to any revenue timing or projections; expectations with respect to the development required for and the timing of the launch of the Nautilus Voyager</w:t>
      </w:r>
      <w:r>
        <w:rPr>
          <w:rFonts w:ascii="Times New Roman;serif" w:hAnsi="Times New Roman;serif"/>
          <w:b w:val="false"/>
          <w:color w:val="000000"/>
          <w:sz w:val="13"/>
        </w:rPr>
        <w:t>TM</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platform and full commercial availability; the functionality and performance of the Nautilus Voyager platform, its potential impact on providing proteome or proteoform access, pharmaceutical development and drug discovery, expanding research horizons, and enabling scientific explorations and discovery; expectations regarding platform specifications required by potential customers and partners and the timeline for adoption of the Nautilus Voyager platform by researchers;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the Nautilus Voyager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10-K as well as in our Quarterly Report on Form 10-Q to be filed for the quarter ended March 31, 2026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Disclosure Information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press@nautilus.bio</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investorrelations@nautilus.bio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6074" w:type="dxa"/>
        <w:jc w:val="left"/>
        <w:tblInd w:w="0" w:type="dxa"/>
        <w:tblLayout w:type="fixed"/>
        <w:tblCellMar>
          <w:top w:w="28" w:type="dxa"/>
          <w:left w:w="28" w:type="dxa"/>
          <w:bottom w:w="28" w:type="dxa"/>
          <w:right w:w="28" w:type="dxa"/>
        </w:tblCellMar>
      </w:tblPr>
      <w:tblGrid>
        <w:gridCol w:w="1943"/>
        <w:gridCol w:w="1710"/>
        <w:gridCol w:w="2421"/>
      </w:tblGrid>
      <w:tr>
        <w:trPr/>
        <w:tc>
          <w:tcPr>
            <w:tcW w:w="1943"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Nautilus Biotechnology, Inc. </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Condensed Consolidated Balance Sheets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As of March 31, 2026 and December 31, 2025 (Unaudited)</w:t>
            </w:r>
          </w:p>
        </w:tc>
      </w:tr>
    </w:tbl>
    <w:p>
      <w:pPr>
        <w:pStyle w:val="TextBody"/>
        <w:bidi w:val="0"/>
        <w:spacing w:before="0" w:after="0"/>
        <w:jc w:val="center"/>
        <w:rPr/>
      </w:pPr>
      <w:r>
        <w:rPr/>
      </w:r>
    </w:p>
    <w:tbl>
      <w:tblPr>
        <w:tblW w:w="7195" w:type="dxa"/>
        <w:jc w:val="center"/>
        <w:tblInd w:w="0" w:type="dxa"/>
        <w:tblLayout w:type="fixed"/>
        <w:tblCellMar>
          <w:top w:w="28" w:type="dxa"/>
          <w:left w:w="28" w:type="dxa"/>
          <w:bottom w:w="28" w:type="dxa"/>
          <w:right w:w="28" w:type="dxa"/>
        </w:tblCellMar>
      </w:tblPr>
      <w:tblGrid>
        <w:gridCol w:w="1472"/>
        <w:gridCol w:w="1293"/>
        <w:gridCol w:w="1300"/>
        <w:gridCol w:w="232"/>
        <w:gridCol w:w="908"/>
        <w:gridCol w:w="119"/>
        <w:gridCol w:w="109"/>
        <w:gridCol w:w="109"/>
        <w:gridCol w:w="109"/>
        <w:gridCol w:w="273"/>
        <w:gridCol w:w="1072"/>
        <w:gridCol w:w="199"/>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(332,020)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144,415 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177,779 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6285" w:type="dxa"/>
        <w:jc w:val="left"/>
        <w:tblInd w:w="0" w:type="dxa"/>
        <w:tblLayout w:type="fixed"/>
        <w:tblCellMar>
          <w:top w:w="28" w:type="dxa"/>
          <w:left w:w="28" w:type="dxa"/>
          <w:bottom w:w="28" w:type="dxa"/>
          <w:right w:w="28" w:type="dxa"/>
        </w:tblCellMar>
      </w:tblPr>
      <w:tblGrid>
        <w:gridCol w:w="2011"/>
        <w:gridCol w:w="1769"/>
        <w:gridCol w:w="2505"/>
      </w:tblGrid>
      <w:tr>
        <w:trPr/>
        <w:tc>
          <w:tcPr>
            <w:tcW w:w="2011"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Nautilus Biotechnology, Inc. </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Condensed Consolidated Statements of Operations </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Three Months Ended March 31, 2026 and 2025 (Unaudited)</w:t>
            </w:r>
          </w:p>
        </w:tc>
      </w:tr>
    </w:tbl>
    <w:tbl>
      <w:tblPr>
        <w:tblW w:w="10205" w:type="dxa"/>
        <w:jc w:val="center"/>
        <w:tblInd w:w="0" w:type="dxa"/>
        <w:tblLayout w:type="fixed"/>
        <w:tblCellMar>
          <w:top w:w="28" w:type="dxa"/>
          <w:left w:w="28" w:type="dxa"/>
          <w:bottom w:w="28" w:type="dxa"/>
          <w:right w:w="28" w:type="dxa"/>
        </w:tblCellMar>
      </w:tblPr>
      <w:tblGrid>
        <w:gridCol w:w="2627"/>
        <w:gridCol w:w="2082"/>
        <w:gridCol w:w="2097"/>
        <w:gridCol w:w="264"/>
        <w:gridCol w:w="922"/>
        <w:gridCol w:w="109"/>
        <w:gridCol w:w="109"/>
        <w:gridCol w:w="109"/>
        <w:gridCol w:w="109"/>
        <w:gridCol w:w="264"/>
        <w:gridCol w:w="922"/>
        <w:gridCol w:w="109"/>
        <w:gridCol w:w="109"/>
        <w:gridCol w:w="109"/>
        <w:gridCol w:w="109"/>
        <w:gridCol w:w="155"/>
      </w:tblGrid>
      <w:tr>
        <w:trPr/>
        <w:tc>
          <w:tcPr>
            <w:tcW w:w="2627"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common stockholders, basic and diluted</w:t>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126,634,782 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126,144,240 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6285" w:type="dxa"/>
        <w:jc w:val="left"/>
        <w:tblInd w:w="0" w:type="dxa"/>
        <w:tblLayout w:type="fixed"/>
        <w:tblCellMar>
          <w:top w:w="28" w:type="dxa"/>
          <w:left w:w="28" w:type="dxa"/>
          <w:bottom w:w="28" w:type="dxa"/>
          <w:right w:w="28" w:type="dxa"/>
        </w:tblCellMar>
      </w:tblPr>
      <w:tblGrid>
        <w:gridCol w:w="2011"/>
        <w:gridCol w:w="1769"/>
        <w:gridCol w:w="2505"/>
      </w:tblGrid>
      <w:tr>
        <w:trPr/>
        <w:tc>
          <w:tcPr>
            <w:tcW w:w="2011"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Nautilus Biotechnology, Inc. </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 xml:space="preserve">Condensed Consolidated Statements of Cash Flows </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Three Months Ended March 31, 2026 and 2025 (Unaudited)</w:t>
            </w:r>
          </w:p>
        </w:tc>
      </w:tr>
    </w:tbl>
    <w:p>
      <w:pPr>
        <w:pStyle w:val="TextBody"/>
        <w:bidi w:val="0"/>
        <w:spacing w:before="0" w:after="0"/>
        <w:jc w:val="left"/>
        <w:rPr/>
      </w:pPr>
      <w:r>
        <w:rPr/>
      </w:r>
    </w:p>
    <w:tbl>
      <w:tblPr>
        <w:tblW w:w="8574" w:type="dxa"/>
        <w:jc w:val="center"/>
        <w:tblInd w:w="0" w:type="dxa"/>
        <w:tblLayout w:type="fixed"/>
        <w:tblCellMar>
          <w:top w:w="28" w:type="dxa"/>
          <w:left w:w="28" w:type="dxa"/>
          <w:bottom w:w="28" w:type="dxa"/>
          <w:right w:w="28" w:type="dxa"/>
        </w:tblCellMar>
      </w:tblPr>
      <w:tblGrid>
        <w:gridCol w:w="2162"/>
        <w:gridCol w:w="1901"/>
        <w:gridCol w:w="1907"/>
        <w:gridCol w:w="211"/>
        <w:gridCol w:w="796"/>
        <w:gridCol w:w="109"/>
        <w:gridCol w:w="109"/>
        <w:gridCol w:w="109"/>
        <w:gridCol w:w="109"/>
        <w:gridCol w:w="211"/>
        <w:gridCol w:w="796"/>
        <w:gridCol w:w="154"/>
      </w:tblGrid>
      <w:tr>
        <w:trPr/>
        <w:tc>
          <w:tcPr>
            <w:tcW w:w="2162"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(accretion) of premiums (discounts) on securities,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1948</Words>
  <Characters>11575</Characters>
  <CharactersWithSpaces>13331</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